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48142" w14:textId="77777777" w:rsidR="00621768" w:rsidRPr="005F3700" w:rsidRDefault="00621768" w:rsidP="0074657D">
      <w:pPr>
        <w:keepNext/>
        <w:spacing w:before="120" w:after="120"/>
        <w:outlineLvl w:val="0"/>
        <w:rPr>
          <w:b/>
          <w:color w:val="0D0D0D"/>
        </w:rPr>
      </w:pPr>
      <w:bookmarkStart w:id="0" w:name="_Toc98149740"/>
      <w:r w:rsidRPr="005F3700">
        <w:rPr>
          <w:b/>
          <w:color w:val="0D0D0D"/>
        </w:rPr>
        <w:t>EK:</w:t>
      </w:r>
    </w:p>
    <w:p w14:paraId="42C6CF05" w14:textId="701CC63E" w:rsidR="00621768" w:rsidRPr="0055784D" w:rsidRDefault="009C1054" w:rsidP="0074657D">
      <w:pPr>
        <w:pStyle w:val="stBilgi"/>
        <w:spacing w:before="120" w:after="120"/>
        <w:jc w:val="center"/>
      </w:pPr>
      <w:r w:rsidRPr="005F3700">
        <w:rPr>
          <w:b/>
          <w:color w:val="0D0D0D"/>
        </w:rPr>
        <w:t>202</w:t>
      </w:r>
      <w:r w:rsidR="00936D27">
        <w:rPr>
          <w:b/>
          <w:color w:val="0D0D0D"/>
        </w:rPr>
        <w:t>5</w:t>
      </w:r>
      <w:r w:rsidRPr="005F3700">
        <w:rPr>
          <w:b/>
          <w:color w:val="0D0D0D"/>
        </w:rPr>
        <w:t>/</w:t>
      </w:r>
      <w:r w:rsidR="0001323C">
        <w:rPr>
          <w:b/>
          <w:color w:val="0D0D0D"/>
        </w:rPr>
        <w:t>1</w:t>
      </w:r>
      <w:r w:rsidR="00EA40EB">
        <w:rPr>
          <w:b/>
          <w:color w:val="0D0D0D"/>
        </w:rPr>
        <w:t>2</w:t>
      </w:r>
      <w:r w:rsidRPr="005F3700">
        <w:rPr>
          <w:b/>
          <w:color w:val="0D0D0D"/>
        </w:rPr>
        <w:t xml:space="preserve"> SAYILI </w:t>
      </w:r>
      <w:r w:rsidR="00621768" w:rsidRPr="005F3700">
        <w:rPr>
          <w:b/>
          <w:color w:val="0D0D0D"/>
        </w:rPr>
        <w:t>İTHALATTA HAKSIZ REKABETİN ÖNLENMESİNE İLİŞKİN</w:t>
      </w:r>
      <w:r w:rsidR="00621768" w:rsidRPr="0055784D">
        <w:rPr>
          <w:b/>
          <w:color w:val="0D0D0D"/>
        </w:rPr>
        <w:t xml:space="preserve"> </w:t>
      </w:r>
      <w:r w:rsidR="00BD5FC5" w:rsidRPr="0055784D">
        <w:rPr>
          <w:b/>
          <w:color w:val="0D0D0D"/>
        </w:rPr>
        <w:t xml:space="preserve">TEBLİĞE </w:t>
      </w:r>
      <w:r w:rsidR="00621768" w:rsidRPr="0055784D">
        <w:rPr>
          <w:b/>
          <w:color w:val="0D0D0D"/>
        </w:rPr>
        <w:t>DAİR BİLGİLENDİRME RAPORU</w:t>
      </w:r>
    </w:p>
    <w:p w14:paraId="6000C084" w14:textId="77777777" w:rsidR="009053B4" w:rsidRPr="0055784D" w:rsidRDefault="005252E5" w:rsidP="004B4889">
      <w:pPr>
        <w:pStyle w:val="Balk1"/>
        <w:numPr>
          <w:ilvl w:val="0"/>
          <w:numId w:val="2"/>
        </w:numPr>
        <w:spacing w:before="120" w:after="120"/>
        <w:rPr>
          <w:rFonts w:ascii="Times New Roman" w:hAnsi="Times New Roman" w:cs="Times New Roman"/>
          <w:sz w:val="24"/>
          <w:szCs w:val="24"/>
        </w:rPr>
      </w:pPr>
      <w:r w:rsidRPr="0055784D">
        <w:rPr>
          <w:rFonts w:ascii="Times New Roman" w:hAnsi="Times New Roman" w:cs="Times New Roman"/>
          <w:sz w:val="24"/>
          <w:szCs w:val="24"/>
        </w:rPr>
        <w:t>Genel Bilgi ve İşlemler</w:t>
      </w:r>
      <w:bookmarkEnd w:id="0"/>
    </w:p>
    <w:p w14:paraId="17E66FA8" w14:textId="42272BBC" w:rsidR="009053B4" w:rsidRDefault="00EB7884" w:rsidP="0074657D">
      <w:pPr>
        <w:pStyle w:val="Balk2"/>
        <w:numPr>
          <w:ilvl w:val="1"/>
          <w:numId w:val="1"/>
        </w:numPr>
        <w:spacing w:before="120" w:after="120"/>
        <w:ind w:left="426"/>
        <w:rPr>
          <w:szCs w:val="24"/>
        </w:rPr>
      </w:pPr>
      <w:bookmarkStart w:id="1" w:name="_Toc98149741"/>
      <w:r w:rsidRPr="0055784D">
        <w:rPr>
          <w:szCs w:val="24"/>
        </w:rPr>
        <w:t xml:space="preserve">Kapsam </w:t>
      </w:r>
      <w:r w:rsidR="004B4612" w:rsidRPr="0055784D">
        <w:rPr>
          <w:szCs w:val="24"/>
        </w:rPr>
        <w:t>ve yasal dayanak</w:t>
      </w:r>
      <w:bookmarkEnd w:id="1"/>
    </w:p>
    <w:p w14:paraId="016B76CA" w14:textId="4C6BDD31" w:rsidR="00B075B0" w:rsidRPr="00272D14" w:rsidRDefault="00B075B0" w:rsidP="001161E3">
      <w:pPr>
        <w:pStyle w:val="Default"/>
        <w:spacing w:before="120" w:after="120"/>
        <w:jc w:val="both"/>
        <w:rPr>
          <w:color w:val="auto"/>
        </w:rPr>
      </w:pPr>
      <w:r>
        <w:rPr>
          <w:color w:val="auto"/>
        </w:rPr>
        <w:t xml:space="preserve">(1) </w:t>
      </w:r>
      <w:r w:rsidRPr="00272D14">
        <w:rPr>
          <w:color w:val="auto"/>
        </w:rPr>
        <w:t xml:space="preserve">Bu rapor, 14/6/1989 tarihli ve 3577 sayılı İthalatta Haksız Rekabetin Önlenmesi Hakkında Kanun, 20/10/1999 tarihli ve 99/13482 sayılı Bakanlar Kurulu Kararı ile yürürlüğe konulan İthalatta Haksız Rekabetin Önlenmesi Hakkında Karar ve 30/10/1999 tarihli ve 23861 sayılı Resmî </w:t>
      </w:r>
      <w:proofErr w:type="spellStart"/>
      <w:r w:rsidRPr="00272D14">
        <w:rPr>
          <w:color w:val="auto"/>
        </w:rPr>
        <w:t>Gazete’de</w:t>
      </w:r>
      <w:proofErr w:type="spellEnd"/>
      <w:r w:rsidRPr="00272D14">
        <w:rPr>
          <w:color w:val="auto"/>
        </w:rPr>
        <w:t xml:space="preserve"> yayımlanan İthalatta Haksız Rekabetin Önlenmesi Hakkında Yönetmelik (Yönetmelik) hükümleri çerçevesinde yürütülen nihai gözden geçirme soruşturması (NGGS) sonucunda alınacak karara esas teşkil edecek bilgi ve bulguları içermektedir.</w:t>
      </w:r>
    </w:p>
    <w:p w14:paraId="4E41BA08" w14:textId="4C306B41" w:rsidR="00D35A91" w:rsidRDefault="00117424" w:rsidP="001161E3">
      <w:pPr>
        <w:pStyle w:val="Balk2"/>
        <w:numPr>
          <w:ilvl w:val="1"/>
          <w:numId w:val="1"/>
        </w:numPr>
        <w:spacing w:before="120" w:after="120"/>
        <w:ind w:left="426"/>
        <w:jc w:val="both"/>
        <w:rPr>
          <w:szCs w:val="24"/>
        </w:rPr>
      </w:pPr>
      <w:bookmarkStart w:id="2" w:name="_Toc98149742"/>
      <w:r w:rsidRPr="0055784D">
        <w:rPr>
          <w:szCs w:val="24"/>
        </w:rPr>
        <w:t xml:space="preserve">Mevcut </w:t>
      </w:r>
      <w:r w:rsidR="004B4612" w:rsidRPr="0055784D">
        <w:rPr>
          <w:szCs w:val="24"/>
        </w:rPr>
        <w:t>önlem ve geçmişi</w:t>
      </w:r>
      <w:bookmarkEnd w:id="2"/>
    </w:p>
    <w:p w14:paraId="62F45F4A" w14:textId="74768744" w:rsidR="0001323C" w:rsidRPr="0001323C" w:rsidRDefault="0001323C" w:rsidP="005A374F">
      <w:pPr>
        <w:pStyle w:val="Balk2"/>
        <w:numPr>
          <w:ilvl w:val="0"/>
          <w:numId w:val="12"/>
        </w:numPr>
        <w:spacing w:before="120" w:after="120"/>
        <w:jc w:val="both"/>
        <w:rPr>
          <w:rFonts w:eastAsia="Times New Roman" w:cs="Times New Roman"/>
          <w:b w:val="0"/>
          <w:szCs w:val="24"/>
        </w:rPr>
      </w:pPr>
      <w:bookmarkStart w:id="3" w:name="_Toc188521949"/>
      <w:bookmarkStart w:id="4" w:name="_Toc98149743"/>
      <w:r w:rsidRPr="0001323C">
        <w:rPr>
          <w:rFonts w:eastAsia="Times New Roman" w:cs="Times New Roman"/>
          <w:b w:val="0"/>
          <w:szCs w:val="24"/>
        </w:rPr>
        <w:t xml:space="preserve">Çin Halk Cumhuriyeti (ÇHC) ve Çin </w:t>
      </w:r>
      <w:proofErr w:type="spellStart"/>
      <w:r w:rsidRPr="0001323C">
        <w:rPr>
          <w:rFonts w:eastAsia="Times New Roman" w:cs="Times New Roman"/>
          <w:b w:val="0"/>
          <w:szCs w:val="24"/>
        </w:rPr>
        <w:t>Tayvanı</w:t>
      </w:r>
      <w:proofErr w:type="spellEnd"/>
      <w:r w:rsidRPr="0001323C">
        <w:rPr>
          <w:rFonts w:eastAsia="Times New Roman" w:cs="Times New Roman"/>
          <w:b w:val="0"/>
          <w:szCs w:val="24"/>
        </w:rPr>
        <w:t xml:space="preserve"> menşeli </w:t>
      </w:r>
      <w:bookmarkStart w:id="5" w:name="_Hlk200467399"/>
      <w:r w:rsidRPr="0001323C">
        <w:rPr>
          <w:rFonts w:eastAsia="Times New Roman" w:cs="Times New Roman"/>
          <w:b w:val="0"/>
          <w:szCs w:val="24"/>
        </w:rPr>
        <w:t>7306.40.20.90.00, 7306.40.80.90.00 ve 7306.61.10.00.00 gümrük tarife istatistik pozisyonları (GTİP) altında kayıtlı “paslanmaz çelikten borular”</w:t>
      </w:r>
      <w:bookmarkEnd w:id="5"/>
      <w:r w:rsidRPr="0001323C">
        <w:rPr>
          <w:rFonts w:eastAsia="Times New Roman" w:cs="Times New Roman"/>
          <w:b w:val="0"/>
          <w:szCs w:val="24"/>
        </w:rPr>
        <w:t xml:space="preserve"> ithalatına yönelik 15/3/2013 tarihli ve 28588 sayılı Resmî </w:t>
      </w:r>
      <w:proofErr w:type="spellStart"/>
      <w:r w:rsidRPr="0001323C">
        <w:rPr>
          <w:rFonts w:eastAsia="Times New Roman" w:cs="Times New Roman"/>
          <w:b w:val="0"/>
          <w:szCs w:val="24"/>
        </w:rPr>
        <w:t>Gazete’de</w:t>
      </w:r>
      <w:proofErr w:type="spellEnd"/>
      <w:r w:rsidRPr="0001323C">
        <w:rPr>
          <w:rFonts w:eastAsia="Times New Roman" w:cs="Times New Roman"/>
          <w:b w:val="0"/>
          <w:szCs w:val="24"/>
        </w:rPr>
        <w:t xml:space="preserve"> yayımlanan İthalatta Haksız Rekabetin Önlemesine İlişkin Tebliğ (Tebliğ No: 2013/4) uyarınca, ÇHC için CIF bedelin %13,82’si ile %25,27’si arasında, Çin </w:t>
      </w:r>
      <w:proofErr w:type="spellStart"/>
      <w:r w:rsidRPr="0001323C">
        <w:rPr>
          <w:rFonts w:eastAsia="Times New Roman" w:cs="Times New Roman"/>
          <w:b w:val="0"/>
          <w:szCs w:val="24"/>
        </w:rPr>
        <w:t>Tayvanı</w:t>
      </w:r>
      <w:proofErr w:type="spellEnd"/>
      <w:r w:rsidRPr="0001323C">
        <w:rPr>
          <w:rFonts w:eastAsia="Times New Roman" w:cs="Times New Roman"/>
          <w:b w:val="0"/>
          <w:szCs w:val="24"/>
        </w:rPr>
        <w:t xml:space="preserve"> için CIF bedelin %7,98’i ile %14,65’i arasında firma bazında değişen oranlarda dampinge karşı önlemler yürürlüğe konulmuştur.</w:t>
      </w:r>
    </w:p>
    <w:p w14:paraId="686D8C39" w14:textId="19EF3857" w:rsidR="00936D27" w:rsidRPr="002A10D2" w:rsidRDefault="0001323C" w:rsidP="005A374F">
      <w:pPr>
        <w:pStyle w:val="Balk2"/>
        <w:numPr>
          <w:ilvl w:val="0"/>
          <w:numId w:val="12"/>
        </w:numPr>
        <w:spacing w:before="120" w:after="120"/>
        <w:jc w:val="both"/>
        <w:rPr>
          <w:rFonts w:eastAsia="Times New Roman" w:cs="Times New Roman"/>
          <w:b w:val="0"/>
          <w:szCs w:val="24"/>
        </w:rPr>
      </w:pPr>
      <w:r w:rsidRPr="0001323C">
        <w:rPr>
          <w:rFonts w:eastAsia="Times New Roman" w:cs="Times New Roman"/>
          <w:b w:val="0"/>
          <w:szCs w:val="24"/>
        </w:rPr>
        <w:t xml:space="preserve">ÇHC ve Çin </w:t>
      </w:r>
      <w:proofErr w:type="spellStart"/>
      <w:r w:rsidRPr="0001323C">
        <w:rPr>
          <w:rFonts w:eastAsia="Times New Roman" w:cs="Times New Roman"/>
          <w:b w:val="0"/>
          <w:szCs w:val="24"/>
        </w:rPr>
        <w:t>Tayvanı</w:t>
      </w:r>
      <w:proofErr w:type="spellEnd"/>
      <w:r w:rsidRPr="0001323C">
        <w:rPr>
          <w:rFonts w:eastAsia="Times New Roman" w:cs="Times New Roman"/>
          <w:b w:val="0"/>
          <w:szCs w:val="24"/>
        </w:rPr>
        <w:t xml:space="preserve"> menşeli 7306.40.20.90.00, 7306.40.80.90.00 ve 7306.61.10.00.00 </w:t>
      </w:r>
      <w:proofErr w:type="spellStart"/>
      <w:r w:rsidRPr="0001323C">
        <w:rPr>
          <w:rFonts w:eastAsia="Times New Roman" w:cs="Times New Roman"/>
          <w:b w:val="0"/>
          <w:szCs w:val="24"/>
        </w:rPr>
        <w:t>GTİP’ler</w:t>
      </w:r>
      <w:proofErr w:type="spellEnd"/>
      <w:r w:rsidRPr="0001323C">
        <w:rPr>
          <w:rFonts w:eastAsia="Times New Roman" w:cs="Times New Roman"/>
          <w:b w:val="0"/>
          <w:szCs w:val="24"/>
        </w:rPr>
        <w:t xml:space="preserve"> altında kayıtlı “paslanmaz çelikten borular” ithalatına yönelik olarak yürütülen NGGS, 31/12/2018 tarihli ve 30642 </w:t>
      </w:r>
      <w:r>
        <w:rPr>
          <w:rFonts w:eastAsia="Times New Roman" w:cs="Times New Roman"/>
          <w:b w:val="0"/>
          <w:szCs w:val="24"/>
        </w:rPr>
        <w:t xml:space="preserve">(dördüncü mükerrer) </w:t>
      </w:r>
      <w:r w:rsidRPr="0001323C">
        <w:rPr>
          <w:rFonts w:eastAsia="Times New Roman" w:cs="Times New Roman"/>
          <w:b w:val="0"/>
          <w:szCs w:val="24"/>
        </w:rPr>
        <w:t xml:space="preserve">sayılı Resmî </w:t>
      </w:r>
      <w:proofErr w:type="spellStart"/>
      <w:r w:rsidRPr="0001323C">
        <w:rPr>
          <w:rFonts w:eastAsia="Times New Roman" w:cs="Times New Roman"/>
          <w:b w:val="0"/>
          <w:szCs w:val="24"/>
        </w:rPr>
        <w:t>Gazete’de</w:t>
      </w:r>
      <w:proofErr w:type="spellEnd"/>
      <w:r w:rsidRPr="0001323C">
        <w:rPr>
          <w:rFonts w:eastAsia="Times New Roman" w:cs="Times New Roman"/>
          <w:b w:val="0"/>
          <w:szCs w:val="24"/>
        </w:rPr>
        <w:t xml:space="preserve"> yayımlanan İthalatta Haksız Rekabetin Önlenmesine İlişkin Tebliğ (Tebliğ No: 2019/3) ile tamamlanmış ve ÇHC menşeli olanlarına yönelik önlemin CIF bedelin </w:t>
      </w:r>
      <w:bookmarkStart w:id="6" w:name="_Hlk200467737"/>
      <w:r w:rsidRPr="0001323C">
        <w:rPr>
          <w:rFonts w:eastAsia="Times New Roman" w:cs="Times New Roman"/>
          <w:b w:val="0"/>
          <w:szCs w:val="24"/>
        </w:rPr>
        <w:t>%13,82’si ile %20,50’si arasında</w:t>
      </w:r>
      <w:bookmarkEnd w:id="6"/>
      <w:r w:rsidRPr="0001323C">
        <w:rPr>
          <w:rFonts w:eastAsia="Times New Roman" w:cs="Times New Roman"/>
          <w:b w:val="0"/>
          <w:szCs w:val="24"/>
        </w:rPr>
        <w:t xml:space="preserve">, Çin </w:t>
      </w:r>
      <w:proofErr w:type="spellStart"/>
      <w:r w:rsidRPr="0001323C">
        <w:rPr>
          <w:rFonts w:eastAsia="Times New Roman" w:cs="Times New Roman"/>
          <w:b w:val="0"/>
          <w:szCs w:val="24"/>
        </w:rPr>
        <w:t>Tayvanı</w:t>
      </w:r>
      <w:proofErr w:type="spellEnd"/>
      <w:r w:rsidRPr="0001323C">
        <w:rPr>
          <w:rFonts w:eastAsia="Times New Roman" w:cs="Times New Roman"/>
          <w:b w:val="0"/>
          <w:szCs w:val="24"/>
        </w:rPr>
        <w:t xml:space="preserve"> menşeli olanlarına yönelik önlemin ise CIF bedelin </w:t>
      </w:r>
      <w:bookmarkStart w:id="7" w:name="_Hlk200467785"/>
      <w:r w:rsidRPr="0001323C">
        <w:rPr>
          <w:rFonts w:eastAsia="Times New Roman" w:cs="Times New Roman"/>
          <w:b w:val="0"/>
          <w:szCs w:val="24"/>
        </w:rPr>
        <w:t>%7,98’i ile %11,50’si arasında</w:t>
      </w:r>
      <w:bookmarkEnd w:id="7"/>
      <w:r w:rsidRPr="0001323C">
        <w:rPr>
          <w:rFonts w:eastAsia="Times New Roman" w:cs="Times New Roman"/>
          <w:b w:val="0"/>
          <w:szCs w:val="24"/>
        </w:rPr>
        <w:t xml:space="preserve"> firma bazında değişen oranlarda uygulanmaya devam edilmesine karar verilmiştir.</w:t>
      </w:r>
      <w:bookmarkEnd w:id="3"/>
    </w:p>
    <w:p w14:paraId="45E4356F" w14:textId="51FB65F7" w:rsidR="004A19B7" w:rsidRPr="0055784D" w:rsidRDefault="004A19B7" w:rsidP="001161E3">
      <w:pPr>
        <w:pStyle w:val="Balk2"/>
        <w:numPr>
          <w:ilvl w:val="1"/>
          <w:numId w:val="1"/>
        </w:numPr>
        <w:spacing w:before="120" w:after="120"/>
        <w:ind w:left="426"/>
        <w:rPr>
          <w:szCs w:val="24"/>
        </w:rPr>
      </w:pPr>
      <w:r w:rsidRPr="0055784D">
        <w:rPr>
          <w:szCs w:val="24"/>
        </w:rPr>
        <w:t>Soruşturma</w:t>
      </w:r>
      <w:bookmarkEnd w:id="4"/>
    </w:p>
    <w:p w14:paraId="0F52E865" w14:textId="77777777" w:rsidR="00AF2477" w:rsidRPr="00AF2477" w:rsidRDefault="00AF2477" w:rsidP="005A374F">
      <w:pPr>
        <w:pStyle w:val="Default"/>
        <w:numPr>
          <w:ilvl w:val="0"/>
          <w:numId w:val="36"/>
        </w:numPr>
        <w:spacing w:before="120" w:after="120"/>
        <w:jc w:val="both"/>
        <w:rPr>
          <w:color w:val="auto"/>
        </w:rPr>
      </w:pPr>
      <w:bookmarkStart w:id="8" w:name="_Toc98149744"/>
      <w:r w:rsidRPr="00AF2477">
        <w:rPr>
          <w:color w:val="auto"/>
        </w:rPr>
        <w:t xml:space="preserve">Yönetmeliğin 35 inci maddesinin ikinci fıkrası hükmünce, 27/1/2023 tarihli ve 32086 sayılı Resmî </w:t>
      </w:r>
      <w:proofErr w:type="spellStart"/>
      <w:r w:rsidRPr="00AF2477">
        <w:rPr>
          <w:color w:val="auto"/>
        </w:rPr>
        <w:t>Gazete’de</w:t>
      </w:r>
      <w:proofErr w:type="spellEnd"/>
      <w:r w:rsidRPr="00AF2477">
        <w:rPr>
          <w:color w:val="auto"/>
        </w:rPr>
        <w:t xml:space="preserve"> yayımlanan İthalatta Haksız Rekabetin Önlenmesine İlişkin Tebliğ (Tebliğ No: 2023/6) ile mevcut önlemlerin yürürlükte kalma sürelerinin sona ereceği ilan edilmiştir. İlgili ürünün yerli üreticileri tarafından mevzuatta öngörülen süreler içinde, önlemin sona ermesinin damping ve zararın devam etmesine veya yeniden meydana gelmesine yol açacağı iddiasını içeren yeterli delillerle desteklenmiş bir başvuru ile NGGS açılması talebinde bulunabilecekleri duyurulmuştur</w:t>
      </w:r>
    </w:p>
    <w:p w14:paraId="6C70BC7D" w14:textId="77777777" w:rsidR="00AF2477" w:rsidRPr="00AF2477" w:rsidRDefault="00AF2477" w:rsidP="00AF2477">
      <w:pPr>
        <w:pStyle w:val="Default"/>
        <w:spacing w:before="120" w:after="120"/>
        <w:jc w:val="both"/>
        <w:rPr>
          <w:color w:val="auto"/>
        </w:rPr>
      </w:pPr>
      <w:r w:rsidRPr="00AF2477">
        <w:rPr>
          <w:color w:val="auto"/>
        </w:rPr>
        <w:t xml:space="preserve">(2) Bu çerçevede, </w:t>
      </w:r>
      <w:bookmarkStart w:id="9" w:name="_Hlk200467552"/>
      <w:proofErr w:type="spellStart"/>
      <w:r w:rsidRPr="00AF2477">
        <w:rPr>
          <w:color w:val="auto"/>
        </w:rPr>
        <w:t>Marcegaglia</w:t>
      </w:r>
      <w:proofErr w:type="spellEnd"/>
      <w:r w:rsidRPr="00AF2477">
        <w:rPr>
          <w:color w:val="auto"/>
        </w:rPr>
        <w:t xml:space="preserve"> TR Paslanmaz Çelik Sanayi ve Ticaret A.Ş. </w:t>
      </w:r>
      <w:bookmarkEnd w:id="9"/>
      <w:r w:rsidRPr="00AF2477">
        <w:rPr>
          <w:color w:val="auto"/>
        </w:rPr>
        <w:t>(</w:t>
      </w:r>
      <w:proofErr w:type="spellStart"/>
      <w:r w:rsidRPr="00AF2477">
        <w:rPr>
          <w:color w:val="auto"/>
        </w:rPr>
        <w:t>Marcegaglia</w:t>
      </w:r>
      <w:proofErr w:type="spellEnd"/>
      <w:r w:rsidRPr="00AF2477">
        <w:rPr>
          <w:color w:val="auto"/>
        </w:rPr>
        <w:t xml:space="preserve"> TR) ÇHC ve Çin </w:t>
      </w:r>
      <w:proofErr w:type="spellStart"/>
      <w:r w:rsidRPr="00AF2477">
        <w:rPr>
          <w:color w:val="auto"/>
        </w:rPr>
        <w:t>Tayvanı</w:t>
      </w:r>
      <w:proofErr w:type="spellEnd"/>
      <w:r w:rsidRPr="00AF2477">
        <w:rPr>
          <w:color w:val="auto"/>
        </w:rPr>
        <w:t xml:space="preserve"> menşeli “paslanmaz çelikten borular” ithalatına yönelik NGGS açılması başvurusunda bulunmuştur. Söz konusu başvuru </w:t>
      </w:r>
      <w:bookmarkStart w:id="10" w:name="_Hlk200467646"/>
      <w:proofErr w:type="spellStart"/>
      <w:r w:rsidRPr="00AF2477">
        <w:rPr>
          <w:color w:val="auto"/>
        </w:rPr>
        <w:t>Borşen</w:t>
      </w:r>
      <w:proofErr w:type="spellEnd"/>
      <w:r w:rsidRPr="00AF2477">
        <w:rPr>
          <w:color w:val="auto"/>
        </w:rPr>
        <w:t xml:space="preserve"> Boru Sanayi ve Ticaret A.Ş. (</w:t>
      </w:r>
      <w:proofErr w:type="spellStart"/>
      <w:r w:rsidRPr="00AF2477">
        <w:rPr>
          <w:color w:val="auto"/>
        </w:rPr>
        <w:t>Borşen</w:t>
      </w:r>
      <w:proofErr w:type="spellEnd"/>
      <w:r w:rsidRPr="00AF2477">
        <w:rPr>
          <w:color w:val="auto"/>
        </w:rPr>
        <w:t xml:space="preserve">), YC INOX TR Çelik A.Ş. (YC INOX TR), Nikel Paslanmaz Çelik San. Tic. A.Ş. (Nikel Paslanmaz) ve Kaya Çelik İnşaat ve Pazarlama San. Tic. Ltd. Şti. (Kaya Çelik) </w:t>
      </w:r>
      <w:bookmarkEnd w:id="10"/>
      <w:r w:rsidRPr="00AF2477">
        <w:rPr>
          <w:color w:val="auto"/>
        </w:rPr>
        <w:t>tarafından desteklenmiştir.</w:t>
      </w:r>
    </w:p>
    <w:p w14:paraId="09753710" w14:textId="77777777" w:rsidR="00AF2477" w:rsidRDefault="00AF2477" w:rsidP="00AF2477">
      <w:pPr>
        <w:pStyle w:val="Default"/>
        <w:spacing w:before="120" w:after="120"/>
        <w:jc w:val="both"/>
        <w:rPr>
          <w:color w:val="auto"/>
        </w:rPr>
      </w:pPr>
      <w:r w:rsidRPr="00AF2477">
        <w:rPr>
          <w:color w:val="auto"/>
        </w:rPr>
        <w:t>(3) Başvuru kapsamında sunulan bilgi ve belgeler, İthalatta Haksız Rekabeti Değerlendirme Kurulu (Kurul) tarafından değerlendirilmiş ve bir NGGS açılmasını haklı kılacak yeterlilikte delillerin mevcudiyetine kanaat getirilmiştir.</w:t>
      </w:r>
    </w:p>
    <w:p w14:paraId="385A10A5" w14:textId="070943A8" w:rsidR="00AF2477" w:rsidRPr="00AF2477" w:rsidRDefault="00AF2477" w:rsidP="00AF2477">
      <w:pPr>
        <w:pStyle w:val="Default"/>
        <w:spacing w:before="120" w:after="120"/>
        <w:jc w:val="both"/>
        <w:rPr>
          <w:color w:val="auto"/>
        </w:rPr>
      </w:pPr>
      <w:r w:rsidRPr="00AF2477">
        <w:rPr>
          <w:color w:val="auto"/>
        </w:rPr>
        <w:t xml:space="preserve">(4) Bu çerçevede, </w:t>
      </w:r>
      <w:bookmarkStart w:id="11" w:name="_Hlk200467694"/>
      <w:r w:rsidRPr="00AF2477">
        <w:rPr>
          <w:color w:val="auto"/>
        </w:rPr>
        <w:t xml:space="preserve">24/12/2023 tarihli ve 32409 sayılı Resmî </w:t>
      </w:r>
      <w:proofErr w:type="spellStart"/>
      <w:r w:rsidRPr="00AF2477">
        <w:rPr>
          <w:color w:val="auto"/>
        </w:rPr>
        <w:t>Gazete’de</w:t>
      </w:r>
      <w:proofErr w:type="spellEnd"/>
      <w:r w:rsidRPr="00AF2477">
        <w:rPr>
          <w:color w:val="auto"/>
        </w:rPr>
        <w:t xml:space="preserve"> yayımlanan İthalatta Haksız Rekabetin Önlenmesine İlişkin Tebliğ (Tebliğ No: 2023/39) ile </w:t>
      </w:r>
      <w:bookmarkEnd w:id="11"/>
      <w:r w:rsidRPr="00AF2477">
        <w:rPr>
          <w:color w:val="auto"/>
        </w:rPr>
        <w:t xml:space="preserve">ÇHC ve Çin </w:t>
      </w:r>
      <w:proofErr w:type="spellStart"/>
      <w:r w:rsidRPr="00AF2477">
        <w:rPr>
          <w:color w:val="auto"/>
        </w:rPr>
        <w:t>Tayvanı</w:t>
      </w:r>
      <w:proofErr w:type="spellEnd"/>
      <w:r w:rsidRPr="00AF2477">
        <w:rPr>
          <w:color w:val="auto"/>
        </w:rPr>
        <w:t xml:space="preserve"> menşeli “paslanmaz çelikten borular” ürünü ithalatına yönelik bir NGGS açılmıştır.</w:t>
      </w:r>
    </w:p>
    <w:p w14:paraId="07E73751" w14:textId="12D6C384" w:rsidR="00E21C94" w:rsidRPr="007C588C" w:rsidRDefault="00AF2477" w:rsidP="00AF2477">
      <w:pPr>
        <w:pStyle w:val="Default"/>
        <w:spacing w:before="120" w:after="120"/>
        <w:jc w:val="both"/>
        <w:rPr>
          <w:color w:val="auto"/>
        </w:rPr>
      </w:pPr>
      <w:r w:rsidRPr="00AF2477">
        <w:rPr>
          <w:color w:val="auto"/>
        </w:rPr>
        <w:lastRenderedPageBreak/>
        <w:t>(5) T.C. Ticaret Bakanlığı (Bakanlık) İthalat Genel Müdürlüğü (Genel Müdürlük) tarafından yürütülen NGGS tamamlanmıştır</w:t>
      </w:r>
      <w:r w:rsidR="00E21C94">
        <w:rPr>
          <w:color w:val="auto"/>
          <w:lang w:eastAsia="en-US"/>
        </w:rPr>
        <w:t>.</w:t>
      </w:r>
    </w:p>
    <w:p w14:paraId="42A5E10F" w14:textId="5FB7AF76" w:rsidR="00BD39DF" w:rsidRDefault="00BD39DF" w:rsidP="001161E3">
      <w:pPr>
        <w:pStyle w:val="Balk2"/>
        <w:numPr>
          <w:ilvl w:val="1"/>
          <w:numId w:val="1"/>
        </w:numPr>
        <w:spacing w:before="120" w:after="120"/>
        <w:ind w:left="426"/>
        <w:jc w:val="both"/>
        <w:rPr>
          <w:szCs w:val="24"/>
        </w:rPr>
      </w:pPr>
      <w:r w:rsidRPr="0055784D">
        <w:rPr>
          <w:szCs w:val="24"/>
        </w:rPr>
        <w:t xml:space="preserve">Yerli </w:t>
      </w:r>
      <w:r w:rsidR="004B4612" w:rsidRPr="0055784D">
        <w:rPr>
          <w:szCs w:val="24"/>
        </w:rPr>
        <w:t>üretim dalının temsil niteliği</w:t>
      </w:r>
      <w:bookmarkEnd w:id="8"/>
    </w:p>
    <w:p w14:paraId="25085A61" w14:textId="06A67127" w:rsidR="00D8458B" w:rsidRPr="003527E4" w:rsidRDefault="00D8458B" w:rsidP="001161E3">
      <w:pPr>
        <w:pStyle w:val="Default"/>
        <w:spacing w:before="120" w:after="120"/>
        <w:jc w:val="both"/>
        <w:rPr>
          <w:color w:val="auto"/>
        </w:rPr>
      </w:pPr>
      <w:r>
        <w:rPr>
          <w:lang w:eastAsia="en-US"/>
        </w:rPr>
        <w:t xml:space="preserve">(1) </w:t>
      </w:r>
      <w:bookmarkStart w:id="12" w:name="_Hlk171671434"/>
      <w:r w:rsidR="00AF2477" w:rsidRPr="00AF2477">
        <w:rPr>
          <w:color w:val="auto"/>
        </w:rPr>
        <w:t>Yönetmeliğin 18 inci maddesi uyarınca</w:t>
      </w:r>
      <w:r w:rsidR="00990AF2">
        <w:rPr>
          <w:color w:val="auto"/>
        </w:rPr>
        <w:t>,</w:t>
      </w:r>
      <w:r w:rsidR="00AF2477" w:rsidRPr="00AF2477">
        <w:rPr>
          <w:color w:val="auto"/>
        </w:rPr>
        <w:t xml:space="preserve"> yerli üretim dalını temsil etme niteliğine sahip olan yerli üretici</w:t>
      </w:r>
      <w:r w:rsidR="00990AF2">
        <w:rPr>
          <w:color w:val="auto"/>
        </w:rPr>
        <w:t xml:space="preserve"> </w:t>
      </w:r>
      <w:proofErr w:type="spellStart"/>
      <w:r w:rsidR="00990AF2" w:rsidRPr="00AF2477">
        <w:rPr>
          <w:color w:val="auto"/>
        </w:rPr>
        <w:t>Marcegaglia</w:t>
      </w:r>
      <w:proofErr w:type="spellEnd"/>
      <w:r w:rsidR="00990AF2" w:rsidRPr="00AF2477">
        <w:rPr>
          <w:color w:val="auto"/>
        </w:rPr>
        <w:t xml:space="preserve"> TR</w:t>
      </w:r>
      <w:r w:rsidR="00AF2477" w:rsidRPr="00AF2477">
        <w:rPr>
          <w:color w:val="auto"/>
        </w:rPr>
        <w:t xml:space="preserve"> tarafından yapılan başvurunun, Yönetmeliğin </w:t>
      </w:r>
      <w:proofErr w:type="gramStart"/>
      <w:r w:rsidR="00AF2477" w:rsidRPr="00AF2477">
        <w:rPr>
          <w:color w:val="auto"/>
        </w:rPr>
        <w:t xml:space="preserve">20 </w:t>
      </w:r>
      <w:proofErr w:type="spellStart"/>
      <w:r w:rsidR="00AF2477" w:rsidRPr="00AF2477">
        <w:rPr>
          <w:color w:val="auto"/>
        </w:rPr>
        <w:t>nci</w:t>
      </w:r>
      <w:proofErr w:type="spellEnd"/>
      <w:proofErr w:type="gramEnd"/>
      <w:r w:rsidR="00AF2477" w:rsidRPr="00AF2477">
        <w:rPr>
          <w:color w:val="auto"/>
        </w:rPr>
        <w:t xml:space="preserve"> maddesi uyarınca yerli üretim dalı adına yapıldığı anlaşılmıştır. Anılan firma, bu raporun ilgili bölümlerinde “yerli üretim dalı” olarak adlandırılacaktır.</w:t>
      </w:r>
    </w:p>
    <w:bookmarkEnd w:id="12"/>
    <w:p w14:paraId="54EA25FB" w14:textId="51BC1F3E" w:rsidR="00E8795C" w:rsidRDefault="007809F3" w:rsidP="001161E3">
      <w:pPr>
        <w:pStyle w:val="Balk2"/>
        <w:numPr>
          <w:ilvl w:val="1"/>
          <w:numId w:val="1"/>
        </w:numPr>
        <w:spacing w:before="120" w:after="120"/>
        <w:ind w:left="426"/>
        <w:rPr>
          <w:szCs w:val="24"/>
        </w:rPr>
      </w:pPr>
      <w:r w:rsidRPr="0055784D">
        <w:rPr>
          <w:szCs w:val="24"/>
        </w:rPr>
        <w:t xml:space="preserve">Soruşturma </w:t>
      </w:r>
      <w:r w:rsidR="004B4612" w:rsidRPr="0055784D">
        <w:rPr>
          <w:szCs w:val="24"/>
        </w:rPr>
        <w:t>ve gözden geçirme dönemi</w:t>
      </w:r>
    </w:p>
    <w:p w14:paraId="4A7220B3" w14:textId="4FFDD85A" w:rsidR="003F4ABE" w:rsidRDefault="00AF2477" w:rsidP="005A374F">
      <w:pPr>
        <w:pStyle w:val="Default"/>
        <w:numPr>
          <w:ilvl w:val="0"/>
          <w:numId w:val="13"/>
        </w:numPr>
        <w:spacing w:before="120" w:after="120"/>
        <w:jc w:val="both"/>
        <w:rPr>
          <w:color w:val="auto"/>
        </w:rPr>
      </w:pPr>
      <w:r w:rsidRPr="00AF2477">
        <w:rPr>
          <w:color w:val="auto"/>
        </w:rPr>
        <w:t>Mevcut önlemin yürürlükten kalkması durumunda, dampingin devam etmesinin veya yeniden meydana gelmesinin muhtemel olup olmadığını tespit etmek amacıyla 1/1/2020-30/6/2023 tarihleri arasındaki dönem gözden geçirme dönemi, 1/7/2022-30/6/2023 tarihleri arasındaki dönem ise soruşturma dönemi olarak belirlenmiştir</w:t>
      </w:r>
      <w:r w:rsidR="003F3605" w:rsidRPr="003F3605">
        <w:rPr>
          <w:color w:val="auto"/>
        </w:rPr>
        <w:t>.</w:t>
      </w:r>
      <w:bookmarkStart w:id="13" w:name="_Toc317854277"/>
      <w:bookmarkStart w:id="14" w:name="_Toc98149746"/>
    </w:p>
    <w:p w14:paraId="191EC656" w14:textId="140187BB" w:rsidR="00A80C10" w:rsidRPr="00A80C10" w:rsidRDefault="00E8795C" w:rsidP="005A374F">
      <w:pPr>
        <w:pStyle w:val="Default"/>
        <w:numPr>
          <w:ilvl w:val="0"/>
          <w:numId w:val="34"/>
        </w:numPr>
        <w:spacing w:before="120" w:after="120"/>
        <w:jc w:val="both"/>
        <w:rPr>
          <w:b/>
          <w:color w:val="auto"/>
        </w:rPr>
      </w:pPr>
      <w:r w:rsidRPr="00A80C10">
        <w:rPr>
          <w:b/>
        </w:rPr>
        <w:t xml:space="preserve">İlgili </w:t>
      </w:r>
      <w:r w:rsidR="004B4612" w:rsidRPr="00A80C10">
        <w:rPr>
          <w:b/>
        </w:rPr>
        <w:t>tarafların bilgilendirilmesi, dinlenmesi ve bilgilerin değerlendirilmesi</w:t>
      </w:r>
      <w:bookmarkStart w:id="15" w:name="_Toc317854278"/>
      <w:bookmarkStart w:id="16" w:name="_Toc98149747"/>
      <w:bookmarkEnd w:id="13"/>
      <w:bookmarkEnd w:id="14"/>
    </w:p>
    <w:p w14:paraId="45D25EAF" w14:textId="77777777" w:rsidR="00AF2477" w:rsidRDefault="00AF2477" w:rsidP="005A374F">
      <w:pPr>
        <w:pStyle w:val="Default"/>
        <w:numPr>
          <w:ilvl w:val="0"/>
          <w:numId w:val="35"/>
        </w:numPr>
        <w:spacing w:before="120" w:after="120"/>
        <w:jc w:val="both"/>
      </w:pPr>
      <w:r>
        <w:t xml:space="preserve">Soruşturma açılmasını müteakip, soruşturma konusu ürünün Bakanlık tarafından tespit edilen </w:t>
      </w:r>
      <w:proofErr w:type="spellStart"/>
      <w:r>
        <w:t>ÇHC’de</w:t>
      </w:r>
      <w:proofErr w:type="spellEnd"/>
      <w:r>
        <w:t xml:space="preserve"> ve Çin </w:t>
      </w:r>
      <w:proofErr w:type="spellStart"/>
      <w:r>
        <w:t>Tayvanı’nda</w:t>
      </w:r>
      <w:proofErr w:type="spellEnd"/>
      <w:r>
        <w:t xml:space="preserve"> yerleşik üreticilerine/ihracatçılarına, Türkiye’de yerleşik ithalatçılarına ve ayrıca </w:t>
      </w:r>
      <w:proofErr w:type="spellStart"/>
      <w:r>
        <w:t>ÇHC’de</w:t>
      </w:r>
      <w:proofErr w:type="spellEnd"/>
      <w:r>
        <w:t xml:space="preserve"> ve Çin </w:t>
      </w:r>
      <w:proofErr w:type="spellStart"/>
      <w:r>
        <w:t>Tayvanı’nda</w:t>
      </w:r>
      <w:proofErr w:type="spellEnd"/>
      <w:r>
        <w:t xml:space="preserve"> yerleşik diğer üreticilere/ihracatçılara iletilebilmesini </w:t>
      </w:r>
      <w:proofErr w:type="spellStart"/>
      <w:r>
        <w:t>teminen</w:t>
      </w:r>
      <w:proofErr w:type="spellEnd"/>
      <w:r>
        <w:t xml:space="preserve"> anılan ülkelerin Ankara Büyükelçiliklerine ve Temsilciliklerine soruşturmanın açılışına ilişkin bildirimde bulunulmuştur.</w:t>
      </w:r>
    </w:p>
    <w:p w14:paraId="588E9DC8" w14:textId="4BE19AE8" w:rsidR="00AF2477" w:rsidRDefault="00AF2477" w:rsidP="005A374F">
      <w:pPr>
        <w:pStyle w:val="Default"/>
        <w:numPr>
          <w:ilvl w:val="0"/>
          <w:numId w:val="35"/>
        </w:numPr>
        <w:spacing w:before="120" w:after="120"/>
        <w:jc w:val="both"/>
      </w:pPr>
      <w:r>
        <w:t>Bildirimde, soruşturma açılış Tebliğine, başvurunun gizli olmayan özetine ve soru formlarına nereden erişilebileceği hususunda bilgi verilmiştir.</w:t>
      </w:r>
    </w:p>
    <w:p w14:paraId="4C294CE0" w14:textId="77777777" w:rsidR="00AF2477" w:rsidRDefault="00AF2477" w:rsidP="00AF2477">
      <w:pPr>
        <w:pStyle w:val="Default"/>
        <w:spacing w:before="120" w:after="120"/>
        <w:jc w:val="both"/>
      </w:pPr>
      <w:r>
        <w:t>(3) Taraflara görüş bildirme ve soru formlarını yanıtlamaları için posta süresi dâhil 37 gün süre tanınmıştır.</w:t>
      </w:r>
    </w:p>
    <w:p w14:paraId="5B26289E" w14:textId="72929E06" w:rsidR="00AF2477" w:rsidRDefault="00AF2477" w:rsidP="00AF2477">
      <w:pPr>
        <w:pStyle w:val="Default"/>
        <w:spacing w:before="120" w:after="120"/>
        <w:jc w:val="both"/>
      </w:pPr>
      <w:r>
        <w:t xml:space="preserve">(4) Yerli üretim dalı, soruşturma süresi boyunca Bakanlık ile iş birliği içinde olmuş ve gerektiğinde talep edilen ilave bilgileri temin etmiştir. </w:t>
      </w:r>
    </w:p>
    <w:p w14:paraId="7B4681C6" w14:textId="5FCA85F0" w:rsidR="00AF2477" w:rsidRDefault="00AF2477" w:rsidP="00AF2477">
      <w:pPr>
        <w:pStyle w:val="Default"/>
        <w:spacing w:before="120" w:after="120"/>
        <w:jc w:val="both"/>
      </w:pPr>
      <w:r>
        <w:t xml:space="preserve">(5) Soruşturma konusu üründe ithalat gerçekleştirdiği tespit edilen ithalatçı firmalara soruşturma açılışına ilişkin bildirimde bulunulmuş olup söz konusu firmalardan 1 tanesinin iş birliğinde bulunduğu kabul edilmiştir. </w:t>
      </w:r>
    </w:p>
    <w:p w14:paraId="6317CD1A" w14:textId="032FCABE" w:rsidR="00AF2477" w:rsidRDefault="00AF2477" w:rsidP="00076B29">
      <w:pPr>
        <w:pStyle w:val="Default"/>
        <w:spacing w:before="120" w:after="120"/>
        <w:jc w:val="both"/>
      </w:pPr>
      <w:r>
        <w:t xml:space="preserve">(6) Türkiye’ye ÇHC ve Çin </w:t>
      </w:r>
      <w:proofErr w:type="spellStart"/>
      <w:r>
        <w:t>Tayvanı</w:t>
      </w:r>
      <w:proofErr w:type="spellEnd"/>
      <w:r>
        <w:t xml:space="preserve"> menşeli soruşturma konusu ürünün ihracatını gerçekleştirdiği tespit edilen üretici/ihracatçı firmalara soruşturma açılışına ilişkin bildirim gönderilmiş olup söz konusu firmalardan iş birliğinde bulunan olmamıştır.</w:t>
      </w:r>
    </w:p>
    <w:p w14:paraId="4017341D" w14:textId="77777777" w:rsidR="00AF2477" w:rsidRDefault="00AF2477" w:rsidP="00076B29">
      <w:pPr>
        <w:pStyle w:val="Default"/>
        <w:spacing w:before="120" w:after="120"/>
        <w:jc w:val="both"/>
      </w:pPr>
      <w:r>
        <w:t>(7) Soruşturma sonucunda alınacak karara esas teşkil edecek bilgi, bulgu, tespit ve değerlendirmeleri içeren nihai bildirim raporu 24/5/2025 tarihinde yayımlanmıştır.</w:t>
      </w:r>
    </w:p>
    <w:p w14:paraId="7E8ED1DA" w14:textId="3D09168E" w:rsidR="003F4ABE" w:rsidRPr="00076B29" w:rsidRDefault="00AF2477" w:rsidP="00076B29">
      <w:pPr>
        <w:pStyle w:val="Default"/>
        <w:spacing w:before="120" w:after="120"/>
        <w:jc w:val="both"/>
      </w:pPr>
      <w:r>
        <w:t>(8) Nihai bildirim sonrasında, ilgili tarafların nihai bildirime ilişkin görüşlerini sözlü olarak da sunmalarına imkân tanımak amacıyla 7/5/2025 tarihinde kamu dinleme toplantısı yapılmıştır</w:t>
      </w:r>
      <w:r w:rsidR="00DB0D0E" w:rsidRPr="003F4ABE">
        <w:t>.</w:t>
      </w:r>
    </w:p>
    <w:p w14:paraId="1A54E6BD" w14:textId="1F96FDAE" w:rsidR="00DB0D0E" w:rsidRPr="003F4ABE" w:rsidRDefault="00DB0D0E" w:rsidP="005A374F">
      <w:pPr>
        <w:pStyle w:val="Default"/>
        <w:numPr>
          <w:ilvl w:val="0"/>
          <w:numId w:val="37"/>
        </w:numPr>
        <w:spacing w:before="120" w:after="120"/>
        <w:jc w:val="both"/>
        <w:rPr>
          <w:color w:val="auto"/>
        </w:rPr>
      </w:pPr>
      <w:r w:rsidRPr="003F4ABE">
        <w:t>Tarafların işbu soruşturma boyunca ortaya koyduğu tüm bilgi, belge ve görüşler incelenmiş, mezkûr görüşlerden mevzuat kapsamında değerlendirilebilecek olanlara bu raporun ilgili bölümlerinde yer verilmiştir.</w:t>
      </w:r>
    </w:p>
    <w:p w14:paraId="20BB6DC1" w14:textId="31F82B46" w:rsidR="009D4B01" w:rsidRPr="0055784D" w:rsidRDefault="00414100" w:rsidP="001161E3">
      <w:pPr>
        <w:pStyle w:val="Balk2"/>
        <w:spacing w:before="120" w:after="120"/>
        <w:rPr>
          <w:szCs w:val="24"/>
        </w:rPr>
      </w:pPr>
      <w:r w:rsidRPr="0055784D">
        <w:rPr>
          <w:szCs w:val="24"/>
        </w:rPr>
        <w:t xml:space="preserve">1.7. </w:t>
      </w:r>
      <w:r w:rsidR="000337B5" w:rsidRPr="0055784D">
        <w:rPr>
          <w:szCs w:val="24"/>
        </w:rPr>
        <w:t>Yerinde</w:t>
      </w:r>
      <w:r w:rsidR="009D4B01" w:rsidRPr="0055784D">
        <w:rPr>
          <w:szCs w:val="24"/>
        </w:rPr>
        <w:t xml:space="preserve"> </w:t>
      </w:r>
      <w:r w:rsidR="004B4612" w:rsidRPr="0055784D">
        <w:rPr>
          <w:szCs w:val="24"/>
        </w:rPr>
        <w:t xml:space="preserve">doğrulama </w:t>
      </w:r>
      <w:bookmarkEnd w:id="15"/>
      <w:r w:rsidR="004B4612" w:rsidRPr="0055784D">
        <w:rPr>
          <w:szCs w:val="24"/>
        </w:rPr>
        <w:t>incelemesi</w:t>
      </w:r>
      <w:bookmarkEnd w:id="16"/>
    </w:p>
    <w:p w14:paraId="176AF366" w14:textId="47F6F3FD" w:rsidR="00677C21" w:rsidRPr="00DB0D0E" w:rsidRDefault="00DB0D0E" w:rsidP="005A374F">
      <w:pPr>
        <w:pStyle w:val="Default"/>
        <w:numPr>
          <w:ilvl w:val="0"/>
          <w:numId w:val="11"/>
        </w:numPr>
        <w:spacing w:before="120" w:after="120"/>
        <w:ind w:firstLine="0"/>
        <w:jc w:val="both"/>
        <w:rPr>
          <w:color w:val="auto"/>
        </w:rPr>
      </w:pPr>
      <w:bookmarkStart w:id="17" w:name="_Hlk171671552"/>
      <w:bookmarkStart w:id="18" w:name="_Toc98149748"/>
      <w:r w:rsidRPr="007C588C">
        <w:rPr>
          <w:color w:val="auto"/>
        </w:rPr>
        <w:t xml:space="preserve">Yönetmeliğin 21 inci maddesi çerçevesinde </w:t>
      </w:r>
      <w:r w:rsidR="00076B29" w:rsidRPr="00076B29">
        <w:rPr>
          <w:color w:val="auto"/>
        </w:rPr>
        <w:t xml:space="preserve">15-16 Nisan 2025 tarihlerinde yerli üretici </w:t>
      </w:r>
      <w:proofErr w:type="spellStart"/>
      <w:r w:rsidR="00076B29" w:rsidRPr="00076B29">
        <w:rPr>
          <w:color w:val="auto"/>
        </w:rPr>
        <w:t>Marcegaglia</w:t>
      </w:r>
      <w:proofErr w:type="spellEnd"/>
      <w:r w:rsidR="00076B29" w:rsidRPr="00076B29">
        <w:rPr>
          <w:color w:val="auto"/>
        </w:rPr>
        <w:t xml:space="preserve"> TR firmasının üretim ve idari tesislerinde yerinde doğrulama incelemesi </w:t>
      </w:r>
      <w:r>
        <w:rPr>
          <w:color w:val="auto"/>
        </w:rPr>
        <w:t>gerçekleştirilmiştir</w:t>
      </w:r>
      <w:r w:rsidR="00677C21" w:rsidRPr="00DB0D0E">
        <w:rPr>
          <w:color w:val="auto"/>
        </w:rPr>
        <w:t>.</w:t>
      </w:r>
    </w:p>
    <w:bookmarkEnd w:id="17"/>
    <w:p w14:paraId="0E0D588E" w14:textId="77777777" w:rsidR="009053B4" w:rsidRPr="0055784D" w:rsidRDefault="009053B4" w:rsidP="004B4889">
      <w:pPr>
        <w:pStyle w:val="Balk1"/>
        <w:numPr>
          <w:ilvl w:val="0"/>
          <w:numId w:val="2"/>
        </w:numPr>
        <w:spacing w:before="120" w:after="120"/>
        <w:rPr>
          <w:rFonts w:ascii="Times New Roman" w:hAnsi="Times New Roman" w:cs="Times New Roman"/>
          <w:sz w:val="24"/>
          <w:szCs w:val="24"/>
        </w:rPr>
      </w:pPr>
      <w:r w:rsidRPr="0055784D">
        <w:rPr>
          <w:rFonts w:ascii="Times New Roman" w:hAnsi="Times New Roman" w:cs="Times New Roman"/>
          <w:sz w:val="24"/>
          <w:szCs w:val="24"/>
        </w:rPr>
        <w:lastRenderedPageBreak/>
        <w:t>Soruşturma Konusu Ürün ve Benzer Ürün</w:t>
      </w:r>
      <w:bookmarkEnd w:id="18"/>
    </w:p>
    <w:p w14:paraId="310AF53C" w14:textId="266E1ADF" w:rsidR="009053B4" w:rsidRPr="0055784D" w:rsidRDefault="009148B5" w:rsidP="004B4889">
      <w:pPr>
        <w:pStyle w:val="Balk2"/>
        <w:numPr>
          <w:ilvl w:val="1"/>
          <w:numId w:val="2"/>
        </w:numPr>
        <w:spacing w:before="120" w:after="120"/>
        <w:ind w:left="426"/>
        <w:rPr>
          <w:szCs w:val="24"/>
        </w:rPr>
      </w:pPr>
      <w:bookmarkStart w:id="19" w:name="_Toc98149749"/>
      <w:r w:rsidRPr="0055784D">
        <w:rPr>
          <w:szCs w:val="24"/>
        </w:rPr>
        <w:t xml:space="preserve">Soruşturma </w:t>
      </w:r>
      <w:r w:rsidR="00071D4E" w:rsidRPr="0055784D">
        <w:rPr>
          <w:szCs w:val="24"/>
        </w:rPr>
        <w:t>K</w:t>
      </w:r>
      <w:r w:rsidR="009C6A07" w:rsidRPr="0055784D">
        <w:rPr>
          <w:szCs w:val="24"/>
        </w:rPr>
        <w:t xml:space="preserve">onusu </w:t>
      </w:r>
      <w:r w:rsidR="00071D4E" w:rsidRPr="0055784D">
        <w:rPr>
          <w:szCs w:val="24"/>
        </w:rPr>
        <w:t>Ü</w:t>
      </w:r>
      <w:r w:rsidR="009C6A07" w:rsidRPr="0055784D">
        <w:rPr>
          <w:szCs w:val="24"/>
        </w:rPr>
        <w:t xml:space="preserve">rün </w:t>
      </w:r>
      <w:r w:rsidR="002C4BD9" w:rsidRPr="0055784D">
        <w:rPr>
          <w:szCs w:val="24"/>
        </w:rPr>
        <w:t xml:space="preserve">ve </w:t>
      </w:r>
      <w:r w:rsidR="00071D4E" w:rsidRPr="0055784D">
        <w:rPr>
          <w:szCs w:val="24"/>
        </w:rPr>
        <w:t>B</w:t>
      </w:r>
      <w:r w:rsidR="002C4BD9" w:rsidRPr="0055784D">
        <w:rPr>
          <w:szCs w:val="24"/>
        </w:rPr>
        <w:t xml:space="preserve">enzer </w:t>
      </w:r>
      <w:r w:rsidR="00071D4E" w:rsidRPr="0055784D">
        <w:rPr>
          <w:szCs w:val="24"/>
        </w:rPr>
        <w:t>Ü</w:t>
      </w:r>
      <w:r w:rsidR="002C4BD9" w:rsidRPr="0055784D">
        <w:rPr>
          <w:szCs w:val="24"/>
        </w:rPr>
        <w:t>rün</w:t>
      </w:r>
      <w:bookmarkEnd w:id="19"/>
    </w:p>
    <w:p w14:paraId="0C2FD6B4" w14:textId="26EA3902" w:rsidR="00076B29" w:rsidRDefault="00076B29" w:rsidP="005A374F">
      <w:pPr>
        <w:pStyle w:val="ListeParagraf"/>
        <w:numPr>
          <w:ilvl w:val="0"/>
          <w:numId w:val="38"/>
        </w:numPr>
        <w:tabs>
          <w:tab w:val="left" w:pos="0"/>
        </w:tabs>
        <w:spacing w:after="120"/>
        <w:jc w:val="both"/>
      </w:pPr>
      <w:bookmarkStart w:id="20" w:name="_Toc519505558"/>
      <w:bookmarkStart w:id="21" w:name="_Toc98149750"/>
      <w:r>
        <w:t xml:space="preserve">Soruşturma konusu ürün, 7306.40.20.90.00 ve 7306.40.80.90.00 </w:t>
      </w:r>
      <w:proofErr w:type="spellStart"/>
      <w:r>
        <w:t>GTİP’leri</w:t>
      </w:r>
      <w:proofErr w:type="spellEnd"/>
      <w:r>
        <w:t xml:space="preserve"> altında yer alan “paslanmaz çelikten kesiti daire şeklinde olan soğuk çekilmiş veya soğuk haddelenmiş diğerleri ve paslanmaz çelikten kesiti daire şeklinde olan diğerleri (diğerleri)” ile 7306.61.10.00.00 </w:t>
      </w:r>
      <w:proofErr w:type="spellStart"/>
      <w:r>
        <w:t>GTİP’i</w:t>
      </w:r>
      <w:proofErr w:type="spellEnd"/>
      <w:r>
        <w:t xml:space="preserve"> altında yer alan “paslanmaz çelikten kesiti kare veya dikdörtgen şeklinde </w:t>
      </w:r>
      <w:proofErr w:type="spellStart"/>
      <w:r>
        <w:t>olanlar”dır</w:t>
      </w:r>
      <w:proofErr w:type="spellEnd"/>
      <w:r>
        <w:t>.</w:t>
      </w:r>
    </w:p>
    <w:p w14:paraId="66F4D79B" w14:textId="0299BECC" w:rsidR="00076B29" w:rsidRDefault="00076B29" w:rsidP="00076B29">
      <w:pPr>
        <w:tabs>
          <w:tab w:val="left" w:pos="0"/>
        </w:tabs>
        <w:spacing w:after="120"/>
        <w:jc w:val="both"/>
        <w:rPr>
          <w:lang w:eastAsia="en-US"/>
        </w:rPr>
      </w:pPr>
      <w:r>
        <w:rPr>
          <w:lang w:eastAsia="en-US"/>
        </w:rPr>
        <w:t>(2) Soruşturma konusu ürünün kimyasal bileşenleri krom, nikel ve demirden oluşmaktadır. Ürünün üretiminde kullanılan başlıca hammaddeler, paslanmaz çelik rulo ve bantlar ile dilinmiş şeritlerdir.</w:t>
      </w:r>
    </w:p>
    <w:p w14:paraId="58BF5117" w14:textId="5F394D02" w:rsidR="00076B29" w:rsidRDefault="00076B29" w:rsidP="00076B29">
      <w:pPr>
        <w:tabs>
          <w:tab w:val="left" w:pos="0"/>
        </w:tabs>
        <w:spacing w:after="120"/>
        <w:jc w:val="both"/>
        <w:rPr>
          <w:lang w:eastAsia="en-US"/>
        </w:rPr>
      </w:pPr>
      <w:r>
        <w:rPr>
          <w:lang w:eastAsia="en-US"/>
        </w:rPr>
        <w:t xml:space="preserve">(3) Ürünün uzunluğu 9 metreye kadar, dış çapları 10 mm'den 273 mm'ye kadar, iç çapları ise 6 mm'den 263 mm'ye kadar olup, et kalınlıkları 0.80 mm'den 8 mm'ye kadardır. </w:t>
      </w:r>
    </w:p>
    <w:p w14:paraId="3AA9DE0A" w14:textId="344C28B6" w:rsidR="00076B29" w:rsidRDefault="00076B29" w:rsidP="00076B29">
      <w:pPr>
        <w:tabs>
          <w:tab w:val="left" w:pos="0"/>
        </w:tabs>
        <w:spacing w:after="120"/>
        <w:jc w:val="both"/>
        <w:rPr>
          <w:lang w:eastAsia="en-US"/>
        </w:rPr>
      </w:pPr>
      <w:r>
        <w:rPr>
          <w:lang w:eastAsia="en-US"/>
        </w:rPr>
        <w:t>(4) Soruşturma konusu ürün EN 10296, EN 10217-7, ASTMA 554, ASTMA 778, ASTM A 3122, ASTM A 249, ASTM A 270, EN 10312, EN 10357, DIN 11850, DIN 11866, ASTM A 803, ASTM A 688 üretim standartlarına tabidir.</w:t>
      </w:r>
    </w:p>
    <w:p w14:paraId="2971E669" w14:textId="68C29692" w:rsidR="00076B29" w:rsidRDefault="00076B29" w:rsidP="00076B29">
      <w:pPr>
        <w:tabs>
          <w:tab w:val="left" w:pos="0"/>
        </w:tabs>
        <w:spacing w:after="120"/>
        <w:jc w:val="both"/>
        <w:rPr>
          <w:lang w:eastAsia="en-US"/>
        </w:rPr>
      </w:pPr>
      <w:r>
        <w:rPr>
          <w:lang w:eastAsia="en-US"/>
        </w:rPr>
        <w:t>(5) Paslanmaz çelikten borular; binalar, köprüler ve parklarda bulunan korkuluk ve küpeşteler, asansörler, duraklar, otomotiv sanayi, gıda sanayi, kimya sanayi, makine imalat sanayi, bina içi araç ve gereçler, yangın söndürme sistemleri, evsel atık ve su arıtma sistemleri, endüstriyel atık su arıtma sistemleri ve özel durumlarda boru hatları, termik santraller, yenilenebilir enerji sistemleri, sağlık endüstrisi ve endüstriyel mutfak sanayisinde kullanılmaktadır.</w:t>
      </w:r>
    </w:p>
    <w:p w14:paraId="41112760" w14:textId="3D11BA5D" w:rsidR="00156F01" w:rsidRPr="00156F01" w:rsidRDefault="00076B29" w:rsidP="00076B29">
      <w:pPr>
        <w:tabs>
          <w:tab w:val="left" w:pos="0"/>
        </w:tabs>
        <w:spacing w:after="120"/>
        <w:jc w:val="both"/>
        <w:rPr>
          <w:lang w:eastAsia="en-US"/>
        </w:rPr>
      </w:pPr>
      <w:r>
        <w:rPr>
          <w:lang w:eastAsia="en-US"/>
        </w:rPr>
        <w:t xml:space="preserve">(6) 2013/4 sayılı Tebliğ ile sonuçlandırılan soruşturmada yerli üreticiler tarafından üretilen ürünler ile önleme konu ülke menşeli ürünler arasında fiziksel özellikler, ürün çeşitliliği ve kullanım alanları olarak “benzer ürün” tanımı açısından ayrım yaratan herhangi bir farklılık bulunmadığı tespit edilmiştir. Bu defa da ilgili başvuru kapsamında yapılan değerlendirmede, Yönetmeliğin </w:t>
      </w:r>
      <w:proofErr w:type="gramStart"/>
      <w:r>
        <w:rPr>
          <w:lang w:eastAsia="en-US"/>
        </w:rPr>
        <w:t>4</w:t>
      </w:r>
      <w:r w:rsidR="00990AF2">
        <w:rPr>
          <w:lang w:eastAsia="en-US"/>
        </w:rPr>
        <w:t xml:space="preserve"> </w:t>
      </w:r>
      <w:r>
        <w:rPr>
          <w:lang w:eastAsia="en-US"/>
        </w:rPr>
        <w:t>üncü</w:t>
      </w:r>
      <w:proofErr w:type="gramEnd"/>
      <w:r>
        <w:rPr>
          <w:lang w:eastAsia="en-US"/>
        </w:rPr>
        <w:t xml:space="preserve"> maddesi çerçevesinde benzer ürüne yönelik tespiti değiştirecek herhangi bir bulguya rastlanılmamıştır</w:t>
      </w:r>
      <w:r w:rsidR="00156F01" w:rsidRPr="00156F01">
        <w:rPr>
          <w:lang w:eastAsia="en-US"/>
        </w:rPr>
        <w:t>.</w:t>
      </w:r>
    </w:p>
    <w:p w14:paraId="4A205A60" w14:textId="77777777" w:rsidR="00156F01" w:rsidRPr="00156F01" w:rsidRDefault="00156F01" w:rsidP="005A374F">
      <w:pPr>
        <w:numPr>
          <w:ilvl w:val="0"/>
          <w:numId w:val="14"/>
        </w:numPr>
        <w:spacing w:before="120" w:after="120"/>
        <w:jc w:val="both"/>
        <w:rPr>
          <w:lang w:eastAsia="en-US"/>
        </w:rPr>
      </w:pPr>
      <w:r w:rsidRPr="00156F01">
        <w:rPr>
          <w:lang w:eastAsia="en-US"/>
        </w:rPr>
        <w:t>Soruşturma konusu ürün ve benzer ürün ile ilgili açıklamalar bağlayıcı nitelikte olmayıp genel içerikli ve bilgi amaçlıdır.</w:t>
      </w:r>
    </w:p>
    <w:p w14:paraId="5CA0E5E0" w14:textId="0C19FD60" w:rsidR="00AC28C6" w:rsidRPr="0055784D" w:rsidRDefault="00AC28C6" w:rsidP="001161E3">
      <w:pPr>
        <w:pStyle w:val="Balk2"/>
        <w:spacing w:before="120" w:after="120"/>
        <w:jc w:val="both"/>
        <w:rPr>
          <w:b w:val="0"/>
          <w:vanish/>
        </w:rPr>
      </w:pPr>
    </w:p>
    <w:p w14:paraId="78150457" w14:textId="37585956" w:rsidR="000227B6" w:rsidRDefault="0040442A" w:rsidP="001161E3">
      <w:pPr>
        <w:pStyle w:val="Balk2"/>
        <w:spacing w:before="120" w:after="120"/>
        <w:rPr>
          <w:szCs w:val="24"/>
        </w:rPr>
      </w:pPr>
      <w:bookmarkStart w:id="22" w:name="_Toc98149751"/>
      <w:bookmarkEnd w:id="20"/>
      <w:bookmarkEnd w:id="21"/>
      <w:r w:rsidRPr="0055784D">
        <w:rPr>
          <w:szCs w:val="24"/>
        </w:rPr>
        <w:t xml:space="preserve">2.2. </w:t>
      </w:r>
      <w:bookmarkStart w:id="23" w:name="_Toc101881955"/>
      <w:bookmarkStart w:id="24" w:name="_Toc157613432"/>
      <w:r w:rsidR="000227B6" w:rsidRPr="0055784D">
        <w:rPr>
          <w:szCs w:val="24"/>
        </w:rPr>
        <w:t xml:space="preserve">Ürünün </w:t>
      </w:r>
      <w:r w:rsidR="004B4612" w:rsidRPr="0055784D">
        <w:rPr>
          <w:szCs w:val="24"/>
        </w:rPr>
        <w:t>ithalinde uygulanan vergi oranları ve diğer yükümlülükler</w:t>
      </w:r>
      <w:bookmarkEnd w:id="23"/>
      <w:bookmarkEnd w:id="24"/>
    </w:p>
    <w:p w14:paraId="48E239EA" w14:textId="5D8DA366" w:rsidR="009A7A5B" w:rsidRDefault="00862F51" w:rsidP="009A7A5B">
      <w:pPr>
        <w:pStyle w:val="Default"/>
        <w:spacing w:before="120" w:after="120"/>
        <w:jc w:val="both"/>
        <w:rPr>
          <w:noProof/>
        </w:rPr>
      </w:pPr>
      <w:r w:rsidRPr="00AE3CE9">
        <w:rPr>
          <w:color w:val="0D0D0D"/>
        </w:rPr>
        <w:t xml:space="preserve">(1) </w:t>
      </w:r>
      <w:r w:rsidR="009A7A5B">
        <w:rPr>
          <w:noProof/>
        </w:rPr>
        <w:t>Mer’i İthalat Rejimi Kararı çerçevesinde, soruşturma konusu “paslanmaz çelikten borular” ürününün ithalatında uygulanan gümrük vergisi oranları aşağıdaki tabloda sunulmuştur.</w:t>
      </w:r>
    </w:p>
    <w:p w14:paraId="5884C215" w14:textId="29D4A368" w:rsidR="00F70918" w:rsidRDefault="009A7A5B" w:rsidP="009A7A5B">
      <w:pPr>
        <w:pStyle w:val="Default"/>
        <w:spacing w:before="120" w:after="120"/>
        <w:jc w:val="both"/>
        <w:rPr>
          <w:color w:val="0D0D0D"/>
        </w:rPr>
      </w:pPr>
      <w:r>
        <w:rPr>
          <w:noProof/>
        </w:rPr>
        <w:t xml:space="preserve">(2) Buna göre, soruşturma konusu ürünün, </w:t>
      </w:r>
      <w:bookmarkStart w:id="25" w:name="_Hlk200467842"/>
      <w:r>
        <w:rPr>
          <w:noProof/>
        </w:rPr>
        <w:t xml:space="preserve">ÇHC ve Çin Tayvanı menşeli </w:t>
      </w:r>
      <w:bookmarkEnd w:id="25"/>
      <w:r>
        <w:rPr>
          <w:noProof/>
        </w:rPr>
        <w:t>olanlarına %0 oranında gümrük vergisi uygulanmaktadır.</w:t>
      </w:r>
      <w:r w:rsidR="00156F01" w:rsidRPr="00156F01">
        <w:rPr>
          <w:noProof/>
        </w:rPr>
        <w:t>.</w:t>
      </w:r>
    </w:p>
    <w:p w14:paraId="271EBCB3" w14:textId="45321F00" w:rsidR="00586F4D" w:rsidRPr="00586F4D" w:rsidRDefault="00586F4D" w:rsidP="001161E3">
      <w:pPr>
        <w:pStyle w:val="Default"/>
        <w:spacing w:before="120" w:after="120"/>
        <w:jc w:val="both"/>
        <w:rPr>
          <w:b/>
          <w:bCs/>
          <w:color w:val="0D0D0D"/>
        </w:rPr>
      </w:pPr>
      <w:r>
        <w:rPr>
          <w:b/>
          <w:bCs/>
          <w:color w:val="0D0D0D"/>
        </w:rPr>
        <w:t>Tablo 1: Gümrük Vergisi Oranları</w:t>
      </w:r>
    </w:p>
    <w:tbl>
      <w:tblPr>
        <w:tblW w:w="9086" w:type="dxa"/>
        <w:tblCellMar>
          <w:left w:w="70" w:type="dxa"/>
          <w:right w:w="70" w:type="dxa"/>
        </w:tblCellMar>
        <w:tblLook w:val="04A0" w:firstRow="1" w:lastRow="0" w:firstColumn="1" w:lastColumn="0" w:noHBand="0" w:noVBand="1"/>
      </w:tblPr>
      <w:tblGrid>
        <w:gridCol w:w="1941"/>
        <w:gridCol w:w="2869"/>
        <w:gridCol w:w="550"/>
        <w:gridCol w:w="550"/>
        <w:gridCol w:w="550"/>
        <w:gridCol w:w="692"/>
        <w:gridCol w:w="692"/>
        <w:gridCol w:w="692"/>
        <w:gridCol w:w="550"/>
      </w:tblGrid>
      <w:tr w:rsidR="009A7A5B" w:rsidRPr="009A7A5B" w14:paraId="4865B0D8" w14:textId="77777777" w:rsidTr="00FB54D8">
        <w:trPr>
          <w:trHeight w:val="263"/>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103C40" w14:textId="77777777" w:rsidR="009A7A5B" w:rsidRPr="009A7A5B" w:rsidRDefault="009A7A5B" w:rsidP="009A7A5B">
            <w:pPr>
              <w:jc w:val="center"/>
              <w:rPr>
                <w:b/>
                <w:bCs/>
                <w:color w:val="000000"/>
                <w:sz w:val="18"/>
                <w:szCs w:val="18"/>
              </w:rPr>
            </w:pPr>
            <w:r w:rsidRPr="009A7A5B">
              <w:rPr>
                <w:b/>
                <w:bCs/>
                <w:color w:val="000000"/>
                <w:sz w:val="18"/>
                <w:szCs w:val="18"/>
              </w:rPr>
              <w:t>GTİP</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E46387" w14:textId="77777777" w:rsidR="009A7A5B" w:rsidRPr="009A7A5B" w:rsidRDefault="009A7A5B" w:rsidP="009A7A5B">
            <w:pPr>
              <w:jc w:val="center"/>
              <w:rPr>
                <w:b/>
                <w:bCs/>
                <w:color w:val="000000"/>
                <w:sz w:val="18"/>
                <w:szCs w:val="18"/>
              </w:rPr>
            </w:pPr>
            <w:r w:rsidRPr="009A7A5B">
              <w:rPr>
                <w:b/>
                <w:bCs/>
                <w:color w:val="000000"/>
                <w:sz w:val="18"/>
                <w:szCs w:val="18"/>
              </w:rPr>
              <w:t>Eşya Tanımı</w:t>
            </w:r>
          </w:p>
        </w:tc>
        <w:tc>
          <w:tcPr>
            <w:tcW w:w="0" w:type="auto"/>
            <w:gridSpan w:val="7"/>
            <w:tcBorders>
              <w:top w:val="single" w:sz="4" w:space="0" w:color="auto"/>
              <w:left w:val="nil"/>
              <w:bottom w:val="single" w:sz="4" w:space="0" w:color="auto"/>
              <w:right w:val="single" w:sz="4" w:space="0" w:color="auto"/>
            </w:tcBorders>
            <w:shd w:val="clear" w:color="auto" w:fill="auto"/>
            <w:vAlign w:val="center"/>
            <w:hideMark/>
          </w:tcPr>
          <w:p w14:paraId="40CB0AAF" w14:textId="77777777" w:rsidR="009A7A5B" w:rsidRPr="009A7A5B" w:rsidRDefault="009A7A5B" w:rsidP="009A7A5B">
            <w:pPr>
              <w:jc w:val="center"/>
              <w:rPr>
                <w:b/>
                <w:bCs/>
                <w:color w:val="000000"/>
                <w:sz w:val="18"/>
                <w:szCs w:val="18"/>
              </w:rPr>
            </w:pPr>
            <w:r w:rsidRPr="009A7A5B">
              <w:rPr>
                <w:b/>
                <w:bCs/>
                <w:color w:val="000000"/>
                <w:sz w:val="18"/>
                <w:szCs w:val="18"/>
              </w:rPr>
              <w:t>GÜMRÜK VERGİSİ ORANI (%)</w:t>
            </w:r>
          </w:p>
        </w:tc>
      </w:tr>
      <w:tr w:rsidR="009A7A5B" w:rsidRPr="009A7A5B" w14:paraId="6004B1BF" w14:textId="77777777" w:rsidTr="00FB54D8">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3E1D13" w14:textId="77777777" w:rsidR="009A7A5B" w:rsidRPr="009A7A5B" w:rsidRDefault="009A7A5B" w:rsidP="009A7A5B">
            <w:pPr>
              <w:rPr>
                <w:b/>
                <w:bCs/>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EE03C5" w14:textId="77777777" w:rsidR="009A7A5B" w:rsidRPr="009A7A5B" w:rsidRDefault="009A7A5B" w:rsidP="009A7A5B">
            <w:pPr>
              <w:rPr>
                <w:b/>
                <w:bCs/>
                <w:color w:val="000000"/>
                <w:sz w:val="18"/>
                <w:szCs w:val="18"/>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B137A4D" w14:textId="77777777" w:rsidR="009A7A5B" w:rsidRPr="009A7A5B" w:rsidRDefault="009A7A5B" w:rsidP="009A7A5B">
            <w:pPr>
              <w:jc w:val="center"/>
              <w:rPr>
                <w:b/>
                <w:bCs/>
                <w:color w:val="000000"/>
                <w:sz w:val="18"/>
                <w:szCs w:val="18"/>
              </w:rPr>
            </w:pPr>
            <w:r w:rsidRPr="009A7A5B">
              <w:rPr>
                <w:b/>
                <w:bCs/>
                <w:color w:val="000000"/>
                <w:sz w:val="18"/>
                <w:szCs w:val="18"/>
              </w:rPr>
              <w:t>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547CD1D" w14:textId="77777777" w:rsidR="009A7A5B" w:rsidRPr="009A7A5B" w:rsidRDefault="009A7A5B" w:rsidP="009A7A5B">
            <w:pPr>
              <w:jc w:val="center"/>
              <w:rPr>
                <w:b/>
                <w:bCs/>
                <w:color w:val="000000"/>
                <w:sz w:val="18"/>
                <w:szCs w:val="18"/>
              </w:rPr>
            </w:pPr>
            <w:r w:rsidRPr="009A7A5B">
              <w:rPr>
                <w:b/>
                <w:bCs/>
                <w:color w:val="000000"/>
                <w:sz w:val="18"/>
                <w:szCs w:val="18"/>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E94B62B" w14:textId="77777777" w:rsidR="009A7A5B" w:rsidRPr="009A7A5B" w:rsidRDefault="009A7A5B" w:rsidP="009A7A5B">
            <w:pPr>
              <w:jc w:val="center"/>
              <w:rPr>
                <w:b/>
                <w:bCs/>
                <w:color w:val="000000"/>
                <w:sz w:val="18"/>
                <w:szCs w:val="18"/>
              </w:rPr>
            </w:pPr>
            <w:r w:rsidRPr="009A7A5B">
              <w:rPr>
                <w:b/>
                <w:bCs/>
                <w:color w:val="000000"/>
                <w:sz w:val="18"/>
                <w:szCs w:val="18"/>
              </w:rPr>
              <w:t>3</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7A1D40EC" w14:textId="77777777" w:rsidR="009A7A5B" w:rsidRPr="009A7A5B" w:rsidRDefault="009A7A5B" w:rsidP="009A7A5B">
            <w:pPr>
              <w:jc w:val="center"/>
              <w:rPr>
                <w:b/>
                <w:bCs/>
                <w:color w:val="000000"/>
                <w:sz w:val="18"/>
                <w:szCs w:val="18"/>
              </w:rPr>
            </w:pPr>
            <w:r w:rsidRPr="009A7A5B">
              <w:rPr>
                <w:b/>
                <w:bCs/>
                <w:color w:val="000000"/>
                <w:sz w:val="18"/>
                <w:szCs w:val="18"/>
              </w:rPr>
              <w:t>GTS ÜLKELERİ</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F508B81" w14:textId="77777777" w:rsidR="009A7A5B" w:rsidRPr="009A7A5B" w:rsidRDefault="009A7A5B" w:rsidP="009A7A5B">
            <w:pPr>
              <w:jc w:val="center"/>
              <w:rPr>
                <w:b/>
                <w:bCs/>
                <w:color w:val="000000"/>
                <w:sz w:val="18"/>
                <w:szCs w:val="18"/>
              </w:rPr>
            </w:pPr>
            <w:r w:rsidRPr="009A7A5B">
              <w:rPr>
                <w:b/>
                <w:bCs/>
                <w:color w:val="000000"/>
                <w:sz w:val="18"/>
                <w:szCs w:val="18"/>
              </w:rPr>
              <w:t>7</w:t>
            </w:r>
          </w:p>
        </w:tc>
      </w:tr>
      <w:tr w:rsidR="009A7A5B" w:rsidRPr="009A7A5B" w14:paraId="1FB1FFC8" w14:textId="77777777" w:rsidTr="00FB54D8">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23DD15" w14:textId="77777777" w:rsidR="009A7A5B" w:rsidRPr="009A7A5B" w:rsidRDefault="009A7A5B" w:rsidP="009A7A5B">
            <w:pPr>
              <w:rPr>
                <w:b/>
                <w:bCs/>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E5294D" w14:textId="77777777" w:rsidR="009A7A5B" w:rsidRPr="009A7A5B" w:rsidRDefault="009A7A5B" w:rsidP="009A7A5B">
            <w:pPr>
              <w:rPr>
                <w:b/>
                <w:bCs/>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2B6E2B11" w14:textId="77777777" w:rsidR="009A7A5B" w:rsidRPr="009A7A5B" w:rsidRDefault="009A7A5B" w:rsidP="009A7A5B">
            <w:pPr>
              <w:rPr>
                <w:b/>
                <w:bCs/>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3C76F894" w14:textId="77777777" w:rsidR="009A7A5B" w:rsidRPr="009A7A5B" w:rsidRDefault="009A7A5B" w:rsidP="009A7A5B">
            <w:pPr>
              <w:rPr>
                <w:b/>
                <w:bCs/>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3B2B1198" w14:textId="77777777" w:rsidR="009A7A5B" w:rsidRPr="009A7A5B" w:rsidRDefault="009A7A5B" w:rsidP="009A7A5B">
            <w:pPr>
              <w:rPr>
                <w:b/>
                <w:bCs/>
                <w:color w:val="00000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7E4EC729" w14:textId="77777777" w:rsidR="009A7A5B" w:rsidRPr="009A7A5B" w:rsidRDefault="009A7A5B" w:rsidP="009A7A5B">
            <w:pPr>
              <w:jc w:val="center"/>
              <w:rPr>
                <w:b/>
                <w:bCs/>
                <w:color w:val="000000"/>
                <w:sz w:val="18"/>
                <w:szCs w:val="18"/>
              </w:rPr>
            </w:pPr>
            <w:r w:rsidRPr="009A7A5B">
              <w:rPr>
                <w:b/>
                <w:bCs/>
                <w:color w:val="000000"/>
                <w:sz w:val="18"/>
                <w:szCs w:val="18"/>
              </w:rPr>
              <w:t>4</w:t>
            </w:r>
          </w:p>
        </w:tc>
        <w:tc>
          <w:tcPr>
            <w:tcW w:w="0" w:type="auto"/>
            <w:tcBorders>
              <w:top w:val="nil"/>
              <w:left w:val="nil"/>
              <w:bottom w:val="single" w:sz="4" w:space="0" w:color="auto"/>
              <w:right w:val="single" w:sz="4" w:space="0" w:color="auto"/>
            </w:tcBorders>
            <w:shd w:val="clear" w:color="auto" w:fill="auto"/>
            <w:vAlign w:val="center"/>
            <w:hideMark/>
          </w:tcPr>
          <w:p w14:paraId="2F3B7305" w14:textId="77777777" w:rsidR="009A7A5B" w:rsidRPr="009A7A5B" w:rsidRDefault="009A7A5B" w:rsidP="009A7A5B">
            <w:pPr>
              <w:jc w:val="center"/>
              <w:rPr>
                <w:b/>
                <w:bCs/>
                <w:color w:val="000000"/>
                <w:sz w:val="18"/>
                <w:szCs w:val="18"/>
              </w:rPr>
            </w:pPr>
            <w:r w:rsidRPr="009A7A5B">
              <w:rPr>
                <w:b/>
                <w:bCs/>
                <w:color w:val="00000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14:paraId="16B85BDD" w14:textId="77777777" w:rsidR="009A7A5B" w:rsidRPr="009A7A5B" w:rsidRDefault="009A7A5B" w:rsidP="009A7A5B">
            <w:pPr>
              <w:jc w:val="center"/>
              <w:rPr>
                <w:b/>
                <w:bCs/>
                <w:color w:val="000000"/>
                <w:sz w:val="18"/>
                <w:szCs w:val="18"/>
              </w:rPr>
            </w:pPr>
            <w:r w:rsidRPr="009A7A5B">
              <w:rPr>
                <w:b/>
                <w:bCs/>
                <w:color w:val="000000"/>
                <w:sz w:val="18"/>
                <w:szCs w:val="18"/>
              </w:rPr>
              <w:t>6</w:t>
            </w:r>
          </w:p>
        </w:tc>
        <w:tc>
          <w:tcPr>
            <w:tcW w:w="0" w:type="auto"/>
            <w:vMerge/>
            <w:tcBorders>
              <w:top w:val="nil"/>
              <w:left w:val="single" w:sz="4" w:space="0" w:color="auto"/>
              <w:bottom w:val="single" w:sz="4" w:space="0" w:color="auto"/>
              <w:right w:val="single" w:sz="4" w:space="0" w:color="auto"/>
            </w:tcBorders>
            <w:vAlign w:val="center"/>
            <w:hideMark/>
          </w:tcPr>
          <w:p w14:paraId="39A8E6FB" w14:textId="77777777" w:rsidR="009A7A5B" w:rsidRPr="009A7A5B" w:rsidRDefault="009A7A5B" w:rsidP="009A7A5B">
            <w:pPr>
              <w:rPr>
                <w:b/>
                <w:bCs/>
                <w:color w:val="000000"/>
                <w:sz w:val="18"/>
                <w:szCs w:val="18"/>
              </w:rPr>
            </w:pPr>
          </w:p>
        </w:tc>
      </w:tr>
      <w:tr w:rsidR="009A7A5B" w:rsidRPr="009A7A5B" w14:paraId="64F1B5DE" w14:textId="77777777" w:rsidTr="00FB54D8">
        <w:trPr>
          <w:trHeight w:val="26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AAE51E8" w14:textId="77777777" w:rsidR="009A7A5B" w:rsidRPr="009A7A5B" w:rsidRDefault="009A7A5B" w:rsidP="009A7A5B">
            <w:pPr>
              <w:jc w:val="center"/>
              <w:rPr>
                <w:color w:val="000000"/>
                <w:sz w:val="18"/>
                <w:szCs w:val="18"/>
              </w:rPr>
            </w:pPr>
            <w:r w:rsidRPr="009A7A5B">
              <w:rPr>
                <w:color w:val="000000"/>
                <w:sz w:val="18"/>
                <w:szCs w:val="18"/>
              </w:rPr>
              <w:t>7306.40.80.90.00</w:t>
            </w:r>
          </w:p>
        </w:tc>
        <w:tc>
          <w:tcPr>
            <w:tcW w:w="0" w:type="auto"/>
            <w:tcBorders>
              <w:top w:val="nil"/>
              <w:left w:val="nil"/>
              <w:bottom w:val="single" w:sz="4" w:space="0" w:color="auto"/>
              <w:right w:val="single" w:sz="4" w:space="0" w:color="auto"/>
            </w:tcBorders>
            <w:shd w:val="clear" w:color="auto" w:fill="auto"/>
            <w:vAlign w:val="center"/>
            <w:hideMark/>
          </w:tcPr>
          <w:p w14:paraId="5C88F83D" w14:textId="77777777" w:rsidR="009A7A5B" w:rsidRPr="009A7A5B" w:rsidRDefault="009A7A5B" w:rsidP="009A7A5B">
            <w:pPr>
              <w:jc w:val="center"/>
              <w:rPr>
                <w:color w:val="000033"/>
                <w:sz w:val="18"/>
                <w:szCs w:val="18"/>
              </w:rPr>
            </w:pPr>
            <w:r w:rsidRPr="009A7A5B">
              <w:rPr>
                <w:color w:val="000033"/>
                <w:sz w:val="18"/>
                <w:szCs w:val="18"/>
              </w:rPr>
              <w:t>Diğerleri</w:t>
            </w:r>
          </w:p>
        </w:tc>
        <w:tc>
          <w:tcPr>
            <w:tcW w:w="0" w:type="auto"/>
            <w:tcBorders>
              <w:top w:val="nil"/>
              <w:left w:val="nil"/>
              <w:bottom w:val="single" w:sz="4" w:space="0" w:color="auto"/>
              <w:right w:val="single" w:sz="4" w:space="0" w:color="auto"/>
            </w:tcBorders>
            <w:shd w:val="clear" w:color="auto" w:fill="auto"/>
            <w:vAlign w:val="center"/>
            <w:hideMark/>
          </w:tcPr>
          <w:p w14:paraId="0DA81687" w14:textId="77777777" w:rsidR="009A7A5B" w:rsidRPr="009A7A5B" w:rsidRDefault="009A7A5B" w:rsidP="009A7A5B">
            <w:pPr>
              <w:jc w:val="center"/>
              <w:rPr>
                <w:color w:val="000000"/>
                <w:sz w:val="18"/>
                <w:szCs w:val="18"/>
              </w:rPr>
            </w:pPr>
            <w:r w:rsidRPr="009A7A5B">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0474EEC5" w14:textId="77777777" w:rsidR="009A7A5B" w:rsidRPr="009A7A5B" w:rsidRDefault="009A7A5B" w:rsidP="009A7A5B">
            <w:pPr>
              <w:jc w:val="center"/>
              <w:rPr>
                <w:color w:val="000000"/>
                <w:sz w:val="18"/>
                <w:szCs w:val="18"/>
              </w:rPr>
            </w:pPr>
            <w:r w:rsidRPr="009A7A5B">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14F8B81D" w14:textId="77777777" w:rsidR="009A7A5B" w:rsidRPr="009A7A5B" w:rsidRDefault="009A7A5B" w:rsidP="009A7A5B">
            <w:pPr>
              <w:jc w:val="center"/>
              <w:rPr>
                <w:color w:val="000000"/>
                <w:sz w:val="18"/>
                <w:szCs w:val="18"/>
              </w:rPr>
            </w:pPr>
            <w:r w:rsidRPr="009A7A5B">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24BBDB06" w14:textId="77777777" w:rsidR="009A7A5B" w:rsidRPr="009A7A5B" w:rsidRDefault="009A7A5B" w:rsidP="009A7A5B">
            <w:pPr>
              <w:jc w:val="center"/>
              <w:rPr>
                <w:color w:val="000000"/>
                <w:sz w:val="18"/>
                <w:szCs w:val="18"/>
              </w:rPr>
            </w:pPr>
            <w:r w:rsidRPr="009A7A5B">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55CE2848" w14:textId="77777777" w:rsidR="009A7A5B" w:rsidRPr="009A7A5B" w:rsidRDefault="009A7A5B" w:rsidP="009A7A5B">
            <w:pPr>
              <w:jc w:val="center"/>
              <w:rPr>
                <w:color w:val="000000"/>
                <w:sz w:val="18"/>
                <w:szCs w:val="18"/>
              </w:rPr>
            </w:pPr>
            <w:r w:rsidRPr="009A7A5B">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60EC2759" w14:textId="77777777" w:rsidR="009A7A5B" w:rsidRPr="009A7A5B" w:rsidRDefault="009A7A5B" w:rsidP="009A7A5B">
            <w:pPr>
              <w:jc w:val="center"/>
              <w:rPr>
                <w:color w:val="000000"/>
                <w:sz w:val="18"/>
                <w:szCs w:val="18"/>
              </w:rPr>
            </w:pPr>
            <w:r w:rsidRPr="009A7A5B">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5EAE6F53" w14:textId="77777777" w:rsidR="009A7A5B" w:rsidRPr="009A7A5B" w:rsidRDefault="009A7A5B" w:rsidP="009A7A5B">
            <w:pPr>
              <w:jc w:val="center"/>
              <w:rPr>
                <w:color w:val="000000"/>
                <w:sz w:val="18"/>
                <w:szCs w:val="18"/>
              </w:rPr>
            </w:pPr>
            <w:r w:rsidRPr="009A7A5B">
              <w:rPr>
                <w:color w:val="000000"/>
                <w:sz w:val="18"/>
                <w:szCs w:val="18"/>
              </w:rPr>
              <w:t>0</w:t>
            </w:r>
          </w:p>
        </w:tc>
      </w:tr>
      <w:tr w:rsidR="009A7A5B" w:rsidRPr="009A7A5B" w14:paraId="3B29370E" w14:textId="77777777" w:rsidTr="00FB54D8">
        <w:trPr>
          <w:trHeight w:val="26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7DAE303" w14:textId="77777777" w:rsidR="009A7A5B" w:rsidRPr="009A7A5B" w:rsidRDefault="009A7A5B" w:rsidP="009A7A5B">
            <w:pPr>
              <w:jc w:val="center"/>
              <w:rPr>
                <w:color w:val="000000"/>
                <w:sz w:val="18"/>
                <w:szCs w:val="18"/>
              </w:rPr>
            </w:pPr>
            <w:r w:rsidRPr="009A7A5B">
              <w:rPr>
                <w:color w:val="000000"/>
                <w:sz w:val="18"/>
                <w:szCs w:val="18"/>
              </w:rPr>
              <w:t>7306.40.20.90.00</w:t>
            </w:r>
          </w:p>
        </w:tc>
        <w:tc>
          <w:tcPr>
            <w:tcW w:w="0" w:type="auto"/>
            <w:tcBorders>
              <w:top w:val="nil"/>
              <w:left w:val="nil"/>
              <w:bottom w:val="single" w:sz="4" w:space="0" w:color="auto"/>
              <w:right w:val="single" w:sz="4" w:space="0" w:color="auto"/>
            </w:tcBorders>
            <w:shd w:val="clear" w:color="auto" w:fill="auto"/>
            <w:vAlign w:val="center"/>
            <w:hideMark/>
          </w:tcPr>
          <w:p w14:paraId="1343AA02" w14:textId="77777777" w:rsidR="009A7A5B" w:rsidRPr="009A7A5B" w:rsidRDefault="009A7A5B" w:rsidP="009A7A5B">
            <w:pPr>
              <w:jc w:val="center"/>
              <w:rPr>
                <w:color w:val="000033"/>
                <w:sz w:val="18"/>
                <w:szCs w:val="18"/>
              </w:rPr>
            </w:pPr>
            <w:r w:rsidRPr="009A7A5B">
              <w:rPr>
                <w:color w:val="000033"/>
                <w:sz w:val="18"/>
                <w:szCs w:val="18"/>
              </w:rPr>
              <w:t>Diğerleri</w:t>
            </w:r>
          </w:p>
        </w:tc>
        <w:tc>
          <w:tcPr>
            <w:tcW w:w="0" w:type="auto"/>
            <w:tcBorders>
              <w:top w:val="nil"/>
              <w:left w:val="nil"/>
              <w:bottom w:val="single" w:sz="4" w:space="0" w:color="auto"/>
              <w:right w:val="single" w:sz="4" w:space="0" w:color="auto"/>
            </w:tcBorders>
            <w:shd w:val="clear" w:color="auto" w:fill="auto"/>
            <w:vAlign w:val="center"/>
            <w:hideMark/>
          </w:tcPr>
          <w:p w14:paraId="25DDBFE2" w14:textId="77777777" w:rsidR="009A7A5B" w:rsidRPr="009A7A5B" w:rsidRDefault="009A7A5B" w:rsidP="009A7A5B">
            <w:pPr>
              <w:jc w:val="center"/>
              <w:rPr>
                <w:color w:val="000000"/>
                <w:sz w:val="18"/>
                <w:szCs w:val="18"/>
              </w:rPr>
            </w:pPr>
            <w:r w:rsidRPr="009A7A5B">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4716FA92" w14:textId="77777777" w:rsidR="009A7A5B" w:rsidRPr="009A7A5B" w:rsidRDefault="009A7A5B" w:rsidP="009A7A5B">
            <w:pPr>
              <w:jc w:val="center"/>
              <w:rPr>
                <w:color w:val="000000"/>
                <w:sz w:val="18"/>
                <w:szCs w:val="18"/>
              </w:rPr>
            </w:pPr>
            <w:r w:rsidRPr="009A7A5B">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57979917" w14:textId="77777777" w:rsidR="009A7A5B" w:rsidRPr="009A7A5B" w:rsidRDefault="009A7A5B" w:rsidP="009A7A5B">
            <w:pPr>
              <w:jc w:val="center"/>
              <w:rPr>
                <w:color w:val="000000"/>
                <w:sz w:val="18"/>
                <w:szCs w:val="18"/>
              </w:rPr>
            </w:pPr>
            <w:r w:rsidRPr="009A7A5B">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6DD8F054" w14:textId="77777777" w:rsidR="009A7A5B" w:rsidRPr="009A7A5B" w:rsidRDefault="009A7A5B" w:rsidP="009A7A5B">
            <w:pPr>
              <w:jc w:val="center"/>
              <w:rPr>
                <w:color w:val="000000"/>
                <w:sz w:val="18"/>
                <w:szCs w:val="18"/>
              </w:rPr>
            </w:pPr>
            <w:r w:rsidRPr="009A7A5B">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3688B2B7" w14:textId="77777777" w:rsidR="009A7A5B" w:rsidRPr="009A7A5B" w:rsidRDefault="009A7A5B" w:rsidP="009A7A5B">
            <w:pPr>
              <w:jc w:val="center"/>
              <w:rPr>
                <w:color w:val="000000"/>
                <w:sz w:val="18"/>
                <w:szCs w:val="18"/>
              </w:rPr>
            </w:pPr>
            <w:r w:rsidRPr="009A7A5B">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353CD50C" w14:textId="77777777" w:rsidR="009A7A5B" w:rsidRPr="009A7A5B" w:rsidRDefault="009A7A5B" w:rsidP="009A7A5B">
            <w:pPr>
              <w:jc w:val="center"/>
              <w:rPr>
                <w:color w:val="000000"/>
                <w:sz w:val="18"/>
                <w:szCs w:val="18"/>
              </w:rPr>
            </w:pPr>
            <w:r w:rsidRPr="009A7A5B">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79C5FA88" w14:textId="77777777" w:rsidR="009A7A5B" w:rsidRPr="009A7A5B" w:rsidRDefault="009A7A5B" w:rsidP="009A7A5B">
            <w:pPr>
              <w:jc w:val="center"/>
              <w:rPr>
                <w:color w:val="000000"/>
                <w:sz w:val="18"/>
                <w:szCs w:val="18"/>
              </w:rPr>
            </w:pPr>
            <w:r w:rsidRPr="009A7A5B">
              <w:rPr>
                <w:color w:val="000000"/>
                <w:sz w:val="18"/>
                <w:szCs w:val="18"/>
              </w:rPr>
              <w:t>0</w:t>
            </w:r>
          </w:p>
        </w:tc>
      </w:tr>
      <w:tr w:rsidR="009A7A5B" w:rsidRPr="009A7A5B" w14:paraId="0282BE79" w14:textId="77777777" w:rsidTr="00FB54D8">
        <w:trPr>
          <w:trHeight w:val="26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731F378" w14:textId="77777777" w:rsidR="009A7A5B" w:rsidRPr="009A7A5B" w:rsidRDefault="009A7A5B" w:rsidP="009A7A5B">
            <w:pPr>
              <w:jc w:val="center"/>
              <w:rPr>
                <w:color w:val="000000"/>
                <w:sz w:val="18"/>
                <w:szCs w:val="18"/>
              </w:rPr>
            </w:pPr>
            <w:r w:rsidRPr="009A7A5B">
              <w:rPr>
                <w:color w:val="000000"/>
                <w:sz w:val="18"/>
                <w:szCs w:val="18"/>
              </w:rPr>
              <w:t>7306.61.10.00.00</w:t>
            </w:r>
          </w:p>
        </w:tc>
        <w:tc>
          <w:tcPr>
            <w:tcW w:w="0" w:type="auto"/>
            <w:tcBorders>
              <w:top w:val="nil"/>
              <w:left w:val="nil"/>
              <w:bottom w:val="single" w:sz="4" w:space="0" w:color="auto"/>
              <w:right w:val="single" w:sz="4" w:space="0" w:color="auto"/>
            </w:tcBorders>
            <w:shd w:val="clear" w:color="auto" w:fill="auto"/>
            <w:vAlign w:val="center"/>
            <w:hideMark/>
          </w:tcPr>
          <w:p w14:paraId="12562534" w14:textId="77777777" w:rsidR="009A7A5B" w:rsidRPr="009A7A5B" w:rsidRDefault="009A7A5B" w:rsidP="009A7A5B">
            <w:pPr>
              <w:jc w:val="center"/>
              <w:rPr>
                <w:color w:val="000033"/>
                <w:sz w:val="18"/>
                <w:szCs w:val="18"/>
              </w:rPr>
            </w:pPr>
            <w:r w:rsidRPr="009A7A5B">
              <w:rPr>
                <w:color w:val="000033"/>
                <w:sz w:val="18"/>
                <w:szCs w:val="18"/>
              </w:rPr>
              <w:t>Paslanmaz çelikten olanlar</w:t>
            </w:r>
          </w:p>
        </w:tc>
        <w:tc>
          <w:tcPr>
            <w:tcW w:w="0" w:type="auto"/>
            <w:tcBorders>
              <w:top w:val="nil"/>
              <w:left w:val="nil"/>
              <w:bottom w:val="single" w:sz="4" w:space="0" w:color="auto"/>
              <w:right w:val="single" w:sz="4" w:space="0" w:color="auto"/>
            </w:tcBorders>
            <w:shd w:val="clear" w:color="auto" w:fill="auto"/>
            <w:vAlign w:val="center"/>
            <w:hideMark/>
          </w:tcPr>
          <w:p w14:paraId="0DDDF0DE" w14:textId="77777777" w:rsidR="009A7A5B" w:rsidRPr="009A7A5B" w:rsidRDefault="009A7A5B" w:rsidP="009A7A5B">
            <w:pPr>
              <w:jc w:val="center"/>
              <w:rPr>
                <w:color w:val="000000"/>
                <w:sz w:val="18"/>
                <w:szCs w:val="18"/>
              </w:rPr>
            </w:pPr>
            <w:r w:rsidRPr="009A7A5B">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166E383D" w14:textId="77777777" w:rsidR="009A7A5B" w:rsidRPr="009A7A5B" w:rsidRDefault="009A7A5B" w:rsidP="009A7A5B">
            <w:pPr>
              <w:jc w:val="center"/>
              <w:rPr>
                <w:color w:val="000000"/>
                <w:sz w:val="18"/>
                <w:szCs w:val="18"/>
              </w:rPr>
            </w:pPr>
            <w:r w:rsidRPr="009A7A5B">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1D70297F" w14:textId="77777777" w:rsidR="009A7A5B" w:rsidRPr="009A7A5B" w:rsidRDefault="009A7A5B" w:rsidP="009A7A5B">
            <w:pPr>
              <w:jc w:val="center"/>
              <w:rPr>
                <w:color w:val="000000"/>
                <w:sz w:val="18"/>
                <w:szCs w:val="18"/>
              </w:rPr>
            </w:pPr>
            <w:r w:rsidRPr="009A7A5B">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72F49C7D" w14:textId="77777777" w:rsidR="009A7A5B" w:rsidRPr="009A7A5B" w:rsidRDefault="009A7A5B" w:rsidP="009A7A5B">
            <w:pPr>
              <w:jc w:val="center"/>
              <w:rPr>
                <w:color w:val="000000"/>
                <w:sz w:val="18"/>
                <w:szCs w:val="18"/>
              </w:rPr>
            </w:pPr>
            <w:r w:rsidRPr="009A7A5B">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2D245FD2" w14:textId="77777777" w:rsidR="009A7A5B" w:rsidRPr="009A7A5B" w:rsidRDefault="009A7A5B" w:rsidP="009A7A5B">
            <w:pPr>
              <w:jc w:val="center"/>
              <w:rPr>
                <w:color w:val="000000"/>
                <w:sz w:val="18"/>
                <w:szCs w:val="18"/>
              </w:rPr>
            </w:pPr>
            <w:r w:rsidRPr="009A7A5B">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677CD13B" w14:textId="77777777" w:rsidR="009A7A5B" w:rsidRPr="009A7A5B" w:rsidRDefault="009A7A5B" w:rsidP="009A7A5B">
            <w:pPr>
              <w:jc w:val="center"/>
              <w:rPr>
                <w:color w:val="000000"/>
                <w:sz w:val="18"/>
                <w:szCs w:val="18"/>
              </w:rPr>
            </w:pPr>
            <w:r w:rsidRPr="009A7A5B">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3A73AB63" w14:textId="77777777" w:rsidR="009A7A5B" w:rsidRPr="009A7A5B" w:rsidRDefault="009A7A5B" w:rsidP="009A7A5B">
            <w:pPr>
              <w:jc w:val="center"/>
              <w:rPr>
                <w:color w:val="000000"/>
                <w:sz w:val="18"/>
                <w:szCs w:val="18"/>
              </w:rPr>
            </w:pPr>
            <w:r w:rsidRPr="009A7A5B">
              <w:rPr>
                <w:color w:val="000000"/>
                <w:sz w:val="18"/>
                <w:szCs w:val="18"/>
              </w:rPr>
              <w:t>0</w:t>
            </w:r>
          </w:p>
        </w:tc>
      </w:tr>
    </w:tbl>
    <w:p w14:paraId="0F73760C" w14:textId="77777777" w:rsidR="00156F01" w:rsidRPr="00156F01" w:rsidRDefault="00156F01" w:rsidP="00156F01">
      <w:pPr>
        <w:spacing w:before="120" w:after="120"/>
        <w:jc w:val="both"/>
        <w:rPr>
          <w:sz w:val="18"/>
        </w:rPr>
      </w:pPr>
      <w:r w:rsidRPr="00156F01">
        <w:rPr>
          <w:b/>
          <w:sz w:val="18"/>
        </w:rPr>
        <w:t>Kaynak:</w:t>
      </w:r>
      <w:r w:rsidRPr="00156F01">
        <w:rPr>
          <w:sz w:val="18"/>
        </w:rPr>
        <w:t xml:space="preserve"> 2025 Yılı İthalat Rejimi Kararı</w:t>
      </w:r>
    </w:p>
    <w:p w14:paraId="39EC9C25" w14:textId="77777777" w:rsidR="009A7A5B" w:rsidRDefault="009A7A5B" w:rsidP="00156F01">
      <w:pPr>
        <w:spacing w:before="120" w:after="120"/>
        <w:jc w:val="both"/>
        <w:rPr>
          <w:sz w:val="18"/>
        </w:rPr>
      </w:pPr>
      <w:r w:rsidRPr="009A7A5B">
        <w:rPr>
          <w:sz w:val="18"/>
        </w:rPr>
        <w:t xml:space="preserve">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w:t>
      </w:r>
      <w:proofErr w:type="spellStart"/>
      <w:r w:rsidRPr="009A7A5B">
        <w:rPr>
          <w:sz w:val="18"/>
        </w:rPr>
        <w:t>Morityus</w:t>
      </w:r>
      <w:proofErr w:type="spellEnd"/>
      <w:r w:rsidRPr="009A7A5B">
        <w:rPr>
          <w:sz w:val="18"/>
        </w:rPr>
        <w:t xml:space="preserve">, Moldova, Sırbistan, Singapur Cumhuriyeti, Şili, Tunus. 2: </w:t>
      </w:r>
      <w:proofErr w:type="spellStart"/>
      <w:r w:rsidRPr="009A7A5B">
        <w:rPr>
          <w:sz w:val="18"/>
        </w:rPr>
        <w:t>Bolivarcı</w:t>
      </w:r>
      <w:proofErr w:type="spellEnd"/>
      <w:r w:rsidRPr="009A7A5B">
        <w:rPr>
          <w:sz w:val="18"/>
        </w:rPr>
        <w:t xml:space="preserve"> Venezuela Cumhuriyeti. 3: Birleşik Arap Emirlikleri. GTS ÜLKELERİ: Mer’i İthalat Rejimi Kararı Ek-1’de yer </w:t>
      </w:r>
      <w:r w:rsidRPr="009A7A5B">
        <w:rPr>
          <w:sz w:val="18"/>
        </w:rPr>
        <w:lastRenderedPageBreak/>
        <w:t>alan Genelleştirilmiş Tercihler Sisteminden Yararlanacak Ülkeler. 4: En Az Gelişmiş Ülkeler. 5: Özel Teşvik Düzenlemelerinden Yararlanacak Ülkeler. 6: Gelişme Yolundaki Ülkeler. 7: Diğer Ülkeler.</w:t>
      </w:r>
    </w:p>
    <w:p w14:paraId="03E0819B" w14:textId="6E8E3FF3" w:rsidR="006504AD" w:rsidRPr="006504AD" w:rsidRDefault="00156F01" w:rsidP="006504AD">
      <w:pPr>
        <w:spacing w:before="120" w:after="120"/>
        <w:jc w:val="both"/>
        <w:rPr>
          <w:color w:val="000000"/>
        </w:rPr>
      </w:pPr>
      <w:r w:rsidRPr="00156F01">
        <w:rPr>
          <w:color w:val="000000"/>
        </w:rPr>
        <w:t>(</w:t>
      </w:r>
      <w:r w:rsidR="006504AD">
        <w:rPr>
          <w:color w:val="000000"/>
        </w:rPr>
        <w:t>3</w:t>
      </w:r>
      <w:r w:rsidRPr="00156F01">
        <w:rPr>
          <w:color w:val="000000"/>
        </w:rPr>
        <w:t xml:space="preserve">) </w:t>
      </w:r>
      <w:r w:rsidR="006504AD" w:rsidRPr="006504AD">
        <w:rPr>
          <w:color w:val="000000"/>
        </w:rPr>
        <w:t xml:space="preserve">Soruşturma konusu ürün ithalatında, 31/12/2020 tarihli </w:t>
      </w:r>
      <w:r w:rsidR="00264454">
        <w:rPr>
          <w:color w:val="000000"/>
        </w:rPr>
        <w:t>ve 3351 s</w:t>
      </w:r>
      <w:r w:rsidR="006504AD" w:rsidRPr="006504AD">
        <w:rPr>
          <w:color w:val="000000"/>
        </w:rPr>
        <w:t xml:space="preserve">ayılı </w:t>
      </w:r>
      <w:r w:rsidR="00264454">
        <w:rPr>
          <w:color w:val="000000"/>
        </w:rPr>
        <w:t xml:space="preserve">Cumhurbaşkanı Kararı ile yürürlüğe konulan </w:t>
      </w:r>
      <w:r w:rsidR="006504AD" w:rsidRPr="006504AD">
        <w:rPr>
          <w:color w:val="000000"/>
        </w:rPr>
        <w:t xml:space="preserve">İthalatta İlave Gümrük Vergisi Uygulanmasına İlişkin Karar çerçevesinde, 1/1/2021-31/12/2023 tarihleri arasında %5 oranında, 31/12/2023 tarihli </w:t>
      </w:r>
      <w:r w:rsidR="00264454">
        <w:rPr>
          <w:color w:val="000000"/>
        </w:rPr>
        <w:t>ve 8044 s</w:t>
      </w:r>
      <w:r w:rsidR="006504AD" w:rsidRPr="006504AD">
        <w:rPr>
          <w:color w:val="000000"/>
        </w:rPr>
        <w:t xml:space="preserve">ayılı </w:t>
      </w:r>
      <w:r w:rsidR="00264454">
        <w:rPr>
          <w:color w:val="000000"/>
        </w:rPr>
        <w:t>Cumhurbaşkanı Kararı ile yürürlüğe konulan</w:t>
      </w:r>
      <w:r w:rsidR="00264454" w:rsidRPr="006504AD">
        <w:rPr>
          <w:color w:val="000000"/>
        </w:rPr>
        <w:t xml:space="preserve"> </w:t>
      </w:r>
      <w:r w:rsidR="006504AD" w:rsidRPr="006504AD">
        <w:rPr>
          <w:color w:val="000000"/>
        </w:rPr>
        <w:t xml:space="preserve">İthalatta İlave Gümrük Vergisi Uygulanmasına İlişkin Kararda Değişiklik Yapılmasına Dair Karar çerçevesinde 1/1/2024 tarihinden bu yana ise %12 oranında ilave gümrük vergisi (İGV) uygulaması mevcuttur. </w:t>
      </w:r>
    </w:p>
    <w:p w14:paraId="563BAEF1" w14:textId="32167A79" w:rsidR="006504AD" w:rsidRPr="006504AD" w:rsidRDefault="006504AD" w:rsidP="006504AD">
      <w:pPr>
        <w:spacing w:before="120" w:after="120"/>
        <w:jc w:val="both"/>
        <w:rPr>
          <w:color w:val="000000"/>
        </w:rPr>
      </w:pPr>
      <w:r w:rsidRPr="006504AD">
        <w:rPr>
          <w:color w:val="000000"/>
        </w:rPr>
        <w:t xml:space="preserve">(4) Soruşturma konusu ürün ithalatında 25/12/2020 tarihli ve 31345 sayılı Resmî </w:t>
      </w:r>
      <w:proofErr w:type="spellStart"/>
      <w:r w:rsidRPr="006504AD">
        <w:rPr>
          <w:color w:val="000000"/>
        </w:rPr>
        <w:t>Gazete’de</w:t>
      </w:r>
      <w:proofErr w:type="spellEnd"/>
      <w:r w:rsidRPr="006504AD">
        <w:rPr>
          <w:color w:val="000000"/>
        </w:rPr>
        <w:t xml:space="preserve"> yayımlana</w:t>
      </w:r>
      <w:r w:rsidR="00264454">
        <w:rPr>
          <w:color w:val="000000"/>
        </w:rPr>
        <w:t>n</w:t>
      </w:r>
      <w:r w:rsidRPr="006504AD">
        <w:rPr>
          <w:color w:val="000000"/>
        </w:rPr>
        <w:t xml:space="preserve"> İthalatta Gözetim Uygulanmasına İlişkin Tebliğ (Tebliğ No: 2020/9) uyarınca 2000 ile 3700 ABD doları/m³ tutarlarında gözetim fiyatı belirlenmiştir. </w:t>
      </w:r>
    </w:p>
    <w:p w14:paraId="56264F68" w14:textId="76936DA9" w:rsidR="006504AD" w:rsidRPr="006504AD" w:rsidRDefault="006504AD" w:rsidP="006504AD">
      <w:pPr>
        <w:spacing w:before="120" w:after="120"/>
        <w:jc w:val="both"/>
        <w:rPr>
          <w:color w:val="000000"/>
        </w:rPr>
      </w:pPr>
      <w:r w:rsidRPr="006504AD">
        <w:rPr>
          <w:color w:val="000000"/>
        </w:rPr>
        <w:t xml:space="preserve">(5) Öte yandan, ÇHC ve Çin </w:t>
      </w:r>
      <w:proofErr w:type="spellStart"/>
      <w:r w:rsidRPr="006504AD">
        <w:rPr>
          <w:color w:val="000000"/>
        </w:rPr>
        <w:t>Tayvanı</w:t>
      </w:r>
      <w:proofErr w:type="spellEnd"/>
      <w:r w:rsidRPr="006504AD">
        <w:rPr>
          <w:color w:val="000000"/>
        </w:rPr>
        <w:t xml:space="preserve"> menşeli paslanmaz çelikten borular ithalatında uygulanmakta olan dampinge karşı önlemin Vietnam Sosyalist Cumhuriyeti (Vietnam) ve Malezya üzerinden menşe saptırması yapılarak etkisiz kılındığı iddiası ile 12/12/2014 tarihli ve 29203 sayılı Resmî </w:t>
      </w:r>
      <w:proofErr w:type="spellStart"/>
      <w:r w:rsidRPr="006504AD">
        <w:rPr>
          <w:color w:val="000000"/>
        </w:rPr>
        <w:t>Gazete’de</w:t>
      </w:r>
      <w:proofErr w:type="spellEnd"/>
      <w:r w:rsidRPr="006504AD">
        <w:rPr>
          <w:color w:val="000000"/>
        </w:rPr>
        <w:t xml:space="preserve"> yayımlanan İthalatta Haksız Rekabetin Önlenmesine İlişkin Tebliğ (Tebliğ No: 2014/43) ile başlatılan önlemlerin etkisiz kılınmasına karşı soruşturma, 18/3/2016 tarihli ve 29657 sayılı Resmî </w:t>
      </w:r>
      <w:proofErr w:type="spellStart"/>
      <w:r w:rsidRPr="006504AD">
        <w:rPr>
          <w:color w:val="000000"/>
        </w:rPr>
        <w:t>Gazete’de</w:t>
      </w:r>
      <w:proofErr w:type="spellEnd"/>
      <w:r w:rsidRPr="006504AD">
        <w:rPr>
          <w:color w:val="000000"/>
        </w:rPr>
        <w:t xml:space="preserve"> yayımlanan İthalatta Haksız Rekabetin Önlenmesine İlişkin Tebliğ (Tebliğ No: 2016/6) ile tamamlanmış olup Vietnam ve Malezya menşeli olarak beyan edilen ve/veya bu ülkeler çıkışlı soruşturma konusu ürün ithalatında ÇHC menşeli ürün için yürürlükte bulunan dampinge karşı kesin önlem ile aynı tutarda dampinge karşı kesin önlemin yürürlüğe konulmasına karar verilmiştir.</w:t>
      </w:r>
    </w:p>
    <w:p w14:paraId="528DFD48" w14:textId="7ED9A618" w:rsidR="00156F01" w:rsidRPr="007B0AB8" w:rsidRDefault="006504AD" w:rsidP="007B0AB8">
      <w:pPr>
        <w:spacing w:before="120" w:after="120"/>
        <w:jc w:val="both"/>
        <w:rPr>
          <w:rFonts w:eastAsiaTheme="majorEastAsia"/>
          <w:b/>
          <w:bCs/>
          <w:caps/>
          <w:vanish/>
        </w:rPr>
      </w:pPr>
      <w:r w:rsidRPr="006504AD">
        <w:rPr>
          <w:color w:val="000000"/>
        </w:rPr>
        <w:t xml:space="preserve">(6) Bununla birlikte, soruşturma konusu üründe Vietnam menşeli olanlarının ithalatında 10/7/2021 tarihli ve 31537 sayılı Resmî </w:t>
      </w:r>
      <w:proofErr w:type="spellStart"/>
      <w:r w:rsidRPr="006504AD">
        <w:rPr>
          <w:color w:val="000000"/>
        </w:rPr>
        <w:t>Gazete’de</w:t>
      </w:r>
      <w:proofErr w:type="spellEnd"/>
      <w:r w:rsidRPr="006504AD">
        <w:rPr>
          <w:color w:val="000000"/>
        </w:rPr>
        <w:t xml:space="preserve"> yayımlanan İthalatta Haksız Rekabetin Önlenmesine İlişkin Tebliğ (Tebliğ No: 2021/38) kapsamında CIF bedelin %19,64’ü ile %25’i </w:t>
      </w:r>
      <w:r w:rsidRPr="00B148D4">
        <w:rPr>
          <w:color w:val="000000"/>
        </w:rPr>
        <w:t>arasında firma bazında değişen oranlarda dampinge karşı kesin önlem yürürlüğe konulmuştur</w:t>
      </w:r>
      <w:r w:rsidR="00156F01" w:rsidRPr="00B148D4">
        <w:rPr>
          <w:color w:val="000000"/>
        </w:rPr>
        <w:t>.</w:t>
      </w:r>
    </w:p>
    <w:p w14:paraId="7252C14E" w14:textId="2B702D6F" w:rsidR="00A1068B" w:rsidRPr="00B148D4" w:rsidRDefault="00983D60" w:rsidP="007B0AB8">
      <w:pPr>
        <w:pStyle w:val="Balk1"/>
        <w:numPr>
          <w:ilvl w:val="0"/>
          <w:numId w:val="2"/>
        </w:numPr>
        <w:spacing w:before="120" w:after="120"/>
        <w:rPr>
          <w:rFonts w:ascii="Times New Roman" w:hAnsi="Times New Roman" w:cs="Times New Roman"/>
          <w:sz w:val="24"/>
          <w:szCs w:val="24"/>
        </w:rPr>
      </w:pPr>
      <w:r w:rsidRPr="00B148D4">
        <w:rPr>
          <w:rFonts w:ascii="Times New Roman" w:hAnsi="Times New Roman" w:cs="Times New Roman"/>
          <w:sz w:val="24"/>
          <w:szCs w:val="24"/>
        </w:rPr>
        <w:t>Dampingin Devamı veya Yeniden Meydana Gelmesi İhtimali</w:t>
      </w:r>
      <w:bookmarkStart w:id="26" w:name="_Toc317854285"/>
      <w:bookmarkEnd w:id="22"/>
    </w:p>
    <w:p w14:paraId="6BCEBC4D" w14:textId="0FCE7227" w:rsidR="00A1068B" w:rsidRPr="0055784D" w:rsidRDefault="00A1068B" w:rsidP="007B0AB8">
      <w:pPr>
        <w:pStyle w:val="Balk2"/>
        <w:numPr>
          <w:ilvl w:val="1"/>
          <w:numId w:val="2"/>
        </w:numPr>
        <w:spacing w:before="120" w:after="120"/>
        <w:ind w:left="426"/>
        <w:rPr>
          <w:szCs w:val="24"/>
        </w:rPr>
      </w:pPr>
      <w:bookmarkStart w:id="27" w:name="_Toc98149752"/>
      <w:r w:rsidRPr="0055784D">
        <w:rPr>
          <w:szCs w:val="24"/>
        </w:rPr>
        <w:t>Genel</w:t>
      </w:r>
      <w:r w:rsidR="00983D60" w:rsidRPr="0055784D">
        <w:rPr>
          <w:szCs w:val="24"/>
        </w:rPr>
        <w:t xml:space="preserve"> </w:t>
      </w:r>
      <w:r w:rsidR="004B4612" w:rsidRPr="0055784D">
        <w:rPr>
          <w:szCs w:val="24"/>
        </w:rPr>
        <w:t>açıklamalar</w:t>
      </w:r>
      <w:bookmarkEnd w:id="27"/>
    </w:p>
    <w:p w14:paraId="23B22448" w14:textId="270A5CFD" w:rsidR="00AC1B60" w:rsidRPr="0055784D" w:rsidRDefault="00980652" w:rsidP="004B4889">
      <w:pPr>
        <w:pStyle w:val="Default"/>
        <w:numPr>
          <w:ilvl w:val="0"/>
          <w:numId w:val="4"/>
        </w:numPr>
        <w:spacing w:before="120" w:after="120"/>
        <w:ind w:firstLine="0"/>
        <w:jc w:val="both"/>
        <w:rPr>
          <w:bCs/>
        </w:rPr>
      </w:pPr>
      <w:bookmarkStart w:id="28" w:name="_Toc44517750"/>
      <w:bookmarkStart w:id="29" w:name="_Toc143173557"/>
      <w:r w:rsidRPr="00953384">
        <w:t>Yönetmeliğin 35 inci maddesi çerçevesinde, önlemin yürürlükten kalkması halinde dampingin devam etmesinin veya yeniden meydana gelmesinin muhtemel olup olmadığı incelenmiştir</w:t>
      </w:r>
      <w:r w:rsidR="008D36D5" w:rsidRPr="0055784D">
        <w:rPr>
          <w:bCs/>
        </w:rPr>
        <w:t xml:space="preserve">. </w:t>
      </w:r>
    </w:p>
    <w:p w14:paraId="3A1A0CFF" w14:textId="5F8219F8" w:rsidR="00BF0F0A" w:rsidRPr="0055784D" w:rsidRDefault="00AC1B60" w:rsidP="007B0AB8">
      <w:pPr>
        <w:pStyle w:val="Balk2"/>
        <w:numPr>
          <w:ilvl w:val="1"/>
          <w:numId w:val="2"/>
        </w:numPr>
        <w:spacing w:before="120" w:after="120"/>
        <w:ind w:left="426"/>
        <w:rPr>
          <w:szCs w:val="24"/>
        </w:rPr>
      </w:pPr>
      <w:bookmarkStart w:id="30" w:name="_Toc100244829"/>
      <w:r w:rsidRPr="0055784D">
        <w:rPr>
          <w:szCs w:val="24"/>
        </w:rPr>
        <w:t xml:space="preserve">Dampingin </w:t>
      </w:r>
      <w:r w:rsidR="004B4612" w:rsidRPr="004B4612">
        <w:rPr>
          <w:szCs w:val="24"/>
        </w:rPr>
        <w:t>devam etme ihtimali</w:t>
      </w:r>
      <w:bookmarkEnd w:id="30"/>
    </w:p>
    <w:p w14:paraId="09D30FDB" w14:textId="77777777" w:rsidR="00980652" w:rsidRPr="00980652" w:rsidRDefault="00980652" w:rsidP="005A374F">
      <w:pPr>
        <w:pStyle w:val="Default"/>
        <w:numPr>
          <w:ilvl w:val="0"/>
          <w:numId w:val="15"/>
        </w:numPr>
        <w:spacing w:before="120" w:after="120"/>
        <w:jc w:val="both"/>
        <w:rPr>
          <w:bCs/>
          <w:color w:val="auto"/>
          <w:lang w:eastAsia="en-US"/>
        </w:rPr>
      </w:pPr>
      <w:r w:rsidRPr="00980652">
        <w:rPr>
          <w:bCs/>
          <w:color w:val="auto"/>
          <w:lang w:eastAsia="en-US"/>
        </w:rPr>
        <w:t xml:space="preserve">Yönetmeliğin 40 </w:t>
      </w:r>
      <w:proofErr w:type="spellStart"/>
      <w:r w:rsidRPr="00980652">
        <w:rPr>
          <w:bCs/>
          <w:color w:val="auto"/>
          <w:lang w:eastAsia="en-US"/>
        </w:rPr>
        <w:t>ıncı</w:t>
      </w:r>
      <w:proofErr w:type="spellEnd"/>
      <w:r w:rsidRPr="00980652">
        <w:rPr>
          <w:bCs/>
          <w:color w:val="auto"/>
          <w:lang w:eastAsia="en-US"/>
        </w:rPr>
        <w:t xml:space="preserve"> ve 41 inci maddeleri çerçevesinde, soruşturma sırasında yeniden bir damping marjı hesaplanmamış, esas soruşturmada hesaplanmış olan damping marjları gösterge olarak dikkate alınmıştır.</w:t>
      </w:r>
    </w:p>
    <w:p w14:paraId="71B03493" w14:textId="74985487" w:rsidR="0095744F" w:rsidRPr="00980652" w:rsidRDefault="00980652" w:rsidP="00980652">
      <w:pPr>
        <w:pStyle w:val="Default"/>
        <w:spacing w:before="120" w:after="120"/>
        <w:jc w:val="both"/>
        <w:rPr>
          <w:bCs/>
          <w:color w:val="auto"/>
          <w:lang w:eastAsia="en-US"/>
        </w:rPr>
      </w:pPr>
      <w:r w:rsidRPr="00980652">
        <w:rPr>
          <w:bCs/>
          <w:color w:val="auto"/>
          <w:lang w:eastAsia="en-US"/>
        </w:rPr>
        <w:t xml:space="preserve">(2) Buna göre, İthalatta Haksız Rekabetin Önlenmesine İlişkin Tebliğ (Tebliğ No: 2013/4) ile tamamlanan esas soruşturmada, </w:t>
      </w:r>
      <w:proofErr w:type="spellStart"/>
      <w:r w:rsidRPr="00980652">
        <w:rPr>
          <w:bCs/>
          <w:color w:val="auto"/>
          <w:lang w:eastAsia="en-US"/>
        </w:rPr>
        <w:t>ÇHC’de</w:t>
      </w:r>
      <w:proofErr w:type="spellEnd"/>
      <w:r w:rsidRPr="00980652">
        <w:rPr>
          <w:bCs/>
          <w:color w:val="auto"/>
          <w:lang w:eastAsia="en-US"/>
        </w:rPr>
        <w:t xml:space="preserve"> yerleşik </w:t>
      </w:r>
      <w:proofErr w:type="spellStart"/>
      <w:r w:rsidRPr="00980652">
        <w:rPr>
          <w:bCs/>
          <w:color w:val="auto"/>
          <w:lang w:eastAsia="en-US"/>
        </w:rPr>
        <w:t>Foshan</w:t>
      </w:r>
      <w:proofErr w:type="spellEnd"/>
      <w:r w:rsidRPr="00980652">
        <w:rPr>
          <w:bCs/>
          <w:color w:val="auto"/>
          <w:lang w:eastAsia="en-US"/>
        </w:rPr>
        <w:t xml:space="preserve"> </w:t>
      </w:r>
      <w:proofErr w:type="spellStart"/>
      <w:r w:rsidRPr="00980652">
        <w:rPr>
          <w:bCs/>
          <w:color w:val="auto"/>
          <w:lang w:eastAsia="en-US"/>
        </w:rPr>
        <w:t>Vinmay</w:t>
      </w:r>
      <w:proofErr w:type="spellEnd"/>
      <w:r w:rsidRPr="00980652">
        <w:rPr>
          <w:bCs/>
          <w:color w:val="auto"/>
          <w:lang w:eastAsia="en-US"/>
        </w:rPr>
        <w:t xml:space="preserve"> </w:t>
      </w:r>
      <w:proofErr w:type="spellStart"/>
      <w:r w:rsidRPr="00980652">
        <w:rPr>
          <w:bCs/>
          <w:color w:val="auto"/>
          <w:lang w:eastAsia="en-US"/>
        </w:rPr>
        <w:t>Stainless</w:t>
      </w:r>
      <w:proofErr w:type="spellEnd"/>
      <w:r w:rsidRPr="00980652">
        <w:rPr>
          <w:bCs/>
          <w:color w:val="auto"/>
          <w:lang w:eastAsia="en-US"/>
        </w:rPr>
        <w:t xml:space="preserve"> Steel </w:t>
      </w:r>
      <w:proofErr w:type="spellStart"/>
      <w:r w:rsidRPr="00980652">
        <w:rPr>
          <w:bCs/>
          <w:color w:val="auto"/>
          <w:lang w:eastAsia="en-US"/>
        </w:rPr>
        <w:t>Co</w:t>
      </w:r>
      <w:proofErr w:type="spellEnd"/>
      <w:r w:rsidRPr="00980652">
        <w:rPr>
          <w:bCs/>
          <w:color w:val="auto"/>
          <w:lang w:eastAsia="en-US"/>
        </w:rPr>
        <w:t xml:space="preserve">. Ltd. firması için CIF bedelin %21,95’i oranında, </w:t>
      </w:r>
      <w:proofErr w:type="spellStart"/>
      <w:r w:rsidRPr="00980652">
        <w:rPr>
          <w:bCs/>
          <w:color w:val="auto"/>
          <w:lang w:eastAsia="en-US"/>
        </w:rPr>
        <w:t>Foshan</w:t>
      </w:r>
      <w:proofErr w:type="spellEnd"/>
      <w:r w:rsidRPr="00980652">
        <w:rPr>
          <w:bCs/>
          <w:color w:val="auto"/>
          <w:lang w:eastAsia="en-US"/>
        </w:rPr>
        <w:t xml:space="preserve"> </w:t>
      </w:r>
      <w:proofErr w:type="spellStart"/>
      <w:r w:rsidRPr="00980652">
        <w:rPr>
          <w:bCs/>
          <w:color w:val="auto"/>
          <w:lang w:eastAsia="en-US"/>
        </w:rPr>
        <w:t>Nanhai</w:t>
      </w:r>
      <w:proofErr w:type="spellEnd"/>
      <w:r w:rsidRPr="00980652">
        <w:rPr>
          <w:bCs/>
          <w:color w:val="auto"/>
          <w:lang w:eastAsia="en-US"/>
        </w:rPr>
        <w:t xml:space="preserve"> </w:t>
      </w:r>
      <w:proofErr w:type="spellStart"/>
      <w:r w:rsidRPr="00980652">
        <w:rPr>
          <w:bCs/>
          <w:color w:val="auto"/>
          <w:lang w:eastAsia="en-US"/>
        </w:rPr>
        <w:t>Qiuxun</w:t>
      </w:r>
      <w:proofErr w:type="spellEnd"/>
      <w:r w:rsidRPr="00980652">
        <w:rPr>
          <w:bCs/>
          <w:color w:val="auto"/>
          <w:lang w:eastAsia="en-US"/>
        </w:rPr>
        <w:t xml:space="preserve"> </w:t>
      </w:r>
      <w:proofErr w:type="spellStart"/>
      <w:r w:rsidRPr="00980652">
        <w:rPr>
          <w:bCs/>
          <w:color w:val="auto"/>
          <w:lang w:eastAsia="en-US"/>
        </w:rPr>
        <w:t>Stainless</w:t>
      </w:r>
      <w:proofErr w:type="spellEnd"/>
      <w:r w:rsidRPr="00980652">
        <w:rPr>
          <w:bCs/>
          <w:color w:val="auto"/>
          <w:lang w:eastAsia="en-US"/>
        </w:rPr>
        <w:t xml:space="preserve"> Steel Product </w:t>
      </w:r>
      <w:proofErr w:type="spellStart"/>
      <w:r w:rsidRPr="00980652">
        <w:rPr>
          <w:bCs/>
          <w:color w:val="auto"/>
          <w:lang w:eastAsia="en-US"/>
        </w:rPr>
        <w:t>Co</w:t>
      </w:r>
      <w:proofErr w:type="spellEnd"/>
      <w:r w:rsidRPr="00980652">
        <w:rPr>
          <w:bCs/>
          <w:color w:val="auto"/>
          <w:lang w:eastAsia="en-US"/>
        </w:rPr>
        <w:t xml:space="preserve">. Ltd. firması için CIF bedelin %35,32’si oranında; Çin </w:t>
      </w:r>
      <w:proofErr w:type="spellStart"/>
      <w:r w:rsidRPr="00980652">
        <w:rPr>
          <w:bCs/>
          <w:color w:val="auto"/>
          <w:lang w:eastAsia="en-US"/>
        </w:rPr>
        <w:t>Tayvanı’nda</w:t>
      </w:r>
      <w:proofErr w:type="spellEnd"/>
      <w:r w:rsidRPr="00980652">
        <w:rPr>
          <w:bCs/>
          <w:color w:val="auto"/>
          <w:lang w:eastAsia="en-US"/>
        </w:rPr>
        <w:t xml:space="preserve"> yerleşik YC </w:t>
      </w:r>
      <w:proofErr w:type="spellStart"/>
      <w:r w:rsidRPr="00980652">
        <w:rPr>
          <w:bCs/>
          <w:color w:val="auto"/>
          <w:lang w:eastAsia="en-US"/>
        </w:rPr>
        <w:t>Inox</w:t>
      </w:r>
      <w:proofErr w:type="spellEnd"/>
      <w:r w:rsidRPr="00980652">
        <w:rPr>
          <w:bCs/>
          <w:color w:val="auto"/>
          <w:lang w:eastAsia="en-US"/>
        </w:rPr>
        <w:t xml:space="preserve"> </w:t>
      </w:r>
      <w:proofErr w:type="spellStart"/>
      <w:r w:rsidRPr="00980652">
        <w:rPr>
          <w:bCs/>
          <w:color w:val="auto"/>
          <w:lang w:eastAsia="en-US"/>
        </w:rPr>
        <w:t>Co</w:t>
      </w:r>
      <w:proofErr w:type="spellEnd"/>
      <w:r w:rsidRPr="00980652">
        <w:rPr>
          <w:bCs/>
          <w:color w:val="auto"/>
          <w:lang w:eastAsia="en-US"/>
        </w:rPr>
        <w:t xml:space="preserve">. Ltd. firması için CIF bedelin %7,98’i oranında ve </w:t>
      </w:r>
      <w:proofErr w:type="spellStart"/>
      <w:r w:rsidRPr="00980652">
        <w:rPr>
          <w:bCs/>
          <w:color w:val="auto"/>
          <w:lang w:eastAsia="en-US"/>
        </w:rPr>
        <w:t>Froch</w:t>
      </w:r>
      <w:proofErr w:type="spellEnd"/>
      <w:r w:rsidRPr="00980652">
        <w:rPr>
          <w:bCs/>
          <w:color w:val="auto"/>
          <w:lang w:eastAsia="en-US"/>
        </w:rPr>
        <w:t xml:space="preserve"> Enterprise </w:t>
      </w:r>
      <w:proofErr w:type="spellStart"/>
      <w:r w:rsidRPr="00980652">
        <w:rPr>
          <w:bCs/>
          <w:color w:val="auto"/>
          <w:lang w:eastAsia="en-US"/>
        </w:rPr>
        <w:t>Co</w:t>
      </w:r>
      <w:proofErr w:type="spellEnd"/>
      <w:r w:rsidRPr="00980652">
        <w:rPr>
          <w:bCs/>
          <w:color w:val="auto"/>
          <w:lang w:eastAsia="en-US"/>
        </w:rPr>
        <w:t xml:space="preserve">. </w:t>
      </w:r>
      <w:proofErr w:type="spellStart"/>
      <w:r w:rsidRPr="00980652">
        <w:rPr>
          <w:bCs/>
          <w:color w:val="auto"/>
          <w:lang w:eastAsia="en-US"/>
        </w:rPr>
        <w:t>Ltd</w:t>
      </w:r>
      <w:proofErr w:type="spellEnd"/>
      <w:r w:rsidRPr="00980652">
        <w:rPr>
          <w:bCs/>
          <w:color w:val="auto"/>
          <w:lang w:eastAsia="en-US"/>
        </w:rPr>
        <w:t xml:space="preserve"> firması için CIF bedelin %14,65’i oranında damping marjı tespit edilmiştir</w:t>
      </w:r>
      <w:r w:rsidR="0095744F" w:rsidRPr="00980652">
        <w:rPr>
          <w:bCs/>
          <w:color w:val="auto"/>
        </w:rPr>
        <w:t>.</w:t>
      </w:r>
    </w:p>
    <w:p w14:paraId="0FDDD9DA" w14:textId="77777777" w:rsidR="0095744F" w:rsidRPr="007C588C" w:rsidRDefault="0095744F" w:rsidP="005A374F">
      <w:pPr>
        <w:pStyle w:val="Default"/>
        <w:numPr>
          <w:ilvl w:val="0"/>
          <w:numId w:val="39"/>
        </w:numPr>
        <w:spacing w:before="120" w:after="120"/>
        <w:jc w:val="both"/>
        <w:rPr>
          <w:bCs/>
          <w:color w:val="auto"/>
        </w:rPr>
      </w:pPr>
      <w:r w:rsidRPr="007C588C">
        <w:rPr>
          <w:bCs/>
          <w:color w:val="auto"/>
        </w:rPr>
        <w:t>Mevcut dampinge karşı önlemin hukuki ve idari alt yapısını teşkil eden esas soruşturma esnasında tespit edilen damping marjının, firmanın önlemin yürürlükten kalkması halindeki muhtemel davranışlarını yansıtacak önemli bir gösterge niteliği taşıdığı değerlendirilmektedir.</w:t>
      </w:r>
    </w:p>
    <w:p w14:paraId="0125EA1B" w14:textId="2E887C6D" w:rsidR="00AD7C18" w:rsidRPr="0055784D" w:rsidRDefault="00AD7C18" w:rsidP="007B0AB8">
      <w:pPr>
        <w:pStyle w:val="Balk2"/>
        <w:numPr>
          <w:ilvl w:val="1"/>
          <w:numId w:val="2"/>
        </w:numPr>
        <w:spacing w:before="120" w:after="120"/>
        <w:ind w:left="426"/>
        <w:rPr>
          <w:szCs w:val="24"/>
        </w:rPr>
      </w:pPr>
      <w:r w:rsidRPr="0055784D">
        <w:rPr>
          <w:szCs w:val="24"/>
        </w:rPr>
        <w:t xml:space="preserve">Dampingin </w:t>
      </w:r>
      <w:r w:rsidR="004B4612" w:rsidRPr="0055784D">
        <w:rPr>
          <w:szCs w:val="24"/>
        </w:rPr>
        <w:t>yeniden meydana gelmesi ihtimali</w:t>
      </w:r>
    </w:p>
    <w:p w14:paraId="106E1983" w14:textId="247C7437" w:rsidR="00E438AA" w:rsidRPr="00494813" w:rsidRDefault="00233EA4" w:rsidP="001161E3">
      <w:pPr>
        <w:spacing w:before="120" w:after="120"/>
        <w:jc w:val="both"/>
        <w:rPr>
          <w:bCs/>
        </w:rPr>
      </w:pPr>
      <w:r>
        <w:rPr>
          <w:bCs/>
        </w:rPr>
        <w:t xml:space="preserve">(1) </w:t>
      </w:r>
      <w:r w:rsidR="0045553A" w:rsidRPr="0045553A">
        <w:rPr>
          <w:bCs/>
        </w:rPr>
        <w:t xml:space="preserve">İhracatçı firmaların davranışlarını ve yeniden meydana gelmesi muhtemel olan dampingi göstermesi açısından soruşturma konusu ülkelerin üretim ve ihracat kapasiteleri ile fiyatları ve </w:t>
      </w:r>
      <w:r w:rsidR="0045553A" w:rsidRPr="0045553A">
        <w:rPr>
          <w:bCs/>
        </w:rPr>
        <w:lastRenderedPageBreak/>
        <w:t>diğer ülkeler tarafından uygulanmakta olan önlemler ya da yürütülmekte olan damping soruşturmaları önem arz etmektedir</w:t>
      </w:r>
      <w:r w:rsidRPr="00233EA4">
        <w:rPr>
          <w:bCs/>
        </w:rPr>
        <w:t>.</w:t>
      </w:r>
    </w:p>
    <w:p w14:paraId="710D06CA" w14:textId="3C74EC21" w:rsidR="000227B6" w:rsidRDefault="000227B6" w:rsidP="007B0AB8">
      <w:pPr>
        <w:pStyle w:val="Balk2"/>
        <w:numPr>
          <w:ilvl w:val="2"/>
          <w:numId w:val="2"/>
        </w:numPr>
        <w:spacing w:before="120" w:after="120"/>
        <w:ind w:left="0" w:firstLine="0"/>
        <w:rPr>
          <w:szCs w:val="24"/>
        </w:rPr>
      </w:pPr>
      <w:bookmarkStart w:id="31" w:name="_Toc157613437"/>
      <w:r w:rsidRPr="0055784D">
        <w:rPr>
          <w:szCs w:val="24"/>
        </w:rPr>
        <w:t xml:space="preserve">Soruşturma </w:t>
      </w:r>
      <w:r w:rsidR="004B4612" w:rsidRPr="0055784D">
        <w:rPr>
          <w:szCs w:val="24"/>
        </w:rPr>
        <w:t xml:space="preserve">konusu ülkenin üretim ve ihracat kapasitesi ile fiyatları </w:t>
      </w:r>
      <w:bookmarkEnd w:id="31"/>
    </w:p>
    <w:p w14:paraId="3817C818" w14:textId="5236B868" w:rsidR="0045553A" w:rsidRPr="0045553A" w:rsidRDefault="0045553A" w:rsidP="005A374F">
      <w:pPr>
        <w:numPr>
          <w:ilvl w:val="0"/>
          <w:numId w:val="16"/>
        </w:numPr>
        <w:tabs>
          <w:tab w:val="left" w:pos="360"/>
          <w:tab w:val="left" w:pos="540"/>
        </w:tabs>
        <w:spacing w:before="120" w:after="120"/>
        <w:jc w:val="both"/>
        <w:rPr>
          <w:bCs/>
          <w:lang w:eastAsia="en-US"/>
        </w:rPr>
      </w:pPr>
      <w:bookmarkStart w:id="32" w:name="_Hlk171673519"/>
      <w:bookmarkStart w:id="33" w:name="_Toc157613438"/>
      <w:r w:rsidRPr="0045553A">
        <w:rPr>
          <w:bCs/>
          <w:lang w:eastAsia="en-US"/>
        </w:rPr>
        <w:t xml:space="preserve">Soruşturma konusu ülkelerin ihracat kabiliyetine ilişkin değerlendirmeler, Uluslararası Ticaret Merkezinin (International </w:t>
      </w:r>
      <w:proofErr w:type="spellStart"/>
      <w:r w:rsidRPr="0045553A">
        <w:rPr>
          <w:bCs/>
          <w:lang w:eastAsia="en-US"/>
        </w:rPr>
        <w:t>Trade</w:t>
      </w:r>
      <w:proofErr w:type="spellEnd"/>
      <w:r w:rsidRPr="0045553A">
        <w:rPr>
          <w:bCs/>
          <w:lang w:eastAsia="en-US"/>
        </w:rPr>
        <w:t xml:space="preserve"> Center-ITC) dış ticaret verilerine dayanılarak yapılmıştır. Bu çerçevede, 7306.40 ve 7306.61 gümrük tarife pozisyonları (GTP) için 2020-2023 dönemine ait FOB (</w:t>
      </w:r>
      <w:proofErr w:type="spellStart"/>
      <w:r w:rsidRPr="0045553A">
        <w:rPr>
          <w:bCs/>
          <w:lang w:eastAsia="en-US"/>
        </w:rPr>
        <w:t>Free</w:t>
      </w:r>
      <w:proofErr w:type="spellEnd"/>
      <w:r w:rsidRPr="0045553A">
        <w:rPr>
          <w:bCs/>
          <w:lang w:eastAsia="en-US"/>
        </w:rPr>
        <w:t xml:space="preserve"> on Board – gemide masrafsız) ihracat verisi kullanılmıştır. Söz konusu istatistik verisi ÇHC ve Çin </w:t>
      </w:r>
      <w:proofErr w:type="spellStart"/>
      <w:r w:rsidRPr="0045553A">
        <w:rPr>
          <w:bCs/>
          <w:lang w:eastAsia="en-US"/>
        </w:rPr>
        <w:t>Tayvanı’nın</w:t>
      </w:r>
      <w:proofErr w:type="spellEnd"/>
      <w:r w:rsidRPr="0045553A">
        <w:rPr>
          <w:bCs/>
          <w:lang w:eastAsia="en-US"/>
        </w:rPr>
        <w:t xml:space="preserve"> soruşturma konusu üründeki üretim kapasitesine gösterge teşkil etmesi açısından önemlidir.</w:t>
      </w:r>
    </w:p>
    <w:p w14:paraId="2F67B3A3" w14:textId="77777777" w:rsidR="0045553A" w:rsidRPr="0045553A" w:rsidRDefault="0045553A" w:rsidP="0045553A">
      <w:pPr>
        <w:tabs>
          <w:tab w:val="left" w:pos="360"/>
          <w:tab w:val="left" w:pos="540"/>
        </w:tabs>
        <w:spacing w:before="120" w:after="120"/>
        <w:jc w:val="both"/>
        <w:rPr>
          <w:bCs/>
          <w:lang w:eastAsia="en-US"/>
        </w:rPr>
      </w:pPr>
      <w:r w:rsidRPr="0045553A">
        <w:rPr>
          <w:bCs/>
          <w:lang w:eastAsia="en-US"/>
        </w:rPr>
        <w:t>(2) ITC tarafından sağlanan verilerin birimi ülkelere göre “adet” veya “ton” olarak değişmekte, ulusal veri kaynaklarıyla uyumsuzluk gösterebilmektedir. Bu çerçevede, aşağıdaki değerlendirmelerde bahse konu kısıtlar da göz önünde bulundurulmuştur</w:t>
      </w:r>
    </w:p>
    <w:p w14:paraId="50581311" w14:textId="77777777" w:rsidR="0045553A" w:rsidRPr="0045553A" w:rsidRDefault="0045553A" w:rsidP="0045553A">
      <w:pPr>
        <w:tabs>
          <w:tab w:val="left" w:pos="360"/>
          <w:tab w:val="left" w:pos="540"/>
        </w:tabs>
        <w:spacing w:before="120" w:after="120"/>
        <w:jc w:val="both"/>
        <w:rPr>
          <w:bCs/>
          <w:lang w:eastAsia="en-US"/>
        </w:rPr>
      </w:pPr>
      <w:r w:rsidRPr="0045553A">
        <w:rPr>
          <w:bCs/>
          <w:lang w:eastAsia="en-US"/>
        </w:rPr>
        <w:t xml:space="preserve">(3) Soruşturma konusu ürünün dünya ihracat hacminin 2020 yılında 9 milyar ABD doları, 2021 yılında 14,4 milyar ABD doları, 2022 yılında 15,1 milyar ABD doları, </w:t>
      </w:r>
      <w:proofErr w:type="spellStart"/>
      <w:r w:rsidRPr="0045553A">
        <w:rPr>
          <w:bCs/>
          <w:lang w:eastAsia="en-US"/>
        </w:rPr>
        <w:t>SD’de</w:t>
      </w:r>
      <w:proofErr w:type="spellEnd"/>
      <w:r w:rsidRPr="0045553A">
        <w:rPr>
          <w:bCs/>
          <w:lang w:eastAsia="en-US"/>
        </w:rPr>
        <w:t xml:space="preserve"> ise 13,4 milyar ABD doları seviyelerinde gerçekleştiği görülmektedir.</w:t>
      </w:r>
    </w:p>
    <w:p w14:paraId="7FACD2FE" w14:textId="77777777" w:rsidR="0045553A" w:rsidRPr="0045553A" w:rsidRDefault="0045553A" w:rsidP="0045553A">
      <w:pPr>
        <w:tabs>
          <w:tab w:val="left" w:pos="360"/>
          <w:tab w:val="left" w:pos="540"/>
        </w:tabs>
        <w:spacing w:before="120" w:after="120"/>
        <w:jc w:val="both"/>
        <w:rPr>
          <w:bCs/>
          <w:lang w:eastAsia="en-US"/>
        </w:rPr>
      </w:pPr>
      <w:r w:rsidRPr="0045553A">
        <w:rPr>
          <w:bCs/>
          <w:lang w:eastAsia="en-US"/>
        </w:rPr>
        <w:t xml:space="preserve">(4) Soruşturma konusu ülkelerden </w:t>
      </w:r>
      <w:proofErr w:type="spellStart"/>
      <w:r w:rsidRPr="0045553A">
        <w:rPr>
          <w:bCs/>
          <w:lang w:eastAsia="en-US"/>
        </w:rPr>
        <w:t>ÇHC’nin</w:t>
      </w:r>
      <w:proofErr w:type="spellEnd"/>
      <w:r w:rsidRPr="0045553A">
        <w:rPr>
          <w:bCs/>
          <w:lang w:eastAsia="en-US"/>
        </w:rPr>
        <w:t xml:space="preserve"> dünyaya ihracatının 2020 yılında 1,7 milyar ABD doları, 2021 yılında 2,7 milyar ABD doları, 2022 yılında 3,7 milyar ABD doları, </w:t>
      </w:r>
      <w:proofErr w:type="spellStart"/>
      <w:r w:rsidRPr="0045553A">
        <w:rPr>
          <w:bCs/>
          <w:lang w:eastAsia="en-US"/>
        </w:rPr>
        <w:t>SD’de</w:t>
      </w:r>
      <w:proofErr w:type="spellEnd"/>
      <w:r w:rsidRPr="0045553A">
        <w:rPr>
          <w:bCs/>
          <w:lang w:eastAsia="en-US"/>
        </w:rPr>
        <w:t xml:space="preserve"> ise 3,4 milyar ABD doları seviyelerinde gerçekleştiği görülmektedir. </w:t>
      </w:r>
      <w:proofErr w:type="spellStart"/>
      <w:r w:rsidRPr="0045553A">
        <w:rPr>
          <w:bCs/>
          <w:lang w:eastAsia="en-US"/>
        </w:rPr>
        <w:t>ÇHC’nin</w:t>
      </w:r>
      <w:proofErr w:type="spellEnd"/>
      <w:r w:rsidRPr="0045553A">
        <w:rPr>
          <w:bCs/>
          <w:lang w:eastAsia="en-US"/>
        </w:rPr>
        <w:t xml:space="preserve"> dünya ihracatından aldığı değer bazındaki payın 2020 yılında %18,8, 2021 yılında %19,1, 2022 yılında %24,7, </w:t>
      </w:r>
      <w:proofErr w:type="spellStart"/>
      <w:r w:rsidRPr="0045553A">
        <w:rPr>
          <w:bCs/>
          <w:lang w:eastAsia="en-US"/>
        </w:rPr>
        <w:t>SD’de</w:t>
      </w:r>
      <w:proofErr w:type="spellEnd"/>
      <w:r w:rsidRPr="0045553A">
        <w:rPr>
          <w:bCs/>
          <w:lang w:eastAsia="en-US"/>
        </w:rPr>
        <w:t xml:space="preserve"> ise %25 seviyelerinde olduğu görülmektedir.</w:t>
      </w:r>
    </w:p>
    <w:p w14:paraId="16BDD583" w14:textId="77777777" w:rsidR="0045553A" w:rsidRPr="0045553A" w:rsidRDefault="0045553A" w:rsidP="0045553A">
      <w:pPr>
        <w:tabs>
          <w:tab w:val="left" w:pos="360"/>
          <w:tab w:val="left" w:pos="540"/>
        </w:tabs>
        <w:spacing w:before="120" w:after="120"/>
        <w:jc w:val="both"/>
        <w:rPr>
          <w:bCs/>
          <w:lang w:eastAsia="en-US"/>
        </w:rPr>
      </w:pPr>
      <w:r w:rsidRPr="0045553A">
        <w:rPr>
          <w:bCs/>
          <w:lang w:eastAsia="en-US"/>
        </w:rPr>
        <w:t xml:space="preserve">(5) Çin </w:t>
      </w:r>
      <w:proofErr w:type="spellStart"/>
      <w:r w:rsidRPr="0045553A">
        <w:rPr>
          <w:bCs/>
          <w:lang w:eastAsia="en-US"/>
        </w:rPr>
        <w:t>Tayvanı’nın</w:t>
      </w:r>
      <w:proofErr w:type="spellEnd"/>
      <w:r w:rsidRPr="0045553A">
        <w:rPr>
          <w:bCs/>
          <w:lang w:eastAsia="en-US"/>
        </w:rPr>
        <w:t xml:space="preserve"> ise dünyaya ihracatının 2020 yılında 389 milyon ABD doları, 2021 yılında 633 milyon ABD doları, 2022 yılında 633 milyon ABD doları, </w:t>
      </w:r>
      <w:proofErr w:type="spellStart"/>
      <w:r w:rsidRPr="0045553A">
        <w:rPr>
          <w:bCs/>
          <w:lang w:eastAsia="en-US"/>
        </w:rPr>
        <w:t>SD’de</w:t>
      </w:r>
      <w:proofErr w:type="spellEnd"/>
      <w:r w:rsidRPr="0045553A">
        <w:rPr>
          <w:bCs/>
          <w:lang w:eastAsia="en-US"/>
        </w:rPr>
        <w:t xml:space="preserve"> ise 506 milyon ABD doları seviyelerinde gerçekleştiği görülmektedir. Çin </w:t>
      </w:r>
      <w:proofErr w:type="spellStart"/>
      <w:r w:rsidRPr="0045553A">
        <w:rPr>
          <w:bCs/>
          <w:lang w:eastAsia="en-US"/>
        </w:rPr>
        <w:t>Tayvanı’nın</w:t>
      </w:r>
      <w:proofErr w:type="spellEnd"/>
      <w:r w:rsidRPr="0045553A">
        <w:rPr>
          <w:bCs/>
          <w:lang w:eastAsia="en-US"/>
        </w:rPr>
        <w:t xml:space="preserve"> dünya ihracatından aldığı değer bazındaki payın 2020 yılında %4,3, 2021 yılında %4,4, 2022 yılında %4,2, </w:t>
      </w:r>
      <w:proofErr w:type="spellStart"/>
      <w:r w:rsidRPr="0045553A">
        <w:rPr>
          <w:bCs/>
          <w:lang w:eastAsia="en-US"/>
        </w:rPr>
        <w:t>SD’de</w:t>
      </w:r>
      <w:proofErr w:type="spellEnd"/>
      <w:r w:rsidRPr="0045553A">
        <w:rPr>
          <w:bCs/>
          <w:lang w:eastAsia="en-US"/>
        </w:rPr>
        <w:t xml:space="preserve"> ise %3,8 seviyelerinde olduğu görülmektedir.</w:t>
      </w:r>
    </w:p>
    <w:p w14:paraId="31E6F740" w14:textId="77777777" w:rsidR="0045553A" w:rsidRPr="0045553A" w:rsidRDefault="0045553A" w:rsidP="0045553A">
      <w:pPr>
        <w:tabs>
          <w:tab w:val="left" w:pos="360"/>
          <w:tab w:val="left" w:pos="540"/>
        </w:tabs>
        <w:spacing w:before="120" w:after="120"/>
        <w:jc w:val="both"/>
        <w:rPr>
          <w:bCs/>
          <w:lang w:eastAsia="en-US"/>
        </w:rPr>
      </w:pPr>
      <w:r w:rsidRPr="0045553A">
        <w:rPr>
          <w:bCs/>
          <w:lang w:eastAsia="en-US"/>
        </w:rPr>
        <w:t xml:space="preserve">(6) Soruşturma konusu ülkelerin toplam ihracatının dünya ihracatından aldığı payın 2020 yılında %23,1, 2021 yılında %23,5, 2022 yılında %28,9, </w:t>
      </w:r>
      <w:proofErr w:type="spellStart"/>
      <w:r w:rsidRPr="0045553A">
        <w:rPr>
          <w:bCs/>
          <w:lang w:eastAsia="en-US"/>
        </w:rPr>
        <w:t>SD’de</w:t>
      </w:r>
      <w:proofErr w:type="spellEnd"/>
      <w:r w:rsidRPr="0045553A">
        <w:rPr>
          <w:bCs/>
          <w:lang w:eastAsia="en-US"/>
        </w:rPr>
        <w:t xml:space="preserve"> ise %28,8 seviyelerinde olduğu görülmektedir</w:t>
      </w:r>
    </w:p>
    <w:p w14:paraId="7FEE937A" w14:textId="4051BB51" w:rsidR="005962F1" w:rsidRPr="0045553A" w:rsidRDefault="0045553A" w:rsidP="0045553A">
      <w:pPr>
        <w:tabs>
          <w:tab w:val="left" w:pos="360"/>
          <w:tab w:val="left" w:pos="540"/>
        </w:tabs>
        <w:spacing w:before="120" w:after="120"/>
        <w:jc w:val="both"/>
        <w:rPr>
          <w:bCs/>
          <w:lang w:eastAsia="en-US"/>
        </w:rPr>
      </w:pPr>
      <w:r w:rsidRPr="0045553A">
        <w:rPr>
          <w:bCs/>
          <w:lang w:eastAsia="en-US"/>
        </w:rPr>
        <w:t xml:space="preserve">(7) Bu çerçevede, soruşturma konusu ülkelerin incelenen yıllarda soruşturma konusu üründe dünyadaki ana tedarikçilerden olduğu, </w:t>
      </w:r>
      <w:proofErr w:type="spellStart"/>
      <w:r w:rsidRPr="0045553A">
        <w:rPr>
          <w:bCs/>
          <w:lang w:eastAsia="en-US"/>
        </w:rPr>
        <w:t>ÇHC’nin</w:t>
      </w:r>
      <w:proofErr w:type="spellEnd"/>
      <w:r w:rsidRPr="0045553A">
        <w:rPr>
          <w:bCs/>
          <w:lang w:eastAsia="en-US"/>
        </w:rPr>
        <w:t xml:space="preserve"> değer bazında dünya ihracatında birinci sırada, Çin </w:t>
      </w:r>
      <w:proofErr w:type="spellStart"/>
      <w:r w:rsidRPr="0045553A">
        <w:rPr>
          <w:bCs/>
          <w:lang w:eastAsia="en-US"/>
        </w:rPr>
        <w:t>Tayvanı’nın</w:t>
      </w:r>
      <w:proofErr w:type="spellEnd"/>
      <w:r w:rsidRPr="0045553A">
        <w:rPr>
          <w:bCs/>
          <w:lang w:eastAsia="en-US"/>
        </w:rPr>
        <w:t xml:space="preserve"> altıncı sırada yer aldığı, dünyaya ihracatlarının toplamda 2020 yılına göre </w:t>
      </w:r>
      <w:proofErr w:type="spellStart"/>
      <w:r w:rsidRPr="0045553A">
        <w:rPr>
          <w:bCs/>
          <w:lang w:eastAsia="en-US"/>
        </w:rPr>
        <w:t>SD’de</w:t>
      </w:r>
      <w:proofErr w:type="spellEnd"/>
      <w:r w:rsidRPr="0045553A">
        <w:rPr>
          <w:bCs/>
          <w:lang w:eastAsia="en-US"/>
        </w:rPr>
        <w:t xml:space="preserve"> artış gösterdiği hususları birlikte dikkate alındığında, soruşturma konusu ülkelerin hâlihazırda önemli seviyede üretim ve ihracat potansiyelinin bulunduğu değerlendirilmektedir</w:t>
      </w:r>
      <w:r w:rsidR="00233EA4" w:rsidRPr="0045553A">
        <w:rPr>
          <w:bCs/>
          <w:lang w:eastAsia="en-US"/>
        </w:rPr>
        <w:t xml:space="preserve">. </w:t>
      </w:r>
    </w:p>
    <w:bookmarkEnd w:id="32"/>
    <w:p w14:paraId="3E2900D9" w14:textId="05D37FB0" w:rsidR="000227B6" w:rsidRDefault="000227B6" w:rsidP="007B0AB8">
      <w:pPr>
        <w:pStyle w:val="Balk2"/>
        <w:numPr>
          <w:ilvl w:val="2"/>
          <w:numId w:val="2"/>
        </w:numPr>
        <w:spacing w:before="120" w:after="120"/>
        <w:ind w:left="0" w:right="-142" w:firstLine="0"/>
        <w:rPr>
          <w:szCs w:val="24"/>
        </w:rPr>
      </w:pPr>
      <w:r w:rsidRPr="0055784D">
        <w:rPr>
          <w:szCs w:val="24"/>
        </w:rPr>
        <w:t xml:space="preserve">Diğer </w:t>
      </w:r>
      <w:r w:rsidR="004B4612" w:rsidRPr="0055784D">
        <w:rPr>
          <w:szCs w:val="24"/>
        </w:rPr>
        <w:t xml:space="preserve">ülkeler tarafından uygulanmakta olan </w:t>
      </w:r>
      <w:r w:rsidR="004B4612">
        <w:rPr>
          <w:szCs w:val="24"/>
        </w:rPr>
        <w:t xml:space="preserve">dampinge karşı </w:t>
      </w:r>
      <w:r w:rsidR="004B4612" w:rsidRPr="0055784D">
        <w:rPr>
          <w:szCs w:val="24"/>
        </w:rPr>
        <w:t>önlemler</w:t>
      </w:r>
      <w:bookmarkEnd w:id="33"/>
    </w:p>
    <w:p w14:paraId="47C0A5A6" w14:textId="326BE18B" w:rsidR="005A374F" w:rsidRDefault="005962F1" w:rsidP="005A374F">
      <w:pPr>
        <w:spacing w:before="120" w:after="120"/>
        <w:jc w:val="both"/>
      </w:pPr>
      <w:bookmarkStart w:id="34" w:name="_Toc143173558"/>
      <w:bookmarkEnd w:id="28"/>
      <w:bookmarkEnd w:id="29"/>
      <w:r w:rsidRPr="002A3DB9">
        <w:t xml:space="preserve">(1) </w:t>
      </w:r>
      <w:bookmarkStart w:id="35" w:name="_Hlk171673580"/>
      <w:r w:rsidR="005A374F">
        <w:t>Soruşturma konusu üründe soruşturma konusu ülkelere diğer ülkeler tarafından uygulanan dampinge karşı önlemler, ihracatçı firmaların davranışlarını ve muhtemel dampingli ithalatı göstermesi açısından önem taşımaktadır.</w:t>
      </w:r>
    </w:p>
    <w:p w14:paraId="5E59DA2A" w14:textId="3F03639B" w:rsidR="004F68D7" w:rsidRPr="007B0AB8" w:rsidRDefault="005A374F" w:rsidP="007B0AB8">
      <w:pPr>
        <w:spacing w:before="120" w:after="120"/>
        <w:jc w:val="both"/>
      </w:pPr>
      <w:r>
        <w:t xml:space="preserve">(2) ÇHC menşeli soruşturma konusu ürün grubunu kapsayan </w:t>
      </w:r>
      <w:proofErr w:type="spellStart"/>
      <w:r>
        <w:t>GTP’lere</w:t>
      </w:r>
      <w:proofErr w:type="spellEnd"/>
      <w:r>
        <w:t xml:space="preserve"> yönelik olarak Amerika Birleşik Devletleri, Avrasya Ekonomik Topluluğu, Brezilya ve Tayland tarafından; Çin </w:t>
      </w:r>
      <w:proofErr w:type="spellStart"/>
      <w:r>
        <w:t>Tayvanı</w:t>
      </w:r>
      <w:proofErr w:type="spellEnd"/>
      <w:r>
        <w:t xml:space="preserve"> menşeli soruşturma konusu ürün grubunu kapsayan </w:t>
      </w:r>
      <w:proofErr w:type="spellStart"/>
      <w:r>
        <w:t>GTP’lere</w:t>
      </w:r>
      <w:proofErr w:type="spellEnd"/>
      <w:r>
        <w:t xml:space="preserve"> yönelik olarak ise, Amerika Birleşik Devletleri ve Tayland tarafından dampinge karşı önlem uygulanmaktadır.</w:t>
      </w:r>
      <w:r>
        <w:rPr>
          <w:rStyle w:val="DipnotBavurusu"/>
        </w:rPr>
        <w:footnoteReference w:id="1"/>
      </w:r>
      <w:bookmarkEnd w:id="35"/>
    </w:p>
    <w:p w14:paraId="08E25CF0" w14:textId="61E1C08F" w:rsidR="00E27949" w:rsidRPr="001161E3" w:rsidRDefault="00E27949" w:rsidP="005A374F">
      <w:pPr>
        <w:pStyle w:val="Balk2"/>
        <w:numPr>
          <w:ilvl w:val="1"/>
          <w:numId w:val="8"/>
        </w:numPr>
        <w:spacing w:before="120" w:after="120"/>
        <w:jc w:val="both"/>
      </w:pPr>
      <w:bookmarkStart w:id="36" w:name="_Toc162275016"/>
      <w:bookmarkStart w:id="37" w:name="_Toc98149757"/>
      <w:bookmarkEnd w:id="26"/>
      <w:bookmarkEnd w:id="34"/>
      <w:r w:rsidRPr="001161E3">
        <w:t xml:space="preserve">Dampingin </w:t>
      </w:r>
      <w:r w:rsidR="004B4612" w:rsidRPr="001161E3">
        <w:t>devamı veya yeniden meydana gelmesi ihtimaline ilişkin değerlendirme</w:t>
      </w:r>
      <w:bookmarkEnd w:id="36"/>
      <w:r w:rsidR="004B4612" w:rsidRPr="001161E3">
        <w:t xml:space="preserve"> </w:t>
      </w:r>
    </w:p>
    <w:p w14:paraId="0C1C7FE0" w14:textId="28D81ADE" w:rsidR="005A374F" w:rsidRPr="005A374F" w:rsidRDefault="005A374F" w:rsidP="005A374F">
      <w:pPr>
        <w:pStyle w:val="ListeParagraf"/>
        <w:numPr>
          <w:ilvl w:val="0"/>
          <w:numId w:val="40"/>
        </w:numPr>
        <w:spacing w:before="120" w:after="120"/>
        <w:jc w:val="both"/>
        <w:rPr>
          <w:color w:val="000000"/>
        </w:rPr>
      </w:pPr>
      <w:bookmarkStart w:id="38" w:name="_Toc223945996"/>
      <w:bookmarkStart w:id="39" w:name="_Toc239562543"/>
      <w:bookmarkStart w:id="40" w:name="_Toc133315941"/>
      <w:r w:rsidRPr="005A374F">
        <w:rPr>
          <w:color w:val="000000"/>
        </w:rPr>
        <w:t>Yapılan inceleme sonucunda;</w:t>
      </w:r>
    </w:p>
    <w:p w14:paraId="3C626049" w14:textId="77777777" w:rsidR="005A374F" w:rsidRPr="005A374F" w:rsidRDefault="005A374F" w:rsidP="005A374F">
      <w:pPr>
        <w:pStyle w:val="ListeParagraf"/>
        <w:numPr>
          <w:ilvl w:val="0"/>
          <w:numId w:val="41"/>
        </w:numPr>
        <w:spacing w:before="120" w:after="120"/>
        <w:jc w:val="both"/>
        <w:rPr>
          <w:color w:val="000000"/>
        </w:rPr>
      </w:pPr>
      <w:r w:rsidRPr="005A374F">
        <w:rPr>
          <w:color w:val="000000"/>
        </w:rPr>
        <w:lastRenderedPageBreak/>
        <w:t>Önlemin kalkması halinde soruşturma konusu ülkelerin davranışlarını göstermesi açısından önemli bir gösterge niteliğinde olan, esas soruşturmada soruşturma konusu ülkeler için tespit edilen damping marjlarının önemli oranlarda olduğu,</w:t>
      </w:r>
    </w:p>
    <w:p w14:paraId="251494EE" w14:textId="77777777" w:rsidR="005A374F" w:rsidRPr="005A374F" w:rsidRDefault="005A374F" w:rsidP="005A374F">
      <w:pPr>
        <w:pStyle w:val="ListeParagraf"/>
        <w:numPr>
          <w:ilvl w:val="0"/>
          <w:numId w:val="41"/>
        </w:numPr>
        <w:spacing w:before="120" w:after="120"/>
        <w:jc w:val="both"/>
        <w:rPr>
          <w:color w:val="000000"/>
        </w:rPr>
      </w:pPr>
      <w:r w:rsidRPr="005A374F">
        <w:rPr>
          <w:color w:val="000000"/>
        </w:rPr>
        <w:t xml:space="preserve">Soruşturma konusu ülkelerin soruşturma konusu üründe dünyadaki en önemli tedarikçi ülkelerden olması sebebiyle hâlihazırda Türkiye’ye yönlendirebileceği önemli üretim kapasitelerinin ve ihracat kabiliyetlerinin bulunduğu, </w:t>
      </w:r>
    </w:p>
    <w:p w14:paraId="21A24215" w14:textId="77777777" w:rsidR="005A374F" w:rsidRPr="005A374F" w:rsidRDefault="005A374F" w:rsidP="005A374F">
      <w:pPr>
        <w:pStyle w:val="ListeParagraf"/>
        <w:numPr>
          <w:ilvl w:val="0"/>
          <w:numId w:val="41"/>
        </w:numPr>
        <w:spacing w:before="120" w:after="120"/>
        <w:jc w:val="both"/>
        <w:rPr>
          <w:color w:val="000000"/>
        </w:rPr>
      </w:pPr>
      <w:r w:rsidRPr="005A374F">
        <w:rPr>
          <w:color w:val="000000"/>
        </w:rPr>
        <w:t>Fiyata duyarlı söz konusu ürün ihracatlarını büyük miktarlarda ve kolaylıkla Türkiye pazarına yönlendirilebilecekleri,</w:t>
      </w:r>
    </w:p>
    <w:p w14:paraId="68CDEE60" w14:textId="08743B89" w:rsidR="005A374F" w:rsidRPr="005A374F" w:rsidRDefault="00990AF2" w:rsidP="005A374F">
      <w:pPr>
        <w:pStyle w:val="ListeParagraf"/>
        <w:numPr>
          <w:ilvl w:val="0"/>
          <w:numId w:val="41"/>
        </w:numPr>
        <w:spacing w:before="120" w:after="120"/>
        <w:jc w:val="both"/>
        <w:rPr>
          <w:color w:val="000000"/>
        </w:rPr>
      </w:pPr>
      <w:r>
        <w:rPr>
          <w:color w:val="000000"/>
        </w:rPr>
        <w:t>Muhtelif</w:t>
      </w:r>
      <w:r w:rsidR="005A374F" w:rsidRPr="005A374F">
        <w:rPr>
          <w:color w:val="000000"/>
        </w:rPr>
        <w:t xml:space="preserve"> ülkeler tarafından ÇHC ve Çin </w:t>
      </w:r>
      <w:proofErr w:type="spellStart"/>
      <w:r w:rsidR="005A374F" w:rsidRPr="005A374F">
        <w:rPr>
          <w:color w:val="000000"/>
        </w:rPr>
        <w:t>Tayvanı</w:t>
      </w:r>
      <w:proofErr w:type="spellEnd"/>
      <w:r w:rsidR="005A374F" w:rsidRPr="005A374F">
        <w:rPr>
          <w:color w:val="000000"/>
        </w:rPr>
        <w:t xml:space="preserve"> menşeli soruşturma konusu ürün grubunu kapsayan </w:t>
      </w:r>
      <w:proofErr w:type="spellStart"/>
      <w:r w:rsidR="005A374F" w:rsidRPr="005A374F">
        <w:rPr>
          <w:color w:val="000000"/>
        </w:rPr>
        <w:t>GTP’lere</w:t>
      </w:r>
      <w:proofErr w:type="spellEnd"/>
      <w:r w:rsidR="005A374F" w:rsidRPr="005A374F">
        <w:rPr>
          <w:color w:val="000000"/>
        </w:rPr>
        <w:t xml:space="preserve"> yönelik olan dampinge karşı önlemlerin halen yürürlükte olduğu</w:t>
      </w:r>
    </w:p>
    <w:p w14:paraId="43346103" w14:textId="3F3ED568" w:rsidR="00227002" w:rsidRPr="00233EA4" w:rsidRDefault="005A374F" w:rsidP="005A374F">
      <w:pPr>
        <w:spacing w:before="120" w:after="120"/>
        <w:jc w:val="both"/>
        <w:rPr>
          <w:bCs/>
        </w:rPr>
      </w:pPr>
      <w:proofErr w:type="gramStart"/>
      <w:r w:rsidRPr="005A374F">
        <w:rPr>
          <w:color w:val="000000"/>
        </w:rPr>
        <w:t>hususları</w:t>
      </w:r>
      <w:proofErr w:type="gramEnd"/>
      <w:r w:rsidRPr="005A374F">
        <w:rPr>
          <w:color w:val="000000"/>
        </w:rPr>
        <w:t xml:space="preserve"> birlikte değerlendirildiğinde, yürürlükteki önlemin kalkması halinde dampingli ithalatın devam etmesinin veya yeniden meydana gelmesinin muhtemel olduğu değerlendirilmektedir</w:t>
      </w:r>
      <w:r w:rsidR="00227002" w:rsidRPr="00173A84">
        <w:rPr>
          <w:color w:val="000000"/>
        </w:rPr>
        <w:t>.</w:t>
      </w:r>
    </w:p>
    <w:bookmarkEnd w:id="38"/>
    <w:bookmarkEnd w:id="39"/>
    <w:bookmarkEnd w:id="40"/>
    <w:p w14:paraId="1D3F5B40" w14:textId="77777777" w:rsidR="00E63906" w:rsidRPr="0055784D" w:rsidRDefault="00101D28" w:rsidP="007B0AB8">
      <w:pPr>
        <w:pStyle w:val="Balk1"/>
        <w:numPr>
          <w:ilvl w:val="0"/>
          <w:numId w:val="2"/>
        </w:numPr>
        <w:spacing w:before="120" w:after="120"/>
        <w:rPr>
          <w:rFonts w:ascii="Times New Roman" w:hAnsi="Times New Roman" w:cs="Times New Roman"/>
          <w:sz w:val="24"/>
          <w:szCs w:val="24"/>
        </w:rPr>
      </w:pPr>
      <w:r w:rsidRPr="0055784D">
        <w:rPr>
          <w:rFonts w:ascii="Times New Roman" w:hAnsi="Times New Roman" w:cs="Times New Roman"/>
          <w:sz w:val="24"/>
          <w:szCs w:val="24"/>
        </w:rPr>
        <w:t>Zararın Devamı veya Yeniden Meydana Gelmesi İhtimali</w:t>
      </w:r>
      <w:bookmarkEnd w:id="37"/>
    </w:p>
    <w:p w14:paraId="229C609F" w14:textId="60B2D0D4" w:rsidR="00DC6AC5" w:rsidRDefault="00416783" w:rsidP="007B0AB8">
      <w:pPr>
        <w:pStyle w:val="Balk2"/>
        <w:numPr>
          <w:ilvl w:val="1"/>
          <w:numId w:val="2"/>
        </w:numPr>
        <w:spacing w:before="120" w:after="120"/>
        <w:ind w:left="426"/>
        <w:rPr>
          <w:szCs w:val="24"/>
        </w:rPr>
      </w:pPr>
      <w:bookmarkStart w:id="41" w:name="_Toc317854287"/>
      <w:bookmarkStart w:id="42" w:name="_Toc98149758"/>
      <w:r w:rsidRPr="0055784D">
        <w:rPr>
          <w:szCs w:val="24"/>
        </w:rPr>
        <w:t xml:space="preserve">Genel </w:t>
      </w:r>
      <w:r w:rsidR="004B4612" w:rsidRPr="0055784D">
        <w:rPr>
          <w:szCs w:val="24"/>
        </w:rPr>
        <w:t>açıklamalar</w:t>
      </w:r>
      <w:bookmarkEnd w:id="41"/>
      <w:bookmarkEnd w:id="42"/>
    </w:p>
    <w:p w14:paraId="5093344A" w14:textId="77777777" w:rsidR="005A374F" w:rsidRPr="005A374F" w:rsidRDefault="005A374F" w:rsidP="005A374F">
      <w:pPr>
        <w:numPr>
          <w:ilvl w:val="0"/>
          <w:numId w:val="17"/>
        </w:numPr>
        <w:autoSpaceDE w:val="0"/>
        <w:autoSpaceDN w:val="0"/>
        <w:adjustRightInd w:val="0"/>
        <w:spacing w:before="120" w:after="120"/>
        <w:jc w:val="both"/>
        <w:rPr>
          <w:color w:val="000000"/>
        </w:rPr>
      </w:pPr>
      <w:bookmarkStart w:id="43" w:name="_Hlk171673617"/>
      <w:r w:rsidRPr="005A374F">
        <w:rPr>
          <w:color w:val="000000"/>
        </w:rPr>
        <w:t>Yönetmeliğin 35 inci maddesi çerçevesinde, gözden geçirme döneminde yerli üretim dalının ekonomik göstergeleri ve önlemin yürürlükten kalkması halinde zararın devam etmesinin veya yeniden meydana gelmesinin muhtemel olup olmadığı incelenmiştir. Bu kapsamda, ithalatın mutlak ve nispi olarak gelişimi, ithalat fiyatlarının seyri ile yerli üretim dalının ekonomik göstergeleri değerlendirilmiştir. Söz konusu değerlendirme 1/1/2020-30/6/2023 dönemi için analiz edilmiştir.</w:t>
      </w:r>
    </w:p>
    <w:p w14:paraId="2868C307" w14:textId="20CF01E4" w:rsidR="00595693" w:rsidRPr="005A374F" w:rsidRDefault="005A374F" w:rsidP="005A374F">
      <w:pPr>
        <w:autoSpaceDE w:val="0"/>
        <w:autoSpaceDN w:val="0"/>
        <w:adjustRightInd w:val="0"/>
        <w:spacing w:before="120" w:after="120"/>
        <w:jc w:val="both"/>
        <w:rPr>
          <w:color w:val="000000"/>
        </w:rPr>
      </w:pPr>
      <w:r w:rsidRPr="005A374F">
        <w:rPr>
          <w:color w:val="000000"/>
        </w:rPr>
        <w:t>(2) Soruşturma konusu ürünün genel ithalatı ve soruşturma konusu ülkelerden yapılan ithalatın incelenmesinde Ticaret Bakanlığı KÜBİS Özel Ticaret Sistemi (ÖTS) veri tabanı verileri kullanılmıştır.</w:t>
      </w:r>
      <w:bookmarkEnd w:id="43"/>
    </w:p>
    <w:p w14:paraId="050F1EE4" w14:textId="520AD030" w:rsidR="00C5448E" w:rsidRPr="004B4612" w:rsidRDefault="00E01E13" w:rsidP="007B0AB8">
      <w:pPr>
        <w:pStyle w:val="Balk2"/>
        <w:numPr>
          <w:ilvl w:val="1"/>
          <w:numId w:val="2"/>
        </w:numPr>
        <w:spacing w:before="120" w:after="120"/>
        <w:ind w:left="426"/>
        <w:rPr>
          <w:szCs w:val="24"/>
        </w:rPr>
      </w:pPr>
      <w:bookmarkStart w:id="44" w:name="_Toc98149759"/>
      <w:r w:rsidRPr="004B4612">
        <w:rPr>
          <w:szCs w:val="24"/>
        </w:rPr>
        <w:t xml:space="preserve">Ürünün </w:t>
      </w:r>
      <w:r w:rsidR="004B4612" w:rsidRPr="004B4612">
        <w:rPr>
          <w:szCs w:val="24"/>
        </w:rPr>
        <w:t xml:space="preserve">genel ithalatının mutlak gelişimi ile fiyatları </w:t>
      </w:r>
      <w:bookmarkEnd w:id="44"/>
    </w:p>
    <w:p w14:paraId="1F256CC3" w14:textId="77777777" w:rsidR="00B148D4" w:rsidRPr="00B148D4" w:rsidRDefault="00B148D4" w:rsidP="00B148D4">
      <w:pPr>
        <w:autoSpaceDE w:val="0"/>
        <w:autoSpaceDN w:val="0"/>
        <w:adjustRightInd w:val="0"/>
        <w:spacing w:before="120" w:after="120"/>
        <w:jc w:val="both"/>
        <w:rPr>
          <w:color w:val="000000"/>
        </w:rPr>
      </w:pPr>
      <w:bookmarkStart w:id="45" w:name="_Hlk171673634"/>
      <w:r w:rsidRPr="00B148D4">
        <w:rPr>
          <w:color w:val="000000"/>
        </w:rPr>
        <w:t xml:space="preserve">(1) Soruşturma konusu ürüne ilişkin genel ithalat istatistiklerine bakıldığında, toplam ithalatın 2020 yılında 28.427 ton, 2021 yılında 27.353 ton, 2022 yılında 24.424 ton ve </w:t>
      </w:r>
      <w:proofErr w:type="spellStart"/>
      <w:r w:rsidRPr="00B148D4">
        <w:rPr>
          <w:color w:val="000000"/>
        </w:rPr>
        <w:t>SD’de</w:t>
      </w:r>
      <w:proofErr w:type="spellEnd"/>
      <w:r w:rsidRPr="00B148D4">
        <w:rPr>
          <w:color w:val="000000"/>
        </w:rPr>
        <w:t xml:space="preserve"> ise 23.209 ton olarak gerçekleştiği görülmüştür. </w:t>
      </w:r>
    </w:p>
    <w:p w14:paraId="5EE355C8" w14:textId="77777777" w:rsidR="00B148D4" w:rsidRPr="00B148D4" w:rsidRDefault="00B148D4" w:rsidP="00B148D4">
      <w:pPr>
        <w:autoSpaceDE w:val="0"/>
        <w:autoSpaceDN w:val="0"/>
        <w:adjustRightInd w:val="0"/>
        <w:spacing w:before="120" w:after="120"/>
        <w:jc w:val="both"/>
        <w:rPr>
          <w:color w:val="000000"/>
        </w:rPr>
      </w:pPr>
      <w:r w:rsidRPr="00B148D4">
        <w:rPr>
          <w:color w:val="000000"/>
        </w:rPr>
        <w:t>(2) Söz konusu ithalatın değeri incelenen yıllarda sırasıyla 92 milyon ABD doları, 112 milyon ABD doları, 118 milyon ABD doları ve 106 milyon ABD doları seviyelerinde gerçekleşmiştir.</w:t>
      </w:r>
    </w:p>
    <w:p w14:paraId="2BFB886C" w14:textId="550AC297" w:rsidR="008F034C" w:rsidRPr="007B0AB8" w:rsidRDefault="00B148D4" w:rsidP="007B0AB8">
      <w:pPr>
        <w:autoSpaceDE w:val="0"/>
        <w:autoSpaceDN w:val="0"/>
        <w:adjustRightInd w:val="0"/>
        <w:spacing w:before="120" w:after="120"/>
        <w:jc w:val="both"/>
        <w:rPr>
          <w:color w:val="000000"/>
        </w:rPr>
      </w:pPr>
      <w:r w:rsidRPr="00B148D4">
        <w:rPr>
          <w:color w:val="000000"/>
        </w:rPr>
        <w:t>(3) Söz konusu ithalatın ortalama birim fiyatları, incelenen dönem itibarıyla sırasıyla 3.236 ABD doları/ton, 4.077 ABD doları/ton, 4.827 ABD doları/ton ve 4.549 ABD doları/ton olarak gerçekleşmiştir</w:t>
      </w:r>
      <w:r w:rsidR="00BD6F98" w:rsidRPr="00B148D4">
        <w:rPr>
          <w:bCs/>
        </w:rPr>
        <w:t>.</w:t>
      </w:r>
      <w:bookmarkStart w:id="46" w:name="_Toc157613287"/>
      <w:bookmarkStart w:id="47" w:name="_Toc157613368"/>
      <w:bookmarkStart w:id="48" w:name="_Toc157613447"/>
      <w:bookmarkStart w:id="49" w:name="_Toc155356510"/>
      <w:bookmarkStart w:id="50" w:name="_Toc157601830"/>
      <w:bookmarkStart w:id="51" w:name="_Toc157601913"/>
      <w:bookmarkStart w:id="52" w:name="_Toc157602578"/>
      <w:bookmarkStart w:id="53" w:name="_Toc157613095"/>
      <w:bookmarkStart w:id="54" w:name="_Toc157613179"/>
      <w:bookmarkStart w:id="55" w:name="_Toc157613291"/>
      <w:bookmarkStart w:id="56" w:name="_Toc157613372"/>
      <w:bookmarkStart w:id="57" w:name="_Toc157613451"/>
      <w:bookmarkStart w:id="58" w:name="_Toc101881964"/>
      <w:bookmarkEnd w:id="45"/>
      <w:bookmarkEnd w:id="46"/>
      <w:bookmarkEnd w:id="47"/>
      <w:bookmarkEnd w:id="48"/>
      <w:bookmarkEnd w:id="49"/>
      <w:bookmarkEnd w:id="50"/>
      <w:bookmarkEnd w:id="51"/>
      <w:bookmarkEnd w:id="52"/>
      <w:bookmarkEnd w:id="53"/>
      <w:bookmarkEnd w:id="54"/>
      <w:bookmarkEnd w:id="55"/>
      <w:bookmarkEnd w:id="56"/>
      <w:bookmarkEnd w:id="57"/>
    </w:p>
    <w:p w14:paraId="6BAD51D3" w14:textId="6283A983" w:rsidR="008F034C" w:rsidRPr="001161E3" w:rsidRDefault="008F034C" w:rsidP="007B0AB8">
      <w:pPr>
        <w:pStyle w:val="Balk2"/>
        <w:numPr>
          <w:ilvl w:val="1"/>
          <w:numId w:val="2"/>
        </w:numPr>
        <w:spacing w:before="120" w:after="120"/>
        <w:jc w:val="both"/>
        <w:rPr>
          <w:szCs w:val="24"/>
        </w:rPr>
      </w:pPr>
      <w:bookmarkStart w:id="59" w:name="_Toc157613452"/>
      <w:r w:rsidRPr="001161E3">
        <w:rPr>
          <w:szCs w:val="24"/>
        </w:rPr>
        <w:t xml:space="preserve">Soruşturma </w:t>
      </w:r>
      <w:r w:rsidR="004B4612" w:rsidRPr="001161E3">
        <w:rPr>
          <w:szCs w:val="24"/>
        </w:rPr>
        <w:t>konusu ülke</w:t>
      </w:r>
      <w:r w:rsidR="00990AF2">
        <w:rPr>
          <w:szCs w:val="24"/>
        </w:rPr>
        <w:t>ler</w:t>
      </w:r>
      <w:r w:rsidR="004B4612" w:rsidRPr="001161E3">
        <w:rPr>
          <w:szCs w:val="24"/>
        </w:rPr>
        <w:t>den ithalatın mutlak gelişimi ve fiyatları</w:t>
      </w:r>
      <w:bookmarkEnd w:id="58"/>
      <w:bookmarkEnd w:id="59"/>
    </w:p>
    <w:p w14:paraId="1E7F37EF" w14:textId="77777777" w:rsidR="00B148D4" w:rsidRPr="00B148D4" w:rsidRDefault="00B148D4" w:rsidP="007B0AB8">
      <w:pPr>
        <w:pStyle w:val="Balk2"/>
        <w:keepLines w:val="0"/>
        <w:numPr>
          <w:ilvl w:val="2"/>
          <w:numId w:val="2"/>
        </w:numPr>
        <w:spacing w:before="0"/>
        <w:rPr>
          <w:bCs/>
          <w:szCs w:val="24"/>
        </w:rPr>
      </w:pPr>
      <w:bookmarkStart w:id="60" w:name="_Toc198902950"/>
      <w:bookmarkStart w:id="61" w:name="_Toc101881965"/>
      <w:bookmarkStart w:id="62" w:name="_Toc157613453"/>
      <w:r w:rsidRPr="00B148D4">
        <w:rPr>
          <w:bCs/>
          <w:szCs w:val="24"/>
        </w:rPr>
        <w:t>Çin Halk Cumhuriyeti</w:t>
      </w:r>
      <w:bookmarkEnd w:id="60"/>
      <w:r w:rsidRPr="00B148D4">
        <w:rPr>
          <w:bCs/>
          <w:szCs w:val="24"/>
        </w:rPr>
        <w:t xml:space="preserve"> </w:t>
      </w:r>
    </w:p>
    <w:p w14:paraId="1862A0E7" w14:textId="77777777" w:rsidR="00B148D4" w:rsidRPr="00990AF2" w:rsidRDefault="00B148D4" w:rsidP="00990AF2">
      <w:pPr>
        <w:autoSpaceDE w:val="0"/>
        <w:autoSpaceDN w:val="0"/>
        <w:adjustRightInd w:val="0"/>
        <w:spacing w:before="120" w:after="120"/>
        <w:jc w:val="both"/>
        <w:rPr>
          <w:color w:val="000000"/>
        </w:rPr>
      </w:pPr>
      <w:r w:rsidRPr="00990AF2">
        <w:rPr>
          <w:color w:val="000000"/>
        </w:rPr>
        <w:t xml:space="preserve">(1) ÇHC menşeli soruşturma konusu ürün ithalatı 2020 yılında 971 ton, 2021 yılında 918 ton, 2022 yılında 1.667 ton, </w:t>
      </w:r>
      <w:proofErr w:type="spellStart"/>
      <w:r w:rsidRPr="00990AF2">
        <w:rPr>
          <w:color w:val="000000"/>
        </w:rPr>
        <w:t>SD’de</w:t>
      </w:r>
      <w:proofErr w:type="spellEnd"/>
      <w:r w:rsidRPr="00990AF2">
        <w:rPr>
          <w:color w:val="000000"/>
        </w:rPr>
        <w:t xml:space="preserve"> ise 868 ton seviyesinde gerçekleşmiştir. </w:t>
      </w:r>
    </w:p>
    <w:p w14:paraId="587FEEBD" w14:textId="77777777" w:rsidR="00B148D4" w:rsidRPr="00990AF2" w:rsidRDefault="00B148D4" w:rsidP="00990AF2">
      <w:pPr>
        <w:autoSpaceDE w:val="0"/>
        <w:autoSpaceDN w:val="0"/>
        <w:adjustRightInd w:val="0"/>
        <w:spacing w:before="120" w:after="120"/>
        <w:jc w:val="both"/>
        <w:rPr>
          <w:color w:val="000000"/>
        </w:rPr>
      </w:pPr>
      <w:r w:rsidRPr="00990AF2">
        <w:rPr>
          <w:color w:val="000000"/>
        </w:rPr>
        <w:t>(2) Söz konusu ithalatın değeri incelenen yıllarda sırasıyla 1,8 milyon ABD doları, 3,1 milyon ABD doları, 6,8 milyon ABD doları ve 3,9 milyon ABD doları seviyelerinde gerçekleşmiştir.</w:t>
      </w:r>
    </w:p>
    <w:p w14:paraId="19C177C6" w14:textId="77777777" w:rsidR="00B148D4" w:rsidRPr="00990AF2" w:rsidRDefault="00B148D4" w:rsidP="00990AF2">
      <w:pPr>
        <w:autoSpaceDE w:val="0"/>
        <w:autoSpaceDN w:val="0"/>
        <w:adjustRightInd w:val="0"/>
        <w:spacing w:before="120" w:after="120"/>
        <w:jc w:val="both"/>
        <w:rPr>
          <w:color w:val="000000"/>
        </w:rPr>
      </w:pPr>
      <w:r w:rsidRPr="00990AF2">
        <w:rPr>
          <w:color w:val="000000"/>
        </w:rPr>
        <w:t xml:space="preserve">(3) Söz konusu ithalatın ortalama birim fiyatları, incelenen dönem itibarıyla sırasıyla 1.903 ABD doları/ton, 3.361 ABD doları/ton, 4.105 ABD doları/ton ve 4.485 ABD doları/ton olarak gerçekleşmiştir. </w:t>
      </w:r>
    </w:p>
    <w:p w14:paraId="1CBDBE0A" w14:textId="77777777" w:rsidR="00B148D4" w:rsidRPr="00990AF2" w:rsidRDefault="00B148D4" w:rsidP="00990AF2">
      <w:pPr>
        <w:autoSpaceDE w:val="0"/>
        <w:autoSpaceDN w:val="0"/>
        <w:adjustRightInd w:val="0"/>
        <w:spacing w:before="120" w:after="120"/>
        <w:jc w:val="both"/>
        <w:rPr>
          <w:color w:val="000000"/>
        </w:rPr>
      </w:pPr>
      <w:r w:rsidRPr="00990AF2">
        <w:rPr>
          <w:color w:val="000000"/>
        </w:rPr>
        <w:lastRenderedPageBreak/>
        <w:t xml:space="preserve">(4) ÇHC menşeli ürün ithalatının toplam ithalat içindeki payı ise incelenen dönem itibarıyla sırasıyla %3,4, %3,4, %6,8 ve %3,7 olarak gerçekleşmiştir. </w:t>
      </w:r>
    </w:p>
    <w:p w14:paraId="7447EA9D" w14:textId="77777777" w:rsidR="00B148D4" w:rsidRPr="00B148D4" w:rsidRDefault="00B148D4" w:rsidP="007B0AB8">
      <w:pPr>
        <w:pStyle w:val="Balk2"/>
        <w:keepLines w:val="0"/>
        <w:numPr>
          <w:ilvl w:val="2"/>
          <w:numId w:val="2"/>
        </w:numPr>
        <w:spacing w:before="0"/>
        <w:rPr>
          <w:bCs/>
          <w:szCs w:val="24"/>
        </w:rPr>
      </w:pPr>
      <w:bookmarkStart w:id="63" w:name="_Toc198902951"/>
      <w:r w:rsidRPr="00B148D4">
        <w:rPr>
          <w:bCs/>
          <w:szCs w:val="24"/>
        </w:rPr>
        <w:t xml:space="preserve">Çin </w:t>
      </w:r>
      <w:proofErr w:type="spellStart"/>
      <w:r w:rsidRPr="00B148D4">
        <w:rPr>
          <w:bCs/>
          <w:szCs w:val="24"/>
        </w:rPr>
        <w:t>Tayvanı</w:t>
      </w:r>
      <w:bookmarkEnd w:id="63"/>
      <w:proofErr w:type="spellEnd"/>
      <w:r w:rsidRPr="00B148D4">
        <w:rPr>
          <w:bCs/>
          <w:szCs w:val="24"/>
        </w:rPr>
        <w:t xml:space="preserve"> </w:t>
      </w:r>
    </w:p>
    <w:p w14:paraId="5E9AAF86" w14:textId="77777777" w:rsidR="00B148D4" w:rsidRPr="00990AF2" w:rsidRDefault="00B148D4" w:rsidP="00990AF2">
      <w:pPr>
        <w:autoSpaceDE w:val="0"/>
        <w:autoSpaceDN w:val="0"/>
        <w:adjustRightInd w:val="0"/>
        <w:spacing w:before="120" w:after="120"/>
        <w:jc w:val="both"/>
        <w:rPr>
          <w:color w:val="000000"/>
        </w:rPr>
      </w:pPr>
      <w:r w:rsidRPr="00990AF2">
        <w:rPr>
          <w:color w:val="000000"/>
        </w:rPr>
        <w:t xml:space="preserve">(1) Çin </w:t>
      </w:r>
      <w:proofErr w:type="spellStart"/>
      <w:r w:rsidRPr="00990AF2">
        <w:rPr>
          <w:color w:val="000000"/>
        </w:rPr>
        <w:t>Tayvanı</w:t>
      </w:r>
      <w:proofErr w:type="spellEnd"/>
      <w:r w:rsidRPr="00990AF2">
        <w:rPr>
          <w:color w:val="000000"/>
        </w:rPr>
        <w:t xml:space="preserve"> menşeli soruşturma konusu ürün ithalatı 2020 yılında 1.709 ton, 2021 yılında 1.027 ton, 2022 yılında 347 ton, </w:t>
      </w:r>
      <w:proofErr w:type="spellStart"/>
      <w:r w:rsidRPr="00990AF2">
        <w:rPr>
          <w:color w:val="000000"/>
        </w:rPr>
        <w:t>SD’de</w:t>
      </w:r>
      <w:proofErr w:type="spellEnd"/>
      <w:r w:rsidRPr="00990AF2">
        <w:rPr>
          <w:color w:val="000000"/>
        </w:rPr>
        <w:t xml:space="preserve"> ise 203 ton seviyesinde gerçekleşmiştir. </w:t>
      </w:r>
    </w:p>
    <w:p w14:paraId="69308D86" w14:textId="77777777" w:rsidR="00B148D4" w:rsidRPr="00990AF2" w:rsidRDefault="00B148D4" w:rsidP="00990AF2">
      <w:pPr>
        <w:autoSpaceDE w:val="0"/>
        <w:autoSpaceDN w:val="0"/>
        <w:adjustRightInd w:val="0"/>
        <w:spacing w:before="120" w:after="120"/>
        <w:jc w:val="both"/>
        <w:rPr>
          <w:color w:val="000000"/>
        </w:rPr>
      </w:pPr>
      <w:r w:rsidRPr="00990AF2">
        <w:rPr>
          <w:color w:val="000000"/>
        </w:rPr>
        <w:t>(2) Söz konusu ithalatın değeri incelenen yıllarda sırasıyla 4,5 milyon ABD doları, 4 milyon ABD doları, 1,9 milyon ABD doları ve 920 bin ABD doları seviyelerinde gerçekleşmiştir.</w:t>
      </w:r>
    </w:p>
    <w:p w14:paraId="7EE4857B" w14:textId="77777777" w:rsidR="00B148D4" w:rsidRPr="00990AF2" w:rsidRDefault="00B148D4" w:rsidP="00990AF2">
      <w:pPr>
        <w:autoSpaceDE w:val="0"/>
        <w:autoSpaceDN w:val="0"/>
        <w:adjustRightInd w:val="0"/>
        <w:spacing w:before="120" w:after="120"/>
        <w:jc w:val="both"/>
        <w:rPr>
          <w:color w:val="000000"/>
        </w:rPr>
      </w:pPr>
      <w:r w:rsidRPr="00990AF2">
        <w:rPr>
          <w:color w:val="000000"/>
        </w:rPr>
        <w:t xml:space="preserve">(3) Söz konusu ithalatın ortalama birim fiyatları, incelenen dönem itibarıyla sırasıyla 2.606 ABD doları/ton, 3.917 ABD doları/ton, 5.407 ABD doları/ton ve 4.520 ABD doları/ton olarak gerçekleşmiştir. </w:t>
      </w:r>
    </w:p>
    <w:p w14:paraId="3199C414" w14:textId="77777777" w:rsidR="00B148D4" w:rsidRPr="00990AF2" w:rsidRDefault="00B148D4" w:rsidP="00990AF2">
      <w:pPr>
        <w:autoSpaceDE w:val="0"/>
        <w:autoSpaceDN w:val="0"/>
        <w:adjustRightInd w:val="0"/>
        <w:spacing w:before="120" w:after="120"/>
        <w:jc w:val="both"/>
        <w:rPr>
          <w:color w:val="000000"/>
        </w:rPr>
      </w:pPr>
      <w:r w:rsidRPr="00990AF2">
        <w:rPr>
          <w:color w:val="000000"/>
        </w:rPr>
        <w:t xml:space="preserve">(4) Çin </w:t>
      </w:r>
      <w:proofErr w:type="spellStart"/>
      <w:r w:rsidRPr="00990AF2">
        <w:rPr>
          <w:color w:val="000000"/>
        </w:rPr>
        <w:t>Tayvanı</w:t>
      </w:r>
      <w:proofErr w:type="spellEnd"/>
      <w:r w:rsidRPr="00990AF2">
        <w:rPr>
          <w:color w:val="000000"/>
        </w:rPr>
        <w:t xml:space="preserve"> menşeli ürün ithalatının toplam ithalat içindeki payı ise incelenen dönem itibarıyla sırasıyla %6, %3,8, %1,4 ve %0,9 olarak gerçekleşmiştir. </w:t>
      </w:r>
    </w:p>
    <w:p w14:paraId="7D7A0546" w14:textId="1663C312" w:rsidR="00AB2287" w:rsidRPr="001161E3" w:rsidRDefault="00AB2287" w:rsidP="007B0AB8">
      <w:pPr>
        <w:pStyle w:val="Balk2"/>
        <w:numPr>
          <w:ilvl w:val="1"/>
          <w:numId w:val="2"/>
        </w:numPr>
        <w:spacing w:before="120" w:after="120"/>
        <w:ind w:left="0" w:firstLine="0"/>
        <w:jc w:val="both"/>
        <w:rPr>
          <w:szCs w:val="24"/>
        </w:rPr>
      </w:pPr>
      <w:r w:rsidRPr="001161E3">
        <w:rPr>
          <w:szCs w:val="24"/>
        </w:rPr>
        <w:t xml:space="preserve">Diğer </w:t>
      </w:r>
      <w:r w:rsidR="00990AF2">
        <w:rPr>
          <w:szCs w:val="24"/>
        </w:rPr>
        <w:t>ü</w:t>
      </w:r>
      <w:r w:rsidRPr="001161E3">
        <w:rPr>
          <w:szCs w:val="24"/>
        </w:rPr>
        <w:t xml:space="preserve">lkelerden </w:t>
      </w:r>
      <w:r w:rsidR="00990AF2">
        <w:rPr>
          <w:szCs w:val="24"/>
        </w:rPr>
        <w:t>g</w:t>
      </w:r>
      <w:r w:rsidR="00555160" w:rsidRPr="001161E3">
        <w:rPr>
          <w:szCs w:val="24"/>
        </w:rPr>
        <w:t xml:space="preserve">erçekleşen </w:t>
      </w:r>
      <w:r w:rsidR="00990AF2">
        <w:rPr>
          <w:szCs w:val="24"/>
        </w:rPr>
        <w:t>i</w:t>
      </w:r>
      <w:r w:rsidRPr="001161E3">
        <w:rPr>
          <w:szCs w:val="24"/>
        </w:rPr>
        <w:t xml:space="preserve">thalatın </w:t>
      </w:r>
      <w:r w:rsidR="00990AF2">
        <w:rPr>
          <w:szCs w:val="24"/>
        </w:rPr>
        <w:t>m</w:t>
      </w:r>
      <w:r w:rsidRPr="001161E3">
        <w:rPr>
          <w:szCs w:val="24"/>
        </w:rPr>
        <w:t xml:space="preserve">utlak </w:t>
      </w:r>
      <w:r w:rsidR="00990AF2">
        <w:rPr>
          <w:szCs w:val="24"/>
        </w:rPr>
        <w:t>g</w:t>
      </w:r>
      <w:r w:rsidRPr="001161E3">
        <w:rPr>
          <w:szCs w:val="24"/>
        </w:rPr>
        <w:t xml:space="preserve">elişimi </w:t>
      </w:r>
      <w:r w:rsidR="00990AF2">
        <w:rPr>
          <w:szCs w:val="24"/>
        </w:rPr>
        <w:t>v</w:t>
      </w:r>
      <w:r w:rsidRPr="001161E3">
        <w:rPr>
          <w:szCs w:val="24"/>
        </w:rPr>
        <w:t xml:space="preserve">e </w:t>
      </w:r>
      <w:r w:rsidR="00990AF2">
        <w:rPr>
          <w:szCs w:val="24"/>
        </w:rPr>
        <w:t>f</w:t>
      </w:r>
      <w:r w:rsidRPr="001161E3">
        <w:rPr>
          <w:szCs w:val="24"/>
        </w:rPr>
        <w:t xml:space="preserve">iyatları </w:t>
      </w:r>
      <w:bookmarkEnd w:id="61"/>
      <w:bookmarkEnd w:id="62"/>
    </w:p>
    <w:p w14:paraId="40EF58BB" w14:textId="650FE578" w:rsidR="00B148D4" w:rsidRPr="00CB3E7E" w:rsidRDefault="00CB3E7E" w:rsidP="00CB3E7E">
      <w:pPr>
        <w:autoSpaceDE w:val="0"/>
        <w:autoSpaceDN w:val="0"/>
        <w:adjustRightInd w:val="0"/>
        <w:spacing w:before="120" w:after="120"/>
        <w:jc w:val="both"/>
        <w:rPr>
          <w:color w:val="000000"/>
        </w:rPr>
      </w:pPr>
      <w:bookmarkStart w:id="64" w:name="_Toc98149760"/>
      <w:r w:rsidRPr="00990AF2">
        <w:rPr>
          <w:color w:val="000000"/>
        </w:rPr>
        <w:t xml:space="preserve">(1) </w:t>
      </w:r>
      <w:r w:rsidR="00B148D4" w:rsidRPr="00CB3E7E">
        <w:rPr>
          <w:color w:val="000000"/>
        </w:rPr>
        <w:t xml:space="preserve">Soruşturma konusu ürünün diğer ülkelerden ithalatı, 2020 yılında 25.747 ton, 2021 yılında 25.407 ton, 2022 yılında 22.410 ton, </w:t>
      </w:r>
      <w:proofErr w:type="spellStart"/>
      <w:r w:rsidR="00B148D4" w:rsidRPr="00CB3E7E">
        <w:rPr>
          <w:color w:val="000000"/>
        </w:rPr>
        <w:t>SD’de</w:t>
      </w:r>
      <w:proofErr w:type="spellEnd"/>
      <w:r w:rsidR="00B148D4" w:rsidRPr="00CB3E7E">
        <w:rPr>
          <w:color w:val="000000"/>
        </w:rPr>
        <w:t xml:space="preserve"> ise 22.138 ton seviyesinde gerçekleşmiştir. </w:t>
      </w:r>
    </w:p>
    <w:p w14:paraId="616EFF32" w14:textId="1FA12EBD" w:rsidR="00B148D4" w:rsidRPr="00CB3E7E" w:rsidRDefault="00CB3E7E" w:rsidP="00CB3E7E">
      <w:pPr>
        <w:autoSpaceDE w:val="0"/>
        <w:autoSpaceDN w:val="0"/>
        <w:adjustRightInd w:val="0"/>
        <w:spacing w:before="120" w:after="120"/>
        <w:jc w:val="both"/>
        <w:rPr>
          <w:color w:val="000000"/>
        </w:rPr>
      </w:pPr>
      <w:r w:rsidRPr="00990AF2">
        <w:rPr>
          <w:color w:val="000000"/>
        </w:rPr>
        <w:t xml:space="preserve">(2) </w:t>
      </w:r>
      <w:r w:rsidR="00B148D4" w:rsidRPr="00CB3E7E">
        <w:rPr>
          <w:color w:val="000000"/>
        </w:rPr>
        <w:t>Söz konusu ithalatın değeri incelenen yıllarda sırasıyla 86 milyon ABD doları, 104 milyon ABD doları, 109 milyon ABD doları ve 101 milyon ABD doları seviyelerinde gerçekleşmiştir.</w:t>
      </w:r>
    </w:p>
    <w:p w14:paraId="2C992821" w14:textId="1FC6329C" w:rsidR="00B148D4" w:rsidRPr="00CB3E7E" w:rsidRDefault="00CB3E7E" w:rsidP="00CB3E7E">
      <w:pPr>
        <w:autoSpaceDE w:val="0"/>
        <w:autoSpaceDN w:val="0"/>
        <w:adjustRightInd w:val="0"/>
        <w:spacing w:before="120" w:after="120"/>
        <w:jc w:val="both"/>
        <w:rPr>
          <w:color w:val="000000"/>
        </w:rPr>
      </w:pPr>
      <w:r w:rsidRPr="00990AF2">
        <w:rPr>
          <w:color w:val="000000"/>
        </w:rPr>
        <w:t xml:space="preserve">(3) </w:t>
      </w:r>
      <w:r w:rsidR="00B148D4" w:rsidRPr="00CB3E7E">
        <w:rPr>
          <w:color w:val="000000"/>
        </w:rPr>
        <w:t xml:space="preserve">Söz konusu ithalatın ortalama birim fiyatları, incelenen dönem itibarıyla sırasıyla 3.328 ABD doları/ton, 4.109 ABD doları/ton, 4.872 ABD doları/ton ve 4.552 ABD doları/ton olarak gerçekleşmiştir. </w:t>
      </w:r>
    </w:p>
    <w:p w14:paraId="7F9FAAF3" w14:textId="77777777" w:rsidR="00B148D4" w:rsidRPr="00CB3E7E" w:rsidRDefault="00B148D4" w:rsidP="00CB3E7E">
      <w:pPr>
        <w:autoSpaceDE w:val="0"/>
        <w:autoSpaceDN w:val="0"/>
        <w:adjustRightInd w:val="0"/>
        <w:spacing w:before="120" w:after="120"/>
        <w:jc w:val="both"/>
        <w:rPr>
          <w:color w:val="000000"/>
        </w:rPr>
      </w:pPr>
      <w:r w:rsidRPr="00CB3E7E">
        <w:rPr>
          <w:color w:val="000000"/>
        </w:rPr>
        <w:t xml:space="preserve">(4) Söz konusu ithalatın toplam ithalat içindeki payı ise sırasıyla %91, %93, %92 ve %95 olarak gerçekleşmiştir. </w:t>
      </w:r>
    </w:p>
    <w:p w14:paraId="0511ED8E" w14:textId="77777777" w:rsidR="00E438AA" w:rsidRPr="001161E3" w:rsidRDefault="00E438AA" w:rsidP="007B0AB8">
      <w:pPr>
        <w:pStyle w:val="ListeParagraf"/>
        <w:keepNext/>
        <w:keepLines/>
        <w:spacing w:before="120" w:after="120"/>
        <w:ind w:left="792"/>
        <w:outlineLvl w:val="1"/>
        <w:rPr>
          <w:rFonts w:eastAsiaTheme="majorEastAsia" w:cstheme="majorBidi"/>
          <w:b/>
          <w:vanish/>
        </w:rPr>
      </w:pPr>
      <w:bookmarkStart w:id="65" w:name="_Toc98149762"/>
      <w:bookmarkEnd w:id="64"/>
    </w:p>
    <w:p w14:paraId="74A278F9" w14:textId="063D5047" w:rsidR="00F50C7E" w:rsidRPr="001161E3" w:rsidRDefault="00D677B8" w:rsidP="007B0AB8">
      <w:pPr>
        <w:pStyle w:val="Balk2"/>
        <w:numPr>
          <w:ilvl w:val="1"/>
          <w:numId w:val="2"/>
        </w:numPr>
        <w:spacing w:before="120" w:after="120"/>
        <w:rPr>
          <w:szCs w:val="24"/>
        </w:rPr>
      </w:pPr>
      <w:r w:rsidRPr="001161E3">
        <w:rPr>
          <w:szCs w:val="24"/>
        </w:rPr>
        <w:t xml:space="preserve">İthalatın </w:t>
      </w:r>
      <w:r w:rsidR="00990AF2" w:rsidRPr="001161E3">
        <w:rPr>
          <w:szCs w:val="24"/>
        </w:rPr>
        <w:t xml:space="preserve">nispi gelişimi </w:t>
      </w:r>
      <w:bookmarkEnd w:id="65"/>
    </w:p>
    <w:p w14:paraId="532FD0D1" w14:textId="1D852318" w:rsidR="00B148D4" w:rsidRPr="00CB3E7E" w:rsidRDefault="00572694" w:rsidP="00CB3E7E">
      <w:pPr>
        <w:autoSpaceDE w:val="0"/>
        <w:autoSpaceDN w:val="0"/>
        <w:adjustRightInd w:val="0"/>
        <w:spacing w:before="120" w:after="120"/>
        <w:jc w:val="both"/>
        <w:rPr>
          <w:color w:val="000000"/>
        </w:rPr>
      </w:pPr>
      <w:bookmarkStart w:id="66" w:name="_Toc157613463"/>
      <w:bookmarkStart w:id="67" w:name="_Toc98149764"/>
      <w:r w:rsidRPr="00CB3E7E">
        <w:rPr>
          <w:color w:val="000000"/>
        </w:rPr>
        <w:t>(1</w:t>
      </w:r>
      <w:r w:rsidR="00B148D4" w:rsidRPr="00CB3E7E">
        <w:rPr>
          <w:color w:val="000000"/>
        </w:rPr>
        <w:t>) Önlem konusu ithalatın nispi gelişimini görebilmek için soruşturma konusu ülkelerden gerçekleştirilen ithalatın toplam Türkiye benzer mal tüketimi içindeki payı incelenmiştir. Bu bağlamda, öncelikle yerli üretim dalı ve diğer yerli üreticilerin yurt içi satışları ile genel ithalat miktarı toplanarak ilgili yıllarda toplam Türkiye benzer mal tüketimi elde edilmiştir. Yerli üretim dalının yurt içi satışlarının ve soruşturma konusu ülkeden gerçekleştirilen ithalatın toplam tüketime oranlanmasıyla pazar payları hesaplanmıştır. İncelenen veriler 2020 yılı 100 birim olacak şekilde endekslenmiştir.</w:t>
      </w:r>
    </w:p>
    <w:p w14:paraId="57F9A59F" w14:textId="77777777" w:rsidR="00B148D4" w:rsidRPr="00CB3E7E" w:rsidRDefault="00B148D4" w:rsidP="00CB3E7E">
      <w:pPr>
        <w:autoSpaceDE w:val="0"/>
        <w:autoSpaceDN w:val="0"/>
        <w:adjustRightInd w:val="0"/>
        <w:spacing w:before="120" w:after="120"/>
        <w:jc w:val="both"/>
        <w:rPr>
          <w:color w:val="000000"/>
        </w:rPr>
      </w:pPr>
      <w:r w:rsidRPr="00CB3E7E">
        <w:rPr>
          <w:color w:val="000000"/>
        </w:rPr>
        <w:t xml:space="preserve">(2) Bu çerçevede, yurt içi tüketim endeksi gözden geçirme dönemi itibarıyla sırasıyla 100 birim, 103 birim, 99 birim ve 103 birim olarak gerçekleşmiştir. </w:t>
      </w:r>
    </w:p>
    <w:p w14:paraId="67067F75" w14:textId="43FF0CE7" w:rsidR="00B148D4" w:rsidRPr="00CB3E7E" w:rsidRDefault="00B148D4" w:rsidP="00CB3E7E">
      <w:pPr>
        <w:autoSpaceDE w:val="0"/>
        <w:autoSpaceDN w:val="0"/>
        <w:adjustRightInd w:val="0"/>
        <w:spacing w:before="120" w:after="120"/>
        <w:jc w:val="both"/>
        <w:rPr>
          <w:color w:val="000000"/>
        </w:rPr>
      </w:pPr>
      <w:r w:rsidRPr="00CB3E7E">
        <w:rPr>
          <w:color w:val="000000"/>
        </w:rPr>
        <w:t xml:space="preserve">(3) ÇHC menşeli ithalatın 2020 yılında 100 birim olan pazar payı endeksi 2021 yılında 92 birim, 2022 yılında 173 birim ve </w:t>
      </w:r>
      <w:proofErr w:type="spellStart"/>
      <w:r w:rsidRPr="00CB3E7E">
        <w:rPr>
          <w:color w:val="000000"/>
        </w:rPr>
        <w:t>SD’de</w:t>
      </w:r>
      <w:proofErr w:type="spellEnd"/>
      <w:r w:rsidRPr="00CB3E7E">
        <w:rPr>
          <w:color w:val="000000"/>
        </w:rPr>
        <w:t xml:space="preserve"> 87 birim olarak gerçekleşmiştir. </w:t>
      </w:r>
    </w:p>
    <w:p w14:paraId="6DAB17AA" w14:textId="7356D67F" w:rsidR="00B148D4" w:rsidRPr="00CB3E7E" w:rsidRDefault="00B148D4" w:rsidP="00CB3E7E">
      <w:pPr>
        <w:autoSpaceDE w:val="0"/>
        <w:autoSpaceDN w:val="0"/>
        <w:adjustRightInd w:val="0"/>
        <w:spacing w:before="120" w:after="120"/>
        <w:jc w:val="both"/>
        <w:rPr>
          <w:color w:val="000000"/>
        </w:rPr>
      </w:pPr>
      <w:r w:rsidRPr="00CB3E7E">
        <w:rPr>
          <w:color w:val="000000"/>
        </w:rPr>
        <w:t xml:space="preserve">(4) Çin </w:t>
      </w:r>
      <w:proofErr w:type="spellStart"/>
      <w:r w:rsidRPr="00CB3E7E">
        <w:rPr>
          <w:color w:val="000000"/>
        </w:rPr>
        <w:t>Tayvanı</w:t>
      </w:r>
      <w:proofErr w:type="spellEnd"/>
      <w:r w:rsidRPr="00CB3E7E">
        <w:rPr>
          <w:color w:val="000000"/>
        </w:rPr>
        <w:t xml:space="preserve"> menşeli ithalatın 2020 yılında 100 birim olan pazar payı endeksi 2021 yılında 58 birim, 2022 yılında 20 birim ve </w:t>
      </w:r>
      <w:proofErr w:type="spellStart"/>
      <w:r w:rsidRPr="00CB3E7E">
        <w:rPr>
          <w:color w:val="000000"/>
        </w:rPr>
        <w:t>SD’de</w:t>
      </w:r>
      <w:proofErr w:type="spellEnd"/>
      <w:r w:rsidRPr="00CB3E7E">
        <w:rPr>
          <w:color w:val="000000"/>
        </w:rPr>
        <w:t xml:space="preserve"> 12 birim olarak gerçekleşmiştir. </w:t>
      </w:r>
    </w:p>
    <w:p w14:paraId="427D3299" w14:textId="2CF4A4DC" w:rsidR="00B148D4" w:rsidRPr="00CB3E7E" w:rsidRDefault="00B148D4" w:rsidP="00CB3E7E">
      <w:pPr>
        <w:autoSpaceDE w:val="0"/>
        <w:autoSpaceDN w:val="0"/>
        <w:adjustRightInd w:val="0"/>
        <w:spacing w:before="120" w:after="120"/>
        <w:jc w:val="both"/>
        <w:rPr>
          <w:color w:val="000000"/>
        </w:rPr>
      </w:pPr>
      <w:r w:rsidRPr="00CB3E7E">
        <w:rPr>
          <w:color w:val="000000"/>
        </w:rPr>
        <w:t xml:space="preserve">(5) Diğer ülkeler menşeli ithalatın 2020 yılında 100 birim olan pazar payı endeksi 2021 yılında </w:t>
      </w:r>
      <w:r w:rsidR="00FC58A3">
        <w:rPr>
          <w:color w:val="000000"/>
        </w:rPr>
        <w:t>118</w:t>
      </w:r>
      <w:r w:rsidRPr="00CB3E7E">
        <w:rPr>
          <w:color w:val="000000"/>
        </w:rPr>
        <w:t xml:space="preserve"> birime düşmüş, 2022 yılında 87 ve </w:t>
      </w:r>
      <w:proofErr w:type="spellStart"/>
      <w:r w:rsidRPr="00CB3E7E">
        <w:rPr>
          <w:color w:val="000000"/>
        </w:rPr>
        <w:t>SD’de</w:t>
      </w:r>
      <w:proofErr w:type="spellEnd"/>
      <w:r w:rsidRPr="00CB3E7E">
        <w:rPr>
          <w:color w:val="000000"/>
        </w:rPr>
        <w:t xml:space="preserve"> 86 birim olarak gerçekleşmiştir. </w:t>
      </w:r>
    </w:p>
    <w:p w14:paraId="355E3F1C" w14:textId="78865B80" w:rsidR="00B148D4" w:rsidRPr="00CB3E7E" w:rsidRDefault="00B148D4" w:rsidP="00CB3E7E">
      <w:pPr>
        <w:autoSpaceDE w:val="0"/>
        <w:autoSpaceDN w:val="0"/>
        <w:adjustRightInd w:val="0"/>
        <w:spacing w:before="120" w:after="120"/>
        <w:jc w:val="both"/>
        <w:rPr>
          <w:color w:val="000000"/>
        </w:rPr>
      </w:pPr>
      <w:r w:rsidRPr="00CB3E7E">
        <w:rPr>
          <w:color w:val="000000"/>
        </w:rPr>
        <w:t xml:space="preserve">(6) Yerli üretim dalının 2020 yılında 100 birim olan pazar payı endeksi </w:t>
      </w:r>
      <w:r w:rsidR="00FC58A3" w:rsidRPr="00FC58A3">
        <w:rPr>
          <w:color w:val="000000"/>
        </w:rPr>
        <w:t xml:space="preserve">2021 yılında 118 birim, 2022 yılında 112 birim ve </w:t>
      </w:r>
      <w:proofErr w:type="spellStart"/>
      <w:r w:rsidR="00FC58A3" w:rsidRPr="00FC58A3">
        <w:rPr>
          <w:color w:val="000000"/>
        </w:rPr>
        <w:t>SD’de</w:t>
      </w:r>
      <w:proofErr w:type="spellEnd"/>
      <w:r w:rsidR="00FC58A3" w:rsidRPr="00FC58A3">
        <w:rPr>
          <w:color w:val="000000"/>
        </w:rPr>
        <w:t xml:space="preserve"> 97 birim olarak gerçekleşmiştir.</w:t>
      </w:r>
    </w:p>
    <w:p w14:paraId="7B5460AF" w14:textId="5CD7A3FD" w:rsidR="00542734" w:rsidRPr="004B4612" w:rsidRDefault="00990AF2" w:rsidP="007B0AB8">
      <w:pPr>
        <w:pStyle w:val="Balk2"/>
        <w:numPr>
          <w:ilvl w:val="1"/>
          <w:numId w:val="2"/>
        </w:numPr>
        <w:spacing w:before="120" w:after="120"/>
        <w:ind w:left="0" w:firstLine="0"/>
        <w:rPr>
          <w:rFonts w:eastAsia="Times New Roman" w:cs="Times New Roman"/>
          <w:color w:val="000000" w:themeColor="text1"/>
          <w:szCs w:val="24"/>
        </w:rPr>
      </w:pPr>
      <w:r>
        <w:rPr>
          <w:rFonts w:eastAsia="Times New Roman" w:cs="Times New Roman"/>
          <w:color w:val="000000" w:themeColor="text1"/>
          <w:szCs w:val="24"/>
        </w:rPr>
        <w:lastRenderedPageBreak/>
        <w:t>Soruşturma konusu ithalatın iç piyasa fiyatları üzerin</w:t>
      </w:r>
      <w:r w:rsidR="00371299">
        <w:rPr>
          <w:rFonts w:eastAsia="Times New Roman" w:cs="Times New Roman"/>
          <w:color w:val="000000" w:themeColor="text1"/>
          <w:szCs w:val="24"/>
        </w:rPr>
        <w:t>d</w:t>
      </w:r>
      <w:r>
        <w:rPr>
          <w:rFonts w:eastAsia="Times New Roman" w:cs="Times New Roman"/>
          <w:color w:val="000000" w:themeColor="text1"/>
          <w:szCs w:val="24"/>
        </w:rPr>
        <w:t>e</w:t>
      </w:r>
      <w:r w:rsidR="00371299">
        <w:rPr>
          <w:rFonts w:eastAsia="Times New Roman" w:cs="Times New Roman"/>
          <w:color w:val="000000" w:themeColor="text1"/>
          <w:szCs w:val="24"/>
        </w:rPr>
        <w:t>ki</w:t>
      </w:r>
      <w:r>
        <w:rPr>
          <w:rFonts w:eastAsia="Times New Roman" w:cs="Times New Roman"/>
          <w:color w:val="000000" w:themeColor="text1"/>
          <w:szCs w:val="24"/>
        </w:rPr>
        <w:t xml:space="preserve"> etkisi</w:t>
      </w:r>
      <w:bookmarkEnd w:id="66"/>
    </w:p>
    <w:p w14:paraId="6F0E0192" w14:textId="51CC0048" w:rsidR="00542734" w:rsidRPr="004B4612" w:rsidRDefault="00542734" w:rsidP="007B0AB8">
      <w:pPr>
        <w:pStyle w:val="Balk2"/>
        <w:numPr>
          <w:ilvl w:val="2"/>
          <w:numId w:val="2"/>
        </w:numPr>
        <w:spacing w:before="120" w:after="120"/>
        <w:ind w:left="-142" w:firstLine="142"/>
        <w:rPr>
          <w:color w:val="000000" w:themeColor="text1"/>
          <w:szCs w:val="24"/>
        </w:rPr>
      </w:pPr>
      <w:bookmarkStart w:id="68" w:name="_Toc157613464"/>
      <w:r w:rsidRPr="004B4612">
        <w:rPr>
          <w:color w:val="000000" w:themeColor="text1"/>
          <w:szCs w:val="24"/>
        </w:rPr>
        <w:t xml:space="preserve">Fiyat </w:t>
      </w:r>
      <w:r w:rsidR="004B4612" w:rsidRPr="004B4612">
        <w:rPr>
          <w:color w:val="000000" w:themeColor="text1"/>
          <w:szCs w:val="24"/>
        </w:rPr>
        <w:t>kırılması</w:t>
      </w:r>
      <w:bookmarkEnd w:id="68"/>
    </w:p>
    <w:p w14:paraId="59D4A6A1" w14:textId="77777777" w:rsidR="00572694" w:rsidRPr="00CB3E7E" w:rsidRDefault="00572694" w:rsidP="00CB3E7E">
      <w:pPr>
        <w:autoSpaceDE w:val="0"/>
        <w:autoSpaceDN w:val="0"/>
        <w:adjustRightInd w:val="0"/>
        <w:spacing w:before="120" w:after="120"/>
        <w:jc w:val="both"/>
        <w:rPr>
          <w:color w:val="000000"/>
        </w:rPr>
      </w:pPr>
      <w:bookmarkStart w:id="69" w:name="_Toc157613465"/>
      <w:r w:rsidRPr="00CB3E7E">
        <w:rPr>
          <w:color w:val="000000"/>
        </w:rPr>
        <w:t xml:space="preserve">(1) Yönetmeliğin </w:t>
      </w:r>
      <w:proofErr w:type="gramStart"/>
      <w:r w:rsidRPr="00CB3E7E">
        <w:rPr>
          <w:color w:val="000000"/>
        </w:rPr>
        <w:t xml:space="preserve">17 </w:t>
      </w:r>
      <w:proofErr w:type="spellStart"/>
      <w:r w:rsidRPr="00CB3E7E">
        <w:rPr>
          <w:color w:val="000000"/>
        </w:rPr>
        <w:t>nci</w:t>
      </w:r>
      <w:proofErr w:type="spellEnd"/>
      <w:proofErr w:type="gramEnd"/>
      <w:r w:rsidRPr="00CB3E7E">
        <w:rPr>
          <w:color w:val="000000"/>
        </w:rPr>
        <w:t xml:space="preserve"> maddesinin ilgili hükümleri çerçevesinde, dampingli olduğu iddia edilen ithalatın yerli üretim dalının satış fiyatları üzerindeki etkisi değerlendirilirken soruşturma konusu ülkelerden gerçekleştirilen ithalatın yerli üretim dalının fiyatlarını kırıp kırmadığı incelenmiştir. Fiyat kırılması, ithal ürünün ağırlıklı ortalama pazara giriş fiyatının Türkiye piyasasında yerli üretim dalının ağırlıklı ortalama yurt içi birim satış fiyatının yüzde olarak ne kadar altında kaldığını göstermekte olup CIF bedelin yüzdesi olarak hesaplanmaktadır.</w:t>
      </w:r>
    </w:p>
    <w:p w14:paraId="594D4077" w14:textId="4F3C2743" w:rsidR="00572694" w:rsidRPr="00CB3E7E" w:rsidRDefault="00572694" w:rsidP="00CB3E7E">
      <w:pPr>
        <w:autoSpaceDE w:val="0"/>
        <w:autoSpaceDN w:val="0"/>
        <w:adjustRightInd w:val="0"/>
        <w:spacing w:before="120" w:after="120"/>
        <w:jc w:val="both"/>
        <w:rPr>
          <w:color w:val="000000"/>
        </w:rPr>
      </w:pPr>
      <w:r w:rsidRPr="00CB3E7E">
        <w:rPr>
          <w:color w:val="000000"/>
        </w:rPr>
        <w:t xml:space="preserve">(2) Fiyat kırılması hesaplanırken, </w:t>
      </w:r>
      <w:r w:rsidR="00990AF2" w:rsidRPr="00CB3E7E">
        <w:rPr>
          <w:color w:val="000000"/>
        </w:rPr>
        <w:t xml:space="preserve">ağırlıklı </w:t>
      </w:r>
      <w:r w:rsidRPr="00CB3E7E">
        <w:rPr>
          <w:color w:val="000000"/>
        </w:rPr>
        <w:t xml:space="preserve">ortalama CIF ithal birim fiyatının üzerine gözden geçirme döneminde soruşturma konusu ülkeye yönelik uygulanan gümrük vergisi (%0) ve 2021 yılından itibaren uygulanan İGV (%5) ile CIF kıymetin %1’i tutarındaki diğer ithalat masrafları eklenerek ürünün Türkiye piyasasına giriş fiyatı bulunmuştur. Bulunan değer ile yerli üretim dalının </w:t>
      </w:r>
      <w:r w:rsidR="00990AF2" w:rsidRPr="00CB3E7E">
        <w:rPr>
          <w:color w:val="000000"/>
        </w:rPr>
        <w:t xml:space="preserve">ağırlıklı </w:t>
      </w:r>
      <w:r w:rsidRPr="00CB3E7E">
        <w:rPr>
          <w:color w:val="000000"/>
        </w:rPr>
        <w:t xml:space="preserve">ortalama yurt içi birim satış fiyatı karşılaştırılmıştır. </w:t>
      </w:r>
    </w:p>
    <w:p w14:paraId="6B18E00F" w14:textId="2E3A3ED7" w:rsidR="00572694" w:rsidRPr="00CB3E7E" w:rsidRDefault="00572694" w:rsidP="00CB3E7E">
      <w:pPr>
        <w:autoSpaceDE w:val="0"/>
        <w:autoSpaceDN w:val="0"/>
        <w:adjustRightInd w:val="0"/>
        <w:spacing w:before="120" w:after="120"/>
        <w:jc w:val="both"/>
        <w:rPr>
          <w:color w:val="000000"/>
        </w:rPr>
      </w:pPr>
      <w:r w:rsidRPr="00CB3E7E">
        <w:rPr>
          <w:color w:val="000000"/>
        </w:rPr>
        <w:t xml:space="preserve">(3) Dampinge karşı önlemin söz konusu olmadığı bir ortamda fiyatların hangi düzeyde oluşacağına ilişkin değerlendirmeyi mümkün kılmak amacıyla, anılan fiyatlara dampinge karşı önlemler eklenmemiştir. </w:t>
      </w:r>
    </w:p>
    <w:p w14:paraId="45900B3F" w14:textId="24BDCFA9" w:rsidR="00572694" w:rsidRPr="00CB3E7E" w:rsidRDefault="00572694" w:rsidP="00CB3E7E">
      <w:pPr>
        <w:autoSpaceDE w:val="0"/>
        <w:autoSpaceDN w:val="0"/>
        <w:adjustRightInd w:val="0"/>
        <w:spacing w:before="120" w:after="120"/>
        <w:jc w:val="both"/>
        <w:rPr>
          <w:color w:val="000000"/>
        </w:rPr>
      </w:pPr>
      <w:r w:rsidRPr="00CB3E7E">
        <w:rPr>
          <w:color w:val="000000"/>
        </w:rPr>
        <w:t xml:space="preserve">(4) Bu kapsamda, ÇHC menşeli ithalatın yerli üreticinin fiyatlarını 2020 yılında </w:t>
      </w:r>
      <w:r w:rsidR="00990AF2" w:rsidRPr="00CB3E7E">
        <w:rPr>
          <w:color w:val="000000"/>
        </w:rPr>
        <w:t xml:space="preserve">%10&lt;%X&lt;%30’ı </w:t>
      </w:r>
      <w:r w:rsidRPr="00CB3E7E">
        <w:rPr>
          <w:color w:val="000000"/>
        </w:rPr>
        <w:t xml:space="preserve">oranında kırdığı, 2021, 2022 yılları ve </w:t>
      </w:r>
      <w:proofErr w:type="spellStart"/>
      <w:r w:rsidRPr="00CB3E7E">
        <w:rPr>
          <w:color w:val="000000"/>
        </w:rPr>
        <w:t>SD’de</w:t>
      </w:r>
      <w:proofErr w:type="spellEnd"/>
      <w:r w:rsidRPr="00CB3E7E">
        <w:rPr>
          <w:color w:val="000000"/>
        </w:rPr>
        <w:t xml:space="preserve"> ise kırmadığı tespit edilmiştir.</w:t>
      </w:r>
    </w:p>
    <w:p w14:paraId="6D9D48EB" w14:textId="64C48EA7" w:rsidR="00572694" w:rsidRPr="00CB3E7E" w:rsidRDefault="00572694" w:rsidP="00CB3E7E">
      <w:pPr>
        <w:autoSpaceDE w:val="0"/>
        <w:autoSpaceDN w:val="0"/>
        <w:adjustRightInd w:val="0"/>
        <w:spacing w:before="120" w:after="120"/>
        <w:jc w:val="both"/>
        <w:rPr>
          <w:color w:val="000000"/>
        </w:rPr>
      </w:pPr>
      <w:r w:rsidRPr="00CB3E7E">
        <w:rPr>
          <w:color w:val="000000"/>
        </w:rPr>
        <w:t xml:space="preserve">(5) Öte yandan, Çin </w:t>
      </w:r>
      <w:proofErr w:type="spellStart"/>
      <w:r w:rsidRPr="00CB3E7E">
        <w:rPr>
          <w:color w:val="000000"/>
        </w:rPr>
        <w:t>Tayvanı</w:t>
      </w:r>
      <w:proofErr w:type="spellEnd"/>
      <w:r w:rsidRPr="00CB3E7E">
        <w:rPr>
          <w:color w:val="000000"/>
        </w:rPr>
        <w:t xml:space="preserve"> menşeli ithalatın yerli üreticinin fiyatlarını 2020, 2021, 2022 yılında ve </w:t>
      </w:r>
      <w:proofErr w:type="spellStart"/>
      <w:r w:rsidRPr="00CB3E7E">
        <w:rPr>
          <w:color w:val="000000"/>
        </w:rPr>
        <w:t>SD’de</w:t>
      </w:r>
      <w:proofErr w:type="spellEnd"/>
      <w:r w:rsidRPr="00CB3E7E">
        <w:rPr>
          <w:color w:val="000000"/>
        </w:rPr>
        <w:t xml:space="preserve"> kırmadığı tespit edilmiştir. </w:t>
      </w:r>
    </w:p>
    <w:p w14:paraId="3EE59B79" w14:textId="0D183F82" w:rsidR="00542734" w:rsidRPr="008E07E3" w:rsidRDefault="00542734" w:rsidP="007B0AB8">
      <w:pPr>
        <w:pStyle w:val="Balk2"/>
        <w:numPr>
          <w:ilvl w:val="2"/>
          <w:numId w:val="2"/>
        </w:numPr>
        <w:spacing w:before="120" w:after="120"/>
        <w:ind w:left="-142" w:firstLine="142"/>
        <w:rPr>
          <w:color w:val="000000" w:themeColor="text1"/>
          <w:szCs w:val="24"/>
        </w:rPr>
      </w:pPr>
      <w:r w:rsidRPr="008E07E3">
        <w:rPr>
          <w:color w:val="000000" w:themeColor="text1"/>
          <w:szCs w:val="24"/>
        </w:rPr>
        <w:t xml:space="preserve">Fiyat </w:t>
      </w:r>
      <w:r w:rsidR="00990AF2">
        <w:rPr>
          <w:color w:val="000000" w:themeColor="text1"/>
          <w:szCs w:val="24"/>
        </w:rPr>
        <w:t>b</w:t>
      </w:r>
      <w:r w:rsidRPr="008E07E3">
        <w:rPr>
          <w:color w:val="000000" w:themeColor="text1"/>
          <w:szCs w:val="24"/>
        </w:rPr>
        <w:t>askısı</w:t>
      </w:r>
      <w:bookmarkEnd w:id="69"/>
    </w:p>
    <w:p w14:paraId="04515060" w14:textId="34C5FFF6" w:rsidR="001065DA" w:rsidRPr="00CB3E7E" w:rsidRDefault="00CB3E7E" w:rsidP="00CB3E7E">
      <w:pPr>
        <w:autoSpaceDE w:val="0"/>
        <w:autoSpaceDN w:val="0"/>
        <w:adjustRightInd w:val="0"/>
        <w:spacing w:before="120" w:after="120"/>
        <w:jc w:val="both"/>
        <w:rPr>
          <w:color w:val="000000"/>
        </w:rPr>
      </w:pPr>
      <w:bookmarkStart w:id="70" w:name="_Toc155356527"/>
      <w:bookmarkStart w:id="71" w:name="_Hlk155970437"/>
      <w:r w:rsidRPr="00CB3E7E">
        <w:rPr>
          <w:color w:val="000000"/>
        </w:rPr>
        <w:t xml:space="preserve">(1) </w:t>
      </w:r>
      <w:r w:rsidR="001065DA" w:rsidRPr="00CB3E7E">
        <w:rPr>
          <w:color w:val="000000"/>
        </w:rPr>
        <w:t xml:space="preserve">Yönetmeliğin </w:t>
      </w:r>
      <w:proofErr w:type="gramStart"/>
      <w:r w:rsidR="001065DA" w:rsidRPr="00CB3E7E">
        <w:rPr>
          <w:color w:val="000000"/>
        </w:rPr>
        <w:t xml:space="preserve">17 </w:t>
      </w:r>
      <w:proofErr w:type="spellStart"/>
      <w:r w:rsidR="001065DA" w:rsidRPr="00CB3E7E">
        <w:rPr>
          <w:color w:val="000000"/>
        </w:rPr>
        <w:t>nci</w:t>
      </w:r>
      <w:proofErr w:type="spellEnd"/>
      <w:proofErr w:type="gramEnd"/>
      <w:r w:rsidR="001065DA" w:rsidRPr="00CB3E7E">
        <w:rPr>
          <w:color w:val="000000"/>
        </w:rPr>
        <w:t xml:space="preserve"> maddesinin ilgili hükümleri çerçevesinde, dampingli olduğu iddia edilen ithalatın yerli üretim dalının satış fiyatları üzerindeki etkisi değerlendirilirken soruşturma konusu ülkeden gerçekleştirilen ithalatın yerli üretim dalının fiyatlarına baskı yapıp yapmadığı incelenmiştir. Fiyat baskısı, yerli üretim dalının fiyatlarının dampingli olduğu öne sürülen ithalat sebebiyle baskı altında bulunması ve yerli üreticinin fiyatlarını makul kâr elde edecek şekilde belirleyememesi durumunu ifade etmektedir. Bu kapsamda, soruşturma konusu ürünün gümrük vergisi, İGV ve gümrükleme masrafları dahil Türkiye pazarına ağırlıklı ortalama giriş fiyatı ile yerli üretim dalının ağırlıklı ortalama ticari maliyetine makul bir kâr oranı (%X) eklenerek bulunan olması gereken yurt içi birim satış fiyatı karşılaştırılmıştır.  </w:t>
      </w:r>
    </w:p>
    <w:p w14:paraId="3E852F31" w14:textId="1B89460A" w:rsidR="001065DA" w:rsidRPr="00CB3E7E" w:rsidRDefault="00CB3E7E" w:rsidP="00CB3E7E">
      <w:pPr>
        <w:autoSpaceDE w:val="0"/>
        <w:autoSpaceDN w:val="0"/>
        <w:adjustRightInd w:val="0"/>
        <w:spacing w:before="120" w:after="120"/>
        <w:jc w:val="both"/>
        <w:rPr>
          <w:color w:val="000000"/>
        </w:rPr>
      </w:pPr>
      <w:r w:rsidRPr="00CB3E7E">
        <w:rPr>
          <w:color w:val="000000"/>
        </w:rPr>
        <w:t xml:space="preserve">(2) </w:t>
      </w:r>
      <w:r w:rsidR="001065DA" w:rsidRPr="00CB3E7E">
        <w:rPr>
          <w:color w:val="000000"/>
        </w:rPr>
        <w:t xml:space="preserve">Dampinge karşı önlemlerin söz konusu olmadığı bir ortamda fiyatların hangi düzeyde oluşacağına ilişkin değerlendirmeyi mümkün kılmak amacıyla, anılan fiyatlara dampinge karşı önlemler eklenmemiştir. </w:t>
      </w:r>
    </w:p>
    <w:bookmarkEnd w:id="70"/>
    <w:bookmarkEnd w:id="71"/>
    <w:p w14:paraId="04FFFB59" w14:textId="4046928C" w:rsidR="00CB3E7E" w:rsidRPr="00CB3E7E" w:rsidRDefault="00CB3E7E" w:rsidP="00CB3E7E">
      <w:pPr>
        <w:autoSpaceDE w:val="0"/>
        <w:autoSpaceDN w:val="0"/>
        <w:adjustRightInd w:val="0"/>
        <w:spacing w:before="120" w:after="120"/>
        <w:jc w:val="both"/>
        <w:rPr>
          <w:color w:val="000000"/>
        </w:rPr>
      </w:pPr>
      <w:r w:rsidRPr="00CB3E7E">
        <w:rPr>
          <w:color w:val="000000"/>
        </w:rPr>
        <w:t xml:space="preserve">(3) Bu kapsamda, ÇHC menşeli ithalatın yerli üreticinin fiyatlarını 2020 yılında CIF bedelin %25&lt;%X&lt;%45’ı oranında baskıladığı; 2021, 2022 yıllarında ve </w:t>
      </w:r>
      <w:proofErr w:type="spellStart"/>
      <w:r w:rsidRPr="00CB3E7E">
        <w:rPr>
          <w:color w:val="000000"/>
        </w:rPr>
        <w:t>SD’de</w:t>
      </w:r>
      <w:proofErr w:type="spellEnd"/>
      <w:r w:rsidRPr="00CB3E7E">
        <w:rPr>
          <w:color w:val="000000"/>
        </w:rPr>
        <w:t xml:space="preserve"> ise baskılamadığı tespit edilmiştir. </w:t>
      </w:r>
    </w:p>
    <w:p w14:paraId="1DF59E6A" w14:textId="786A69BC" w:rsidR="00CB3E7E" w:rsidRPr="00CB3E7E" w:rsidRDefault="00CB3E7E" w:rsidP="00CB3E7E">
      <w:pPr>
        <w:autoSpaceDE w:val="0"/>
        <w:autoSpaceDN w:val="0"/>
        <w:adjustRightInd w:val="0"/>
        <w:spacing w:before="120" w:after="120"/>
        <w:jc w:val="both"/>
        <w:rPr>
          <w:color w:val="000000"/>
        </w:rPr>
      </w:pPr>
      <w:r w:rsidRPr="00CB3E7E">
        <w:rPr>
          <w:color w:val="000000"/>
        </w:rPr>
        <w:t xml:space="preserve">(4) Öte yandan, Çin </w:t>
      </w:r>
      <w:proofErr w:type="spellStart"/>
      <w:r w:rsidRPr="00CB3E7E">
        <w:rPr>
          <w:color w:val="000000"/>
        </w:rPr>
        <w:t>Tayvanı</w:t>
      </w:r>
      <w:proofErr w:type="spellEnd"/>
      <w:r w:rsidRPr="00CB3E7E">
        <w:rPr>
          <w:color w:val="000000"/>
        </w:rPr>
        <w:t xml:space="preserve"> menşeli ithalatın yerli üreticinin fiyatlarını zarar inceleme döneminde baskılamadığı tespit edilmiştir. </w:t>
      </w:r>
    </w:p>
    <w:p w14:paraId="40C5ABDD" w14:textId="55D62B67" w:rsidR="00C95747" w:rsidRPr="0055784D" w:rsidRDefault="001F6947" w:rsidP="00CB3E7E">
      <w:pPr>
        <w:pStyle w:val="Balk2"/>
        <w:spacing w:before="120" w:after="120"/>
        <w:rPr>
          <w:szCs w:val="24"/>
        </w:rPr>
      </w:pPr>
      <w:r w:rsidRPr="0055784D">
        <w:rPr>
          <w:szCs w:val="24"/>
        </w:rPr>
        <w:t xml:space="preserve">4.7 </w:t>
      </w:r>
      <w:r w:rsidR="00C95747" w:rsidRPr="0055784D">
        <w:rPr>
          <w:szCs w:val="24"/>
        </w:rPr>
        <w:t xml:space="preserve">Yerli </w:t>
      </w:r>
      <w:r w:rsidR="00CB3E7E" w:rsidRPr="0055784D">
        <w:rPr>
          <w:szCs w:val="24"/>
        </w:rPr>
        <w:t xml:space="preserve">üretim dalının ekonomik göstergeleri </w:t>
      </w:r>
      <w:bookmarkEnd w:id="67"/>
    </w:p>
    <w:p w14:paraId="4415EDC3" w14:textId="77777777" w:rsidR="004B4889" w:rsidRPr="007C588C" w:rsidRDefault="004B4889" w:rsidP="005A374F">
      <w:pPr>
        <w:pStyle w:val="ListeParagraf"/>
        <w:numPr>
          <w:ilvl w:val="0"/>
          <w:numId w:val="25"/>
        </w:numPr>
        <w:tabs>
          <w:tab w:val="left" w:pos="360"/>
        </w:tabs>
        <w:spacing w:before="120" w:after="120"/>
        <w:jc w:val="both"/>
        <w:rPr>
          <w:bCs/>
          <w:spacing w:val="-2"/>
        </w:rPr>
      </w:pPr>
      <w:bookmarkStart w:id="72" w:name="_Toc98149765"/>
      <w:r w:rsidRPr="007C588C">
        <w:rPr>
          <w:noProof/>
        </w:rPr>
        <w:t>Yerli üretim dalının</w:t>
      </w:r>
      <w:r w:rsidRPr="007C588C">
        <w:rPr>
          <w:bCs/>
          <w:spacing w:val="-2"/>
        </w:rPr>
        <w:t xml:space="preserve"> ekonomik göstergeleri, yerli üretim dalının </w:t>
      </w:r>
      <w:bookmarkStart w:id="73" w:name="_Hlk125709189"/>
      <w:r w:rsidRPr="007C588C">
        <w:rPr>
          <w:bCs/>
          <w:spacing w:val="-2"/>
        </w:rPr>
        <w:t xml:space="preserve">1/1/2020-SD </w:t>
      </w:r>
      <w:bookmarkEnd w:id="73"/>
      <w:r w:rsidRPr="007C588C">
        <w:rPr>
          <w:bCs/>
          <w:spacing w:val="-2"/>
        </w:rPr>
        <w:t xml:space="preserve">dönemine ait verileri esas alınarak incelenmiştir. </w:t>
      </w:r>
    </w:p>
    <w:p w14:paraId="184F2072" w14:textId="77777777" w:rsidR="004B4889" w:rsidRPr="007C588C" w:rsidRDefault="004B4889" w:rsidP="005A374F">
      <w:pPr>
        <w:pStyle w:val="ListeParagraf"/>
        <w:numPr>
          <w:ilvl w:val="0"/>
          <w:numId w:val="25"/>
        </w:numPr>
        <w:tabs>
          <w:tab w:val="left" w:pos="360"/>
        </w:tabs>
        <w:spacing w:before="120" w:after="120"/>
        <w:jc w:val="both"/>
        <w:rPr>
          <w:bCs/>
          <w:spacing w:val="-2"/>
        </w:rPr>
      </w:pPr>
      <w:r w:rsidRPr="007C588C">
        <w:rPr>
          <w:noProof/>
        </w:rPr>
        <w:t>Eğilimin sağlıklı bir şekilde analiz edilebilmesi amacıyla, Türk lirası bazındaki veriler yıllık ortalama</w:t>
      </w:r>
      <w:r w:rsidRPr="007C588C">
        <w:rPr>
          <w:bCs/>
        </w:rPr>
        <w:t xml:space="preserve"> Üretici Fiyat Endeksi (ÜFE) kullanılması suretiyle enflasyondan arındırılarak endekslenmiştir.</w:t>
      </w:r>
    </w:p>
    <w:p w14:paraId="7F07DD65" w14:textId="559A5618" w:rsidR="00A34324" w:rsidRPr="004B4889" w:rsidRDefault="004B4889" w:rsidP="005A374F">
      <w:pPr>
        <w:pStyle w:val="ListeParagraf"/>
        <w:numPr>
          <w:ilvl w:val="0"/>
          <w:numId w:val="25"/>
        </w:numPr>
        <w:tabs>
          <w:tab w:val="left" w:pos="360"/>
        </w:tabs>
        <w:spacing w:before="120" w:after="120"/>
        <w:jc w:val="both"/>
        <w:rPr>
          <w:bCs/>
        </w:rPr>
      </w:pPr>
      <w:r w:rsidRPr="007C588C">
        <w:rPr>
          <w:bCs/>
        </w:rPr>
        <w:lastRenderedPageBreak/>
        <w:t xml:space="preserve">Ekonomik göstergelerin değerlendirilmesinde, soruşturma konusu ürüne ait miktar incelemesinde </w:t>
      </w:r>
      <w:r>
        <w:rPr>
          <w:bCs/>
        </w:rPr>
        <w:t>ton ölçü birimi kullanılmıştır</w:t>
      </w:r>
      <w:r w:rsidR="00A34324" w:rsidRPr="0055784D">
        <w:t>.</w:t>
      </w:r>
    </w:p>
    <w:p w14:paraId="4C0E0ED7" w14:textId="2738BE38" w:rsidR="00783957" w:rsidRPr="00783957" w:rsidRDefault="00783957" w:rsidP="001161E3">
      <w:pPr>
        <w:tabs>
          <w:tab w:val="left" w:pos="360"/>
        </w:tabs>
        <w:spacing w:before="120" w:after="120"/>
        <w:jc w:val="both"/>
        <w:rPr>
          <w:b/>
          <w:bCs/>
          <w:spacing w:val="-2"/>
        </w:rPr>
      </w:pPr>
      <w:r w:rsidRPr="00783957">
        <w:rPr>
          <w:b/>
          <w:bCs/>
          <w:spacing w:val="-2"/>
        </w:rPr>
        <w:t xml:space="preserve">a) Üretim, </w:t>
      </w:r>
      <w:r w:rsidR="00CB3E7E" w:rsidRPr="00783957">
        <w:rPr>
          <w:b/>
          <w:bCs/>
          <w:spacing w:val="-2"/>
        </w:rPr>
        <w:t xml:space="preserve">kapasite ve kapasite kullanım oranı </w:t>
      </w:r>
      <w:r w:rsidRPr="00783957">
        <w:rPr>
          <w:b/>
          <w:bCs/>
          <w:spacing w:val="-2"/>
        </w:rPr>
        <w:t>(KKO)</w:t>
      </w:r>
    </w:p>
    <w:p w14:paraId="56034081" w14:textId="07E9E78F" w:rsidR="008E07E3" w:rsidRPr="008E07E3" w:rsidRDefault="008E07E3" w:rsidP="008E07E3">
      <w:pPr>
        <w:shd w:val="clear" w:color="auto" w:fill="FFFFFF"/>
        <w:spacing w:before="120" w:after="120"/>
        <w:jc w:val="both"/>
        <w:rPr>
          <w:spacing w:val="-2"/>
        </w:rPr>
      </w:pPr>
      <w:r w:rsidRPr="008E07E3">
        <w:rPr>
          <w:spacing w:val="-2"/>
        </w:rPr>
        <w:t xml:space="preserve">(1) Yerli üretim dalının soruşturma konusu ürün için 2020 yılında 100 birim olan üretim miktar endeksi, 2021 yılında 123 birim, 2022 yılında 126 birim, </w:t>
      </w:r>
      <w:proofErr w:type="spellStart"/>
      <w:r w:rsidRPr="008E07E3">
        <w:rPr>
          <w:spacing w:val="-2"/>
        </w:rPr>
        <w:t>SD’de</w:t>
      </w:r>
      <w:proofErr w:type="spellEnd"/>
      <w:r w:rsidRPr="008E07E3">
        <w:rPr>
          <w:spacing w:val="-2"/>
        </w:rPr>
        <w:t xml:space="preserve"> ise 85 birim seviyesinde gerçekleşmiştir. </w:t>
      </w:r>
    </w:p>
    <w:p w14:paraId="21D485C8" w14:textId="2AF158D7" w:rsidR="00256365" w:rsidRPr="00256365" w:rsidRDefault="008E07E3" w:rsidP="00256365">
      <w:pPr>
        <w:shd w:val="clear" w:color="auto" w:fill="FFFFFF"/>
        <w:spacing w:before="120" w:after="120"/>
        <w:jc w:val="both"/>
        <w:rPr>
          <w:bCs/>
        </w:rPr>
      </w:pPr>
      <w:r w:rsidRPr="008E07E3">
        <w:rPr>
          <w:spacing w:val="-2"/>
        </w:rPr>
        <w:t xml:space="preserve">(2) Yerli üretim dalının 2020 yılında 100 birim olan kapasite endeksi 2021 yılında sabit kalırken, 2022 ve </w:t>
      </w:r>
      <w:proofErr w:type="spellStart"/>
      <w:r w:rsidRPr="008E07E3">
        <w:rPr>
          <w:spacing w:val="-2"/>
        </w:rPr>
        <w:t>SD’de</w:t>
      </w:r>
      <w:proofErr w:type="spellEnd"/>
      <w:r w:rsidRPr="008E07E3">
        <w:rPr>
          <w:spacing w:val="-2"/>
        </w:rPr>
        <w:t xml:space="preserve"> ise 103 birim olarak gerçekleşmiştir. KKO endeksi ise inceleme dönemi itibarıyla sırasıyla 100 birim, 123 birim, 123 birim ve 83 birim olarak gerçekleşmiştir. </w:t>
      </w:r>
    </w:p>
    <w:p w14:paraId="554A9341" w14:textId="076E77CE" w:rsidR="00256365" w:rsidRDefault="00256365" w:rsidP="005A374F">
      <w:pPr>
        <w:numPr>
          <w:ilvl w:val="0"/>
          <w:numId w:val="30"/>
        </w:numPr>
        <w:tabs>
          <w:tab w:val="left" w:pos="360"/>
        </w:tabs>
        <w:spacing w:before="120" w:after="120" w:line="276" w:lineRule="auto"/>
        <w:jc w:val="both"/>
        <w:rPr>
          <w:b/>
          <w:bCs/>
          <w:spacing w:val="-2"/>
        </w:rPr>
      </w:pPr>
      <w:bookmarkStart w:id="74" w:name="_Toc133315951"/>
      <w:bookmarkStart w:id="75" w:name="_Toc98149766"/>
      <w:bookmarkEnd w:id="72"/>
      <w:r w:rsidRPr="00256365">
        <w:rPr>
          <w:b/>
          <w:bCs/>
          <w:spacing w:val="-2"/>
        </w:rPr>
        <w:t xml:space="preserve">Yurt </w:t>
      </w:r>
      <w:r w:rsidR="00CB3E7E" w:rsidRPr="00256365">
        <w:rPr>
          <w:b/>
          <w:bCs/>
          <w:spacing w:val="-2"/>
        </w:rPr>
        <w:t>içi ve yurt dışı satışlar</w:t>
      </w:r>
    </w:p>
    <w:p w14:paraId="33BBEF0A" w14:textId="7AF1AE4A" w:rsidR="008E07E3" w:rsidRPr="008E07E3" w:rsidRDefault="008E07E3" w:rsidP="00CB3E7E">
      <w:pPr>
        <w:shd w:val="clear" w:color="auto" w:fill="FFFFFF"/>
        <w:spacing w:before="120" w:after="120"/>
        <w:jc w:val="both"/>
        <w:rPr>
          <w:spacing w:val="-2"/>
        </w:rPr>
      </w:pPr>
      <w:r w:rsidRPr="008E07E3">
        <w:rPr>
          <w:spacing w:val="-2"/>
        </w:rPr>
        <w:t xml:space="preserve">(1) Yerli üretim dalının soruşturma konusu ürün için 2020 yılında 100 birim olarak kabul edilen yurt içi satış miktar endeksi 2021 yılında 122 birim, 2022 yılında 112 birim, </w:t>
      </w:r>
      <w:proofErr w:type="spellStart"/>
      <w:r w:rsidRPr="008E07E3">
        <w:rPr>
          <w:spacing w:val="-2"/>
        </w:rPr>
        <w:t>SD’de</w:t>
      </w:r>
      <w:proofErr w:type="spellEnd"/>
      <w:r w:rsidRPr="008E07E3">
        <w:rPr>
          <w:spacing w:val="-2"/>
        </w:rPr>
        <w:t xml:space="preserve"> ise 100 birim seviyesinde gerçekleşmiştir.</w:t>
      </w:r>
    </w:p>
    <w:p w14:paraId="3FFA2AB7" w14:textId="24B84F1C" w:rsidR="008E07E3" w:rsidRPr="008E07E3" w:rsidRDefault="008E07E3" w:rsidP="00CB3E7E">
      <w:pPr>
        <w:shd w:val="clear" w:color="auto" w:fill="FFFFFF"/>
        <w:spacing w:before="120" w:after="120"/>
        <w:jc w:val="both"/>
        <w:rPr>
          <w:spacing w:val="-2"/>
        </w:rPr>
      </w:pPr>
      <w:r w:rsidRPr="008E07E3">
        <w:rPr>
          <w:spacing w:val="-2"/>
        </w:rPr>
        <w:t xml:space="preserve">(2) Aynı dönemde, yurt içi satış değer endeksi sırasıyla 100 birim, 148 birim, 128 birim ve 92 birim olmuştur. </w:t>
      </w:r>
    </w:p>
    <w:p w14:paraId="350189AB" w14:textId="4DBFB352" w:rsidR="008E07E3" w:rsidRPr="008E07E3" w:rsidRDefault="008E07E3" w:rsidP="00CB3E7E">
      <w:pPr>
        <w:shd w:val="clear" w:color="auto" w:fill="FFFFFF"/>
        <w:spacing w:before="120" w:after="120"/>
        <w:jc w:val="both"/>
        <w:rPr>
          <w:spacing w:val="-2"/>
        </w:rPr>
      </w:pPr>
      <w:r w:rsidRPr="008E07E3">
        <w:rPr>
          <w:spacing w:val="-2"/>
        </w:rPr>
        <w:t xml:space="preserve">(3) Yerli üretim dalının yurt dışı satış miktar endeksi 2020 yılında 100 birim, 2021 yılında 88 birim, 2022 yılında 40 birim, </w:t>
      </w:r>
      <w:proofErr w:type="spellStart"/>
      <w:r w:rsidRPr="008E07E3">
        <w:rPr>
          <w:spacing w:val="-2"/>
        </w:rPr>
        <w:t>SD’de</w:t>
      </w:r>
      <w:proofErr w:type="spellEnd"/>
      <w:r w:rsidRPr="008E07E3">
        <w:rPr>
          <w:spacing w:val="-2"/>
        </w:rPr>
        <w:t xml:space="preserve"> ise 30 birim olmuştur. </w:t>
      </w:r>
    </w:p>
    <w:p w14:paraId="1C2CD482" w14:textId="170B44A8" w:rsidR="008E07E3" w:rsidRPr="008E07E3" w:rsidRDefault="008E07E3" w:rsidP="00CB3E7E">
      <w:pPr>
        <w:shd w:val="clear" w:color="auto" w:fill="FFFFFF"/>
        <w:spacing w:before="120" w:after="120"/>
        <w:jc w:val="both"/>
        <w:rPr>
          <w:spacing w:val="-2"/>
        </w:rPr>
      </w:pPr>
      <w:r w:rsidRPr="008E07E3">
        <w:rPr>
          <w:spacing w:val="-2"/>
        </w:rPr>
        <w:t>(4) Aynı dönemde, yurt dışı satış değer endeksi sırasıyla 100 birim, 99 birim, 44 birim ve 28 birim olarak gerçekleşmiştir.</w:t>
      </w:r>
    </w:p>
    <w:p w14:paraId="15F7DFC7" w14:textId="20A7AB49" w:rsidR="00256365" w:rsidRPr="00256365" w:rsidRDefault="00256365" w:rsidP="005A374F">
      <w:pPr>
        <w:numPr>
          <w:ilvl w:val="0"/>
          <w:numId w:val="30"/>
        </w:numPr>
        <w:tabs>
          <w:tab w:val="left" w:pos="360"/>
        </w:tabs>
        <w:spacing w:before="120" w:after="120" w:line="276" w:lineRule="auto"/>
        <w:ind w:left="426" w:hanging="426"/>
        <w:jc w:val="both"/>
        <w:rPr>
          <w:b/>
          <w:bCs/>
          <w:spacing w:val="-2"/>
        </w:rPr>
      </w:pPr>
      <w:r w:rsidRPr="00256365">
        <w:rPr>
          <w:b/>
          <w:bCs/>
          <w:spacing w:val="-2"/>
        </w:rPr>
        <w:t>Yu</w:t>
      </w:r>
      <w:r w:rsidR="00CB3E7E" w:rsidRPr="00256365">
        <w:rPr>
          <w:b/>
          <w:bCs/>
          <w:spacing w:val="-2"/>
        </w:rPr>
        <w:t xml:space="preserve">rt içi fiyatlar </w:t>
      </w:r>
    </w:p>
    <w:p w14:paraId="61509C79" w14:textId="2268874C" w:rsidR="00256365" w:rsidRPr="00200960" w:rsidRDefault="008E07E3" w:rsidP="00CB3E7E">
      <w:pPr>
        <w:shd w:val="clear" w:color="auto" w:fill="FFFFFF"/>
        <w:spacing w:before="120" w:after="120"/>
        <w:jc w:val="both"/>
        <w:rPr>
          <w:spacing w:val="-2"/>
        </w:rPr>
      </w:pPr>
      <w:r w:rsidRPr="00CB3E7E">
        <w:rPr>
          <w:spacing w:val="-2"/>
        </w:rPr>
        <w:t xml:space="preserve">(1) Yerli üretim dalının soruşturma konusu ürün için yurt içi birim satış fiyat endeksi 2020 yılında </w:t>
      </w:r>
      <w:r w:rsidRPr="00200960">
        <w:rPr>
          <w:spacing w:val="-2"/>
        </w:rPr>
        <w:t xml:space="preserve">100 birim, 2021 yılında 121 birim, 2022 yılında 114 birim, </w:t>
      </w:r>
      <w:proofErr w:type="spellStart"/>
      <w:r w:rsidRPr="00200960">
        <w:rPr>
          <w:spacing w:val="-2"/>
        </w:rPr>
        <w:t>SD’de</w:t>
      </w:r>
      <w:proofErr w:type="spellEnd"/>
      <w:r w:rsidRPr="00200960">
        <w:rPr>
          <w:spacing w:val="-2"/>
        </w:rPr>
        <w:t xml:space="preserve"> ise 92 birim seviyesinde gerçekleşmiştir. </w:t>
      </w:r>
      <w:r w:rsidR="00256365" w:rsidRPr="00200960">
        <w:rPr>
          <w:spacing w:val="-2"/>
        </w:rPr>
        <w:t xml:space="preserve"> </w:t>
      </w:r>
    </w:p>
    <w:p w14:paraId="6C8FBD39" w14:textId="78EAAAC5" w:rsidR="00256365" w:rsidRPr="00200960" w:rsidRDefault="00256365" w:rsidP="005A374F">
      <w:pPr>
        <w:numPr>
          <w:ilvl w:val="0"/>
          <w:numId w:val="30"/>
        </w:numPr>
        <w:tabs>
          <w:tab w:val="left" w:pos="360"/>
        </w:tabs>
        <w:spacing w:before="120" w:after="120" w:line="276" w:lineRule="auto"/>
        <w:ind w:left="426" w:hanging="426"/>
        <w:jc w:val="both"/>
        <w:rPr>
          <w:b/>
          <w:bCs/>
          <w:spacing w:val="-2"/>
        </w:rPr>
      </w:pPr>
      <w:r w:rsidRPr="00200960">
        <w:rPr>
          <w:b/>
          <w:bCs/>
          <w:spacing w:val="-2"/>
        </w:rPr>
        <w:t xml:space="preserve">Pazar </w:t>
      </w:r>
      <w:r w:rsidR="00CB3E7E" w:rsidRPr="00200960">
        <w:rPr>
          <w:b/>
          <w:bCs/>
          <w:spacing w:val="-2"/>
        </w:rPr>
        <w:t>payı</w:t>
      </w:r>
      <w:r w:rsidRPr="00200960">
        <w:rPr>
          <w:b/>
          <w:bCs/>
          <w:spacing w:val="-2"/>
        </w:rPr>
        <w:tab/>
      </w:r>
    </w:p>
    <w:p w14:paraId="615B29CB" w14:textId="75B33488" w:rsidR="00256365" w:rsidRPr="00200960" w:rsidRDefault="008E07E3" w:rsidP="00CB3E7E">
      <w:pPr>
        <w:shd w:val="clear" w:color="auto" w:fill="FFFFFF"/>
        <w:spacing w:before="120" w:after="120"/>
        <w:jc w:val="both"/>
        <w:rPr>
          <w:spacing w:val="-2"/>
        </w:rPr>
      </w:pPr>
      <w:r w:rsidRPr="00200960">
        <w:rPr>
          <w:spacing w:val="-2"/>
        </w:rPr>
        <w:t xml:space="preserve">(1) Yerli üretim dalının pazar payı endeksi 2020 yılında 100 birim olduğu kabul edildiğinde, 2021 yılında 118 birim, 2022 yılında 112 birim ve </w:t>
      </w:r>
      <w:proofErr w:type="spellStart"/>
      <w:r w:rsidRPr="00200960">
        <w:rPr>
          <w:spacing w:val="-2"/>
        </w:rPr>
        <w:t>SD’de</w:t>
      </w:r>
      <w:proofErr w:type="spellEnd"/>
      <w:r w:rsidRPr="00200960">
        <w:rPr>
          <w:spacing w:val="-2"/>
        </w:rPr>
        <w:t xml:space="preserve"> 97 birim olarak gerçekleşmiştir.</w:t>
      </w:r>
    </w:p>
    <w:p w14:paraId="015F34C8" w14:textId="4BE0478F" w:rsidR="00256365" w:rsidRPr="00200960" w:rsidRDefault="00256365" w:rsidP="005A374F">
      <w:pPr>
        <w:numPr>
          <w:ilvl w:val="0"/>
          <w:numId w:val="30"/>
        </w:numPr>
        <w:tabs>
          <w:tab w:val="left" w:pos="360"/>
        </w:tabs>
        <w:spacing w:before="120" w:after="120" w:line="276" w:lineRule="auto"/>
        <w:ind w:left="426" w:hanging="426"/>
        <w:jc w:val="both"/>
        <w:rPr>
          <w:b/>
          <w:bCs/>
          <w:spacing w:val="-2"/>
        </w:rPr>
      </w:pPr>
      <w:r w:rsidRPr="00200960">
        <w:rPr>
          <w:b/>
          <w:bCs/>
          <w:spacing w:val="-2"/>
        </w:rPr>
        <w:t>Maliyetler</w:t>
      </w:r>
      <w:r w:rsidR="00CB3E7E" w:rsidRPr="00200960">
        <w:rPr>
          <w:b/>
          <w:bCs/>
          <w:spacing w:val="-2"/>
        </w:rPr>
        <w:tab/>
        <w:t xml:space="preserve"> ve kârlılık</w:t>
      </w:r>
    </w:p>
    <w:p w14:paraId="03D8FAB7" w14:textId="3E1E9C61" w:rsidR="008E07E3" w:rsidRPr="008E07E3" w:rsidRDefault="008E07E3" w:rsidP="00CB3E7E">
      <w:pPr>
        <w:shd w:val="clear" w:color="auto" w:fill="FFFFFF"/>
        <w:spacing w:before="120" w:after="120"/>
        <w:jc w:val="both"/>
        <w:rPr>
          <w:spacing w:val="-2"/>
        </w:rPr>
      </w:pPr>
      <w:r w:rsidRPr="008E07E3">
        <w:rPr>
          <w:spacing w:val="-2"/>
        </w:rPr>
        <w:t xml:space="preserve">(1) Yerli üretim dalının soruşturma konusu ürün için 2020 yılında 100 birim olan birim sınai maliyet endeksi 2021 yılında 96 birim, 2022 yılında 93 birim ve </w:t>
      </w:r>
      <w:proofErr w:type="spellStart"/>
      <w:r w:rsidRPr="008E07E3">
        <w:rPr>
          <w:spacing w:val="-2"/>
        </w:rPr>
        <w:t>SD’de</w:t>
      </w:r>
      <w:proofErr w:type="spellEnd"/>
      <w:r w:rsidRPr="008E07E3">
        <w:rPr>
          <w:spacing w:val="-2"/>
        </w:rPr>
        <w:t xml:space="preserve"> 98 birim olurken; faaliyet ve finansman giderleri eklenerek hesaplanan birim ticari maliyet endeksi sırasıyla 100 birim, 98 birim, 90 birim ve 99 birim seviyesinde gerçekleşmiştir. </w:t>
      </w:r>
    </w:p>
    <w:p w14:paraId="286FBFA3" w14:textId="37620CFB" w:rsidR="008E07E3" w:rsidRPr="008E07E3" w:rsidRDefault="008E07E3" w:rsidP="00CB3E7E">
      <w:pPr>
        <w:shd w:val="clear" w:color="auto" w:fill="FFFFFF"/>
        <w:spacing w:before="120" w:after="120"/>
        <w:jc w:val="both"/>
        <w:rPr>
          <w:spacing w:val="-2"/>
        </w:rPr>
      </w:pPr>
      <w:r w:rsidRPr="008E07E3">
        <w:rPr>
          <w:spacing w:val="-2"/>
        </w:rPr>
        <w:t xml:space="preserve">(2) Yerli üretim dalının soruşturma konusu ürün için gerçekleşen ticari maliyetleri ve yurt içi satış fiyatları dikkate alınarak hesaplanan yurt içi satışlardan birim kârlılık endeksi 2020 yılında 100 birim, 2021 yılında 1.210 birim, 2022 yılında 1.221 birim ve </w:t>
      </w:r>
      <w:proofErr w:type="spellStart"/>
      <w:r w:rsidRPr="008E07E3">
        <w:rPr>
          <w:spacing w:val="-2"/>
        </w:rPr>
        <w:t>SD’de</w:t>
      </w:r>
      <w:proofErr w:type="spellEnd"/>
      <w:r w:rsidRPr="008E07E3">
        <w:rPr>
          <w:spacing w:val="-2"/>
        </w:rPr>
        <w:t xml:space="preserve"> -225 birim olarak gerçekleşmiştir. </w:t>
      </w:r>
    </w:p>
    <w:p w14:paraId="3CA23DC6" w14:textId="4798C78F" w:rsidR="008E07E3" w:rsidRPr="008E07E3" w:rsidRDefault="008E07E3" w:rsidP="00CB3E7E">
      <w:pPr>
        <w:shd w:val="clear" w:color="auto" w:fill="FFFFFF"/>
        <w:spacing w:before="120" w:after="120"/>
        <w:jc w:val="both"/>
        <w:rPr>
          <w:spacing w:val="-2"/>
        </w:rPr>
      </w:pPr>
      <w:r w:rsidRPr="008E07E3">
        <w:rPr>
          <w:spacing w:val="-2"/>
        </w:rPr>
        <w:t xml:space="preserve">(3) Yurt dışı satışlardan birim kârlılık endeksi 2020 yılından itibaren sırasıyla 100 birim, 353 birim, 411 birim ve 33 birim olarak gerçekleşmiştir. </w:t>
      </w:r>
    </w:p>
    <w:p w14:paraId="3E12A3A1" w14:textId="3728A34E" w:rsidR="00256365" w:rsidRPr="008E07E3" w:rsidRDefault="008E07E3" w:rsidP="00CB3E7E">
      <w:pPr>
        <w:shd w:val="clear" w:color="auto" w:fill="FFFFFF"/>
        <w:spacing w:before="120" w:after="120"/>
        <w:jc w:val="both"/>
        <w:rPr>
          <w:spacing w:val="-2"/>
        </w:rPr>
      </w:pPr>
      <w:r w:rsidRPr="008E07E3">
        <w:rPr>
          <w:spacing w:val="-2"/>
        </w:rPr>
        <w:t xml:space="preserve">(4) Yerli üretim dalının toplam satışlarının birim kârlılığı ise 2020 yılında 100 birim, 2021 yılında 1.027 birim, 2022 yılında 1.046 birim ve </w:t>
      </w:r>
      <w:proofErr w:type="spellStart"/>
      <w:r w:rsidRPr="008E07E3">
        <w:rPr>
          <w:spacing w:val="-2"/>
        </w:rPr>
        <w:t>SD’de</w:t>
      </w:r>
      <w:proofErr w:type="spellEnd"/>
      <w:r w:rsidRPr="008E07E3">
        <w:rPr>
          <w:spacing w:val="-2"/>
        </w:rPr>
        <w:t xml:space="preserve"> -175 birim seviyesindedir.</w:t>
      </w:r>
    </w:p>
    <w:p w14:paraId="6C1C3E4A" w14:textId="77777777" w:rsidR="00256365" w:rsidRPr="00256365" w:rsidRDefault="00256365" w:rsidP="005A374F">
      <w:pPr>
        <w:numPr>
          <w:ilvl w:val="0"/>
          <w:numId w:val="30"/>
        </w:numPr>
        <w:tabs>
          <w:tab w:val="left" w:pos="360"/>
        </w:tabs>
        <w:spacing w:before="120" w:after="120" w:line="276" w:lineRule="auto"/>
        <w:ind w:left="426" w:hanging="426"/>
        <w:jc w:val="both"/>
        <w:rPr>
          <w:b/>
          <w:bCs/>
          <w:spacing w:val="-2"/>
        </w:rPr>
      </w:pPr>
      <w:r w:rsidRPr="00256365">
        <w:rPr>
          <w:b/>
          <w:bCs/>
          <w:spacing w:val="-2"/>
        </w:rPr>
        <w:t>Stoklar</w:t>
      </w:r>
      <w:r w:rsidRPr="00256365">
        <w:rPr>
          <w:b/>
          <w:bCs/>
          <w:spacing w:val="-2"/>
        </w:rPr>
        <w:tab/>
      </w:r>
    </w:p>
    <w:p w14:paraId="128E7ED1" w14:textId="493CEE96" w:rsidR="00256365" w:rsidRPr="00CB3E7E" w:rsidRDefault="008E07E3" w:rsidP="00CB3E7E">
      <w:pPr>
        <w:shd w:val="clear" w:color="auto" w:fill="FFFFFF"/>
        <w:spacing w:before="120" w:after="120"/>
        <w:jc w:val="both"/>
        <w:rPr>
          <w:spacing w:val="-2"/>
        </w:rPr>
      </w:pPr>
      <w:r w:rsidRPr="00CB3E7E">
        <w:rPr>
          <w:spacing w:val="-2"/>
        </w:rPr>
        <w:t xml:space="preserve">(1) Yerli üretim dalının dönem sonu stok miktarı 2020 yılında 100 birim, 2021 yılında 111 birim, 2022 yılında 201 birim ve </w:t>
      </w:r>
      <w:proofErr w:type="spellStart"/>
      <w:r w:rsidRPr="00CB3E7E">
        <w:rPr>
          <w:spacing w:val="-2"/>
        </w:rPr>
        <w:t>SD’de</w:t>
      </w:r>
      <w:proofErr w:type="spellEnd"/>
      <w:r w:rsidRPr="00CB3E7E">
        <w:rPr>
          <w:spacing w:val="-2"/>
        </w:rPr>
        <w:t xml:space="preserve"> 164 birim seviyesindedir.</w:t>
      </w:r>
    </w:p>
    <w:p w14:paraId="7FA3DAFC" w14:textId="77777777" w:rsidR="00256365" w:rsidRPr="00256365" w:rsidRDefault="00256365" w:rsidP="005A374F">
      <w:pPr>
        <w:numPr>
          <w:ilvl w:val="0"/>
          <w:numId w:val="30"/>
        </w:numPr>
        <w:tabs>
          <w:tab w:val="left" w:pos="360"/>
        </w:tabs>
        <w:spacing w:before="120" w:after="120" w:line="276" w:lineRule="auto"/>
        <w:ind w:left="426" w:hanging="426"/>
        <w:jc w:val="both"/>
        <w:rPr>
          <w:b/>
          <w:bCs/>
          <w:spacing w:val="-2"/>
        </w:rPr>
      </w:pPr>
      <w:r w:rsidRPr="00256365">
        <w:rPr>
          <w:b/>
          <w:bCs/>
          <w:spacing w:val="-2"/>
        </w:rPr>
        <w:lastRenderedPageBreak/>
        <w:t xml:space="preserve">İstihdam </w:t>
      </w:r>
    </w:p>
    <w:p w14:paraId="4C14E531" w14:textId="765A7E9D" w:rsidR="00256365" w:rsidRPr="00256365" w:rsidRDefault="008E07E3" w:rsidP="00256365">
      <w:pPr>
        <w:tabs>
          <w:tab w:val="left" w:pos="360"/>
        </w:tabs>
        <w:spacing w:before="120" w:after="120"/>
        <w:jc w:val="both"/>
        <w:rPr>
          <w:bCs/>
          <w:spacing w:val="-2"/>
        </w:rPr>
      </w:pPr>
      <w:r w:rsidRPr="008E07E3">
        <w:rPr>
          <w:bCs/>
          <w:spacing w:val="-2"/>
        </w:rPr>
        <w:t xml:space="preserve">(1) Yerli üretim dalının soruşturma konusu ürün üretiminde çalışan işçi sayısı endeksi 2020 yılında 100 birim, 2021 yılında 148 birim, 2022 yılında 168 birim ve </w:t>
      </w:r>
      <w:proofErr w:type="spellStart"/>
      <w:r w:rsidRPr="008E07E3">
        <w:rPr>
          <w:bCs/>
          <w:spacing w:val="-2"/>
        </w:rPr>
        <w:t>SD’de</w:t>
      </w:r>
      <w:proofErr w:type="spellEnd"/>
      <w:r w:rsidRPr="008E07E3">
        <w:rPr>
          <w:bCs/>
          <w:spacing w:val="-2"/>
        </w:rPr>
        <w:t xml:space="preserve"> 176 birim olmuştur.</w:t>
      </w:r>
    </w:p>
    <w:p w14:paraId="58A95527" w14:textId="77777777" w:rsidR="00256365" w:rsidRPr="00256365" w:rsidRDefault="00256365" w:rsidP="005A374F">
      <w:pPr>
        <w:numPr>
          <w:ilvl w:val="0"/>
          <w:numId w:val="30"/>
        </w:numPr>
        <w:tabs>
          <w:tab w:val="left" w:pos="360"/>
        </w:tabs>
        <w:spacing w:before="120" w:after="120" w:line="276" w:lineRule="auto"/>
        <w:ind w:left="426" w:hanging="426"/>
        <w:jc w:val="both"/>
        <w:rPr>
          <w:b/>
          <w:bCs/>
          <w:spacing w:val="-2"/>
        </w:rPr>
      </w:pPr>
      <w:r w:rsidRPr="00256365">
        <w:rPr>
          <w:b/>
          <w:bCs/>
          <w:spacing w:val="-2"/>
        </w:rPr>
        <w:t>Ücretler</w:t>
      </w:r>
      <w:r w:rsidRPr="00256365">
        <w:rPr>
          <w:b/>
          <w:bCs/>
          <w:spacing w:val="-2"/>
        </w:rPr>
        <w:tab/>
      </w:r>
    </w:p>
    <w:p w14:paraId="73349687" w14:textId="0EDFE8B6" w:rsidR="00256365" w:rsidRPr="00256365" w:rsidRDefault="008E07E3" w:rsidP="00256365">
      <w:pPr>
        <w:tabs>
          <w:tab w:val="left" w:pos="360"/>
        </w:tabs>
        <w:spacing w:before="120" w:after="120"/>
        <w:jc w:val="both"/>
        <w:rPr>
          <w:bCs/>
          <w:spacing w:val="-2"/>
        </w:rPr>
      </w:pPr>
      <w:r w:rsidRPr="008E07E3">
        <w:rPr>
          <w:bCs/>
          <w:spacing w:val="-2"/>
        </w:rPr>
        <w:t xml:space="preserve">(1) Soruşturma konusu ürün üretiminde çalışan bir işçinin aylık brüt ücretinin endeksi 2020 yılında 100 birim olarak kabul edildiğinde, 2021 yılında 94 birim, 2022 yılında 60 birim ve </w:t>
      </w:r>
      <w:proofErr w:type="spellStart"/>
      <w:r w:rsidRPr="008E07E3">
        <w:rPr>
          <w:bCs/>
          <w:spacing w:val="-2"/>
        </w:rPr>
        <w:t>SD’de</w:t>
      </w:r>
      <w:proofErr w:type="spellEnd"/>
      <w:r w:rsidRPr="008E07E3">
        <w:rPr>
          <w:bCs/>
          <w:spacing w:val="-2"/>
        </w:rPr>
        <w:t xml:space="preserve"> 72 birim seviyesindedir.</w:t>
      </w:r>
    </w:p>
    <w:p w14:paraId="437F9F52" w14:textId="77777777" w:rsidR="00256365" w:rsidRPr="00256365" w:rsidRDefault="00256365" w:rsidP="005A374F">
      <w:pPr>
        <w:numPr>
          <w:ilvl w:val="0"/>
          <w:numId w:val="30"/>
        </w:numPr>
        <w:tabs>
          <w:tab w:val="left" w:pos="360"/>
        </w:tabs>
        <w:spacing w:before="120" w:after="120" w:line="276" w:lineRule="auto"/>
        <w:ind w:left="426" w:hanging="426"/>
        <w:jc w:val="both"/>
        <w:rPr>
          <w:b/>
          <w:bCs/>
          <w:spacing w:val="-2"/>
        </w:rPr>
      </w:pPr>
      <w:r w:rsidRPr="00256365">
        <w:rPr>
          <w:b/>
          <w:bCs/>
          <w:spacing w:val="-2"/>
        </w:rPr>
        <w:t>Verimlilik</w:t>
      </w:r>
      <w:r w:rsidRPr="00256365">
        <w:rPr>
          <w:b/>
          <w:bCs/>
          <w:spacing w:val="-2"/>
        </w:rPr>
        <w:tab/>
      </w:r>
    </w:p>
    <w:p w14:paraId="120FE462" w14:textId="60073039" w:rsidR="00256365" w:rsidRPr="00256365" w:rsidRDefault="008E07E3" w:rsidP="00256365">
      <w:pPr>
        <w:tabs>
          <w:tab w:val="left" w:pos="360"/>
        </w:tabs>
        <w:spacing w:before="120" w:after="120"/>
        <w:jc w:val="both"/>
        <w:rPr>
          <w:bCs/>
          <w:spacing w:val="-2"/>
        </w:rPr>
      </w:pPr>
      <w:r w:rsidRPr="008E07E3">
        <w:rPr>
          <w:bCs/>
          <w:spacing w:val="-2"/>
        </w:rPr>
        <w:t xml:space="preserve">(1) Soruşturma konusu ürün üretiminde çalışan işçi başına düşen üretim miktarını gösteren verimlilik endeksi 2020 yılında 100 birim, 2021 yılında 83 birim, 2022 yılında 75 birim ve </w:t>
      </w:r>
      <w:proofErr w:type="spellStart"/>
      <w:r w:rsidRPr="008E07E3">
        <w:rPr>
          <w:bCs/>
          <w:spacing w:val="-2"/>
        </w:rPr>
        <w:t>SD’de</w:t>
      </w:r>
      <w:proofErr w:type="spellEnd"/>
      <w:r w:rsidRPr="008E07E3">
        <w:rPr>
          <w:bCs/>
          <w:spacing w:val="-2"/>
        </w:rPr>
        <w:t xml:space="preserve"> 48 birim seviyesindedir.</w:t>
      </w:r>
    </w:p>
    <w:p w14:paraId="06B9440B" w14:textId="72A63764" w:rsidR="00256365" w:rsidRPr="00256365" w:rsidRDefault="00256365" w:rsidP="005A374F">
      <w:pPr>
        <w:numPr>
          <w:ilvl w:val="0"/>
          <w:numId w:val="30"/>
        </w:numPr>
        <w:tabs>
          <w:tab w:val="left" w:pos="360"/>
        </w:tabs>
        <w:spacing w:before="120" w:after="120" w:line="276" w:lineRule="auto"/>
        <w:ind w:left="426" w:hanging="426"/>
        <w:jc w:val="both"/>
        <w:rPr>
          <w:b/>
          <w:bCs/>
          <w:spacing w:val="-2"/>
        </w:rPr>
      </w:pPr>
      <w:r w:rsidRPr="00256365">
        <w:rPr>
          <w:b/>
          <w:bCs/>
          <w:spacing w:val="-2"/>
        </w:rPr>
        <w:t xml:space="preserve">Nakit </w:t>
      </w:r>
      <w:r w:rsidR="00CB3E7E">
        <w:rPr>
          <w:b/>
          <w:bCs/>
          <w:spacing w:val="-2"/>
        </w:rPr>
        <w:t>a</w:t>
      </w:r>
      <w:r w:rsidRPr="00256365">
        <w:rPr>
          <w:b/>
          <w:bCs/>
          <w:spacing w:val="-2"/>
        </w:rPr>
        <w:t xml:space="preserve">kışı </w:t>
      </w:r>
      <w:r w:rsidRPr="00256365">
        <w:rPr>
          <w:b/>
          <w:bCs/>
          <w:spacing w:val="-2"/>
        </w:rPr>
        <w:tab/>
      </w:r>
    </w:p>
    <w:p w14:paraId="0C741591" w14:textId="31D093A6" w:rsidR="00256365" w:rsidRPr="00256365" w:rsidRDefault="008E07E3" w:rsidP="00256365">
      <w:pPr>
        <w:tabs>
          <w:tab w:val="left" w:pos="360"/>
        </w:tabs>
        <w:spacing w:before="120" w:after="120"/>
        <w:jc w:val="both"/>
        <w:rPr>
          <w:bCs/>
          <w:spacing w:val="-2"/>
        </w:rPr>
      </w:pPr>
      <w:r w:rsidRPr="008E07E3">
        <w:rPr>
          <w:bCs/>
          <w:spacing w:val="-2"/>
        </w:rPr>
        <w:t xml:space="preserve">(1) Yerli üretim dalının soruşturma konusu ürüne ilişkin amortisman ve karlılık değerleri dikkate alınarak hesaplanan nakit akışı endeksi 2020 yılında 100 birim, 2021 yılında 926 birim, 2022 yılında 815 birim ve </w:t>
      </w:r>
      <w:proofErr w:type="spellStart"/>
      <w:r w:rsidRPr="008E07E3">
        <w:rPr>
          <w:bCs/>
          <w:spacing w:val="-2"/>
        </w:rPr>
        <w:t>SD’de</w:t>
      </w:r>
      <w:proofErr w:type="spellEnd"/>
      <w:r w:rsidRPr="008E07E3">
        <w:rPr>
          <w:bCs/>
          <w:spacing w:val="-2"/>
        </w:rPr>
        <w:t xml:space="preserve"> -117 birim olarak gerçekleşmiştir.</w:t>
      </w:r>
    </w:p>
    <w:p w14:paraId="5C6C1EA9" w14:textId="77777777" w:rsidR="00256365" w:rsidRPr="00256365" w:rsidRDefault="00256365" w:rsidP="005A374F">
      <w:pPr>
        <w:numPr>
          <w:ilvl w:val="0"/>
          <w:numId w:val="30"/>
        </w:numPr>
        <w:tabs>
          <w:tab w:val="left" w:pos="360"/>
        </w:tabs>
        <w:spacing w:before="120" w:after="120" w:line="276" w:lineRule="auto"/>
        <w:ind w:left="426" w:hanging="426"/>
        <w:jc w:val="both"/>
        <w:rPr>
          <w:b/>
          <w:bCs/>
          <w:spacing w:val="-2"/>
        </w:rPr>
      </w:pPr>
      <w:r w:rsidRPr="00256365">
        <w:rPr>
          <w:b/>
          <w:bCs/>
          <w:spacing w:val="-2"/>
        </w:rPr>
        <w:t>Büyüme</w:t>
      </w:r>
    </w:p>
    <w:p w14:paraId="3AE12212" w14:textId="1838454F" w:rsidR="00256365" w:rsidRPr="00256365" w:rsidRDefault="008E07E3" w:rsidP="00256365">
      <w:pPr>
        <w:tabs>
          <w:tab w:val="left" w:pos="360"/>
        </w:tabs>
        <w:spacing w:before="120" w:after="120"/>
        <w:jc w:val="both"/>
        <w:rPr>
          <w:b/>
          <w:bCs/>
          <w:spacing w:val="-2"/>
        </w:rPr>
      </w:pPr>
      <w:r w:rsidRPr="008E07E3">
        <w:rPr>
          <w:bCs/>
          <w:spacing w:val="-2"/>
        </w:rPr>
        <w:t xml:space="preserve">(1) Yerli üretim dalının bütün faaliyetlerini kapsayan aktif büyüklük endeksi 2020 yılında 100 birim, 2021 yılında 136 birim, 2022 yılında 101 birim ve </w:t>
      </w:r>
      <w:proofErr w:type="spellStart"/>
      <w:r w:rsidRPr="008E07E3">
        <w:rPr>
          <w:bCs/>
          <w:spacing w:val="-2"/>
        </w:rPr>
        <w:t>SD’de</w:t>
      </w:r>
      <w:proofErr w:type="spellEnd"/>
      <w:r w:rsidRPr="008E07E3">
        <w:rPr>
          <w:bCs/>
          <w:spacing w:val="-2"/>
        </w:rPr>
        <w:t xml:space="preserve"> 92 birim olarak gerçekleşmiştir.</w:t>
      </w:r>
    </w:p>
    <w:p w14:paraId="69E4DCDC" w14:textId="6C3237DA" w:rsidR="00256365" w:rsidRPr="008E07E3" w:rsidRDefault="00256365" w:rsidP="008E07E3">
      <w:pPr>
        <w:numPr>
          <w:ilvl w:val="0"/>
          <w:numId w:val="30"/>
        </w:numPr>
        <w:tabs>
          <w:tab w:val="left" w:pos="360"/>
        </w:tabs>
        <w:spacing w:before="120" w:after="120" w:line="276" w:lineRule="auto"/>
        <w:ind w:left="426" w:hanging="426"/>
        <w:jc w:val="both"/>
        <w:rPr>
          <w:b/>
          <w:bCs/>
          <w:spacing w:val="-2"/>
        </w:rPr>
      </w:pPr>
      <w:r w:rsidRPr="00256365">
        <w:rPr>
          <w:b/>
          <w:bCs/>
          <w:spacing w:val="-2"/>
        </w:rPr>
        <w:t>Sermayey</w:t>
      </w:r>
      <w:r w:rsidR="00CB3E7E">
        <w:rPr>
          <w:b/>
          <w:bCs/>
          <w:spacing w:val="-2"/>
        </w:rPr>
        <w:t>i</w:t>
      </w:r>
      <w:r w:rsidR="00CB3E7E" w:rsidRPr="00256365">
        <w:rPr>
          <w:b/>
          <w:bCs/>
          <w:spacing w:val="-2"/>
        </w:rPr>
        <w:t xml:space="preserve"> artırma yeteneği</w:t>
      </w:r>
      <w:r w:rsidR="00CB3E7E" w:rsidRPr="00256365">
        <w:rPr>
          <w:b/>
          <w:bCs/>
          <w:spacing w:val="-2"/>
        </w:rPr>
        <w:tab/>
      </w:r>
    </w:p>
    <w:p w14:paraId="0BF9D957" w14:textId="46A6708E" w:rsidR="00256365" w:rsidRPr="00256365" w:rsidRDefault="008E07E3" w:rsidP="00256365">
      <w:pPr>
        <w:tabs>
          <w:tab w:val="left" w:pos="360"/>
        </w:tabs>
        <w:spacing w:before="120" w:after="120"/>
        <w:jc w:val="both"/>
        <w:rPr>
          <w:bCs/>
          <w:spacing w:val="-2"/>
        </w:rPr>
      </w:pPr>
      <w:r w:rsidRPr="00E61011">
        <w:t xml:space="preserve">(1) Yerli üretim dalının öz sermaye endeksi aynı dönemde sırasıyla 100 birim, 102 birim, 73 birim ve </w:t>
      </w:r>
      <w:proofErr w:type="spellStart"/>
      <w:r w:rsidRPr="00E61011">
        <w:t>SD’de</w:t>
      </w:r>
      <w:proofErr w:type="spellEnd"/>
      <w:r w:rsidRPr="00E61011">
        <w:t xml:space="preserve"> 34 birim olarak gerçekleşmiştir.</w:t>
      </w:r>
    </w:p>
    <w:p w14:paraId="0B1383EC" w14:textId="5FFFC28C" w:rsidR="00256365" w:rsidRPr="00256365" w:rsidRDefault="00256365" w:rsidP="005A374F">
      <w:pPr>
        <w:numPr>
          <w:ilvl w:val="0"/>
          <w:numId w:val="30"/>
        </w:numPr>
        <w:tabs>
          <w:tab w:val="left" w:pos="360"/>
        </w:tabs>
        <w:spacing w:before="120" w:after="120" w:line="276" w:lineRule="auto"/>
        <w:ind w:left="426" w:hanging="426"/>
        <w:jc w:val="both"/>
        <w:rPr>
          <w:b/>
          <w:bCs/>
          <w:spacing w:val="-2"/>
        </w:rPr>
      </w:pPr>
      <w:r w:rsidRPr="00256365">
        <w:rPr>
          <w:b/>
          <w:bCs/>
          <w:spacing w:val="-2"/>
        </w:rPr>
        <w:t xml:space="preserve">Yatırımları </w:t>
      </w:r>
      <w:r w:rsidR="00CB3E7E" w:rsidRPr="00256365">
        <w:rPr>
          <w:b/>
          <w:bCs/>
          <w:spacing w:val="-2"/>
        </w:rPr>
        <w:t>artırma yeteneği</w:t>
      </w:r>
    </w:p>
    <w:p w14:paraId="79C46E75" w14:textId="77777777" w:rsidR="008E07E3" w:rsidRPr="00CB3E7E" w:rsidRDefault="008E07E3" w:rsidP="008E07E3">
      <w:pPr>
        <w:tabs>
          <w:tab w:val="left" w:pos="360"/>
        </w:tabs>
        <w:spacing w:before="120" w:after="120"/>
        <w:jc w:val="both"/>
      </w:pPr>
      <w:r w:rsidRPr="00CB3E7E">
        <w:t>(1) İncelenen dönemde yerli üretim dalının bütün faaliyetlerine yönelik olarak yapılan tevsi yatırımların endeksi sırasıyla 100 birim, 66 birim, 80 birim ve 133 birim seviyelerinde; yenileme yatırımlarının endeksi ise sırasıyla 100 birim, 2 birim, 3 birim ve 1 birim seviyelerinde gerçekleşmiştir.</w:t>
      </w:r>
    </w:p>
    <w:p w14:paraId="7F58CE9B" w14:textId="301C14B6" w:rsidR="00F50E6E" w:rsidRPr="00CB3E7E" w:rsidRDefault="008E07E3" w:rsidP="008E07E3">
      <w:pPr>
        <w:tabs>
          <w:tab w:val="left" w:pos="360"/>
        </w:tabs>
        <w:spacing w:before="120" w:after="120"/>
        <w:jc w:val="both"/>
      </w:pPr>
      <w:r w:rsidRPr="00CB3E7E">
        <w:t xml:space="preserve">(2) Yerli üretim dalının yatırımlarının geri dönüş oranı (dönem karı/öz sermaye) aynı dönemde sırasıyla 100 birim, 641 birim, 826 birim </w:t>
      </w:r>
      <w:proofErr w:type="gramStart"/>
      <w:r w:rsidRPr="00CB3E7E">
        <w:t>ve -</w:t>
      </w:r>
      <w:proofErr w:type="gramEnd"/>
      <w:r w:rsidRPr="00CB3E7E">
        <w:t>1.516 birim olmuştur.</w:t>
      </w:r>
    </w:p>
    <w:bookmarkEnd w:id="74"/>
    <w:p w14:paraId="1E700092" w14:textId="6DE35CB0" w:rsidR="00A215D1" w:rsidRDefault="00A215D1" w:rsidP="001161E3">
      <w:pPr>
        <w:pStyle w:val="Balk2"/>
        <w:spacing w:before="120" w:after="120"/>
        <w:rPr>
          <w:szCs w:val="24"/>
        </w:rPr>
      </w:pPr>
      <w:r w:rsidRPr="0055784D">
        <w:rPr>
          <w:szCs w:val="24"/>
        </w:rPr>
        <w:t xml:space="preserve">4.8. Ekonomik </w:t>
      </w:r>
      <w:r w:rsidR="00CB3E7E" w:rsidRPr="0055784D">
        <w:rPr>
          <w:szCs w:val="24"/>
        </w:rPr>
        <w:t>göstergelerinin değerlendirilmesi</w:t>
      </w:r>
    </w:p>
    <w:p w14:paraId="04A9FE67" w14:textId="24F3674F" w:rsidR="005C6D40" w:rsidRPr="007C588C" w:rsidRDefault="008E07E3" w:rsidP="008E07E3">
      <w:pPr>
        <w:tabs>
          <w:tab w:val="left" w:pos="426"/>
        </w:tabs>
        <w:spacing w:before="120" w:after="120"/>
        <w:jc w:val="both"/>
        <w:outlineLvl w:val="1"/>
        <w:rPr>
          <w:b/>
        </w:rPr>
      </w:pPr>
      <w:bookmarkStart w:id="76" w:name="_Toc157613492"/>
      <w:bookmarkStart w:id="77" w:name="_Toc98149767"/>
      <w:bookmarkEnd w:id="75"/>
      <w:r w:rsidRPr="008E07E3">
        <w:t>(1) Yerli üretim dalının ekonomik göstergeleri incelendiğinde, önlemin varlığına rağmen, yerli üretim dalının yurt içi satışlardan birim ürün karının düştüğü, üretiminin ve dolayısıyla kapasite kullanım oranının düşmesine rağmen dönem sonu stoklarının arttığı ve verimlilik göstergesinde bozulmalar yaşandığı görülmektedir.</w:t>
      </w:r>
    </w:p>
    <w:p w14:paraId="6A013FB0" w14:textId="14ECD9CB" w:rsidR="00BA139D" w:rsidRPr="0055784D" w:rsidRDefault="005C6D40" w:rsidP="005A374F">
      <w:pPr>
        <w:pStyle w:val="ListeParagraf"/>
        <w:keepNext/>
        <w:keepLines/>
        <w:numPr>
          <w:ilvl w:val="1"/>
          <w:numId w:val="10"/>
        </w:numPr>
        <w:spacing w:before="120" w:after="120"/>
        <w:outlineLvl w:val="1"/>
        <w:rPr>
          <w:rFonts w:eastAsiaTheme="majorEastAsia" w:cstheme="majorBidi"/>
          <w:b/>
        </w:rPr>
      </w:pPr>
      <w:r>
        <w:rPr>
          <w:rFonts w:eastAsiaTheme="majorEastAsia" w:cstheme="majorBidi"/>
          <w:b/>
        </w:rPr>
        <w:t xml:space="preserve"> </w:t>
      </w:r>
      <w:r w:rsidR="00BA139D" w:rsidRPr="0055784D">
        <w:rPr>
          <w:rFonts w:eastAsiaTheme="majorEastAsia" w:cstheme="majorBidi"/>
          <w:b/>
        </w:rPr>
        <w:t xml:space="preserve">Zararın </w:t>
      </w:r>
      <w:r w:rsidR="00CB3E7E" w:rsidRPr="0055784D">
        <w:rPr>
          <w:rFonts w:eastAsiaTheme="majorEastAsia" w:cstheme="majorBidi"/>
          <w:b/>
        </w:rPr>
        <w:t>devamı veya yeniden meydana gelmesi ihtimali</w:t>
      </w:r>
      <w:bookmarkEnd w:id="76"/>
      <w:r w:rsidR="00CB3E7E" w:rsidRPr="0055784D">
        <w:rPr>
          <w:rFonts w:eastAsiaTheme="majorEastAsia" w:cstheme="majorBidi"/>
          <w:b/>
        </w:rPr>
        <w:t>ne ilişkin değerlendirme</w:t>
      </w:r>
    </w:p>
    <w:p w14:paraId="6873154A" w14:textId="77777777" w:rsidR="008E07E3" w:rsidRDefault="008E07E3" w:rsidP="008E07E3">
      <w:pPr>
        <w:spacing w:before="120" w:after="120"/>
        <w:jc w:val="both"/>
        <w:rPr>
          <w:lang w:eastAsia="en-US"/>
        </w:rPr>
      </w:pPr>
      <w:bookmarkStart w:id="78" w:name="_Toc148627867"/>
      <w:bookmarkEnd w:id="77"/>
      <w:r>
        <w:rPr>
          <w:lang w:eastAsia="en-US"/>
        </w:rPr>
        <w:t xml:space="preserve">(1)  Zararın devam etmesi veya yeniden meydana gelmesi ihtimaline ilişkin yukarıdaki bilgiler çerçevesinde, </w:t>
      </w:r>
    </w:p>
    <w:p w14:paraId="2204AD4C" w14:textId="77777777" w:rsidR="008E07E3" w:rsidRDefault="008E07E3" w:rsidP="008E07E3">
      <w:pPr>
        <w:pStyle w:val="ListeParagraf"/>
        <w:spacing w:before="120" w:after="120"/>
        <w:ind w:left="1080" w:hanging="360"/>
        <w:jc w:val="both"/>
      </w:pPr>
      <w:r>
        <w:t>i.</w:t>
      </w:r>
      <w:r>
        <w:tab/>
      </w:r>
      <w:proofErr w:type="spellStart"/>
      <w:r>
        <w:t>ÇHC’nin</w:t>
      </w:r>
      <w:proofErr w:type="spellEnd"/>
      <w:r>
        <w:t xml:space="preserve"> ve Çin </w:t>
      </w:r>
      <w:proofErr w:type="spellStart"/>
      <w:r>
        <w:t>Tayvanı’nın</w:t>
      </w:r>
      <w:proofErr w:type="spellEnd"/>
      <w:r>
        <w:t xml:space="preserve"> pazar payının düşüş gösterdiği görülmektedir. Ülkelerin ithalatlarının ve pazar paylarının gerilemesi, damping önlemlerinin uygulanması sonrasında genel olarak gözlemlenen bir durumdur. </w:t>
      </w:r>
    </w:p>
    <w:p w14:paraId="2879084A" w14:textId="45072BB9" w:rsidR="008E07E3" w:rsidRDefault="008E07E3" w:rsidP="008E07E3">
      <w:pPr>
        <w:pStyle w:val="ListeParagraf"/>
        <w:spacing w:before="120" w:after="120"/>
        <w:ind w:left="1080" w:hanging="360"/>
        <w:jc w:val="both"/>
      </w:pPr>
      <w:r>
        <w:t>ii.</w:t>
      </w:r>
      <w:r>
        <w:tab/>
        <w:t xml:space="preserve">ÇHC menşeli ithalatın yerli üretim dalının yurt içi satış fiyatlarını </w:t>
      </w:r>
      <w:r w:rsidR="00032F98">
        <w:t xml:space="preserve">2020 yılında kırdığı ve baskıladığı, 2021, 2022 yıllarında ve </w:t>
      </w:r>
      <w:proofErr w:type="spellStart"/>
      <w:r w:rsidR="00032F98">
        <w:t>SD’de</w:t>
      </w:r>
      <w:proofErr w:type="spellEnd"/>
      <w:r w:rsidR="00032F98">
        <w:t xml:space="preserve"> ise </w:t>
      </w:r>
      <w:r>
        <w:t xml:space="preserve">kırmadığı ve </w:t>
      </w:r>
      <w:r>
        <w:lastRenderedPageBreak/>
        <w:t xml:space="preserve">baskılamadığı tespit edilmiştir. </w:t>
      </w:r>
      <w:r w:rsidR="00CB3E7E">
        <w:t xml:space="preserve">Çin </w:t>
      </w:r>
      <w:proofErr w:type="spellStart"/>
      <w:r w:rsidR="00CB3E7E">
        <w:t>Tayvanı</w:t>
      </w:r>
      <w:proofErr w:type="spellEnd"/>
      <w:r w:rsidR="00CB3E7E" w:rsidRPr="00CB3E7E">
        <w:t xml:space="preserve"> </w:t>
      </w:r>
      <w:r w:rsidR="00CB3E7E">
        <w:t>menşeli ithalatın yerli üretim dalının yurt içi satış fiyatlarını kırmadığı ve baskılamadığı tespit edilmiştir.</w:t>
      </w:r>
    </w:p>
    <w:p w14:paraId="463FC3E4" w14:textId="77777777" w:rsidR="008E07E3" w:rsidRDefault="008E07E3" w:rsidP="008E07E3">
      <w:pPr>
        <w:pStyle w:val="ListeParagraf"/>
        <w:spacing w:before="120" w:after="120"/>
        <w:ind w:left="1080" w:hanging="360"/>
        <w:jc w:val="both"/>
      </w:pPr>
      <w:r>
        <w:t>iii.</w:t>
      </w:r>
      <w:r>
        <w:tab/>
        <w:t xml:space="preserve">Önlemin yürürlükten kalkması durumunda fiyatlarda önlem miktarı kadar bir azalma söz konusu olacağı kabul edilirse, yerli üretim dalında pazar kaybı sebebiyle zararın yeniden meydana gelmesinin söz konusu olabileceği değerlendirilmektedir. </w:t>
      </w:r>
    </w:p>
    <w:p w14:paraId="174AE6D6" w14:textId="77777777" w:rsidR="008E07E3" w:rsidRDefault="008E07E3" w:rsidP="008E07E3">
      <w:pPr>
        <w:pStyle w:val="ListeParagraf"/>
        <w:spacing w:before="120" w:after="120"/>
        <w:ind w:left="1080" w:hanging="360"/>
        <w:jc w:val="both"/>
      </w:pPr>
      <w:r>
        <w:t>iv.</w:t>
      </w:r>
      <w:r>
        <w:tab/>
        <w:t>Yerli üretim dalının ekonomik göstergeleri bir bütün olarak incelendiğinde, önlemin varlığına rağmen inceleme döneminde üretim miktarı, yurt içi satışlardan kârlılık, KKO, verimlilik ve stok miktarı gibi göstergelerinde olumsuz seyrin devam ettiği görülmektedir.</w:t>
      </w:r>
    </w:p>
    <w:p w14:paraId="52994779" w14:textId="22511AD2" w:rsidR="008E07E3" w:rsidRPr="005C6D40" w:rsidRDefault="008E07E3" w:rsidP="008E07E3">
      <w:pPr>
        <w:spacing w:before="120" w:after="120"/>
        <w:jc w:val="both"/>
        <w:rPr>
          <w:lang w:eastAsia="en-US"/>
        </w:rPr>
      </w:pPr>
      <w:r>
        <w:rPr>
          <w:lang w:eastAsia="en-US"/>
        </w:rPr>
        <w:t>(2) Tüm bu hususlar birlikte dikkate alındığında, zararın devam etmesinin veya yeniden meydana gelmesinin muhtemel olduğu düşünülmektedir.</w:t>
      </w:r>
    </w:p>
    <w:p w14:paraId="179C62BF" w14:textId="2149F8C5" w:rsidR="0040442A" w:rsidRPr="0055784D" w:rsidRDefault="0040442A" w:rsidP="005A374F">
      <w:pPr>
        <w:pStyle w:val="Balk1"/>
        <w:numPr>
          <w:ilvl w:val="0"/>
          <w:numId w:val="10"/>
        </w:numPr>
        <w:spacing w:before="120" w:after="120"/>
        <w:jc w:val="both"/>
        <w:rPr>
          <w:rFonts w:ascii="Times New Roman" w:hAnsi="Times New Roman" w:cs="Times New Roman"/>
          <w:color w:val="000000" w:themeColor="text1"/>
          <w:sz w:val="24"/>
          <w:szCs w:val="24"/>
        </w:rPr>
      </w:pPr>
      <w:r w:rsidRPr="0055784D">
        <w:rPr>
          <w:rFonts w:ascii="Times New Roman" w:hAnsi="Times New Roman" w:cs="Times New Roman"/>
          <w:color w:val="000000" w:themeColor="text1"/>
          <w:sz w:val="24"/>
          <w:szCs w:val="24"/>
        </w:rPr>
        <w:t>SONUÇ</w:t>
      </w:r>
      <w:bookmarkEnd w:id="78"/>
    </w:p>
    <w:p w14:paraId="37F7C8BE" w14:textId="77777777" w:rsidR="00A27165" w:rsidRPr="0055784D" w:rsidRDefault="00A27165" w:rsidP="000C7288">
      <w:pPr>
        <w:pStyle w:val="Default"/>
        <w:spacing w:before="120" w:after="120"/>
        <w:jc w:val="both"/>
        <w:rPr>
          <w:color w:val="auto"/>
        </w:rPr>
      </w:pPr>
      <w:r w:rsidRPr="0055784D">
        <w:rPr>
          <w:color w:val="auto"/>
        </w:rPr>
        <w:t>(1) Yürütülen soruşturma esnasında elde edilen bilgi ve bulgular çerçevesinde, önlemin ortadan kalkması durumunda dampingin ve zararın devam etmesinin veya yeniden me</w:t>
      </w:r>
      <w:r w:rsidR="006462EC" w:rsidRPr="0055784D">
        <w:rPr>
          <w:color w:val="auto"/>
        </w:rPr>
        <w:t>ydana gelmesinin muhtemel ol</w:t>
      </w:r>
      <w:r w:rsidR="000A4AFA" w:rsidRPr="0055784D">
        <w:rPr>
          <w:color w:val="auto"/>
        </w:rPr>
        <w:t>duğu</w:t>
      </w:r>
      <w:r w:rsidRPr="0055784D">
        <w:rPr>
          <w:color w:val="auto"/>
        </w:rPr>
        <w:t xml:space="preserve"> değerlendirilmiştir.</w:t>
      </w:r>
    </w:p>
    <w:p w14:paraId="26C81584" w14:textId="460FE37A" w:rsidR="00210E2D" w:rsidRPr="00027269" w:rsidRDefault="00A27165" w:rsidP="0074657D">
      <w:pPr>
        <w:spacing w:before="120" w:after="120"/>
        <w:jc w:val="both"/>
      </w:pPr>
      <w:r w:rsidRPr="00027269">
        <w:t>(</w:t>
      </w:r>
      <w:r w:rsidRPr="00027269">
        <w:rPr>
          <w:bCs/>
          <w:color w:val="0D0D0D" w:themeColor="text1" w:themeTint="F2"/>
          <w:lang w:eastAsia="en-US"/>
        </w:rPr>
        <w:t xml:space="preserve">2) </w:t>
      </w:r>
      <w:r w:rsidRPr="00027269">
        <w:t>Bu çerçevede</w:t>
      </w:r>
      <w:r w:rsidR="00A836B6" w:rsidRPr="00027269">
        <w:t>,</w:t>
      </w:r>
      <w:r w:rsidRPr="00027269">
        <w:t xml:space="preserve"> </w:t>
      </w:r>
      <w:r w:rsidR="00A836B6" w:rsidRPr="00027269">
        <w:t xml:space="preserve">soruşturma neticesinde ulaşılan tespitleri değerlendiren Kurulun kararı ile </w:t>
      </w:r>
      <w:r w:rsidR="008E07E3" w:rsidRPr="0001323C">
        <w:t xml:space="preserve">İthalatta Haksız Rekabetin Önlenmesine İlişkin Tebliğ (Tebliğ No: 2019/3) ile </w:t>
      </w:r>
      <w:r w:rsidR="00A836B6" w:rsidRPr="00027269">
        <w:t xml:space="preserve">yürürlükte olan dampinge karşı önlemin, Yönetmeliğin </w:t>
      </w:r>
      <w:proofErr w:type="gramStart"/>
      <w:r w:rsidR="00A836B6" w:rsidRPr="00027269">
        <w:t xml:space="preserve">42 </w:t>
      </w:r>
      <w:proofErr w:type="spellStart"/>
      <w:r w:rsidR="00A836B6" w:rsidRPr="00027269">
        <w:t>nci</w:t>
      </w:r>
      <w:proofErr w:type="spellEnd"/>
      <w:proofErr w:type="gramEnd"/>
      <w:r w:rsidR="00A836B6" w:rsidRPr="00027269">
        <w:t xml:space="preserve"> maddesi çerçevesinde aşağıdaki tabloda gösterilen biçimde</w:t>
      </w:r>
      <w:r w:rsidR="005569A5" w:rsidRPr="00027269">
        <w:t xml:space="preserve"> </w:t>
      </w:r>
      <w:r w:rsidR="00A836B6" w:rsidRPr="00027269">
        <w:t>uygulanmaya devam edilmesine karar verilmiştir.</w:t>
      </w:r>
    </w:p>
    <w:tbl>
      <w:tblPr>
        <w:tblW w:w="0" w:type="auto"/>
        <w:tblInd w:w="75" w:type="dxa"/>
        <w:tblCellMar>
          <w:left w:w="70" w:type="dxa"/>
          <w:right w:w="70" w:type="dxa"/>
        </w:tblCellMar>
        <w:tblLook w:val="04A0" w:firstRow="1" w:lastRow="0" w:firstColumn="1" w:lastColumn="0" w:noHBand="0" w:noVBand="1"/>
      </w:tblPr>
      <w:tblGrid>
        <w:gridCol w:w="1821"/>
        <w:gridCol w:w="1601"/>
        <w:gridCol w:w="1616"/>
        <w:gridCol w:w="2366"/>
        <w:gridCol w:w="1583"/>
      </w:tblGrid>
      <w:tr w:rsidR="008E07E3" w:rsidRPr="002D33FD" w14:paraId="4D469933" w14:textId="77777777" w:rsidTr="00783540">
        <w:trPr>
          <w:trHeight w:val="138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0ECD32C" w14:textId="77777777" w:rsidR="008E07E3" w:rsidRPr="002D33FD" w:rsidRDefault="008E07E3" w:rsidP="00783540">
            <w:pPr>
              <w:spacing w:after="120"/>
              <w:jc w:val="center"/>
              <w:rPr>
                <w:b/>
                <w:bCs/>
                <w:color w:val="000000"/>
              </w:rPr>
            </w:pPr>
            <w:r w:rsidRPr="002D33FD">
              <w:rPr>
                <w:b/>
                <w:bCs/>
                <w:color w:val="000000"/>
              </w:rPr>
              <w:t>GTİP</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86DFED3" w14:textId="044BF317" w:rsidR="008E07E3" w:rsidRPr="002D33FD" w:rsidRDefault="008E07E3" w:rsidP="00783540">
            <w:pPr>
              <w:spacing w:after="120"/>
              <w:jc w:val="center"/>
              <w:rPr>
                <w:b/>
                <w:bCs/>
                <w:color w:val="000000"/>
              </w:rPr>
            </w:pPr>
            <w:r w:rsidRPr="002D33FD">
              <w:rPr>
                <w:b/>
                <w:bCs/>
                <w:color w:val="000000"/>
              </w:rPr>
              <w:t>Eşya Tanımı</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ED5B533" w14:textId="77777777" w:rsidR="008E07E3" w:rsidRPr="002D33FD" w:rsidRDefault="008E07E3" w:rsidP="00783540">
            <w:pPr>
              <w:spacing w:after="120"/>
              <w:jc w:val="center"/>
              <w:rPr>
                <w:b/>
                <w:bCs/>
                <w:color w:val="000000"/>
              </w:rPr>
            </w:pPr>
            <w:r w:rsidRPr="002D33FD">
              <w:rPr>
                <w:b/>
                <w:bCs/>
                <w:color w:val="000000"/>
              </w:rPr>
              <w:t>Menşe Ülke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79554FB" w14:textId="77777777" w:rsidR="008E07E3" w:rsidRPr="002D33FD" w:rsidRDefault="008E07E3" w:rsidP="00783540">
            <w:pPr>
              <w:spacing w:after="120"/>
              <w:jc w:val="center"/>
              <w:rPr>
                <w:b/>
                <w:bCs/>
                <w:color w:val="000000"/>
              </w:rPr>
            </w:pPr>
            <w:r w:rsidRPr="002D33FD">
              <w:rPr>
                <w:b/>
                <w:bCs/>
                <w:color w:val="000000"/>
              </w:rPr>
              <w:t>Firma Unvanı</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6EA1579" w14:textId="1B2C262D" w:rsidR="008E07E3" w:rsidRPr="002D33FD" w:rsidRDefault="008E07E3" w:rsidP="00783540">
            <w:pPr>
              <w:spacing w:after="120"/>
              <w:jc w:val="center"/>
              <w:rPr>
                <w:b/>
                <w:bCs/>
                <w:color w:val="000000"/>
              </w:rPr>
            </w:pPr>
            <w:r w:rsidRPr="002D33FD">
              <w:rPr>
                <w:b/>
                <w:bCs/>
                <w:color w:val="000000"/>
              </w:rPr>
              <w:t xml:space="preserve">Dampinge Karşı Önlem </w:t>
            </w:r>
            <w:r w:rsidRPr="002D33FD">
              <w:rPr>
                <w:b/>
                <w:bCs/>
                <w:color w:val="000000"/>
              </w:rPr>
              <w:br/>
              <w:t xml:space="preserve">(CIF Bedelin </w:t>
            </w:r>
            <w:r w:rsidR="00453E52">
              <w:rPr>
                <w:b/>
                <w:bCs/>
                <w:color w:val="000000"/>
              </w:rPr>
              <w:t>Yüzdesi</w:t>
            </w:r>
            <w:r w:rsidRPr="002D33FD">
              <w:rPr>
                <w:b/>
                <w:bCs/>
                <w:color w:val="000000"/>
              </w:rPr>
              <w:t>)</w:t>
            </w:r>
          </w:p>
        </w:tc>
      </w:tr>
      <w:tr w:rsidR="008E07E3" w:rsidRPr="002D33FD" w14:paraId="093610C2" w14:textId="77777777" w:rsidTr="00783540">
        <w:trPr>
          <w:trHeight w:val="363"/>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87015FE" w14:textId="77777777" w:rsidR="008E07E3" w:rsidRPr="002D33FD" w:rsidRDefault="008E07E3" w:rsidP="00783540">
            <w:pPr>
              <w:spacing w:after="120"/>
              <w:jc w:val="center"/>
              <w:rPr>
                <w:color w:val="000000"/>
              </w:rPr>
            </w:pPr>
            <w:r w:rsidRPr="002D33FD">
              <w:rPr>
                <w:color w:val="000000"/>
              </w:rPr>
              <w:t>7306.40.20.90.00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F086A4B" w14:textId="77777777" w:rsidR="008E07E3" w:rsidRPr="002D33FD" w:rsidRDefault="008E07E3" w:rsidP="00783540">
            <w:pPr>
              <w:spacing w:after="120"/>
              <w:jc w:val="center"/>
              <w:rPr>
                <w:color w:val="000000"/>
              </w:rPr>
            </w:pPr>
            <w:r w:rsidRPr="002D33FD">
              <w:rPr>
                <w:color w:val="000000"/>
              </w:rPr>
              <w:t>Diğerleri</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0E2A1DA" w14:textId="77777777" w:rsidR="008E07E3" w:rsidRPr="002D33FD" w:rsidRDefault="008E07E3" w:rsidP="00783540">
            <w:pPr>
              <w:spacing w:after="120"/>
              <w:jc w:val="center"/>
              <w:rPr>
                <w:color w:val="000000"/>
              </w:rPr>
            </w:pPr>
            <w:r w:rsidRPr="002D33FD">
              <w:rPr>
                <w:color w:val="000000"/>
              </w:rPr>
              <w:t xml:space="preserve">Çin </w:t>
            </w:r>
            <w:proofErr w:type="spellStart"/>
            <w:r w:rsidRPr="002D33FD">
              <w:rPr>
                <w:color w:val="000000"/>
              </w:rPr>
              <w:t>Tayvanı</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1680389" w14:textId="77777777" w:rsidR="008E07E3" w:rsidRPr="002D33FD" w:rsidRDefault="008E07E3" w:rsidP="00783540">
            <w:pPr>
              <w:spacing w:after="120"/>
              <w:rPr>
                <w:color w:val="000000"/>
              </w:rPr>
            </w:pPr>
            <w:r w:rsidRPr="002D33FD">
              <w:rPr>
                <w:color w:val="000000"/>
              </w:rPr>
              <w:t xml:space="preserve">YC </w:t>
            </w:r>
            <w:proofErr w:type="spellStart"/>
            <w:r w:rsidRPr="002D33FD">
              <w:rPr>
                <w:color w:val="000000"/>
              </w:rPr>
              <w:t>Inox</w:t>
            </w:r>
            <w:proofErr w:type="spellEnd"/>
            <w:r w:rsidRPr="002D33FD">
              <w:rPr>
                <w:color w:val="000000"/>
              </w:rPr>
              <w:t xml:space="preserve"> </w:t>
            </w:r>
            <w:proofErr w:type="spellStart"/>
            <w:r w:rsidRPr="002D33FD">
              <w:rPr>
                <w:color w:val="000000"/>
              </w:rPr>
              <w:t>Co</w:t>
            </w:r>
            <w:proofErr w:type="spellEnd"/>
            <w:r w:rsidRPr="002D33FD">
              <w:rPr>
                <w:color w:val="000000"/>
              </w:rPr>
              <w:t>., Ltd.</w:t>
            </w:r>
          </w:p>
        </w:tc>
        <w:tc>
          <w:tcPr>
            <w:tcW w:w="0" w:type="auto"/>
            <w:tcBorders>
              <w:top w:val="nil"/>
              <w:left w:val="nil"/>
              <w:bottom w:val="single" w:sz="4" w:space="0" w:color="auto"/>
              <w:right w:val="single" w:sz="4" w:space="0" w:color="auto"/>
            </w:tcBorders>
            <w:shd w:val="clear" w:color="auto" w:fill="auto"/>
            <w:vAlign w:val="center"/>
            <w:hideMark/>
          </w:tcPr>
          <w:p w14:paraId="0E5C625C" w14:textId="77777777" w:rsidR="008E07E3" w:rsidRPr="002D33FD" w:rsidRDefault="008E07E3" w:rsidP="00783540">
            <w:pPr>
              <w:spacing w:after="120"/>
              <w:jc w:val="center"/>
              <w:rPr>
                <w:color w:val="000000"/>
              </w:rPr>
            </w:pPr>
            <w:r w:rsidRPr="002D33FD">
              <w:rPr>
                <w:color w:val="000000"/>
              </w:rPr>
              <w:t>7,98</w:t>
            </w:r>
          </w:p>
        </w:tc>
      </w:tr>
      <w:tr w:rsidR="008E07E3" w:rsidRPr="002D33FD" w14:paraId="73D22E7B" w14:textId="77777777" w:rsidTr="00783540">
        <w:trPr>
          <w:trHeight w:val="363"/>
        </w:trPr>
        <w:tc>
          <w:tcPr>
            <w:tcW w:w="0" w:type="auto"/>
            <w:vMerge/>
            <w:tcBorders>
              <w:top w:val="nil"/>
              <w:left w:val="single" w:sz="4" w:space="0" w:color="auto"/>
              <w:bottom w:val="single" w:sz="4" w:space="0" w:color="auto"/>
              <w:right w:val="single" w:sz="4" w:space="0" w:color="auto"/>
            </w:tcBorders>
            <w:vAlign w:val="center"/>
            <w:hideMark/>
          </w:tcPr>
          <w:p w14:paraId="7A2D9D54" w14:textId="77777777" w:rsidR="008E07E3" w:rsidRPr="002D33FD" w:rsidRDefault="008E07E3" w:rsidP="00783540">
            <w:pPr>
              <w:spacing w:after="120"/>
              <w:rPr>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2F9A693" w14:textId="77777777" w:rsidR="008E07E3" w:rsidRPr="002D33FD" w:rsidRDefault="008E07E3" w:rsidP="00783540">
            <w:pPr>
              <w:spacing w:after="120"/>
              <w:rPr>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E782BCB" w14:textId="77777777" w:rsidR="008E07E3" w:rsidRPr="002D33FD" w:rsidRDefault="008E07E3" w:rsidP="00783540">
            <w:pPr>
              <w:spacing w:after="120"/>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334F524" w14:textId="77777777" w:rsidR="008E07E3" w:rsidRPr="002D33FD" w:rsidRDefault="008E07E3" w:rsidP="00783540">
            <w:pPr>
              <w:spacing w:after="120"/>
              <w:rPr>
                <w:color w:val="000000"/>
              </w:rPr>
            </w:pPr>
            <w:proofErr w:type="spellStart"/>
            <w:r w:rsidRPr="002D33FD">
              <w:rPr>
                <w:color w:val="000000"/>
              </w:rPr>
              <w:t>Froch</w:t>
            </w:r>
            <w:proofErr w:type="spellEnd"/>
            <w:r w:rsidRPr="002D33FD">
              <w:rPr>
                <w:color w:val="000000"/>
              </w:rPr>
              <w:t xml:space="preserve"> Enterprise </w:t>
            </w:r>
            <w:proofErr w:type="spellStart"/>
            <w:r w:rsidRPr="002D33FD">
              <w:rPr>
                <w:color w:val="000000"/>
              </w:rPr>
              <w:t>Co</w:t>
            </w:r>
            <w:proofErr w:type="spellEnd"/>
            <w:r w:rsidRPr="002D33FD">
              <w:rPr>
                <w:color w:val="000000"/>
              </w:rPr>
              <w:t>., Ltd.</w:t>
            </w:r>
          </w:p>
        </w:tc>
        <w:tc>
          <w:tcPr>
            <w:tcW w:w="0" w:type="auto"/>
            <w:tcBorders>
              <w:top w:val="nil"/>
              <w:left w:val="nil"/>
              <w:bottom w:val="single" w:sz="4" w:space="0" w:color="auto"/>
              <w:right w:val="single" w:sz="4" w:space="0" w:color="auto"/>
            </w:tcBorders>
            <w:shd w:val="clear" w:color="auto" w:fill="auto"/>
            <w:vAlign w:val="center"/>
            <w:hideMark/>
          </w:tcPr>
          <w:p w14:paraId="01AD6396" w14:textId="77777777" w:rsidR="008E07E3" w:rsidRPr="002D33FD" w:rsidRDefault="008E07E3" w:rsidP="00783540">
            <w:pPr>
              <w:spacing w:after="120"/>
              <w:jc w:val="center"/>
              <w:rPr>
                <w:color w:val="000000"/>
              </w:rPr>
            </w:pPr>
            <w:r w:rsidRPr="002D33FD">
              <w:rPr>
                <w:color w:val="000000"/>
              </w:rPr>
              <w:t>7,98</w:t>
            </w:r>
          </w:p>
        </w:tc>
      </w:tr>
      <w:tr w:rsidR="008E07E3" w:rsidRPr="002D33FD" w14:paraId="1067BE5E" w14:textId="77777777" w:rsidTr="00783540">
        <w:trPr>
          <w:trHeight w:val="363"/>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14E1F58" w14:textId="77777777" w:rsidR="008E07E3" w:rsidRPr="002D33FD" w:rsidRDefault="008E07E3" w:rsidP="00783540">
            <w:pPr>
              <w:spacing w:after="120"/>
              <w:jc w:val="center"/>
              <w:rPr>
                <w:color w:val="000000"/>
              </w:rPr>
            </w:pPr>
            <w:r w:rsidRPr="002D33FD">
              <w:rPr>
                <w:color w:val="000000"/>
              </w:rPr>
              <w:t>7306.40.80.90.00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D154AB7" w14:textId="77777777" w:rsidR="008E07E3" w:rsidRPr="002D33FD" w:rsidRDefault="008E07E3" w:rsidP="00783540">
            <w:pPr>
              <w:spacing w:after="120"/>
              <w:jc w:val="center"/>
              <w:rPr>
                <w:color w:val="000000"/>
              </w:rPr>
            </w:pPr>
            <w:r w:rsidRPr="002D33FD">
              <w:rPr>
                <w:color w:val="000000"/>
              </w:rPr>
              <w:t>Diğerleri</w:t>
            </w:r>
          </w:p>
        </w:tc>
        <w:tc>
          <w:tcPr>
            <w:tcW w:w="0" w:type="auto"/>
            <w:vMerge/>
            <w:tcBorders>
              <w:top w:val="nil"/>
              <w:left w:val="single" w:sz="4" w:space="0" w:color="auto"/>
              <w:bottom w:val="single" w:sz="4" w:space="0" w:color="auto"/>
              <w:right w:val="single" w:sz="4" w:space="0" w:color="auto"/>
            </w:tcBorders>
            <w:vAlign w:val="center"/>
            <w:hideMark/>
          </w:tcPr>
          <w:p w14:paraId="04DFF67F" w14:textId="77777777" w:rsidR="008E07E3" w:rsidRPr="002D33FD" w:rsidRDefault="008E07E3" w:rsidP="00783540">
            <w:pPr>
              <w:spacing w:after="120"/>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F001977" w14:textId="77777777" w:rsidR="008E07E3" w:rsidRPr="002D33FD" w:rsidRDefault="008E07E3" w:rsidP="00783540">
            <w:pPr>
              <w:spacing w:after="120"/>
              <w:rPr>
                <w:color w:val="000000"/>
              </w:rPr>
            </w:pPr>
            <w:r w:rsidRPr="002D33FD">
              <w:rPr>
                <w:color w:val="000000"/>
              </w:rPr>
              <w:t>Diğerleri</w:t>
            </w:r>
          </w:p>
        </w:tc>
        <w:tc>
          <w:tcPr>
            <w:tcW w:w="0" w:type="auto"/>
            <w:tcBorders>
              <w:top w:val="nil"/>
              <w:left w:val="nil"/>
              <w:bottom w:val="single" w:sz="4" w:space="0" w:color="auto"/>
              <w:right w:val="single" w:sz="4" w:space="0" w:color="auto"/>
            </w:tcBorders>
            <w:shd w:val="clear" w:color="auto" w:fill="auto"/>
            <w:vAlign w:val="center"/>
            <w:hideMark/>
          </w:tcPr>
          <w:p w14:paraId="61DDADF7" w14:textId="77777777" w:rsidR="008E07E3" w:rsidRPr="002D33FD" w:rsidRDefault="008E07E3" w:rsidP="00783540">
            <w:pPr>
              <w:spacing w:after="120"/>
              <w:jc w:val="center"/>
              <w:rPr>
                <w:color w:val="000000"/>
              </w:rPr>
            </w:pPr>
            <w:r w:rsidRPr="002D33FD">
              <w:rPr>
                <w:color w:val="000000"/>
              </w:rPr>
              <w:t>11,50</w:t>
            </w:r>
          </w:p>
        </w:tc>
      </w:tr>
      <w:tr w:rsidR="008E07E3" w:rsidRPr="002D33FD" w14:paraId="3FDEDCC5" w14:textId="77777777" w:rsidTr="00783540">
        <w:trPr>
          <w:trHeight w:val="729"/>
        </w:trPr>
        <w:tc>
          <w:tcPr>
            <w:tcW w:w="0" w:type="auto"/>
            <w:vMerge/>
            <w:tcBorders>
              <w:top w:val="nil"/>
              <w:left w:val="single" w:sz="4" w:space="0" w:color="auto"/>
              <w:bottom w:val="single" w:sz="4" w:space="0" w:color="auto"/>
              <w:right w:val="single" w:sz="4" w:space="0" w:color="auto"/>
            </w:tcBorders>
            <w:vAlign w:val="center"/>
            <w:hideMark/>
          </w:tcPr>
          <w:p w14:paraId="76FEC342" w14:textId="77777777" w:rsidR="008E07E3" w:rsidRPr="002D33FD" w:rsidRDefault="008E07E3" w:rsidP="00783540">
            <w:pPr>
              <w:spacing w:after="120"/>
              <w:rPr>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695B423" w14:textId="77777777" w:rsidR="008E07E3" w:rsidRPr="002D33FD" w:rsidRDefault="008E07E3" w:rsidP="00783540">
            <w:pPr>
              <w:spacing w:after="120"/>
              <w:rPr>
                <w:color w:val="000000"/>
              </w:rPr>
            </w:pP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582C719D" w14:textId="77777777" w:rsidR="008E07E3" w:rsidRPr="002D33FD" w:rsidRDefault="008E07E3" w:rsidP="00783540">
            <w:pPr>
              <w:spacing w:after="120"/>
              <w:jc w:val="center"/>
              <w:rPr>
                <w:color w:val="000000"/>
              </w:rPr>
            </w:pPr>
            <w:r w:rsidRPr="002D33FD">
              <w:rPr>
                <w:color w:val="000000"/>
              </w:rPr>
              <w:t>Çin Halk Cumhuriyeti</w:t>
            </w:r>
          </w:p>
        </w:tc>
        <w:tc>
          <w:tcPr>
            <w:tcW w:w="0" w:type="auto"/>
            <w:tcBorders>
              <w:top w:val="nil"/>
              <w:left w:val="nil"/>
              <w:bottom w:val="single" w:sz="4" w:space="0" w:color="auto"/>
              <w:right w:val="single" w:sz="4" w:space="0" w:color="auto"/>
            </w:tcBorders>
            <w:shd w:val="clear" w:color="auto" w:fill="auto"/>
            <w:vAlign w:val="center"/>
            <w:hideMark/>
          </w:tcPr>
          <w:p w14:paraId="3C0F7824" w14:textId="77777777" w:rsidR="008E07E3" w:rsidRPr="002D33FD" w:rsidRDefault="008E07E3" w:rsidP="00783540">
            <w:pPr>
              <w:spacing w:after="120"/>
              <w:jc w:val="both"/>
              <w:rPr>
                <w:color w:val="000000"/>
              </w:rPr>
            </w:pPr>
            <w:proofErr w:type="spellStart"/>
            <w:r w:rsidRPr="002D33FD">
              <w:rPr>
                <w:color w:val="000000"/>
              </w:rPr>
              <w:t>Foshan</w:t>
            </w:r>
            <w:proofErr w:type="spellEnd"/>
            <w:r w:rsidRPr="002D33FD">
              <w:rPr>
                <w:color w:val="000000"/>
              </w:rPr>
              <w:t xml:space="preserve"> </w:t>
            </w:r>
            <w:proofErr w:type="spellStart"/>
            <w:r w:rsidRPr="002D33FD">
              <w:rPr>
                <w:color w:val="000000"/>
              </w:rPr>
              <w:t>Vinmay</w:t>
            </w:r>
            <w:proofErr w:type="spellEnd"/>
            <w:r w:rsidRPr="002D33FD">
              <w:rPr>
                <w:color w:val="000000"/>
              </w:rPr>
              <w:t xml:space="preserve"> </w:t>
            </w:r>
            <w:proofErr w:type="spellStart"/>
            <w:r w:rsidRPr="002D33FD">
              <w:rPr>
                <w:color w:val="000000"/>
              </w:rPr>
              <w:t>Stainless</w:t>
            </w:r>
            <w:proofErr w:type="spellEnd"/>
            <w:r w:rsidRPr="002D33FD">
              <w:rPr>
                <w:color w:val="000000"/>
              </w:rPr>
              <w:t xml:space="preserve"> Steel </w:t>
            </w:r>
            <w:proofErr w:type="spellStart"/>
            <w:r w:rsidRPr="002D33FD">
              <w:rPr>
                <w:color w:val="000000"/>
              </w:rPr>
              <w:t>Co</w:t>
            </w:r>
            <w:proofErr w:type="spellEnd"/>
            <w:r w:rsidRPr="002D33FD">
              <w:rPr>
                <w:color w:val="000000"/>
              </w:rPr>
              <w:t>., Ltd.</w:t>
            </w:r>
          </w:p>
        </w:tc>
        <w:tc>
          <w:tcPr>
            <w:tcW w:w="0" w:type="auto"/>
            <w:tcBorders>
              <w:top w:val="nil"/>
              <w:left w:val="nil"/>
              <w:bottom w:val="single" w:sz="4" w:space="0" w:color="auto"/>
              <w:right w:val="single" w:sz="4" w:space="0" w:color="auto"/>
            </w:tcBorders>
            <w:shd w:val="clear" w:color="auto" w:fill="auto"/>
            <w:vAlign w:val="center"/>
            <w:hideMark/>
          </w:tcPr>
          <w:p w14:paraId="3880CA54" w14:textId="77777777" w:rsidR="008E07E3" w:rsidRPr="002D33FD" w:rsidRDefault="008E07E3" w:rsidP="00783540">
            <w:pPr>
              <w:spacing w:after="120"/>
              <w:jc w:val="center"/>
              <w:rPr>
                <w:color w:val="000000"/>
              </w:rPr>
            </w:pPr>
            <w:r w:rsidRPr="002D33FD">
              <w:rPr>
                <w:color w:val="000000"/>
              </w:rPr>
              <w:t>13,82</w:t>
            </w:r>
          </w:p>
        </w:tc>
      </w:tr>
      <w:tr w:rsidR="008E07E3" w:rsidRPr="002D33FD" w14:paraId="150AD89B" w14:textId="77777777" w:rsidTr="00783540">
        <w:trPr>
          <w:trHeight w:val="729"/>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C84CC1" w14:textId="77777777" w:rsidR="008E07E3" w:rsidRPr="002D33FD" w:rsidRDefault="008E07E3" w:rsidP="00783540">
            <w:pPr>
              <w:spacing w:after="120"/>
              <w:jc w:val="center"/>
              <w:rPr>
                <w:color w:val="000000"/>
              </w:rPr>
            </w:pPr>
            <w:r w:rsidRPr="002D33FD">
              <w:rPr>
                <w:color w:val="000000"/>
              </w:rPr>
              <w:t>7306.61.10.00.00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6356421" w14:textId="77777777" w:rsidR="008E07E3" w:rsidRPr="002D33FD" w:rsidRDefault="008E07E3" w:rsidP="00783540">
            <w:pPr>
              <w:spacing w:after="120"/>
              <w:jc w:val="center"/>
              <w:rPr>
                <w:color w:val="000000"/>
              </w:rPr>
            </w:pPr>
            <w:r w:rsidRPr="002D33FD">
              <w:rPr>
                <w:color w:val="000000"/>
              </w:rPr>
              <w:t>Paslanmaz çelikten olanlar</w:t>
            </w:r>
          </w:p>
        </w:tc>
        <w:tc>
          <w:tcPr>
            <w:tcW w:w="0" w:type="auto"/>
            <w:vMerge/>
            <w:tcBorders>
              <w:top w:val="nil"/>
              <w:left w:val="single" w:sz="4" w:space="0" w:color="auto"/>
              <w:bottom w:val="single" w:sz="4" w:space="0" w:color="000000"/>
              <w:right w:val="single" w:sz="4" w:space="0" w:color="auto"/>
            </w:tcBorders>
            <w:vAlign w:val="center"/>
            <w:hideMark/>
          </w:tcPr>
          <w:p w14:paraId="194EFB91" w14:textId="77777777" w:rsidR="008E07E3" w:rsidRPr="002D33FD" w:rsidRDefault="008E07E3" w:rsidP="00783540">
            <w:pPr>
              <w:spacing w:after="120"/>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6159849" w14:textId="77777777" w:rsidR="008E07E3" w:rsidRPr="002D33FD" w:rsidRDefault="008E07E3" w:rsidP="00783540">
            <w:pPr>
              <w:spacing w:after="120"/>
              <w:jc w:val="both"/>
              <w:rPr>
                <w:color w:val="000000"/>
              </w:rPr>
            </w:pPr>
            <w:proofErr w:type="spellStart"/>
            <w:r w:rsidRPr="002D33FD">
              <w:rPr>
                <w:color w:val="000000"/>
              </w:rPr>
              <w:t>Foshan</w:t>
            </w:r>
            <w:proofErr w:type="spellEnd"/>
            <w:r w:rsidRPr="002D33FD">
              <w:rPr>
                <w:color w:val="000000"/>
              </w:rPr>
              <w:t xml:space="preserve"> </w:t>
            </w:r>
            <w:proofErr w:type="spellStart"/>
            <w:r w:rsidRPr="002D33FD">
              <w:rPr>
                <w:color w:val="000000"/>
              </w:rPr>
              <w:t>Nanhai</w:t>
            </w:r>
            <w:proofErr w:type="spellEnd"/>
            <w:r w:rsidRPr="002D33FD">
              <w:rPr>
                <w:color w:val="000000"/>
              </w:rPr>
              <w:t xml:space="preserve"> </w:t>
            </w:r>
            <w:proofErr w:type="spellStart"/>
            <w:r w:rsidRPr="002D33FD">
              <w:rPr>
                <w:color w:val="000000"/>
              </w:rPr>
              <w:t>Qiuxun</w:t>
            </w:r>
            <w:proofErr w:type="spellEnd"/>
            <w:r w:rsidRPr="002D33FD">
              <w:rPr>
                <w:color w:val="000000"/>
              </w:rPr>
              <w:t xml:space="preserve"> </w:t>
            </w:r>
            <w:proofErr w:type="spellStart"/>
            <w:r w:rsidRPr="002D33FD">
              <w:rPr>
                <w:color w:val="000000"/>
              </w:rPr>
              <w:t>Stainless</w:t>
            </w:r>
            <w:proofErr w:type="spellEnd"/>
            <w:r w:rsidRPr="002D33FD">
              <w:rPr>
                <w:color w:val="000000"/>
              </w:rPr>
              <w:t xml:space="preserve"> Steel Product </w:t>
            </w:r>
            <w:proofErr w:type="spellStart"/>
            <w:r w:rsidRPr="002D33FD">
              <w:rPr>
                <w:color w:val="000000"/>
              </w:rPr>
              <w:t>Co</w:t>
            </w:r>
            <w:proofErr w:type="spellEnd"/>
            <w:r w:rsidRPr="002D33FD">
              <w:rPr>
                <w:color w:val="000000"/>
              </w:rPr>
              <w:t>., Ltd.</w:t>
            </w:r>
          </w:p>
        </w:tc>
        <w:tc>
          <w:tcPr>
            <w:tcW w:w="0" w:type="auto"/>
            <w:tcBorders>
              <w:top w:val="nil"/>
              <w:left w:val="nil"/>
              <w:bottom w:val="single" w:sz="4" w:space="0" w:color="auto"/>
              <w:right w:val="single" w:sz="4" w:space="0" w:color="auto"/>
            </w:tcBorders>
            <w:shd w:val="clear" w:color="auto" w:fill="auto"/>
            <w:vAlign w:val="center"/>
            <w:hideMark/>
          </w:tcPr>
          <w:p w14:paraId="057FDB40" w14:textId="77777777" w:rsidR="008E07E3" w:rsidRPr="002D33FD" w:rsidRDefault="008E07E3" w:rsidP="00783540">
            <w:pPr>
              <w:spacing w:after="120"/>
              <w:jc w:val="center"/>
              <w:rPr>
                <w:color w:val="000000"/>
              </w:rPr>
            </w:pPr>
            <w:r w:rsidRPr="002D33FD">
              <w:rPr>
                <w:color w:val="000000"/>
              </w:rPr>
              <w:t>20,50</w:t>
            </w:r>
          </w:p>
        </w:tc>
      </w:tr>
      <w:tr w:rsidR="008E07E3" w:rsidRPr="002D33FD" w14:paraId="187A92FC" w14:textId="77777777" w:rsidTr="00783540">
        <w:trPr>
          <w:trHeight w:val="363"/>
        </w:trPr>
        <w:tc>
          <w:tcPr>
            <w:tcW w:w="0" w:type="auto"/>
            <w:vMerge/>
            <w:tcBorders>
              <w:top w:val="nil"/>
              <w:left w:val="single" w:sz="4" w:space="0" w:color="auto"/>
              <w:bottom w:val="single" w:sz="4" w:space="0" w:color="auto"/>
              <w:right w:val="single" w:sz="4" w:space="0" w:color="auto"/>
            </w:tcBorders>
            <w:vAlign w:val="center"/>
            <w:hideMark/>
          </w:tcPr>
          <w:p w14:paraId="5C24682E" w14:textId="77777777" w:rsidR="008E07E3" w:rsidRPr="002D33FD" w:rsidRDefault="008E07E3" w:rsidP="00783540">
            <w:pPr>
              <w:spacing w:after="120"/>
              <w:rPr>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BBD9D8D" w14:textId="77777777" w:rsidR="008E07E3" w:rsidRPr="002D33FD" w:rsidRDefault="008E07E3" w:rsidP="00783540">
            <w:pPr>
              <w:spacing w:after="120"/>
              <w:rPr>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34521931" w14:textId="77777777" w:rsidR="008E07E3" w:rsidRPr="002D33FD" w:rsidRDefault="008E07E3" w:rsidP="00783540">
            <w:pPr>
              <w:spacing w:after="120"/>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4C9D4717" w14:textId="77777777" w:rsidR="008E07E3" w:rsidRPr="002D33FD" w:rsidRDefault="008E07E3" w:rsidP="00783540">
            <w:pPr>
              <w:spacing w:after="120"/>
              <w:jc w:val="both"/>
              <w:rPr>
                <w:color w:val="000000"/>
              </w:rPr>
            </w:pPr>
            <w:r w:rsidRPr="002D33FD">
              <w:rPr>
                <w:color w:val="000000"/>
              </w:rPr>
              <w:t>Diğerleri</w:t>
            </w:r>
          </w:p>
        </w:tc>
        <w:tc>
          <w:tcPr>
            <w:tcW w:w="0" w:type="auto"/>
            <w:tcBorders>
              <w:top w:val="nil"/>
              <w:left w:val="nil"/>
              <w:bottom w:val="single" w:sz="4" w:space="0" w:color="auto"/>
              <w:right w:val="single" w:sz="4" w:space="0" w:color="auto"/>
            </w:tcBorders>
            <w:shd w:val="clear" w:color="auto" w:fill="auto"/>
            <w:vAlign w:val="center"/>
            <w:hideMark/>
          </w:tcPr>
          <w:p w14:paraId="48BD1279" w14:textId="77777777" w:rsidR="008E07E3" w:rsidRPr="002D33FD" w:rsidRDefault="008E07E3" w:rsidP="00783540">
            <w:pPr>
              <w:spacing w:after="120"/>
              <w:jc w:val="center"/>
              <w:rPr>
                <w:color w:val="000000"/>
              </w:rPr>
            </w:pPr>
            <w:r w:rsidRPr="002D33FD">
              <w:rPr>
                <w:color w:val="000000"/>
              </w:rPr>
              <w:t>20,50</w:t>
            </w:r>
          </w:p>
        </w:tc>
      </w:tr>
    </w:tbl>
    <w:p w14:paraId="3895D654" w14:textId="2EAB3041" w:rsidR="00210E2D" w:rsidRPr="0055784D" w:rsidRDefault="00210E2D" w:rsidP="00E648CD">
      <w:pPr>
        <w:spacing w:before="120" w:after="120"/>
        <w:jc w:val="both"/>
      </w:pPr>
    </w:p>
    <w:sectPr w:rsidR="00210E2D" w:rsidRPr="0055784D" w:rsidSect="00953C04">
      <w:headerReference w:type="first" r:id="rId8"/>
      <w:pgSz w:w="11906" w:h="16838" w:code="9"/>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11EB4" w14:textId="77777777" w:rsidR="009775F3" w:rsidRDefault="009775F3" w:rsidP="00C37C0A">
      <w:r>
        <w:separator/>
      </w:r>
    </w:p>
  </w:endnote>
  <w:endnote w:type="continuationSeparator" w:id="0">
    <w:p w14:paraId="519CCC84" w14:textId="77777777" w:rsidR="009775F3" w:rsidRDefault="009775F3"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9B598" w14:textId="77777777" w:rsidR="009775F3" w:rsidRDefault="009775F3" w:rsidP="00C37C0A">
      <w:r>
        <w:separator/>
      </w:r>
    </w:p>
  </w:footnote>
  <w:footnote w:type="continuationSeparator" w:id="0">
    <w:p w14:paraId="4B622A9A" w14:textId="77777777" w:rsidR="009775F3" w:rsidRDefault="009775F3" w:rsidP="00C37C0A">
      <w:r>
        <w:continuationSeparator/>
      </w:r>
    </w:p>
  </w:footnote>
  <w:footnote w:id="1">
    <w:p w14:paraId="2B7131D6" w14:textId="7573C203" w:rsidR="005A374F" w:rsidRDefault="005A374F">
      <w:pPr>
        <w:pStyle w:val="DipnotMetni"/>
      </w:pPr>
      <w:r>
        <w:rPr>
          <w:rStyle w:val="DipnotBavurusu"/>
        </w:rPr>
        <w:footnoteRef/>
      </w:r>
      <w:r>
        <w:t xml:space="preserve"> Kaynak: www.i-tip.wto.org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21923" w14:textId="77777777" w:rsidR="00A836B6" w:rsidRDefault="00A836B6" w:rsidP="00A836B6">
    <w:pPr>
      <w:keepNext/>
      <w:jc w:val="center"/>
      <w:outlineLvl w:val="0"/>
      <w:rPr>
        <w:b/>
        <w:color w:val="0D0D0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1D09"/>
    <w:multiLevelType w:val="hybridMultilevel"/>
    <w:tmpl w:val="C4B2973A"/>
    <w:lvl w:ilvl="0" w:tplc="3A3445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284" w:hanging="360"/>
      </w:pPr>
    </w:lvl>
    <w:lvl w:ilvl="1">
      <w:start w:val="1"/>
      <w:numFmt w:val="decimal"/>
      <w:lvlText w:val="%1.%2."/>
      <w:lvlJc w:val="left"/>
      <w:pPr>
        <w:ind w:left="-212" w:hanging="432"/>
      </w:pPr>
      <w:rPr>
        <w:b/>
      </w:rPr>
    </w:lvl>
    <w:lvl w:ilvl="2">
      <w:start w:val="1"/>
      <w:numFmt w:val="decimal"/>
      <w:lvlText w:val="%1.%2.%3."/>
      <w:lvlJc w:val="left"/>
      <w:pPr>
        <w:ind w:left="580" w:hanging="504"/>
      </w:pPr>
    </w:lvl>
    <w:lvl w:ilvl="3">
      <w:start w:val="1"/>
      <w:numFmt w:val="decimal"/>
      <w:lvlText w:val="%1.%2.%3.%4."/>
      <w:lvlJc w:val="left"/>
      <w:pPr>
        <w:ind w:left="1084" w:hanging="648"/>
      </w:pPr>
    </w:lvl>
    <w:lvl w:ilvl="4">
      <w:start w:val="1"/>
      <w:numFmt w:val="decimal"/>
      <w:lvlText w:val="%1.%2.%3.%4.%5."/>
      <w:lvlJc w:val="left"/>
      <w:pPr>
        <w:ind w:left="1588" w:hanging="792"/>
      </w:pPr>
    </w:lvl>
    <w:lvl w:ilvl="5">
      <w:start w:val="1"/>
      <w:numFmt w:val="decimal"/>
      <w:lvlText w:val="%1.%2.%3.%4.%5.%6."/>
      <w:lvlJc w:val="left"/>
      <w:pPr>
        <w:ind w:left="2092" w:hanging="936"/>
      </w:pPr>
    </w:lvl>
    <w:lvl w:ilvl="6">
      <w:start w:val="1"/>
      <w:numFmt w:val="decimal"/>
      <w:lvlText w:val="%1.%2.%3.%4.%5.%6.%7."/>
      <w:lvlJc w:val="left"/>
      <w:pPr>
        <w:ind w:left="2596" w:hanging="1080"/>
      </w:pPr>
    </w:lvl>
    <w:lvl w:ilvl="7">
      <w:start w:val="1"/>
      <w:numFmt w:val="decimal"/>
      <w:lvlText w:val="%1.%2.%3.%4.%5.%6.%7.%8."/>
      <w:lvlJc w:val="left"/>
      <w:pPr>
        <w:ind w:left="3100" w:hanging="1224"/>
      </w:pPr>
    </w:lvl>
    <w:lvl w:ilvl="8">
      <w:start w:val="1"/>
      <w:numFmt w:val="decimal"/>
      <w:lvlText w:val="%1.%2.%3.%4.%5.%6.%7.%8.%9."/>
      <w:lvlJc w:val="left"/>
      <w:pPr>
        <w:ind w:left="3676" w:hanging="1440"/>
      </w:pPr>
    </w:lvl>
  </w:abstractNum>
  <w:abstractNum w:abstractNumId="2" w15:restartNumberingAfterBreak="0">
    <w:nsid w:val="0B3357DD"/>
    <w:multiLevelType w:val="hybridMultilevel"/>
    <w:tmpl w:val="EBDE3862"/>
    <w:lvl w:ilvl="0" w:tplc="4D541886">
      <w:start w:val="3"/>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199504F"/>
    <w:multiLevelType w:val="hybridMultilevel"/>
    <w:tmpl w:val="7382BC6C"/>
    <w:lvl w:ilvl="0" w:tplc="FAA64D2A">
      <w:start w:val="1"/>
      <mc:AlternateContent>
        <mc:Choice Requires="w14">
          <w:numFmt w:val="custom" w:format="a, ç, ĝ, ..."/>
        </mc:Choice>
        <mc:Fallback>
          <w:numFmt w:val="decimal"/>
        </mc:Fallback>
      </mc:AlternateContent>
      <w:lvlText w:val="%1)"/>
      <w:lvlJc w:val="left"/>
      <w:pPr>
        <w:ind w:left="502"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148605BC"/>
    <w:multiLevelType w:val="hybridMultilevel"/>
    <w:tmpl w:val="B65433EC"/>
    <w:lvl w:ilvl="0" w:tplc="B7524E92">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86632A2"/>
    <w:multiLevelType w:val="hybridMultilevel"/>
    <w:tmpl w:val="1C0C3D1E"/>
    <w:lvl w:ilvl="0" w:tplc="39BE872A">
      <w:start w:val="1"/>
      <w:numFmt w:val="decimal"/>
      <w:suff w:val="space"/>
      <w:lvlText w:val="(%1)"/>
      <w:lvlJc w:val="left"/>
      <w:pPr>
        <w:ind w:left="0" w:firstLine="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8BD482F"/>
    <w:multiLevelType w:val="hybridMultilevel"/>
    <w:tmpl w:val="F3F8137E"/>
    <w:lvl w:ilvl="0" w:tplc="4F5A8FB8">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90F777A"/>
    <w:multiLevelType w:val="hybridMultilevel"/>
    <w:tmpl w:val="4656A644"/>
    <w:lvl w:ilvl="0" w:tplc="5D5E7906">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DF16C68"/>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EE50115"/>
    <w:multiLevelType w:val="multilevel"/>
    <w:tmpl w:val="AEFC9974"/>
    <w:lvl w:ilvl="0">
      <w:start w:val="1"/>
      <w:numFmt w:val="decimal"/>
      <w:suff w:val="space"/>
      <w:lvlText w:val="(%1)"/>
      <w:lvlJc w:val="left"/>
      <w:pPr>
        <w:ind w:left="360" w:hanging="360"/>
      </w:pPr>
      <w:rPr>
        <w:rFonts w:hint="default"/>
        <w:color w:val="auto"/>
      </w:rPr>
    </w:lvl>
    <w:lvl w:ilvl="1">
      <w:start w:val="2"/>
      <w:numFmt w:val="decimal"/>
      <w:suff w:val="space"/>
      <w:lvlText w:val="%1.%2."/>
      <w:lvlJc w:val="left"/>
      <w:pPr>
        <w:ind w:left="432" w:hanging="432"/>
      </w:pPr>
      <w:rPr>
        <w:rFonts w:hint="default"/>
        <w:b/>
      </w:rPr>
    </w:lvl>
    <w:lvl w:ilvl="2">
      <w:start w:val="1"/>
      <w:numFmt w:val="decimal"/>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FEF499F"/>
    <w:multiLevelType w:val="multilevel"/>
    <w:tmpl w:val="CF9C34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0A63733"/>
    <w:multiLevelType w:val="hybridMultilevel"/>
    <w:tmpl w:val="D556F198"/>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5E87645"/>
    <w:multiLevelType w:val="multilevel"/>
    <w:tmpl w:val="2A7407DA"/>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EE3F7B"/>
    <w:multiLevelType w:val="multilevel"/>
    <w:tmpl w:val="1A824678"/>
    <w:lvl w:ilvl="0">
      <w:start w:val="1"/>
      <w:numFmt w:val="decimal"/>
      <w:lvlText w:val="(%1)"/>
      <w:lvlJc w:val="left"/>
      <w:pPr>
        <w:ind w:left="0" w:firstLine="0"/>
      </w:pPr>
      <w:rPr>
        <w:rFonts w:hint="default"/>
        <w:b w:val="0"/>
        <w:color w:val="auto"/>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CE3764"/>
    <w:multiLevelType w:val="hybridMultilevel"/>
    <w:tmpl w:val="09AE9970"/>
    <w:lvl w:ilvl="0" w:tplc="C91A8CEE">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B951E49"/>
    <w:multiLevelType w:val="hybridMultilevel"/>
    <w:tmpl w:val="F5A2EE0A"/>
    <w:lvl w:ilvl="0" w:tplc="23EEEEFC">
      <w:start w:val="1"/>
      <w:numFmt w:val="decimal"/>
      <w:suff w:val="space"/>
      <w:lvlText w:val="(%1)"/>
      <w:lvlJc w:val="left"/>
      <w:pPr>
        <w:ind w:left="1004"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2F3D7B2F"/>
    <w:multiLevelType w:val="multilevel"/>
    <w:tmpl w:val="98D48480"/>
    <w:lvl w:ilvl="0">
      <w:start w:val="1"/>
      <w:numFmt w:val="decimal"/>
      <w:lvlText w:val="(%1)"/>
      <w:lvlJc w:val="left"/>
      <w:pPr>
        <w:ind w:left="0" w:firstLine="0"/>
      </w:pPr>
      <w:rPr>
        <w:rFonts w:hint="default"/>
        <w:color w:val="auto"/>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12B6ADC"/>
    <w:multiLevelType w:val="hybridMultilevel"/>
    <w:tmpl w:val="6CE02D6E"/>
    <w:lvl w:ilvl="0" w:tplc="F2288B16">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2453767"/>
    <w:multiLevelType w:val="multilevel"/>
    <w:tmpl w:val="6054F7FA"/>
    <w:styleLink w:val="Stil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FE5BAE"/>
    <w:multiLevelType w:val="hybridMultilevel"/>
    <w:tmpl w:val="C7C43B38"/>
    <w:lvl w:ilvl="0" w:tplc="E27C46A0">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7CC3E80"/>
    <w:multiLevelType w:val="hybridMultilevel"/>
    <w:tmpl w:val="E488EE96"/>
    <w:lvl w:ilvl="0" w:tplc="E2A0D238">
      <w:start w:val="2"/>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A616907"/>
    <w:multiLevelType w:val="hybridMultilevel"/>
    <w:tmpl w:val="92A06B02"/>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CB10070"/>
    <w:multiLevelType w:val="multilevel"/>
    <w:tmpl w:val="F7762B9C"/>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C824CB"/>
    <w:multiLevelType w:val="hybridMultilevel"/>
    <w:tmpl w:val="90A0E17C"/>
    <w:lvl w:ilvl="0" w:tplc="7566547C">
      <w:start w:val="1"/>
      <w:numFmt w:val="decimal"/>
      <w:suff w:val="space"/>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16B3B89"/>
    <w:multiLevelType w:val="hybridMultilevel"/>
    <w:tmpl w:val="4AB21942"/>
    <w:lvl w:ilvl="0" w:tplc="1E643BCE">
      <w:start w:val="9"/>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8D07F52"/>
    <w:multiLevelType w:val="hybridMultilevel"/>
    <w:tmpl w:val="1A8E02AA"/>
    <w:lvl w:ilvl="0" w:tplc="B3ECFB0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C2117CC"/>
    <w:multiLevelType w:val="multilevel"/>
    <w:tmpl w:val="07E2D9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01E1AEB"/>
    <w:multiLevelType w:val="multilevel"/>
    <w:tmpl w:val="B6382CF2"/>
    <w:lvl w:ilvl="0">
      <w:start w:val="1"/>
      <w:numFmt w:val="none"/>
      <w:suff w:val="space"/>
      <w:lvlText w:val="1.6."/>
      <w:lvlJc w:val="left"/>
      <w:pPr>
        <w:ind w:left="0" w:firstLine="0"/>
      </w:pPr>
      <w:rPr>
        <w:rFonts w:hint="default"/>
        <w:color w:val="auto"/>
      </w:rPr>
    </w:lvl>
    <w:lvl w:ilvl="1">
      <w:start w:val="2"/>
      <w:numFmt w:val="decimal"/>
      <w:suff w:val="space"/>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2D1325A"/>
    <w:multiLevelType w:val="hybridMultilevel"/>
    <w:tmpl w:val="6B726C6C"/>
    <w:lvl w:ilvl="0" w:tplc="2B48B1D0">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3E359E5"/>
    <w:multiLevelType w:val="multilevel"/>
    <w:tmpl w:val="C5EED05E"/>
    <w:lvl w:ilvl="0">
      <w:start w:val="7"/>
      <w:numFmt w:val="decimal"/>
      <w:suff w:val="space"/>
      <w:lvlText w:val="(%1)"/>
      <w:lvlJc w:val="left"/>
      <w:pPr>
        <w:ind w:left="0" w:firstLine="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5873617"/>
    <w:multiLevelType w:val="multilevel"/>
    <w:tmpl w:val="537E94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640790B"/>
    <w:multiLevelType w:val="hybridMultilevel"/>
    <w:tmpl w:val="DBF62BA8"/>
    <w:lvl w:ilvl="0" w:tplc="041F001B">
      <w:start w:val="1"/>
      <w:numFmt w:val="lowerRoman"/>
      <w:lvlText w:val="%1."/>
      <w:lvlJc w:val="righ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C2B0EC3"/>
    <w:multiLevelType w:val="hybridMultilevel"/>
    <w:tmpl w:val="BB18100E"/>
    <w:lvl w:ilvl="0" w:tplc="4E0EE5A2">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C8329CA"/>
    <w:multiLevelType w:val="hybridMultilevel"/>
    <w:tmpl w:val="AD36A0E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18142F5"/>
    <w:multiLevelType w:val="hybridMultilevel"/>
    <w:tmpl w:val="E8408E72"/>
    <w:lvl w:ilvl="0" w:tplc="2B48B1D0">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3DB56FB"/>
    <w:multiLevelType w:val="multilevel"/>
    <w:tmpl w:val="63A65D02"/>
    <w:lvl w:ilvl="0">
      <w:start w:val="3"/>
      <w:numFmt w:val="decimal"/>
      <w:lvlText w:val="%1."/>
      <w:lvlJc w:val="left"/>
      <w:pPr>
        <w:ind w:left="360" w:hanging="360"/>
      </w:pPr>
      <w:rPr>
        <w:rFonts w:hint="default"/>
        <w:color w:val="auto"/>
      </w:rPr>
    </w:lvl>
    <w:lvl w:ilvl="1">
      <w:start w:val="4"/>
      <w:numFmt w:val="decimal"/>
      <w:lvlText w:val="%1.%2."/>
      <w:lvlJc w:val="left"/>
      <w:pPr>
        <w:ind w:left="432" w:hanging="432"/>
      </w:pPr>
      <w:rPr>
        <w:rFonts w:hint="default"/>
        <w:b/>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86A59A4"/>
    <w:multiLevelType w:val="hybridMultilevel"/>
    <w:tmpl w:val="B41665DC"/>
    <w:lvl w:ilvl="0" w:tplc="E8F6B63C">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8DE3133"/>
    <w:multiLevelType w:val="multilevel"/>
    <w:tmpl w:val="0ACEC394"/>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B676481"/>
    <w:multiLevelType w:val="multilevel"/>
    <w:tmpl w:val="C360D81C"/>
    <w:lvl w:ilvl="0">
      <w:start w:val="1"/>
      <w:numFmt w:val="decimal"/>
      <w:suff w:val="space"/>
      <w:lvlText w:val="(%1)"/>
      <w:lvlJc w:val="left"/>
      <w:pPr>
        <w:ind w:left="0" w:firstLine="0"/>
      </w:pPr>
      <w:rPr>
        <w:rFonts w:hint="default"/>
        <w:b w:val="0"/>
        <w:color w:val="auto"/>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7B4C3D"/>
    <w:multiLevelType w:val="hybridMultilevel"/>
    <w:tmpl w:val="C470946A"/>
    <w:lvl w:ilvl="0" w:tplc="7FE86FD6">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CCF7505"/>
    <w:multiLevelType w:val="hybridMultilevel"/>
    <w:tmpl w:val="48FA17C4"/>
    <w:lvl w:ilvl="0" w:tplc="1E340132">
      <w:start w:val="2"/>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D492ED3"/>
    <w:multiLevelType w:val="hybridMultilevel"/>
    <w:tmpl w:val="822AF966"/>
    <w:lvl w:ilvl="0" w:tplc="6F56BBC8">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30"/>
  </w:num>
  <w:num w:numId="3">
    <w:abstractNumId w:val="10"/>
  </w:num>
  <w:num w:numId="4">
    <w:abstractNumId w:val="8"/>
  </w:num>
  <w:num w:numId="5">
    <w:abstractNumId w:val="37"/>
  </w:num>
  <w:num w:numId="6">
    <w:abstractNumId w:val="12"/>
  </w:num>
  <w:num w:numId="7">
    <w:abstractNumId w:val="18"/>
  </w:num>
  <w:num w:numId="8">
    <w:abstractNumId w:val="35"/>
  </w:num>
  <w:num w:numId="9">
    <w:abstractNumId w:val="9"/>
  </w:num>
  <w:num w:numId="10">
    <w:abstractNumId w:val="22"/>
  </w:num>
  <w:num w:numId="11">
    <w:abstractNumId w:val="21"/>
  </w:num>
  <w:num w:numId="12">
    <w:abstractNumId w:val="5"/>
  </w:num>
  <w:num w:numId="13">
    <w:abstractNumId w:val="34"/>
  </w:num>
  <w:num w:numId="14">
    <w:abstractNumId w:val="29"/>
  </w:num>
  <w:num w:numId="15">
    <w:abstractNumId w:val="32"/>
    <w:lvlOverride w:ilvl="0">
      <w:lvl w:ilvl="0" w:tplc="4E0EE5A2">
        <w:start w:val="1"/>
        <w:numFmt w:val="decimal"/>
        <w:suff w:val="space"/>
        <w:lvlText w:val="(%1)"/>
        <w:lvlJc w:val="left"/>
        <w:pPr>
          <w:ind w:left="0" w:firstLine="0"/>
        </w:pPr>
        <w:rPr>
          <w:rFonts w:hint="default"/>
          <w:color w:val="auto"/>
        </w:rPr>
      </w:lvl>
    </w:lvlOverride>
    <w:lvlOverride w:ilvl="1">
      <w:lvl w:ilvl="1" w:tplc="041F0019" w:tentative="1">
        <w:start w:val="1"/>
        <w:numFmt w:val="lowerLetter"/>
        <w:lvlText w:val="%2."/>
        <w:lvlJc w:val="left"/>
        <w:pPr>
          <w:ind w:left="1440" w:hanging="360"/>
        </w:pPr>
      </w:lvl>
    </w:lvlOverride>
    <w:lvlOverride w:ilvl="2">
      <w:lvl w:ilvl="2" w:tplc="041F001B" w:tentative="1">
        <w:start w:val="1"/>
        <w:numFmt w:val="lowerRoman"/>
        <w:lvlText w:val="%3."/>
        <w:lvlJc w:val="right"/>
        <w:pPr>
          <w:ind w:left="2160" w:hanging="180"/>
        </w:pPr>
      </w:lvl>
    </w:lvlOverride>
    <w:lvlOverride w:ilvl="3">
      <w:lvl w:ilvl="3" w:tplc="041F000F" w:tentative="1">
        <w:start w:val="1"/>
        <w:numFmt w:val="decimal"/>
        <w:lvlText w:val="%4."/>
        <w:lvlJc w:val="left"/>
        <w:pPr>
          <w:ind w:left="2880" w:hanging="360"/>
        </w:pPr>
      </w:lvl>
    </w:lvlOverride>
    <w:lvlOverride w:ilvl="4">
      <w:lvl w:ilvl="4" w:tplc="041F0019" w:tentative="1">
        <w:start w:val="1"/>
        <w:numFmt w:val="lowerLetter"/>
        <w:lvlText w:val="%5."/>
        <w:lvlJc w:val="left"/>
        <w:pPr>
          <w:ind w:left="3600" w:hanging="360"/>
        </w:pPr>
      </w:lvl>
    </w:lvlOverride>
    <w:lvlOverride w:ilvl="5">
      <w:lvl w:ilvl="5" w:tplc="041F001B" w:tentative="1">
        <w:start w:val="1"/>
        <w:numFmt w:val="lowerRoman"/>
        <w:lvlText w:val="%6."/>
        <w:lvlJc w:val="right"/>
        <w:pPr>
          <w:ind w:left="4320" w:hanging="180"/>
        </w:pPr>
      </w:lvl>
    </w:lvlOverride>
    <w:lvlOverride w:ilvl="6">
      <w:lvl w:ilvl="6" w:tplc="041F000F" w:tentative="1">
        <w:start w:val="1"/>
        <w:numFmt w:val="decimal"/>
        <w:lvlText w:val="%7."/>
        <w:lvlJc w:val="left"/>
        <w:pPr>
          <w:ind w:left="5040" w:hanging="360"/>
        </w:pPr>
      </w:lvl>
    </w:lvlOverride>
    <w:lvlOverride w:ilvl="7">
      <w:lvl w:ilvl="7" w:tplc="041F0019" w:tentative="1">
        <w:start w:val="1"/>
        <w:numFmt w:val="lowerLetter"/>
        <w:lvlText w:val="%8."/>
        <w:lvlJc w:val="left"/>
        <w:pPr>
          <w:ind w:left="5760" w:hanging="360"/>
        </w:pPr>
      </w:lvl>
    </w:lvlOverride>
    <w:lvlOverride w:ilvl="8">
      <w:lvl w:ilvl="8" w:tplc="041F001B" w:tentative="1">
        <w:start w:val="1"/>
        <w:numFmt w:val="lowerRoman"/>
        <w:lvlText w:val="%9."/>
        <w:lvlJc w:val="right"/>
        <w:pPr>
          <w:ind w:left="6480" w:hanging="180"/>
        </w:pPr>
      </w:lvl>
    </w:lvlOverride>
  </w:num>
  <w:num w:numId="16">
    <w:abstractNumId w:val="17"/>
  </w:num>
  <w:num w:numId="17">
    <w:abstractNumId w:val="41"/>
  </w:num>
  <w:num w:numId="18">
    <w:abstractNumId w:val="33"/>
  </w:num>
  <w:num w:numId="19">
    <w:abstractNumId w:val="15"/>
  </w:num>
  <w:num w:numId="20">
    <w:abstractNumId w:val="19"/>
  </w:num>
  <w:num w:numId="21">
    <w:abstractNumId w:val="7"/>
  </w:num>
  <w:num w:numId="22">
    <w:abstractNumId w:val="16"/>
  </w:num>
  <w:num w:numId="23">
    <w:abstractNumId w:val="13"/>
  </w:num>
  <w:num w:numId="24">
    <w:abstractNumId w:val="13"/>
    <w:lvlOverride w:ilvl="0">
      <w:lvl w:ilvl="0">
        <w:start w:val="1"/>
        <w:numFmt w:val="decimal"/>
        <w:suff w:val="space"/>
        <w:lvlText w:val="(%1)"/>
        <w:lvlJc w:val="left"/>
        <w:pPr>
          <w:ind w:left="0" w:firstLine="0"/>
        </w:pPr>
        <w:rPr>
          <w:rFonts w:hint="default"/>
          <w:b w:val="0"/>
          <w:color w:val="auto"/>
        </w:rPr>
      </w:lvl>
    </w:lvlOverride>
    <w:lvlOverride w:ilvl="1">
      <w:lvl w:ilvl="1">
        <w:start w:val="1"/>
        <w:numFmt w:val="decimal"/>
        <w:lvlText w:val="%1.%2."/>
        <w:lvlJc w:val="left"/>
        <w:pPr>
          <w:ind w:left="0" w:firstLine="0"/>
        </w:pPr>
        <w:rPr>
          <w:rFonts w:hint="default"/>
          <w:b/>
        </w:rPr>
      </w:lvl>
    </w:lvlOverride>
    <w:lvlOverride w:ilvl="2">
      <w:lvl w:ilvl="2">
        <w:start w:val="1"/>
        <w:numFmt w:val="decimal"/>
        <w:lvlText w:val="%1.%2.%3."/>
        <w:lvlJc w:val="left"/>
        <w:pPr>
          <w:ind w:left="0" w:firstLine="0"/>
        </w:pPr>
        <w:rPr>
          <w:rFonts w:hint="default"/>
        </w:rPr>
      </w:lvl>
    </w:lvlOverride>
    <w:lvlOverride w:ilvl="3">
      <w:lvl w:ilvl="3">
        <w:start w:val="1"/>
        <w:numFmt w:val="decimal"/>
        <w:lvlText w:val="%1.%2.%3.%4."/>
        <w:lvlJc w:val="left"/>
        <w:pPr>
          <w:ind w:left="0" w:firstLine="0"/>
        </w:pPr>
        <w:rPr>
          <w:rFonts w:hint="default"/>
        </w:rPr>
      </w:lvl>
    </w:lvlOverride>
    <w:lvlOverride w:ilvl="4">
      <w:lvl w:ilvl="4">
        <w:start w:val="1"/>
        <w:numFmt w:val="decimal"/>
        <w:lvlText w:val="%1.%2.%3.%4.%5."/>
        <w:lvlJc w:val="left"/>
        <w:pPr>
          <w:ind w:left="0" w:firstLine="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25">
    <w:abstractNumId w:val="4"/>
  </w:num>
  <w:num w:numId="26">
    <w:abstractNumId w:val="0"/>
  </w:num>
  <w:num w:numId="27">
    <w:abstractNumId w:val="25"/>
  </w:num>
  <w:num w:numId="28">
    <w:abstractNumId w:val="3"/>
    <w:lvlOverride w:ilvl="0">
      <w:lvl w:ilvl="0" w:tplc="FAA64D2A">
        <w:start w:val="1"/>
        <mc:AlternateContent>
          <mc:Choice Requires="w14">
            <w:numFmt w:val="custom" w:format="a, ç, ĝ, ..."/>
          </mc:Choice>
          <mc:Fallback>
            <w:numFmt w:val="decimal"/>
          </mc:Fallback>
        </mc:AlternateContent>
        <w:lvlText w:val="%1)"/>
        <w:lvlJc w:val="left"/>
        <w:pPr>
          <w:ind w:left="0" w:firstLine="0"/>
        </w:pPr>
        <w:rPr>
          <w:rFonts w:hint="default"/>
          <w:b/>
        </w:rPr>
      </w:lvl>
    </w:lvlOverride>
    <w:lvlOverride w:ilvl="1">
      <w:lvl w:ilvl="1" w:tplc="041F0019" w:tentative="1">
        <w:start w:val="1"/>
        <w:numFmt w:val="lowerLetter"/>
        <w:lvlText w:val="%2."/>
        <w:lvlJc w:val="left"/>
        <w:pPr>
          <w:ind w:left="1440" w:hanging="360"/>
        </w:pPr>
      </w:lvl>
    </w:lvlOverride>
    <w:lvlOverride w:ilvl="2">
      <w:lvl w:ilvl="2" w:tplc="041F001B" w:tentative="1">
        <w:start w:val="1"/>
        <w:numFmt w:val="lowerRoman"/>
        <w:lvlText w:val="%3."/>
        <w:lvlJc w:val="right"/>
        <w:pPr>
          <w:ind w:left="2160" w:hanging="180"/>
        </w:pPr>
      </w:lvl>
    </w:lvlOverride>
    <w:lvlOverride w:ilvl="3">
      <w:lvl w:ilvl="3" w:tplc="041F000F" w:tentative="1">
        <w:start w:val="1"/>
        <w:numFmt w:val="decimal"/>
        <w:lvlText w:val="%4."/>
        <w:lvlJc w:val="left"/>
        <w:pPr>
          <w:ind w:left="2880" w:hanging="360"/>
        </w:pPr>
      </w:lvl>
    </w:lvlOverride>
    <w:lvlOverride w:ilvl="4">
      <w:lvl w:ilvl="4" w:tplc="041F0019" w:tentative="1">
        <w:start w:val="1"/>
        <w:numFmt w:val="lowerLetter"/>
        <w:lvlText w:val="%5."/>
        <w:lvlJc w:val="left"/>
        <w:pPr>
          <w:ind w:left="3600" w:hanging="360"/>
        </w:pPr>
      </w:lvl>
    </w:lvlOverride>
    <w:lvlOverride w:ilvl="5">
      <w:lvl w:ilvl="5" w:tplc="041F001B" w:tentative="1">
        <w:start w:val="1"/>
        <w:numFmt w:val="lowerRoman"/>
        <w:lvlText w:val="%6."/>
        <w:lvlJc w:val="right"/>
        <w:pPr>
          <w:ind w:left="4320" w:hanging="180"/>
        </w:pPr>
      </w:lvl>
    </w:lvlOverride>
    <w:lvlOverride w:ilvl="6">
      <w:lvl w:ilvl="6" w:tplc="041F000F" w:tentative="1">
        <w:start w:val="1"/>
        <w:numFmt w:val="decimal"/>
        <w:lvlText w:val="%7."/>
        <w:lvlJc w:val="left"/>
        <w:pPr>
          <w:ind w:left="5040" w:hanging="360"/>
        </w:pPr>
      </w:lvl>
    </w:lvlOverride>
    <w:lvlOverride w:ilvl="7">
      <w:lvl w:ilvl="7" w:tplc="041F0019" w:tentative="1">
        <w:start w:val="1"/>
        <w:numFmt w:val="lowerLetter"/>
        <w:lvlText w:val="%8."/>
        <w:lvlJc w:val="left"/>
        <w:pPr>
          <w:ind w:left="5760" w:hanging="360"/>
        </w:pPr>
      </w:lvl>
    </w:lvlOverride>
    <w:lvlOverride w:ilvl="8">
      <w:lvl w:ilvl="8" w:tplc="041F001B" w:tentative="1">
        <w:start w:val="1"/>
        <w:numFmt w:val="lowerRoman"/>
        <w:lvlText w:val="%9."/>
        <w:lvlJc w:val="right"/>
        <w:pPr>
          <w:ind w:left="6480" w:hanging="180"/>
        </w:pPr>
      </w:lvl>
    </w:lvlOverride>
  </w:num>
  <w:num w:numId="29">
    <w:abstractNumId w:val="40"/>
  </w:num>
  <w:num w:numId="30">
    <w:abstractNumId w:val="20"/>
  </w:num>
  <w:num w:numId="31">
    <w:abstractNumId w:val="38"/>
  </w:num>
  <w:num w:numId="32">
    <w:abstractNumId w:val="23"/>
  </w:num>
  <w:num w:numId="33">
    <w:abstractNumId w:val="31"/>
  </w:num>
  <w:num w:numId="34">
    <w:abstractNumId w:val="27"/>
  </w:num>
  <w:num w:numId="35">
    <w:abstractNumId w:val="28"/>
  </w:num>
  <w:num w:numId="36">
    <w:abstractNumId w:val="6"/>
  </w:num>
  <w:num w:numId="37">
    <w:abstractNumId w:val="24"/>
  </w:num>
  <w:num w:numId="38">
    <w:abstractNumId w:val="36"/>
  </w:num>
  <w:num w:numId="39">
    <w:abstractNumId w:val="2"/>
  </w:num>
  <w:num w:numId="40">
    <w:abstractNumId w:val="14"/>
  </w:num>
  <w:num w:numId="41">
    <w:abstractNumId w:val="11"/>
  </w:num>
  <w:num w:numId="42">
    <w:abstractNumId w:val="26"/>
  </w:num>
  <w:num w:numId="43">
    <w:abstractNumId w:val="3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3B4"/>
    <w:rsid w:val="000000C4"/>
    <w:rsid w:val="00004084"/>
    <w:rsid w:val="00004B44"/>
    <w:rsid w:val="00004CB4"/>
    <w:rsid w:val="00005B3B"/>
    <w:rsid w:val="00005D2F"/>
    <w:rsid w:val="00007A84"/>
    <w:rsid w:val="00010631"/>
    <w:rsid w:val="000106D8"/>
    <w:rsid w:val="000110EF"/>
    <w:rsid w:val="00011A30"/>
    <w:rsid w:val="0001208E"/>
    <w:rsid w:val="0001231C"/>
    <w:rsid w:val="0001294B"/>
    <w:rsid w:val="000130C6"/>
    <w:rsid w:val="0001323C"/>
    <w:rsid w:val="0001335A"/>
    <w:rsid w:val="00014194"/>
    <w:rsid w:val="00014860"/>
    <w:rsid w:val="000177CE"/>
    <w:rsid w:val="000227B6"/>
    <w:rsid w:val="000231EF"/>
    <w:rsid w:val="00024282"/>
    <w:rsid w:val="00024855"/>
    <w:rsid w:val="0002567A"/>
    <w:rsid w:val="000256FA"/>
    <w:rsid w:val="0002639C"/>
    <w:rsid w:val="00026C03"/>
    <w:rsid w:val="00027269"/>
    <w:rsid w:val="0002786F"/>
    <w:rsid w:val="00027B1B"/>
    <w:rsid w:val="00027CCB"/>
    <w:rsid w:val="000301BB"/>
    <w:rsid w:val="0003041C"/>
    <w:rsid w:val="0003065C"/>
    <w:rsid w:val="00031F9A"/>
    <w:rsid w:val="00032B16"/>
    <w:rsid w:val="00032F98"/>
    <w:rsid w:val="00033033"/>
    <w:rsid w:val="000333F5"/>
    <w:rsid w:val="000337B5"/>
    <w:rsid w:val="00035781"/>
    <w:rsid w:val="00035E53"/>
    <w:rsid w:val="000361F8"/>
    <w:rsid w:val="000369DD"/>
    <w:rsid w:val="00037E34"/>
    <w:rsid w:val="00040184"/>
    <w:rsid w:val="0004029A"/>
    <w:rsid w:val="0004062E"/>
    <w:rsid w:val="0004126F"/>
    <w:rsid w:val="000414BC"/>
    <w:rsid w:val="00041887"/>
    <w:rsid w:val="00041E67"/>
    <w:rsid w:val="00042AF7"/>
    <w:rsid w:val="0004350B"/>
    <w:rsid w:val="0004363A"/>
    <w:rsid w:val="00043835"/>
    <w:rsid w:val="00043A7C"/>
    <w:rsid w:val="000458E6"/>
    <w:rsid w:val="00046A15"/>
    <w:rsid w:val="00047286"/>
    <w:rsid w:val="00051677"/>
    <w:rsid w:val="00051AFC"/>
    <w:rsid w:val="00052176"/>
    <w:rsid w:val="0005271A"/>
    <w:rsid w:val="00053A79"/>
    <w:rsid w:val="00054B69"/>
    <w:rsid w:val="000579F4"/>
    <w:rsid w:val="00060717"/>
    <w:rsid w:val="0006081E"/>
    <w:rsid w:val="00060CA0"/>
    <w:rsid w:val="00060EBB"/>
    <w:rsid w:val="000623C2"/>
    <w:rsid w:val="00062F33"/>
    <w:rsid w:val="00063010"/>
    <w:rsid w:val="00063874"/>
    <w:rsid w:val="00063CE9"/>
    <w:rsid w:val="00064C3F"/>
    <w:rsid w:val="00064D0D"/>
    <w:rsid w:val="00065FD9"/>
    <w:rsid w:val="00066A65"/>
    <w:rsid w:val="00066CF7"/>
    <w:rsid w:val="000701EA"/>
    <w:rsid w:val="00070592"/>
    <w:rsid w:val="00070D4E"/>
    <w:rsid w:val="00071674"/>
    <w:rsid w:val="00071D4E"/>
    <w:rsid w:val="0007244E"/>
    <w:rsid w:val="00072A10"/>
    <w:rsid w:val="000730CE"/>
    <w:rsid w:val="00073291"/>
    <w:rsid w:val="00073BEA"/>
    <w:rsid w:val="00074E4F"/>
    <w:rsid w:val="000752DE"/>
    <w:rsid w:val="00075488"/>
    <w:rsid w:val="0007675E"/>
    <w:rsid w:val="00076B29"/>
    <w:rsid w:val="00076D56"/>
    <w:rsid w:val="000800E4"/>
    <w:rsid w:val="000805B6"/>
    <w:rsid w:val="00081183"/>
    <w:rsid w:val="00084D4C"/>
    <w:rsid w:val="000864F9"/>
    <w:rsid w:val="00086539"/>
    <w:rsid w:val="00086969"/>
    <w:rsid w:val="00087117"/>
    <w:rsid w:val="00091D34"/>
    <w:rsid w:val="000927EB"/>
    <w:rsid w:val="00093644"/>
    <w:rsid w:val="0009613B"/>
    <w:rsid w:val="0009641D"/>
    <w:rsid w:val="00096CBC"/>
    <w:rsid w:val="00096F17"/>
    <w:rsid w:val="000A0714"/>
    <w:rsid w:val="000A085F"/>
    <w:rsid w:val="000A0866"/>
    <w:rsid w:val="000A0AF6"/>
    <w:rsid w:val="000A0FD7"/>
    <w:rsid w:val="000A18FA"/>
    <w:rsid w:val="000A2875"/>
    <w:rsid w:val="000A462E"/>
    <w:rsid w:val="000A475F"/>
    <w:rsid w:val="000A4AFA"/>
    <w:rsid w:val="000A6A16"/>
    <w:rsid w:val="000A6E2F"/>
    <w:rsid w:val="000B0D01"/>
    <w:rsid w:val="000B227B"/>
    <w:rsid w:val="000B285A"/>
    <w:rsid w:val="000B3FCC"/>
    <w:rsid w:val="000B63EC"/>
    <w:rsid w:val="000B642C"/>
    <w:rsid w:val="000B6D0E"/>
    <w:rsid w:val="000B75B6"/>
    <w:rsid w:val="000C0B54"/>
    <w:rsid w:val="000C121B"/>
    <w:rsid w:val="000C1984"/>
    <w:rsid w:val="000C1B85"/>
    <w:rsid w:val="000C272D"/>
    <w:rsid w:val="000C5AE6"/>
    <w:rsid w:val="000C5CEC"/>
    <w:rsid w:val="000C5EC4"/>
    <w:rsid w:val="000C6520"/>
    <w:rsid w:val="000C6B63"/>
    <w:rsid w:val="000C6D16"/>
    <w:rsid w:val="000C7288"/>
    <w:rsid w:val="000C75DB"/>
    <w:rsid w:val="000C7AC5"/>
    <w:rsid w:val="000C7D7D"/>
    <w:rsid w:val="000D2B13"/>
    <w:rsid w:val="000D2F95"/>
    <w:rsid w:val="000D38D3"/>
    <w:rsid w:val="000D486C"/>
    <w:rsid w:val="000D7185"/>
    <w:rsid w:val="000D73A8"/>
    <w:rsid w:val="000E015E"/>
    <w:rsid w:val="000E18FF"/>
    <w:rsid w:val="000E1B2D"/>
    <w:rsid w:val="000E1D56"/>
    <w:rsid w:val="000E1E33"/>
    <w:rsid w:val="000E1F7C"/>
    <w:rsid w:val="000E2980"/>
    <w:rsid w:val="000E3251"/>
    <w:rsid w:val="000E36E1"/>
    <w:rsid w:val="000E399F"/>
    <w:rsid w:val="000E3D69"/>
    <w:rsid w:val="000E74A6"/>
    <w:rsid w:val="000F1245"/>
    <w:rsid w:val="000F277D"/>
    <w:rsid w:val="000F49EB"/>
    <w:rsid w:val="000F4AB7"/>
    <w:rsid w:val="000F506B"/>
    <w:rsid w:val="000F53B8"/>
    <w:rsid w:val="000F54DB"/>
    <w:rsid w:val="000F55BE"/>
    <w:rsid w:val="000F5A52"/>
    <w:rsid w:val="000F680B"/>
    <w:rsid w:val="000F77FC"/>
    <w:rsid w:val="000F7962"/>
    <w:rsid w:val="000F7D99"/>
    <w:rsid w:val="000F7E35"/>
    <w:rsid w:val="00100908"/>
    <w:rsid w:val="00101D28"/>
    <w:rsid w:val="00101E3F"/>
    <w:rsid w:val="00102AE3"/>
    <w:rsid w:val="0010327E"/>
    <w:rsid w:val="00103396"/>
    <w:rsid w:val="00103E40"/>
    <w:rsid w:val="001043E4"/>
    <w:rsid w:val="00104601"/>
    <w:rsid w:val="001046E6"/>
    <w:rsid w:val="001065DA"/>
    <w:rsid w:val="00106A4D"/>
    <w:rsid w:val="001070E0"/>
    <w:rsid w:val="0010745C"/>
    <w:rsid w:val="001105A1"/>
    <w:rsid w:val="001109DF"/>
    <w:rsid w:val="00111B27"/>
    <w:rsid w:val="00111B3D"/>
    <w:rsid w:val="00111B9F"/>
    <w:rsid w:val="00113614"/>
    <w:rsid w:val="00113A42"/>
    <w:rsid w:val="00113FAF"/>
    <w:rsid w:val="00115680"/>
    <w:rsid w:val="00115F87"/>
    <w:rsid w:val="001161E3"/>
    <w:rsid w:val="001164F2"/>
    <w:rsid w:val="00117424"/>
    <w:rsid w:val="00120A54"/>
    <w:rsid w:val="00120B75"/>
    <w:rsid w:val="001218AE"/>
    <w:rsid w:val="0012194D"/>
    <w:rsid w:val="00121E0B"/>
    <w:rsid w:val="001227AC"/>
    <w:rsid w:val="00122A5B"/>
    <w:rsid w:val="00122CF8"/>
    <w:rsid w:val="00123A08"/>
    <w:rsid w:val="00124961"/>
    <w:rsid w:val="00125C56"/>
    <w:rsid w:val="001260B8"/>
    <w:rsid w:val="001261CA"/>
    <w:rsid w:val="00126FE7"/>
    <w:rsid w:val="001272E3"/>
    <w:rsid w:val="001273DA"/>
    <w:rsid w:val="00127FF6"/>
    <w:rsid w:val="0013054A"/>
    <w:rsid w:val="00130E70"/>
    <w:rsid w:val="001315B7"/>
    <w:rsid w:val="001318E0"/>
    <w:rsid w:val="00131BEC"/>
    <w:rsid w:val="00132547"/>
    <w:rsid w:val="00134F49"/>
    <w:rsid w:val="00135F1E"/>
    <w:rsid w:val="0013610A"/>
    <w:rsid w:val="00136E8B"/>
    <w:rsid w:val="0013723E"/>
    <w:rsid w:val="00137809"/>
    <w:rsid w:val="00140214"/>
    <w:rsid w:val="00141020"/>
    <w:rsid w:val="0014181B"/>
    <w:rsid w:val="001418A2"/>
    <w:rsid w:val="00142394"/>
    <w:rsid w:val="00143B92"/>
    <w:rsid w:val="0014444B"/>
    <w:rsid w:val="00146A26"/>
    <w:rsid w:val="00146A56"/>
    <w:rsid w:val="001472FB"/>
    <w:rsid w:val="00150B16"/>
    <w:rsid w:val="0015174C"/>
    <w:rsid w:val="00153042"/>
    <w:rsid w:val="00156F01"/>
    <w:rsid w:val="00157921"/>
    <w:rsid w:val="0016016F"/>
    <w:rsid w:val="00160749"/>
    <w:rsid w:val="00160C81"/>
    <w:rsid w:val="00160DE1"/>
    <w:rsid w:val="001629A7"/>
    <w:rsid w:val="00163814"/>
    <w:rsid w:val="00164C01"/>
    <w:rsid w:val="00164F6D"/>
    <w:rsid w:val="001665EC"/>
    <w:rsid w:val="0016688D"/>
    <w:rsid w:val="0016698E"/>
    <w:rsid w:val="001673CE"/>
    <w:rsid w:val="001710FD"/>
    <w:rsid w:val="00171617"/>
    <w:rsid w:val="001719D9"/>
    <w:rsid w:val="001720A6"/>
    <w:rsid w:val="001726E0"/>
    <w:rsid w:val="00174066"/>
    <w:rsid w:val="00175955"/>
    <w:rsid w:val="00175C4D"/>
    <w:rsid w:val="00175D6A"/>
    <w:rsid w:val="00176606"/>
    <w:rsid w:val="001772FC"/>
    <w:rsid w:val="00177CA3"/>
    <w:rsid w:val="001801C9"/>
    <w:rsid w:val="0018034B"/>
    <w:rsid w:val="00180394"/>
    <w:rsid w:val="00180CC1"/>
    <w:rsid w:val="00181017"/>
    <w:rsid w:val="00182D35"/>
    <w:rsid w:val="00183DE2"/>
    <w:rsid w:val="00184103"/>
    <w:rsid w:val="00184228"/>
    <w:rsid w:val="0018510A"/>
    <w:rsid w:val="00187EA3"/>
    <w:rsid w:val="001900B6"/>
    <w:rsid w:val="00190A61"/>
    <w:rsid w:val="0019124C"/>
    <w:rsid w:val="00192EF9"/>
    <w:rsid w:val="001930E7"/>
    <w:rsid w:val="0019393A"/>
    <w:rsid w:val="00194C68"/>
    <w:rsid w:val="00195169"/>
    <w:rsid w:val="00197376"/>
    <w:rsid w:val="00197447"/>
    <w:rsid w:val="00197937"/>
    <w:rsid w:val="001A0DF1"/>
    <w:rsid w:val="001A16A4"/>
    <w:rsid w:val="001A18DB"/>
    <w:rsid w:val="001A1D45"/>
    <w:rsid w:val="001A2414"/>
    <w:rsid w:val="001A3D1F"/>
    <w:rsid w:val="001A3D73"/>
    <w:rsid w:val="001A3FC1"/>
    <w:rsid w:val="001A434C"/>
    <w:rsid w:val="001A4B9E"/>
    <w:rsid w:val="001A7C97"/>
    <w:rsid w:val="001B05DD"/>
    <w:rsid w:val="001B15EA"/>
    <w:rsid w:val="001B16A3"/>
    <w:rsid w:val="001B2827"/>
    <w:rsid w:val="001B2CA4"/>
    <w:rsid w:val="001B4277"/>
    <w:rsid w:val="001B745A"/>
    <w:rsid w:val="001B7640"/>
    <w:rsid w:val="001C1582"/>
    <w:rsid w:val="001C1915"/>
    <w:rsid w:val="001C2555"/>
    <w:rsid w:val="001C538C"/>
    <w:rsid w:val="001C5795"/>
    <w:rsid w:val="001C68D8"/>
    <w:rsid w:val="001C71BE"/>
    <w:rsid w:val="001C75CA"/>
    <w:rsid w:val="001D2499"/>
    <w:rsid w:val="001D3BD4"/>
    <w:rsid w:val="001D4AE5"/>
    <w:rsid w:val="001D5D33"/>
    <w:rsid w:val="001D6704"/>
    <w:rsid w:val="001D6E02"/>
    <w:rsid w:val="001D7B62"/>
    <w:rsid w:val="001E0586"/>
    <w:rsid w:val="001E1893"/>
    <w:rsid w:val="001E19A9"/>
    <w:rsid w:val="001E4A19"/>
    <w:rsid w:val="001E6446"/>
    <w:rsid w:val="001E74CA"/>
    <w:rsid w:val="001F0870"/>
    <w:rsid w:val="001F199C"/>
    <w:rsid w:val="001F31C4"/>
    <w:rsid w:val="001F4DC4"/>
    <w:rsid w:val="001F65D4"/>
    <w:rsid w:val="001F6947"/>
    <w:rsid w:val="001F7255"/>
    <w:rsid w:val="001F782E"/>
    <w:rsid w:val="00200960"/>
    <w:rsid w:val="002012E7"/>
    <w:rsid w:val="00202339"/>
    <w:rsid w:val="00203009"/>
    <w:rsid w:val="002040B7"/>
    <w:rsid w:val="002047A2"/>
    <w:rsid w:val="00205CBD"/>
    <w:rsid w:val="002060CA"/>
    <w:rsid w:val="0020621E"/>
    <w:rsid w:val="00207F45"/>
    <w:rsid w:val="0021033C"/>
    <w:rsid w:val="00210D55"/>
    <w:rsid w:val="00210E2D"/>
    <w:rsid w:val="002129E3"/>
    <w:rsid w:val="00212C42"/>
    <w:rsid w:val="00212F0F"/>
    <w:rsid w:val="00213017"/>
    <w:rsid w:val="00213732"/>
    <w:rsid w:val="00213A27"/>
    <w:rsid w:val="00213AEE"/>
    <w:rsid w:val="0021482D"/>
    <w:rsid w:val="0021669B"/>
    <w:rsid w:val="002210A1"/>
    <w:rsid w:val="00221659"/>
    <w:rsid w:val="002219C9"/>
    <w:rsid w:val="00224F95"/>
    <w:rsid w:val="00225441"/>
    <w:rsid w:val="002259EF"/>
    <w:rsid w:val="00225C8A"/>
    <w:rsid w:val="00227002"/>
    <w:rsid w:val="00227035"/>
    <w:rsid w:val="0023079B"/>
    <w:rsid w:val="00230C3D"/>
    <w:rsid w:val="00230F83"/>
    <w:rsid w:val="002319A7"/>
    <w:rsid w:val="00231C3B"/>
    <w:rsid w:val="00232011"/>
    <w:rsid w:val="002333ED"/>
    <w:rsid w:val="00233467"/>
    <w:rsid w:val="00233EA4"/>
    <w:rsid w:val="00234AF2"/>
    <w:rsid w:val="00234CF9"/>
    <w:rsid w:val="002351AF"/>
    <w:rsid w:val="002351F2"/>
    <w:rsid w:val="00235558"/>
    <w:rsid w:val="00236173"/>
    <w:rsid w:val="00240D33"/>
    <w:rsid w:val="00240D49"/>
    <w:rsid w:val="002424AF"/>
    <w:rsid w:val="00242786"/>
    <w:rsid w:val="00242F1E"/>
    <w:rsid w:val="002442FE"/>
    <w:rsid w:val="0024449E"/>
    <w:rsid w:val="0024515D"/>
    <w:rsid w:val="00246218"/>
    <w:rsid w:val="00246C04"/>
    <w:rsid w:val="0025004E"/>
    <w:rsid w:val="0025014A"/>
    <w:rsid w:val="00250E49"/>
    <w:rsid w:val="00251640"/>
    <w:rsid w:val="00254A82"/>
    <w:rsid w:val="00254BB6"/>
    <w:rsid w:val="0025529F"/>
    <w:rsid w:val="00256365"/>
    <w:rsid w:val="002571F9"/>
    <w:rsid w:val="00257432"/>
    <w:rsid w:val="00260CE0"/>
    <w:rsid w:val="00261160"/>
    <w:rsid w:val="00261CB9"/>
    <w:rsid w:val="00262467"/>
    <w:rsid w:val="002625B2"/>
    <w:rsid w:val="00263049"/>
    <w:rsid w:val="00263567"/>
    <w:rsid w:val="00264454"/>
    <w:rsid w:val="00265031"/>
    <w:rsid w:val="00267332"/>
    <w:rsid w:val="00267417"/>
    <w:rsid w:val="0026750E"/>
    <w:rsid w:val="002719B0"/>
    <w:rsid w:val="002729DB"/>
    <w:rsid w:val="00272E1D"/>
    <w:rsid w:val="00272FBB"/>
    <w:rsid w:val="002741C6"/>
    <w:rsid w:val="0027482C"/>
    <w:rsid w:val="00274AFD"/>
    <w:rsid w:val="00276313"/>
    <w:rsid w:val="002772A7"/>
    <w:rsid w:val="002776CA"/>
    <w:rsid w:val="00282348"/>
    <w:rsid w:val="00282DE1"/>
    <w:rsid w:val="002834F0"/>
    <w:rsid w:val="00283B09"/>
    <w:rsid w:val="00284051"/>
    <w:rsid w:val="00285465"/>
    <w:rsid w:val="00285A9A"/>
    <w:rsid w:val="0028701B"/>
    <w:rsid w:val="0028714E"/>
    <w:rsid w:val="00290585"/>
    <w:rsid w:val="002908BA"/>
    <w:rsid w:val="0029141B"/>
    <w:rsid w:val="00291B6A"/>
    <w:rsid w:val="00291F05"/>
    <w:rsid w:val="002927CB"/>
    <w:rsid w:val="00292AED"/>
    <w:rsid w:val="002930E6"/>
    <w:rsid w:val="002945E2"/>
    <w:rsid w:val="0029580A"/>
    <w:rsid w:val="0029582A"/>
    <w:rsid w:val="00297B56"/>
    <w:rsid w:val="002A10D2"/>
    <w:rsid w:val="002A2572"/>
    <w:rsid w:val="002A2923"/>
    <w:rsid w:val="002A2E1A"/>
    <w:rsid w:val="002A36D2"/>
    <w:rsid w:val="002A3E89"/>
    <w:rsid w:val="002A4D9C"/>
    <w:rsid w:val="002A5A04"/>
    <w:rsid w:val="002A6159"/>
    <w:rsid w:val="002A63C9"/>
    <w:rsid w:val="002A7AE3"/>
    <w:rsid w:val="002A7C6B"/>
    <w:rsid w:val="002B1903"/>
    <w:rsid w:val="002B1DD0"/>
    <w:rsid w:val="002B3010"/>
    <w:rsid w:val="002B35D5"/>
    <w:rsid w:val="002B5505"/>
    <w:rsid w:val="002B55FB"/>
    <w:rsid w:val="002B6B93"/>
    <w:rsid w:val="002B7744"/>
    <w:rsid w:val="002C0352"/>
    <w:rsid w:val="002C0AD0"/>
    <w:rsid w:val="002C0C85"/>
    <w:rsid w:val="002C11E3"/>
    <w:rsid w:val="002C2361"/>
    <w:rsid w:val="002C3AFC"/>
    <w:rsid w:val="002C465B"/>
    <w:rsid w:val="002C4BD9"/>
    <w:rsid w:val="002C4F58"/>
    <w:rsid w:val="002C5198"/>
    <w:rsid w:val="002C558D"/>
    <w:rsid w:val="002C6137"/>
    <w:rsid w:val="002C71E8"/>
    <w:rsid w:val="002C7C89"/>
    <w:rsid w:val="002D0A44"/>
    <w:rsid w:val="002D0CAD"/>
    <w:rsid w:val="002D0EA1"/>
    <w:rsid w:val="002D1383"/>
    <w:rsid w:val="002D16D0"/>
    <w:rsid w:val="002D32F9"/>
    <w:rsid w:val="002D402C"/>
    <w:rsid w:val="002D4136"/>
    <w:rsid w:val="002D4335"/>
    <w:rsid w:val="002D4348"/>
    <w:rsid w:val="002D533C"/>
    <w:rsid w:val="002D5430"/>
    <w:rsid w:val="002D578A"/>
    <w:rsid w:val="002D6AAD"/>
    <w:rsid w:val="002E0B36"/>
    <w:rsid w:val="002E13B9"/>
    <w:rsid w:val="002E1861"/>
    <w:rsid w:val="002E1BC2"/>
    <w:rsid w:val="002E387F"/>
    <w:rsid w:val="002E507B"/>
    <w:rsid w:val="002E5598"/>
    <w:rsid w:val="002E5E50"/>
    <w:rsid w:val="002E6312"/>
    <w:rsid w:val="002E6842"/>
    <w:rsid w:val="002E6D93"/>
    <w:rsid w:val="002E7221"/>
    <w:rsid w:val="002F0038"/>
    <w:rsid w:val="002F0125"/>
    <w:rsid w:val="002F1DCB"/>
    <w:rsid w:val="002F2095"/>
    <w:rsid w:val="002F22D1"/>
    <w:rsid w:val="002F2385"/>
    <w:rsid w:val="002F3BBE"/>
    <w:rsid w:val="002F456C"/>
    <w:rsid w:val="002F46F9"/>
    <w:rsid w:val="002F4F06"/>
    <w:rsid w:val="002F5207"/>
    <w:rsid w:val="002F54E1"/>
    <w:rsid w:val="002F6336"/>
    <w:rsid w:val="00301AE8"/>
    <w:rsid w:val="00302A5A"/>
    <w:rsid w:val="00302BB8"/>
    <w:rsid w:val="00302ECF"/>
    <w:rsid w:val="00303305"/>
    <w:rsid w:val="00304160"/>
    <w:rsid w:val="0030622C"/>
    <w:rsid w:val="00310536"/>
    <w:rsid w:val="00312AC1"/>
    <w:rsid w:val="003158AB"/>
    <w:rsid w:val="00316785"/>
    <w:rsid w:val="00316A8C"/>
    <w:rsid w:val="00316A9A"/>
    <w:rsid w:val="00316B8F"/>
    <w:rsid w:val="00317263"/>
    <w:rsid w:val="003174B5"/>
    <w:rsid w:val="00317549"/>
    <w:rsid w:val="0031764C"/>
    <w:rsid w:val="0031782D"/>
    <w:rsid w:val="00317B9A"/>
    <w:rsid w:val="003204EB"/>
    <w:rsid w:val="0032061E"/>
    <w:rsid w:val="003209A4"/>
    <w:rsid w:val="00321D50"/>
    <w:rsid w:val="00322A6B"/>
    <w:rsid w:val="00323AFB"/>
    <w:rsid w:val="00323D5A"/>
    <w:rsid w:val="00324B30"/>
    <w:rsid w:val="00324BE9"/>
    <w:rsid w:val="0032738E"/>
    <w:rsid w:val="0032768D"/>
    <w:rsid w:val="00330D8D"/>
    <w:rsid w:val="0033261C"/>
    <w:rsid w:val="00332E4D"/>
    <w:rsid w:val="00332E8F"/>
    <w:rsid w:val="00332FAB"/>
    <w:rsid w:val="0033368C"/>
    <w:rsid w:val="00333718"/>
    <w:rsid w:val="00335CA7"/>
    <w:rsid w:val="00335E53"/>
    <w:rsid w:val="00336729"/>
    <w:rsid w:val="00337E87"/>
    <w:rsid w:val="00340300"/>
    <w:rsid w:val="00340765"/>
    <w:rsid w:val="00340BC0"/>
    <w:rsid w:val="00340E0E"/>
    <w:rsid w:val="003435D1"/>
    <w:rsid w:val="0034363C"/>
    <w:rsid w:val="00343E87"/>
    <w:rsid w:val="0034517E"/>
    <w:rsid w:val="003463AF"/>
    <w:rsid w:val="00346E0F"/>
    <w:rsid w:val="00346E2A"/>
    <w:rsid w:val="0034756F"/>
    <w:rsid w:val="00347A56"/>
    <w:rsid w:val="00347CE2"/>
    <w:rsid w:val="00350704"/>
    <w:rsid w:val="00350B3C"/>
    <w:rsid w:val="00350E66"/>
    <w:rsid w:val="0035127D"/>
    <w:rsid w:val="00352CC1"/>
    <w:rsid w:val="00353458"/>
    <w:rsid w:val="00353937"/>
    <w:rsid w:val="003541D1"/>
    <w:rsid w:val="0035491A"/>
    <w:rsid w:val="00354FC2"/>
    <w:rsid w:val="0035529F"/>
    <w:rsid w:val="00355A04"/>
    <w:rsid w:val="00356136"/>
    <w:rsid w:val="003564F5"/>
    <w:rsid w:val="00356727"/>
    <w:rsid w:val="00356BA9"/>
    <w:rsid w:val="00360315"/>
    <w:rsid w:val="00360A9F"/>
    <w:rsid w:val="00361DCB"/>
    <w:rsid w:val="00361EDD"/>
    <w:rsid w:val="00362293"/>
    <w:rsid w:val="0036411C"/>
    <w:rsid w:val="003658EB"/>
    <w:rsid w:val="003677EB"/>
    <w:rsid w:val="00371299"/>
    <w:rsid w:val="003716D0"/>
    <w:rsid w:val="003741A8"/>
    <w:rsid w:val="00374297"/>
    <w:rsid w:val="00374660"/>
    <w:rsid w:val="00375216"/>
    <w:rsid w:val="0037534A"/>
    <w:rsid w:val="00375941"/>
    <w:rsid w:val="00375E0F"/>
    <w:rsid w:val="003766A3"/>
    <w:rsid w:val="00376A37"/>
    <w:rsid w:val="00377682"/>
    <w:rsid w:val="0038077E"/>
    <w:rsid w:val="00380A25"/>
    <w:rsid w:val="00380A7B"/>
    <w:rsid w:val="00381140"/>
    <w:rsid w:val="003834C1"/>
    <w:rsid w:val="00383F7B"/>
    <w:rsid w:val="003843B0"/>
    <w:rsid w:val="003847BD"/>
    <w:rsid w:val="0038522E"/>
    <w:rsid w:val="0038526B"/>
    <w:rsid w:val="00385B23"/>
    <w:rsid w:val="00385FE9"/>
    <w:rsid w:val="003863F1"/>
    <w:rsid w:val="00386963"/>
    <w:rsid w:val="0038714C"/>
    <w:rsid w:val="00387992"/>
    <w:rsid w:val="00387A5E"/>
    <w:rsid w:val="00390476"/>
    <w:rsid w:val="00390740"/>
    <w:rsid w:val="00391B99"/>
    <w:rsid w:val="00391F21"/>
    <w:rsid w:val="003920EF"/>
    <w:rsid w:val="0039226C"/>
    <w:rsid w:val="003927EB"/>
    <w:rsid w:val="00392D55"/>
    <w:rsid w:val="00393055"/>
    <w:rsid w:val="003930A6"/>
    <w:rsid w:val="00394612"/>
    <w:rsid w:val="003952F1"/>
    <w:rsid w:val="00397C2F"/>
    <w:rsid w:val="003A09D3"/>
    <w:rsid w:val="003A0DFD"/>
    <w:rsid w:val="003A1101"/>
    <w:rsid w:val="003A1170"/>
    <w:rsid w:val="003A215F"/>
    <w:rsid w:val="003A2192"/>
    <w:rsid w:val="003A3800"/>
    <w:rsid w:val="003A4581"/>
    <w:rsid w:val="003A4B2C"/>
    <w:rsid w:val="003A5437"/>
    <w:rsid w:val="003A65E1"/>
    <w:rsid w:val="003A663C"/>
    <w:rsid w:val="003B00F5"/>
    <w:rsid w:val="003B257E"/>
    <w:rsid w:val="003B2F57"/>
    <w:rsid w:val="003B3198"/>
    <w:rsid w:val="003B33BC"/>
    <w:rsid w:val="003B38EC"/>
    <w:rsid w:val="003B3C80"/>
    <w:rsid w:val="003B4066"/>
    <w:rsid w:val="003B4479"/>
    <w:rsid w:val="003B49BC"/>
    <w:rsid w:val="003B4C68"/>
    <w:rsid w:val="003B642D"/>
    <w:rsid w:val="003B6869"/>
    <w:rsid w:val="003B6FA9"/>
    <w:rsid w:val="003B7BB0"/>
    <w:rsid w:val="003B7D79"/>
    <w:rsid w:val="003C0F91"/>
    <w:rsid w:val="003C184D"/>
    <w:rsid w:val="003C1B66"/>
    <w:rsid w:val="003C4880"/>
    <w:rsid w:val="003C51F1"/>
    <w:rsid w:val="003C5B4A"/>
    <w:rsid w:val="003C632E"/>
    <w:rsid w:val="003C65E4"/>
    <w:rsid w:val="003C6882"/>
    <w:rsid w:val="003C6D79"/>
    <w:rsid w:val="003C7403"/>
    <w:rsid w:val="003C77B6"/>
    <w:rsid w:val="003C7CD4"/>
    <w:rsid w:val="003D1BC4"/>
    <w:rsid w:val="003D2AB4"/>
    <w:rsid w:val="003D386F"/>
    <w:rsid w:val="003D4704"/>
    <w:rsid w:val="003D5FA7"/>
    <w:rsid w:val="003D6305"/>
    <w:rsid w:val="003D6DDA"/>
    <w:rsid w:val="003E0AEB"/>
    <w:rsid w:val="003E1A42"/>
    <w:rsid w:val="003E32B3"/>
    <w:rsid w:val="003E3907"/>
    <w:rsid w:val="003E4AF4"/>
    <w:rsid w:val="003E4E0A"/>
    <w:rsid w:val="003E50AB"/>
    <w:rsid w:val="003E5F74"/>
    <w:rsid w:val="003E6B57"/>
    <w:rsid w:val="003E7A4A"/>
    <w:rsid w:val="003E7B9C"/>
    <w:rsid w:val="003F0EAB"/>
    <w:rsid w:val="003F0FBB"/>
    <w:rsid w:val="003F0FDC"/>
    <w:rsid w:val="003F1A0B"/>
    <w:rsid w:val="003F1D96"/>
    <w:rsid w:val="003F2E32"/>
    <w:rsid w:val="003F3605"/>
    <w:rsid w:val="003F4ABE"/>
    <w:rsid w:val="003F5598"/>
    <w:rsid w:val="003F561C"/>
    <w:rsid w:val="003F5BB5"/>
    <w:rsid w:val="003F613D"/>
    <w:rsid w:val="003F6D33"/>
    <w:rsid w:val="00400350"/>
    <w:rsid w:val="00400539"/>
    <w:rsid w:val="004016AC"/>
    <w:rsid w:val="004017DA"/>
    <w:rsid w:val="0040360B"/>
    <w:rsid w:val="0040442A"/>
    <w:rsid w:val="00406235"/>
    <w:rsid w:val="00407E83"/>
    <w:rsid w:val="004103A9"/>
    <w:rsid w:val="00414100"/>
    <w:rsid w:val="00415E04"/>
    <w:rsid w:val="00415EA1"/>
    <w:rsid w:val="00416783"/>
    <w:rsid w:val="0041710E"/>
    <w:rsid w:val="00417C4B"/>
    <w:rsid w:val="004200AB"/>
    <w:rsid w:val="004215DB"/>
    <w:rsid w:val="00421663"/>
    <w:rsid w:val="00422CD9"/>
    <w:rsid w:val="00422ED8"/>
    <w:rsid w:val="00423166"/>
    <w:rsid w:val="0042337C"/>
    <w:rsid w:val="00424929"/>
    <w:rsid w:val="0042741C"/>
    <w:rsid w:val="00427F37"/>
    <w:rsid w:val="00431A36"/>
    <w:rsid w:val="00431E47"/>
    <w:rsid w:val="00432A12"/>
    <w:rsid w:val="00433786"/>
    <w:rsid w:val="004337C3"/>
    <w:rsid w:val="004347E0"/>
    <w:rsid w:val="004352D1"/>
    <w:rsid w:val="0043590F"/>
    <w:rsid w:val="00435F13"/>
    <w:rsid w:val="0043686F"/>
    <w:rsid w:val="00437046"/>
    <w:rsid w:val="00440AC4"/>
    <w:rsid w:val="00440D88"/>
    <w:rsid w:val="00441AAE"/>
    <w:rsid w:val="004423BA"/>
    <w:rsid w:val="00442F7D"/>
    <w:rsid w:val="00443087"/>
    <w:rsid w:val="00443382"/>
    <w:rsid w:val="00444603"/>
    <w:rsid w:val="0044543E"/>
    <w:rsid w:val="00447075"/>
    <w:rsid w:val="004470E1"/>
    <w:rsid w:val="00447828"/>
    <w:rsid w:val="00450C7A"/>
    <w:rsid w:val="00452B27"/>
    <w:rsid w:val="00453E52"/>
    <w:rsid w:val="004544AA"/>
    <w:rsid w:val="0045469B"/>
    <w:rsid w:val="00454F0B"/>
    <w:rsid w:val="0045553A"/>
    <w:rsid w:val="00456D5E"/>
    <w:rsid w:val="00457D58"/>
    <w:rsid w:val="00460543"/>
    <w:rsid w:val="0046238C"/>
    <w:rsid w:val="00462755"/>
    <w:rsid w:val="00462897"/>
    <w:rsid w:val="00462910"/>
    <w:rsid w:val="00464266"/>
    <w:rsid w:val="0046542F"/>
    <w:rsid w:val="00465F64"/>
    <w:rsid w:val="00466115"/>
    <w:rsid w:val="0046633D"/>
    <w:rsid w:val="0046785C"/>
    <w:rsid w:val="004679B7"/>
    <w:rsid w:val="00467F9D"/>
    <w:rsid w:val="00471321"/>
    <w:rsid w:val="0047180A"/>
    <w:rsid w:val="00471907"/>
    <w:rsid w:val="00472F07"/>
    <w:rsid w:val="004739AD"/>
    <w:rsid w:val="004744F2"/>
    <w:rsid w:val="00475932"/>
    <w:rsid w:val="00476EAA"/>
    <w:rsid w:val="0047713C"/>
    <w:rsid w:val="00481874"/>
    <w:rsid w:val="00481FBC"/>
    <w:rsid w:val="00483731"/>
    <w:rsid w:val="00483C07"/>
    <w:rsid w:val="004846FB"/>
    <w:rsid w:val="0048481D"/>
    <w:rsid w:val="004851C6"/>
    <w:rsid w:val="00485989"/>
    <w:rsid w:val="00486196"/>
    <w:rsid w:val="004861E9"/>
    <w:rsid w:val="0049159F"/>
    <w:rsid w:val="00491B97"/>
    <w:rsid w:val="004928B2"/>
    <w:rsid w:val="00493224"/>
    <w:rsid w:val="00494319"/>
    <w:rsid w:val="00494813"/>
    <w:rsid w:val="00494996"/>
    <w:rsid w:val="00494A92"/>
    <w:rsid w:val="00494D2D"/>
    <w:rsid w:val="00494F78"/>
    <w:rsid w:val="004956BE"/>
    <w:rsid w:val="004A0ADC"/>
    <w:rsid w:val="004A19B7"/>
    <w:rsid w:val="004A2102"/>
    <w:rsid w:val="004A255C"/>
    <w:rsid w:val="004A4BB3"/>
    <w:rsid w:val="004A5661"/>
    <w:rsid w:val="004A6BA0"/>
    <w:rsid w:val="004A7BB5"/>
    <w:rsid w:val="004B0549"/>
    <w:rsid w:val="004B0CF3"/>
    <w:rsid w:val="004B1241"/>
    <w:rsid w:val="004B12D5"/>
    <w:rsid w:val="004B1CFC"/>
    <w:rsid w:val="004B217B"/>
    <w:rsid w:val="004B2E36"/>
    <w:rsid w:val="004B35AB"/>
    <w:rsid w:val="004B40CA"/>
    <w:rsid w:val="004B4612"/>
    <w:rsid w:val="004B4889"/>
    <w:rsid w:val="004B5039"/>
    <w:rsid w:val="004B5C7C"/>
    <w:rsid w:val="004B67D3"/>
    <w:rsid w:val="004B7B6A"/>
    <w:rsid w:val="004C0265"/>
    <w:rsid w:val="004C0292"/>
    <w:rsid w:val="004C3056"/>
    <w:rsid w:val="004C4223"/>
    <w:rsid w:val="004C4535"/>
    <w:rsid w:val="004C4A52"/>
    <w:rsid w:val="004C52F8"/>
    <w:rsid w:val="004C6337"/>
    <w:rsid w:val="004C6B24"/>
    <w:rsid w:val="004C78D9"/>
    <w:rsid w:val="004C79E2"/>
    <w:rsid w:val="004D00AA"/>
    <w:rsid w:val="004D05C7"/>
    <w:rsid w:val="004D05FE"/>
    <w:rsid w:val="004D0A8F"/>
    <w:rsid w:val="004D1D0E"/>
    <w:rsid w:val="004D1D4A"/>
    <w:rsid w:val="004D21CF"/>
    <w:rsid w:val="004D2656"/>
    <w:rsid w:val="004D3034"/>
    <w:rsid w:val="004D350E"/>
    <w:rsid w:val="004D425E"/>
    <w:rsid w:val="004D44CC"/>
    <w:rsid w:val="004D476B"/>
    <w:rsid w:val="004D49FC"/>
    <w:rsid w:val="004D7205"/>
    <w:rsid w:val="004D72EF"/>
    <w:rsid w:val="004D78C7"/>
    <w:rsid w:val="004E0C16"/>
    <w:rsid w:val="004E13F8"/>
    <w:rsid w:val="004E24BF"/>
    <w:rsid w:val="004E2746"/>
    <w:rsid w:val="004E2A48"/>
    <w:rsid w:val="004E2EDE"/>
    <w:rsid w:val="004E4571"/>
    <w:rsid w:val="004E4CBF"/>
    <w:rsid w:val="004E50BF"/>
    <w:rsid w:val="004F1175"/>
    <w:rsid w:val="004F13EB"/>
    <w:rsid w:val="004F211A"/>
    <w:rsid w:val="004F35D0"/>
    <w:rsid w:val="004F3818"/>
    <w:rsid w:val="004F3AC1"/>
    <w:rsid w:val="004F4F7A"/>
    <w:rsid w:val="004F629B"/>
    <w:rsid w:val="004F6791"/>
    <w:rsid w:val="004F68D7"/>
    <w:rsid w:val="0050013A"/>
    <w:rsid w:val="005005B4"/>
    <w:rsid w:val="0050067C"/>
    <w:rsid w:val="00500E96"/>
    <w:rsid w:val="005014B4"/>
    <w:rsid w:val="00501A16"/>
    <w:rsid w:val="00502946"/>
    <w:rsid w:val="00502D6B"/>
    <w:rsid w:val="005045D4"/>
    <w:rsid w:val="005053A8"/>
    <w:rsid w:val="00505F1A"/>
    <w:rsid w:val="0050601E"/>
    <w:rsid w:val="00506C5D"/>
    <w:rsid w:val="005076D4"/>
    <w:rsid w:val="0051164B"/>
    <w:rsid w:val="005118D2"/>
    <w:rsid w:val="00512446"/>
    <w:rsid w:val="00513009"/>
    <w:rsid w:val="0051333E"/>
    <w:rsid w:val="005139C2"/>
    <w:rsid w:val="00513AB0"/>
    <w:rsid w:val="00514324"/>
    <w:rsid w:val="00514568"/>
    <w:rsid w:val="00514915"/>
    <w:rsid w:val="00514D39"/>
    <w:rsid w:val="005151AD"/>
    <w:rsid w:val="00515A4E"/>
    <w:rsid w:val="00520BCF"/>
    <w:rsid w:val="005210E1"/>
    <w:rsid w:val="00521506"/>
    <w:rsid w:val="00521A1F"/>
    <w:rsid w:val="00522ABA"/>
    <w:rsid w:val="00522BEE"/>
    <w:rsid w:val="00523C61"/>
    <w:rsid w:val="00523E57"/>
    <w:rsid w:val="0052400E"/>
    <w:rsid w:val="00524127"/>
    <w:rsid w:val="005252E5"/>
    <w:rsid w:val="00526421"/>
    <w:rsid w:val="00526FA9"/>
    <w:rsid w:val="00527665"/>
    <w:rsid w:val="00527A27"/>
    <w:rsid w:val="00530ADA"/>
    <w:rsid w:val="00531345"/>
    <w:rsid w:val="00531733"/>
    <w:rsid w:val="0053213C"/>
    <w:rsid w:val="0053242C"/>
    <w:rsid w:val="00532D69"/>
    <w:rsid w:val="0053499B"/>
    <w:rsid w:val="00534B6B"/>
    <w:rsid w:val="00534C0E"/>
    <w:rsid w:val="00534DDD"/>
    <w:rsid w:val="005368EF"/>
    <w:rsid w:val="00536E9E"/>
    <w:rsid w:val="005378E2"/>
    <w:rsid w:val="0054010C"/>
    <w:rsid w:val="005406B6"/>
    <w:rsid w:val="005407AB"/>
    <w:rsid w:val="00541D47"/>
    <w:rsid w:val="0054226C"/>
    <w:rsid w:val="00542734"/>
    <w:rsid w:val="005432A2"/>
    <w:rsid w:val="00543BA4"/>
    <w:rsid w:val="00545354"/>
    <w:rsid w:val="0054685E"/>
    <w:rsid w:val="00547E46"/>
    <w:rsid w:val="00547E8E"/>
    <w:rsid w:val="00553838"/>
    <w:rsid w:val="00553C67"/>
    <w:rsid w:val="00553F08"/>
    <w:rsid w:val="00554C5A"/>
    <w:rsid w:val="00555160"/>
    <w:rsid w:val="0055583B"/>
    <w:rsid w:val="005566DC"/>
    <w:rsid w:val="005569A5"/>
    <w:rsid w:val="00556C09"/>
    <w:rsid w:val="00556FE8"/>
    <w:rsid w:val="0055784D"/>
    <w:rsid w:val="00557F7A"/>
    <w:rsid w:val="005603D7"/>
    <w:rsid w:val="0056088D"/>
    <w:rsid w:val="00560D7F"/>
    <w:rsid w:val="00560F18"/>
    <w:rsid w:val="0056112D"/>
    <w:rsid w:val="005617CF"/>
    <w:rsid w:val="00561CF2"/>
    <w:rsid w:val="00561E41"/>
    <w:rsid w:val="005628CE"/>
    <w:rsid w:val="0056290A"/>
    <w:rsid w:val="0056503E"/>
    <w:rsid w:val="00565414"/>
    <w:rsid w:val="005660BD"/>
    <w:rsid w:val="005712C6"/>
    <w:rsid w:val="00572694"/>
    <w:rsid w:val="00572F2C"/>
    <w:rsid w:val="005733B9"/>
    <w:rsid w:val="00573819"/>
    <w:rsid w:val="00573A1B"/>
    <w:rsid w:val="005747D4"/>
    <w:rsid w:val="00575D93"/>
    <w:rsid w:val="00576269"/>
    <w:rsid w:val="00577294"/>
    <w:rsid w:val="005809A2"/>
    <w:rsid w:val="00581E83"/>
    <w:rsid w:val="00581F60"/>
    <w:rsid w:val="005827B7"/>
    <w:rsid w:val="00583761"/>
    <w:rsid w:val="00583F77"/>
    <w:rsid w:val="0058416D"/>
    <w:rsid w:val="0058460C"/>
    <w:rsid w:val="0058504C"/>
    <w:rsid w:val="005858CE"/>
    <w:rsid w:val="0058645D"/>
    <w:rsid w:val="0058695C"/>
    <w:rsid w:val="00586F4D"/>
    <w:rsid w:val="00590479"/>
    <w:rsid w:val="005908B3"/>
    <w:rsid w:val="005910EB"/>
    <w:rsid w:val="00591989"/>
    <w:rsid w:val="00592C27"/>
    <w:rsid w:val="0059368A"/>
    <w:rsid w:val="005943D3"/>
    <w:rsid w:val="00595693"/>
    <w:rsid w:val="00595872"/>
    <w:rsid w:val="00595941"/>
    <w:rsid w:val="0059602B"/>
    <w:rsid w:val="005962F1"/>
    <w:rsid w:val="005A0100"/>
    <w:rsid w:val="005A055F"/>
    <w:rsid w:val="005A09C5"/>
    <w:rsid w:val="005A0D46"/>
    <w:rsid w:val="005A204C"/>
    <w:rsid w:val="005A222C"/>
    <w:rsid w:val="005A374F"/>
    <w:rsid w:val="005A7290"/>
    <w:rsid w:val="005A7551"/>
    <w:rsid w:val="005B0E8A"/>
    <w:rsid w:val="005B1A2C"/>
    <w:rsid w:val="005B22F5"/>
    <w:rsid w:val="005B2E4E"/>
    <w:rsid w:val="005B37F3"/>
    <w:rsid w:val="005B4DC5"/>
    <w:rsid w:val="005B72B1"/>
    <w:rsid w:val="005C0008"/>
    <w:rsid w:val="005C06EC"/>
    <w:rsid w:val="005C0D1F"/>
    <w:rsid w:val="005C2731"/>
    <w:rsid w:val="005C364B"/>
    <w:rsid w:val="005C4304"/>
    <w:rsid w:val="005C49AD"/>
    <w:rsid w:val="005C5C6B"/>
    <w:rsid w:val="005C62D1"/>
    <w:rsid w:val="005C6D40"/>
    <w:rsid w:val="005C7451"/>
    <w:rsid w:val="005D1236"/>
    <w:rsid w:val="005D15D2"/>
    <w:rsid w:val="005D1861"/>
    <w:rsid w:val="005D1906"/>
    <w:rsid w:val="005D2AD4"/>
    <w:rsid w:val="005D2D76"/>
    <w:rsid w:val="005D336B"/>
    <w:rsid w:val="005D37EB"/>
    <w:rsid w:val="005D3F05"/>
    <w:rsid w:val="005D616E"/>
    <w:rsid w:val="005D6F14"/>
    <w:rsid w:val="005D7FDD"/>
    <w:rsid w:val="005E0264"/>
    <w:rsid w:val="005E047C"/>
    <w:rsid w:val="005E1361"/>
    <w:rsid w:val="005E1DCB"/>
    <w:rsid w:val="005E1F14"/>
    <w:rsid w:val="005E2FD9"/>
    <w:rsid w:val="005E44FA"/>
    <w:rsid w:val="005E5539"/>
    <w:rsid w:val="005E63AA"/>
    <w:rsid w:val="005E77A2"/>
    <w:rsid w:val="005F03EC"/>
    <w:rsid w:val="005F047B"/>
    <w:rsid w:val="005F0D7C"/>
    <w:rsid w:val="005F151D"/>
    <w:rsid w:val="005F2153"/>
    <w:rsid w:val="005F3700"/>
    <w:rsid w:val="005F466D"/>
    <w:rsid w:val="005F4711"/>
    <w:rsid w:val="005F4955"/>
    <w:rsid w:val="005F5F8D"/>
    <w:rsid w:val="005F61A3"/>
    <w:rsid w:val="005F65B1"/>
    <w:rsid w:val="005F6741"/>
    <w:rsid w:val="005F6BCA"/>
    <w:rsid w:val="005F6BD5"/>
    <w:rsid w:val="005F6CA7"/>
    <w:rsid w:val="006006B3"/>
    <w:rsid w:val="00600880"/>
    <w:rsid w:val="00601976"/>
    <w:rsid w:val="00602A3D"/>
    <w:rsid w:val="00603017"/>
    <w:rsid w:val="00603343"/>
    <w:rsid w:val="006037AD"/>
    <w:rsid w:val="00604547"/>
    <w:rsid w:val="00604B39"/>
    <w:rsid w:val="00604C3F"/>
    <w:rsid w:val="00605821"/>
    <w:rsid w:val="0060640F"/>
    <w:rsid w:val="0061018E"/>
    <w:rsid w:val="006103CC"/>
    <w:rsid w:val="006108B7"/>
    <w:rsid w:val="006114C6"/>
    <w:rsid w:val="00611C9E"/>
    <w:rsid w:val="0061537E"/>
    <w:rsid w:val="0061584B"/>
    <w:rsid w:val="00615E75"/>
    <w:rsid w:val="00616034"/>
    <w:rsid w:val="00616427"/>
    <w:rsid w:val="006170C0"/>
    <w:rsid w:val="00617419"/>
    <w:rsid w:val="00617AB0"/>
    <w:rsid w:val="00617D2A"/>
    <w:rsid w:val="00617D2E"/>
    <w:rsid w:val="0062045C"/>
    <w:rsid w:val="00620A74"/>
    <w:rsid w:val="00620BFD"/>
    <w:rsid w:val="00620FD1"/>
    <w:rsid w:val="00621768"/>
    <w:rsid w:val="00621AE2"/>
    <w:rsid w:val="00621F3D"/>
    <w:rsid w:val="006220C3"/>
    <w:rsid w:val="0062219A"/>
    <w:rsid w:val="0062282D"/>
    <w:rsid w:val="00623284"/>
    <w:rsid w:val="006232D3"/>
    <w:rsid w:val="00623BAB"/>
    <w:rsid w:val="00624678"/>
    <w:rsid w:val="00624C8C"/>
    <w:rsid w:val="00624EA4"/>
    <w:rsid w:val="00625CFB"/>
    <w:rsid w:val="00625D4C"/>
    <w:rsid w:val="0062771E"/>
    <w:rsid w:val="00631F6A"/>
    <w:rsid w:val="006322E4"/>
    <w:rsid w:val="00632623"/>
    <w:rsid w:val="00632A89"/>
    <w:rsid w:val="00633A31"/>
    <w:rsid w:val="00634AD1"/>
    <w:rsid w:val="00635060"/>
    <w:rsid w:val="006351FD"/>
    <w:rsid w:val="006376ED"/>
    <w:rsid w:val="00641D0E"/>
    <w:rsid w:val="00641DCB"/>
    <w:rsid w:val="00643380"/>
    <w:rsid w:val="00644080"/>
    <w:rsid w:val="006462EC"/>
    <w:rsid w:val="00647623"/>
    <w:rsid w:val="006504AD"/>
    <w:rsid w:val="00650645"/>
    <w:rsid w:val="0065282E"/>
    <w:rsid w:val="00652D6D"/>
    <w:rsid w:val="0065331B"/>
    <w:rsid w:val="0065393E"/>
    <w:rsid w:val="00654B24"/>
    <w:rsid w:val="00654E70"/>
    <w:rsid w:val="006563DF"/>
    <w:rsid w:val="0065673A"/>
    <w:rsid w:val="00656A6F"/>
    <w:rsid w:val="006570B5"/>
    <w:rsid w:val="0066140E"/>
    <w:rsid w:val="006618E6"/>
    <w:rsid w:val="00662514"/>
    <w:rsid w:val="0066273A"/>
    <w:rsid w:val="00662F04"/>
    <w:rsid w:val="006632ED"/>
    <w:rsid w:val="0066340F"/>
    <w:rsid w:val="00663E70"/>
    <w:rsid w:val="006647FF"/>
    <w:rsid w:val="00664965"/>
    <w:rsid w:val="00665277"/>
    <w:rsid w:val="006653F2"/>
    <w:rsid w:val="00665487"/>
    <w:rsid w:val="00666731"/>
    <w:rsid w:val="00666C13"/>
    <w:rsid w:val="006671D5"/>
    <w:rsid w:val="006672FE"/>
    <w:rsid w:val="006702B5"/>
    <w:rsid w:val="006704A9"/>
    <w:rsid w:val="00671019"/>
    <w:rsid w:val="006719CD"/>
    <w:rsid w:val="00672A6A"/>
    <w:rsid w:val="00672C7D"/>
    <w:rsid w:val="00672F12"/>
    <w:rsid w:val="0067317D"/>
    <w:rsid w:val="00673C0C"/>
    <w:rsid w:val="00674C55"/>
    <w:rsid w:val="00674FCB"/>
    <w:rsid w:val="006753A9"/>
    <w:rsid w:val="00675753"/>
    <w:rsid w:val="00676693"/>
    <w:rsid w:val="0067743B"/>
    <w:rsid w:val="00677552"/>
    <w:rsid w:val="006777FF"/>
    <w:rsid w:val="00677C21"/>
    <w:rsid w:val="00680198"/>
    <w:rsid w:val="00680D2A"/>
    <w:rsid w:val="006811E8"/>
    <w:rsid w:val="006813F7"/>
    <w:rsid w:val="006832F2"/>
    <w:rsid w:val="00683396"/>
    <w:rsid w:val="006834C1"/>
    <w:rsid w:val="00683788"/>
    <w:rsid w:val="00684954"/>
    <w:rsid w:val="00684A7B"/>
    <w:rsid w:val="00684BDD"/>
    <w:rsid w:val="00684E63"/>
    <w:rsid w:val="00685FD1"/>
    <w:rsid w:val="006868C9"/>
    <w:rsid w:val="00686C90"/>
    <w:rsid w:val="00686F77"/>
    <w:rsid w:val="006870F3"/>
    <w:rsid w:val="00687978"/>
    <w:rsid w:val="00691FAB"/>
    <w:rsid w:val="00692877"/>
    <w:rsid w:val="00694118"/>
    <w:rsid w:val="006941A6"/>
    <w:rsid w:val="006946E4"/>
    <w:rsid w:val="00696200"/>
    <w:rsid w:val="00696692"/>
    <w:rsid w:val="00697578"/>
    <w:rsid w:val="006A0034"/>
    <w:rsid w:val="006A005E"/>
    <w:rsid w:val="006A076D"/>
    <w:rsid w:val="006A1474"/>
    <w:rsid w:val="006A2144"/>
    <w:rsid w:val="006A2994"/>
    <w:rsid w:val="006A2C24"/>
    <w:rsid w:val="006A2D23"/>
    <w:rsid w:val="006A3277"/>
    <w:rsid w:val="006A34BF"/>
    <w:rsid w:val="006A3BB2"/>
    <w:rsid w:val="006A5D5F"/>
    <w:rsid w:val="006A6468"/>
    <w:rsid w:val="006A770A"/>
    <w:rsid w:val="006B0C09"/>
    <w:rsid w:val="006B116A"/>
    <w:rsid w:val="006B11FC"/>
    <w:rsid w:val="006B26B5"/>
    <w:rsid w:val="006B276C"/>
    <w:rsid w:val="006B2E46"/>
    <w:rsid w:val="006B2E75"/>
    <w:rsid w:val="006B47CD"/>
    <w:rsid w:val="006B4B55"/>
    <w:rsid w:val="006B5D02"/>
    <w:rsid w:val="006B6B7F"/>
    <w:rsid w:val="006B6FB2"/>
    <w:rsid w:val="006B7217"/>
    <w:rsid w:val="006B7BF8"/>
    <w:rsid w:val="006B7F83"/>
    <w:rsid w:val="006B7F97"/>
    <w:rsid w:val="006B7FEA"/>
    <w:rsid w:val="006C03F6"/>
    <w:rsid w:val="006C20D4"/>
    <w:rsid w:val="006C2746"/>
    <w:rsid w:val="006C28C4"/>
    <w:rsid w:val="006C5017"/>
    <w:rsid w:val="006C5D41"/>
    <w:rsid w:val="006C6426"/>
    <w:rsid w:val="006C6E4F"/>
    <w:rsid w:val="006C70B1"/>
    <w:rsid w:val="006C7448"/>
    <w:rsid w:val="006D0054"/>
    <w:rsid w:val="006D025D"/>
    <w:rsid w:val="006D1852"/>
    <w:rsid w:val="006D1862"/>
    <w:rsid w:val="006D1889"/>
    <w:rsid w:val="006D1F9F"/>
    <w:rsid w:val="006D3A58"/>
    <w:rsid w:val="006D3D14"/>
    <w:rsid w:val="006D46E2"/>
    <w:rsid w:val="006D475A"/>
    <w:rsid w:val="006D4780"/>
    <w:rsid w:val="006D4FE5"/>
    <w:rsid w:val="006D5B86"/>
    <w:rsid w:val="006D5DE9"/>
    <w:rsid w:val="006D6F60"/>
    <w:rsid w:val="006D712B"/>
    <w:rsid w:val="006D7379"/>
    <w:rsid w:val="006D7AD8"/>
    <w:rsid w:val="006E0DA7"/>
    <w:rsid w:val="006E26E4"/>
    <w:rsid w:val="006E40B7"/>
    <w:rsid w:val="006E47A2"/>
    <w:rsid w:val="006E4F16"/>
    <w:rsid w:val="006E5125"/>
    <w:rsid w:val="006E5301"/>
    <w:rsid w:val="006E5308"/>
    <w:rsid w:val="006E56B2"/>
    <w:rsid w:val="006E6163"/>
    <w:rsid w:val="006E6E43"/>
    <w:rsid w:val="006E71C0"/>
    <w:rsid w:val="006F03F7"/>
    <w:rsid w:val="006F0932"/>
    <w:rsid w:val="006F0B0A"/>
    <w:rsid w:val="006F270C"/>
    <w:rsid w:val="006F2C13"/>
    <w:rsid w:val="006F3794"/>
    <w:rsid w:val="006F58A8"/>
    <w:rsid w:val="006F611A"/>
    <w:rsid w:val="006F62E6"/>
    <w:rsid w:val="006F6706"/>
    <w:rsid w:val="006F6B38"/>
    <w:rsid w:val="006F6B84"/>
    <w:rsid w:val="006F6E04"/>
    <w:rsid w:val="006F7014"/>
    <w:rsid w:val="00700449"/>
    <w:rsid w:val="00701B3E"/>
    <w:rsid w:val="007021AF"/>
    <w:rsid w:val="00703357"/>
    <w:rsid w:val="00703FE7"/>
    <w:rsid w:val="007044AF"/>
    <w:rsid w:val="007053FE"/>
    <w:rsid w:val="007077F9"/>
    <w:rsid w:val="00707BEE"/>
    <w:rsid w:val="00707C0F"/>
    <w:rsid w:val="007100E8"/>
    <w:rsid w:val="0071147B"/>
    <w:rsid w:val="00711755"/>
    <w:rsid w:val="00711F6C"/>
    <w:rsid w:val="007129E3"/>
    <w:rsid w:val="007130F0"/>
    <w:rsid w:val="00713121"/>
    <w:rsid w:val="00713A68"/>
    <w:rsid w:val="00714C96"/>
    <w:rsid w:val="00715228"/>
    <w:rsid w:val="00720DB5"/>
    <w:rsid w:val="00721070"/>
    <w:rsid w:val="0072180B"/>
    <w:rsid w:val="007235C8"/>
    <w:rsid w:val="00723D1F"/>
    <w:rsid w:val="0072426A"/>
    <w:rsid w:val="00724551"/>
    <w:rsid w:val="00724F13"/>
    <w:rsid w:val="00725171"/>
    <w:rsid w:val="0072529A"/>
    <w:rsid w:val="0072564A"/>
    <w:rsid w:val="0072738E"/>
    <w:rsid w:val="00730605"/>
    <w:rsid w:val="00730878"/>
    <w:rsid w:val="00730F0E"/>
    <w:rsid w:val="00732021"/>
    <w:rsid w:val="00732A0F"/>
    <w:rsid w:val="00733A4D"/>
    <w:rsid w:val="00734015"/>
    <w:rsid w:val="007343A1"/>
    <w:rsid w:val="00735B0B"/>
    <w:rsid w:val="00735CB0"/>
    <w:rsid w:val="0073729F"/>
    <w:rsid w:val="0073738D"/>
    <w:rsid w:val="007373C2"/>
    <w:rsid w:val="00737575"/>
    <w:rsid w:val="00737846"/>
    <w:rsid w:val="0074119B"/>
    <w:rsid w:val="00741E9F"/>
    <w:rsid w:val="00744742"/>
    <w:rsid w:val="00744F10"/>
    <w:rsid w:val="0074657D"/>
    <w:rsid w:val="00747402"/>
    <w:rsid w:val="00747F6B"/>
    <w:rsid w:val="0075027E"/>
    <w:rsid w:val="00750805"/>
    <w:rsid w:val="00751D73"/>
    <w:rsid w:val="00753A64"/>
    <w:rsid w:val="00754052"/>
    <w:rsid w:val="00754F5C"/>
    <w:rsid w:val="00755EFE"/>
    <w:rsid w:val="00756312"/>
    <w:rsid w:val="00756C89"/>
    <w:rsid w:val="00756CBF"/>
    <w:rsid w:val="00756F95"/>
    <w:rsid w:val="0075774E"/>
    <w:rsid w:val="00760302"/>
    <w:rsid w:val="00760CEA"/>
    <w:rsid w:val="00760E92"/>
    <w:rsid w:val="00760FB5"/>
    <w:rsid w:val="00761011"/>
    <w:rsid w:val="007616D5"/>
    <w:rsid w:val="00761D82"/>
    <w:rsid w:val="00762924"/>
    <w:rsid w:val="00762EC4"/>
    <w:rsid w:val="00763467"/>
    <w:rsid w:val="00763D35"/>
    <w:rsid w:val="00763D70"/>
    <w:rsid w:val="00764DCD"/>
    <w:rsid w:val="00766385"/>
    <w:rsid w:val="00767752"/>
    <w:rsid w:val="00767BDA"/>
    <w:rsid w:val="00767D24"/>
    <w:rsid w:val="007702FF"/>
    <w:rsid w:val="00770999"/>
    <w:rsid w:val="00771CE9"/>
    <w:rsid w:val="00772816"/>
    <w:rsid w:val="00772998"/>
    <w:rsid w:val="00773F44"/>
    <w:rsid w:val="00774CAB"/>
    <w:rsid w:val="007757ED"/>
    <w:rsid w:val="00775ABA"/>
    <w:rsid w:val="00776F4F"/>
    <w:rsid w:val="007809F3"/>
    <w:rsid w:val="007810CF"/>
    <w:rsid w:val="00781383"/>
    <w:rsid w:val="00781E3A"/>
    <w:rsid w:val="00782713"/>
    <w:rsid w:val="00782BD9"/>
    <w:rsid w:val="00782F51"/>
    <w:rsid w:val="007830F4"/>
    <w:rsid w:val="00783957"/>
    <w:rsid w:val="00784050"/>
    <w:rsid w:val="00784324"/>
    <w:rsid w:val="00784E84"/>
    <w:rsid w:val="007850F7"/>
    <w:rsid w:val="007851C9"/>
    <w:rsid w:val="007861B4"/>
    <w:rsid w:val="00786638"/>
    <w:rsid w:val="007904DA"/>
    <w:rsid w:val="00790F29"/>
    <w:rsid w:val="00791190"/>
    <w:rsid w:val="007922CD"/>
    <w:rsid w:val="007937A9"/>
    <w:rsid w:val="007937CD"/>
    <w:rsid w:val="00793BAA"/>
    <w:rsid w:val="00793C25"/>
    <w:rsid w:val="00793DDE"/>
    <w:rsid w:val="007940EF"/>
    <w:rsid w:val="00794948"/>
    <w:rsid w:val="0079547E"/>
    <w:rsid w:val="00795724"/>
    <w:rsid w:val="00797111"/>
    <w:rsid w:val="00797AEE"/>
    <w:rsid w:val="00797C94"/>
    <w:rsid w:val="007A072F"/>
    <w:rsid w:val="007A20E4"/>
    <w:rsid w:val="007A36FB"/>
    <w:rsid w:val="007A399C"/>
    <w:rsid w:val="007A410A"/>
    <w:rsid w:val="007A44CA"/>
    <w:rsid w:val="007A573A"/>
    <w:rsid w:val="007A70C9"/>
    <w:rsid w:val="007A7693"/>
    <w:rsid w:val="007B0AB8"/>
    <w:rsid w:val="007B111C"/>
    <w:rsid w:val="007B451C"/>
    <w:rsid w:val="007B457E"/>
    <w:rsid w:val="007B5146"/>
    <w:rsid w:val="007B5761"/>
    <w:rsid w:val="007B5D3A"/>
    <w:rsid w:val="007B60E6"/>
    <w:rsid w:val="007B6866"/>
    <w:rsid w:val="007B7486"/>
    <w:rsid w:val="007B7658"/>
    <w:rsid w:val="007C0589"/>
    <w:rsid w:val="007C1A78"/>
    <w:rsid w:val="007C2D9F"/>
    <w:rsid w:val="007C3F37"/>
    <w:rsid w:val="007C5895"/>
    <w:rsid w:val="007C5D92"/>
    <w:rsid w:val="007C601C"/>
    <w:rsid w:val="007C790A"/>
    <w:rsid w:val="007D0F31"/>
    <w:rsid w:val="007D134B"/>
    <w:rsid w:val="007D1CDC"/>
    <w:rsid w:val="007D2137"/>
    <w:rsid w:val="007D2315"/>
    <w:rsid w:val="007D2A30"/>
    <w:rsid w:val="007D31EA"/>
    <w:rsid w:val="007D3BB9"/>
    <w:rsid w:val="007D524E"/>
    <w:rsid w:val="007D5318"/>
    <w:rsid w:val="007D5F4C"/>
    <w:rsid w:val="007D666E"/>
    <w:rsid w:val="007D7304"/>
    <w:rsid w:val="007E0235"/>
    <w:rsid w:val="007E0557"/>
    <w:rsid w:val="007E0DBC"/>
    <w:rsid w:val="007E13F3"/>
    <w:rsid w:val="007E197C"/>
    <w:rsid w:val="007E1CB0"/>
    <w:rsid w:val="007E3CA1"/>
    <w:rsid w:val="007E3CFA"/>
    <w:rsid w:val="007E4313"/>
    <w:rsid w:val="007E5D73"/>
    <w:rsid w:val="007E5ED5"/>
    <w:rsid w:val="007E5F84"/>
    <w:rsid w:val="007E63C5"/>
    <w:rsid w:val="007F1760"/>
    <w:rsid w:val="007F1C4C"/>
    <w:rsid w:val="007F27CB"/>
    <w:rsid w:val="007F2F31"/>
    <w:rsid w:val="007F3429"/>
    <w:rsid w:val="007F44A4"/>
    <w:rsid w:val="007F4A29"/>
    <w:rsid w:val="007F608C"/>
    <w:rsid w:val="007F7192"/>
    <w:rsid w:val="007F7A10"/>
    <w:rsid w:val="0080035B"/>
    <w:rsid w:val="0080057A"/>
    <w:rsid w:val="00800C2E"/>
    <w:rsid w:val="00802C1B"/>
    <w:rsid w:val="00806030"/>
    <w:rsid w:val="008060B3"/>
    <w:rsid w:val="00806924"/>
    <w:rsid w:val="0080771D"/>
    <w:rsid w:val="00807B7D"/>
    <w:rsid w:val="008108C1"/>
    <w:rsid w:val="00810A4D"/>
    <w:rsid w:val="00810FE0"/>
    <w:rsid w:val="00811E9E"/>
    <w:rsid w:val="008134FB"/>
    <w:rsid w:val="00815B7F"/>
    <w:rsid w:val="0082000D"/>
    <w:rsid w:val="00820FBE"/>
    <w:rsid w:val="00821588"/>
    <w:rsid w:val="00821BED"/>
    <w:rsid w:val="008223D2"/>
    <w:rsid w:val="00822957"/>
    <w:rsid w:val="00822E80"/>
    <w:rsid w:val="00823C4B"/>
    <w:rsid w:val="00825403"/>
    <w:rsid w:val="008257E4"/>
    <w:rsid w:val="008257FE"/>
    <w:rsid w:val="00826776"/>
    <w:rsid w:val="008275E7"/>
    <w:rsid w:val="008279FC"/>
    <w:rsid w:val="00830193"/>
    <w:rsid w:val="0083125E"/>
    <w:rsid w:val="00831DA9"/>
    <w:rsid w:val="00832B44"/>
    <w:rsid w:val="0083324A"/>
    <w:rsid w:val="0083471C"/>
    <w:rsid w:val="00834A28"/>
    <w:rsid w:val="00835193"/>
    <w:rsid w:val="00835E23"/>
    <w:rsid w:val="008364BC"/>
    <w:rsid w:val="00837D12"/>
    <w:rsid w:val="00840132"/>
    <w:rsid w:val="00841353"/>
    <w:rsid w:val="00843767"/>
    <w:rsid w:val="00843C84"/>
    <w:rsid w:val="0084409F"/>
    <w:rsid w:val="0084674A"/>
    <w:rsid w:val="00846A05"/>
    <w:rsid w:val="00847B14"/>
    <w:rsid w:val="0085003B"/>
    <w:rsid w:val="00850458"/>
    <w:rsid w:val="008508B3"/>
    <w:rsid w:val="00850EB4"/>
    <w:rsid w:val="00851304"/>
    <w:rsid w:val="00851E07"/>
    <w:rsid w:val="00851FC0"/>
    <w:rsid w:val="00853C38"/>
    <w:rsid w:val="00854E95"/>
    <w:rsid w:val="00855618"/>
    <w:rsid w:val="00855732"/>
    <w:rsid w:val="00861A2D"/>
    <w:rsid w:val="00861C09"/>
    <w:rsid w:val="00862EE4"/>
    <w:rsid w:val="00862F51"/>
    <w:rsid w:val="0086392B"/>
    <w:rsid w:val="008640C2"/>
    <w:rsid w:val="0086546A"/>
    <w:rsid w:val="008670E9"/>
    <w:rsid w:val="0086771F"/>
    <w:rsid w:val="00870030"/>
    <w:rsid w:val="008702E8"/>
    <w:rsid w:val="008704CA"/>
    <w:rsid w:val="00870806"/>
    <w:rsid w:val="00870D16"/>
    <w:rsid w:val="00870E65"/>
    <w:rsid w:val="008711AA"/>
    <w:rsid w:val="008721B0"/>
    <w:rsid w:val="00872F69"/>
    <w:rsid w:val="00873324"/>
    <w:rsid w:val="00874970"/>
    <w:rsid w:val="008752F1"/>
    <w:rsid w:val="00876375"/>
    <w:rsid w:val="00877BFC"/>
    <w:rsid w:val="00880A87"/>
    <w:rsid w:val="0088151D"/>
    <w:rsid w:val="00882238"/>
    <w:rsid w:val="008830AD"/>
    <w:rsid w:val="008854FE"/>
    <w:rsid w:val="00885523"/>
    <w:rsid w:val="00885ADF"/>
    <w:rsid w:val="00885CAE"/>
    <w:rsid w:val="00886029"/>
    <w:rsid w:val="0088627E"/>
    <w:rsid w:val="0088650E"/>
    <w:rsid w:val="008904BC"/>
    <w:rsid w:val="008906DB"/>
    <w:rsid w:val="00890B3E"/>
    <w:rsid w:val="00892006"/>
    <w:rsid w:val="00892487"/>
    <w:rsid w:val="00893F7C"/>
    <w:rsid w:val="008949F9"/>
    <w:rsid w:val="0089581C"/>
    <w:rsid w:val="008960D6"/>
    <w:rsid w:val="00896255"/>
    <w:rsid w:val="0089632A"/>
    <w:rsid w:val="00896772"/>
    <w:rsid w:val="00896FAA"/>
    <w:rsid w:val="0089759D"/>
    <w:rsid w:val="00897D46"/>
    <w:rsid w:val="00897FB5"/>
    <w:rsid w:val="008A30B2"/>
    <w:rsid w:val="008A3A3F"/>
    <w:rsid w:val="008A4BE3"/>
    <w:rsid w:val="008A6CE1"/>
    <w:rsid w:val="008A74F4"/>
    <w:rsid w:val="008B07A6"/>
    <w:rsid w:val="008B2791"/>
    <w:rsid w:val="008B3110"/>
    <w:rsid w:val="008B3350"/>
    <w:rsid w:val="008B33C4"/>
    <w:rsid w:val="008B65DB"/>
    <w:rsid w:val="008B7589"/>
    <w:rsid w:val="008C046C"/>
    <w:rsid w:val="008C1E9E"/>
    <w:rsid w:val="008C27B9"/>
    <w:rsid w:val="008C2A20"/>
    <w:rsid w:val="008C2BB5"/>
    <w:rsid w:val="008C2DED"/>
    <w:rsid w:val="008C2E1B"/>
    <w:rsid w:val="008C2F60"/>
    <w:rsid w:val="008C3B69"/>
    <w:rsid w:val="008C3F05"/>
    <w:rsid w:val="008C4401"/>
    <w:rsid w:val="008C4403"/>
    <w:rsid w:val="008C5079"/>
    <w:rsid w:val="008C5A81"/>
    <w:rsid w:val="008C5E80"/>
    <w:rsid w:val="008C6723"/>
    <w:rsid w:val="008C6FA3"/>
    <w:rsid w:val="008C70E6"/>
    <w:rsid w:val="008C7CA8"/>
    <w:rsid w:val="008D0534"/>
    <w:rsid w:val="008D09C1"/>
    <w:rsid w:val="008D36D5"/>
    <w:rsid w:val="008D3845"/>
    <w:rsid w:val="008D401F"/>
    <w:rsid w:val="008D41B7"/>
    <w:rsid w:val="008D41F9"/>
    <w:rsid w:val="008D4F81"/>
    <w:rsid w:val="008D557A"/>
    <w:rsid w:val="008D613F"/>
    <w:rsid w:val="008D71D3"/>
    <w:rsid w:val="008E00E2"/>
    <w:rsid w:val="008E07E3"/>
    <w:rsid w:val="008E0C6F"/>
    <w:rsid w:val="008E0FAE"/>
    <w:rsid w:val="008E2732"/>
    <w:rsid w:val="008E2E13"/>
    <w:rsid w:val="008E346C"/>
    <w:rsid w:val="008E3EF2"/>
    <w:rsid w:val="008E3FA3"/>
    <w:rsid w:val="008E5139"/>
    <w:rsid w:val="008E53A9"/>
    <w:rsid w:val="008E5CBE"/>
    <w:rsid w:val="008E70BA"/>
    <w:rsid w:val="008F034C"/>
    <w:rsid w:val="008F0865"/>
    <w:rsid w:val="008F0BAA"/>
    <w:rsid w:val="008F134A"/>
    <w:rsid w:val="008F173F"/>
    <w:rsid w:val="008F2325"/>
    <w:rsid w:val="008F5F46"/>
    <w:rsid w:val="008F64F0"/>
    <w:rsid w:val="008F699F"/>
    <w:rsid w:val="00900493"/>
    <w:rsid w:val="009011F6"/>
    <w:rsid w:val="00902F06"/>
    <w:rsid w:val="00903716"/>
    <w:rsid w:val="00904A97"/>
    <w:rsid w:val="009053B4"/>
    <w:rsid w:val="009060BE"/>
    <w:rsid w:val="0090683C"/>
    <w:rsid w:val="00906BAD"/>
    <w:rsid w:val="0091031E"/>
    <w:rsid w:val="00910A8A"/>
    <w:rsid w:val="00911D29"/>
    <w:rsid w:val="00913927"/>
    <w:rsid w:val="0091487B"/>
    <w:rsid w:val="009148B5"/>
    <w:rsid w:val="00914A7E"/>
    <w:rsid w:val="00914E80"/>
    <w:rsid w:val="00916769"/>
    <w:rsid w:val="009168E8"/>
    <w:rsid w:val="00916BD6"/>
    <w:rsid w:val="00920A9C"/>
    <w:rsid w:val="009214BB"/>
    <w:rsid w:val="009221F9"/>
    <w:rsid w:val="00923468"/>
    <w:rsid w:val="00923536"/>
    <w:rsid w:val="00924C5A"/>
    <w:rsid w:val="0092512E"/>
    <w:rsid w:val="009254AA"/>
    <w:rsid w:val="00925D0F"/>
    <w:rsid w:val="0092680A"/>
    <w:rsid w:val="0092733F"/>
    <w:rsid w:val="00927F1F"/>
    <w:rsid w:val="00930483"/>
    <w:rsid w:val="00931643"/>
    <w:rsid w:val="00931E5F"/>
    <w:rsid w:val="00932F80"/>
    <w:rsid w:val="00933B0E"/>
    <w:rsid w:val="009343E0"/>
    <w:rsid w:val="00934A49"/>
    <w:rsid w:val="00935B1F"/>
    <w:rsid w:val="00936D27"/>
    <w:rsid w:val="00937C4B"/>
    <w:rsid w:val="00937EC2"/>
    <w:rsid w:val="00937FD7"/>
    <w:rsid w:val="009412E4"/>
    <w:rsid w:val="009416F3"/>
    <w:rsid w:val="00941B7D"/>
    <w:rsid w:val="00942182"/>
    <w:rsid w:val="009429E5"/>
    <w:rsid w:val="0094303B"/>
    <w:rsid w:val="00943336"/>
    <w:rsid w:val="00947FC5"/>
    <w:rsid w:val="00950CBA"/>
    <w:rsid w:val="00951716"/>
    <w:rsid w:val="00952A88"/>
    <w:rsid w:val="00953C04"/>
    <w:rsid w:val="00953F9D"/>
    <w:rsid w:val="00954504"/>
    <w:rsid w:val="00954618"/>
    <w:rsid w:val="009563B1"/>
    <w:rsid w:val="0095669A"/>
    <w:rsid w:val="00956CB8"/>
    <w:rsid w:val="00956F8F"/>
    <w:rsid w:val="0095744F"/>
    <w:rsid w:val="00957CC6"/>
    <w:rsid w:val="00957F94"/>
    <w:rsid w:val="009601D9"/>
    <w:rsid w:val="009601EF"/>
    <w:rsid w:val="009603BB"/>
    <w:rsid w:val="00962627"/>
    <w:rsid w:val="00962A0E"/>
    <w:rsid w:val="00962F47"/>
    <w:rsid w:val="00963602"/>
    <w:rsid w:val="00964086"/>
    <w:rsid w:val="00964484"/>
    <w:rsid w:val="00964CFB"/>
    <w:rsid w:val="009656E9"/>
    <w:rsid w:val="00965839"/>
    <w:rsid w:val="00966531"/>
    <w:rsid w:val="00966870"/>
    <w:rsid w:val="009668B7"/>
    <w:rsid w:val="00967691"/>
    <w:rsid w:val="00970494"/>
    <w:rsid w:val="00971307"/>
    <w:rsid w:val="00971765"/>
    <w:rsid w:val="00972B76"/>
    <w:rsid w:val="00973230"/>
    <w:rsid w:val="0097433C"/>
    <w:rsid w:val="009746E9"/>
    <w:rsid w:val="00975FBA"/>
    <w:rsid w:val="00976CB4"/>
    <w:rsid w:val="009775F3"/>
    <w:rsid w:val="009805C9"/>
    <w:rsid w:val="00980652"/>
    <w:rsid w:val="00980689"/>
    <w:rsid w:val="0098126D"/>
    <w:rsid w:val="009815C6"/>
    <w:rsid w:val="00981ECB"/>
    <w:rsid w:val="0098324D"/>
    <w:rsid w:val="00983D60"/>
    <w:rsid w:val="00983F89"/>
    <w:rsid w:val="009848AE"/>
    <w:rsid w:val="00984DB0"/>
    <w:rsid w:val="00984FA3"/>
    <w:rsid w:val="0098687B"/>
    <w:rsid w:val="00990A3E"/>
    <w:rsid w:val="00990AF2"/>
    <w:rsid w:val="0099300F"/>
    <w:rsid w:val="009934F4"/>
    <w:rsid w:val="00993C3B"/>
    <w:rsid w:val="00994C2F"/>
    <w:rsid w:val="00994C33"/>
    <w:rsid w:val="00994E8D"/>
    <w:rsid w:val="00995143"/>
    <w:rsid w:val="0099684A"/>
    <w:rsid w:val="00996859"/>
    <w:rsid w:val="009A0387"/>
    <w:rsid w:val="009A0FB5"/>
    <w:rsid w:val="009A1947"/>
    <w:rsid w:val="009A1C8C"/>
    <w:rsid w:val="009A1F63"/>
    <w:rsid w:val="009A32C0"/>
    <w:rsid w:val="009A3E97"/>
    <w:rsid w:val="009A42AA"/>
    <w:rsid w:val="009A4704"/>
    <w:rsid w:val="009A5064"/>
    <w:rsid w:val="009A51A9"/>
    <w:rsid w:val="009A5617"/>
    <w:rsid w:val="009A5F27"/>
    <w:rsid w:val="009A5F9A"/>
    <w:rsid w:val="009A7A5B"/>
    <w:rsid w:val="009B0601"/>
    <w:rsid w:val="009B105F"/>
    <w:rsid w:val="009B1D9C"/>
    <w:rsid w:val="009B22CF"/>
    <w:rsid w:val="009B25BA"/>
    <w:rsid w:val="009B2844"/>
    <w:rsid w:val="009B2E48"/>
    <w:rsid w:val="009B31B6"/>
    <w:rsid w:val="009B38AA"/>
    <w:rsid w:val="009B3CAE"/>
    <w:rsid w:val="009B4A13"/>
    <w:rsid w:val="009B4D29"/>
    <w:rsid w:val="009B54E1"/>
    <w:rsid w:val="009B6CE5"/>
    <w:rsid w:val="009B6F99"/>
    <w:rsid w:val="009B7A99"/>
    <w:rsid w:val="009B7F31"/>
    <w:rsid w:val="009C0CF5"/>
    <w:rsid w:val="009C0EC1"/>
    <w:rsid w:val="009C1054"/>
    <w:rsid w:val="009C1365"/>
    <w:rsid w:val="009C1CF8"/>
    <w:rsid w:val="009C20E6"/>
    <w:rsid w:val="009C2432"/>
    <w:rsid w:val="009C2A0A"/>
    <w:rsid w:val="009C3DBC"/>
    <w:rsid w:val="009C4FD9"/>
    <w:rsid w:val="009C6099"/>
    <w:rsid w:val="009C6A07"/>
    <w:rsid w:val="009C74B1"/>
    <w:rsid w:val="009C7DFB"/>
    <w:rsid w:val="009D2634"/>
    <w:rsid w:val="009D27B5"/>
    <w:rsid w:val="009D2D21"/>
    <w:rsid w:val="009D3281"/>
    <w:rsid w:val="009D3BE7"/>
    <w:rsid w:val="009D44A6"/>
    <w:rsid w:val="009D4B01"/>
    <w:rsid w:val="009D6A44"/>
    <w:rsid w:val="009D7493"/>
    <w:rsid w:val="009D7ACF"/>
    <w:rsid w:val="009E00E1"/>
    <w:rsid w:val="009E01C0"/>
    <w:rsid w:val="009E0617"/>
    <w:rsid w:val="009E0877"/>
    <w:rsid w:val="009E1C12"/>
    <w:rsid w:val="009E1E6B"/>
    <w:rsid w:val="009E1F18"/>
    <w:rsid w:val="009E1F7B"/>
    <w:rsid w:val="009E1FFC"/>
    <w:rsid w:val="009E2B19"/>
    <w:rsid w:val="009E33BF"/>
    <w:rsid w:val="009E38C7"/>
    <w:rsid w:val="009E44A2"/>
    <w:rsid w:val="009E472E"/>
    <w:rsid w:val="009E581B"/>
    <w:rsid w:val="009E5D01"/>
    <w:rsid w:val="009E611F"/>
    <w:rsid w:val="009E6ACA"/>
    <w:rsid w:val="009E71AE"/>
    <w:rsid w:val="009F0491"/>
    <w:rsid w:val="009F09D0"/>
    <w:rsid w:val="009F0AEC"/>
    <w:rsid w:val="009F1715"/>
    <w:rsid w:val="009F1758"/>
    <w:rsid w:val="009F24D9"/>
    <w:rsid w:val="009F3B8F"/>
    <w:rsid w:val="009F3EAD"/>
    <w:rsid w:val="009F5ED2"/>
    <w:rsid w:val="009F65C2"/>
    <w:rsid w:val="009F68FE"/>
    <w:rsid w:val="009F7D79"/>
    <w:rsid w:val="00A01474"/>
    <w:rsid w:val="00A02065"/>
    <w:rsid w:val="00A02551"/>
    <w:rsid w:val="00A0469A"/>
    <w:rsid w:val="00A0520C"/>
    <w:rsid w:val="00A0541E"/>
    <w:rsid w:val="00A05E18"/>
    <w:rsid w:val="00A06A24"/>
    <w:rsid w:val="00A104ED"/>
    <w:rsid w:val="00A1068B"/>
    <w:rsid w:val="00A11EC5"/>
    <w:rsid w:val="00A12DD1"/>
    <w:rsid w:val="00A13B95"/>
    <w:rsid w:val="00A14A2F"/>
    <w:rsid w:val="00A14A8A"/>
    <w:rsid w:val="00A14C79"/>
    <w:rsid w:val="00A151EA"/>
    <w:rsid w:val="00A164A4"/>
    <w:rsid w:val="00A16E50"/>
    <w:rsid w:val="00A17160"/>
    <w:rsid w:val="00A17FD7"/>
    <w:rsid w:val="00A203D6"/>
    <w:rsid w:val="00A215D1"/>
    <w:rsid w:val="00A2163F"/>
    <w:rsid w:val="00A21D87"/>
    <w:rsid w:val="00A22486"/>
    <w:rsid w:val="00A234A4"/>
    <w:rsid w:val="00A2409C"/>
    <w:rsid w:val="00A248F9"/>
    <w:rsid w:val="00A26031"/>
    <w:rsid w:val="00A262C8"/>
    <w:rsid w:val="00A26353"/>
    <w:rsid w:val="00A27165"/>
    <w:rsid w:val="00A2721C"/>
    <w:rsid w:val="00A27C99"/>
    <w:rsid w:val="00A27EA2"/>
    <w:rsid w:val="00A31472"/>
    <w:rsid w:val="00A32429"/>
    <w:rsid w:val="00A32493"/>
    <w:rsid w:val="00A32EE7"/>
    <w:rsid w:val="00A32EED"/>
    <w:rsid w:val="00A330C6"/>
    <w:rsid w:val="00A3313E"/>
    <w:rsid w:val="00A33780"/>
    <w:rsid w:val="00A33CB4"/>
    <w:rsid w:val="00A34324"/>
    <w:rsid w:val="00A34AAC"/>
    <w:rsid w:val="00A354D6"/>
    <w:rsid w:val="00A356ED"/>
    <w:rsid w:val="00A35A10"/>
    <w:rsid w:val="00A37774"/>
    <w:rsid w:val="00A3786A"/>
    <w:rsid w:val="00A37BA5"/>
    <w:rsid w:val="00A4158A"/>
    <w:rsid w:val="00A41E42"/>
    <w:rsid w:val="00A41E93"/>
    <w:rsid w:val="00A424F7"/>
    <w:rsid w:val="00A42D02"/>
    <w:rsid w:val="00A4398C"/>
    <w:rsid w:val="00A43FD5"/>
    <w:rsid w:val="00A445C9"/>
    <w:rsid w:val="00A4488F"/>
    <w:rsid w:val="00A44FBA"/>
    <w:rsid w:val="00A45186"/>
    <w:rsid w:val="00A460B8"/>
    <w:rsid w:val="00A4723A"/>
    <w:rsid w:val="00A479D2"/>
    <w:rsid w:val="00A50AAC"/>
    <w:rsid w:val="00A5257A"/>
    <w:rsid w:val="00A52919"/>
    <w:rsid w:val="00A5344D"/>
    <w:rsid w:val="00A5369C"/>
    <w:rsid w:val="00A550A9"/>
    <w:rsid w:val="00A56722"/>
    <w:rsid w:val="00A57622"/>
    <w:rsid w:val="00A601CD"/>
    <w:rsid w:val="00A6071F"/>
    <w:rsid w:val="00A609FD"/>
    <w:rsid w:val="00A60D68"/>
    <w:rsid w:val="00A613C8"/>
    <w:rsid w:val="00A6299C"/>
    <w:rsid w:val="00A63BF2"/>
    <w:rsid w:val="00A63C38"/>
    <w:rsid w:val="00A64886"/>
    <w:rsid w:val="00A6531E"/>
    <w:rsid w:val="00A654EB"/>
    <w:rsid w:val="00A67225"/>
    <w:rsid w:val="00A707C2"/>
    <w:rsid w:val="00A71951"/>
    <w:rsid w:val="00A71F0A"/>
    <w:rsid w:val="00A722DE"/>
    <w:rsid w:val="00A755B1"/>
    <w:rsid w:val="00A764D6"/>
    <w:rsid w:val="00A80C10"/>
    <w:rsid w:val="00A80C51"/>
    <w:rsid w:val="00A80D14"/>
    <w:rsid w:val="00A820E6"/>
    <w:rsid w:val="00A82F49"/>
    <w:rsid w:val="00A836B6"/>
    <w:rsid w:val="00A839C4"/>
    <w:rsid w:val="00A84FEC"/>
    <w:rsid w:val="00A858DC"/>
    <w:rsid w:val="00A870E3"/>
    <w:rsid w:val="00A87C86"/>
    <w:rsid w:val="00A91360"/>
    <w:rsid w:val="00A91802"/>
    <w:rsid w:val="00A91DB6"/>
    <w:rsid w:val="00A92BBE"/>
    <w:rsid w:val="00A92CE0"/>
    <w:rsid w:val="00A92D21"/>
    <w:rsid w:val="00A93764"/>
    <w:rsid w:val="00A94D7B"/>
    <w:rsid w:val="00A950B0"/>
    <w:rsid w:val="00A95649"/>
    <w:rsid w:val="00A95BAD"/>
    <w:rsid w:val="00A966E5"/>
    <w:rsid w:val="00A967A7"/>
    <w:rsid w:val="00A96AA1"/>
    <w:rsid w:val="00A96CDC"/>
    <w:rsid w:val="00A97C83"/>
    <w:rsid w:val="00A97D4A"/>
    <w:rsid w:val="00AA000D"/>
    <w:rsid w:val="00AA0057"/>
    <w:rsid w:val="00AA02C4"/>
    <w:rsid w:val="00AA1835"/>
    <w:rsid w:val="00AA2277"/>
    <w:rsid w:val="00AA28D0"/>
    <w:rsid w:val="00AA341D"/>
    <w:rsid w:val="00AA3F92"/>
    <w:rsid w:val="00AA4624"/>
    <w:rsid w:val="00AA4E50"/>
    <w:rsid w:val="00AA51FA"/>
    <w:rsid w:val="00AA578B"/>
    <w:rsid w:val="00AA69A4"/>
    <w:rsid w:val="00AA7430"/>
    <w:rsid w:val="00AA79F2"/>
    <w:rsid w:val="00AB01A1"/>
    <w:rsid w:val="00AB1497"/>
    <w:rsid w:val="00AB2287"/>
    <w:rsid w:val="00AB2A7F"/>
    <w:rsid w:val="00AB2FD5"/>
    <w:rsid w:val="00AB4D07"/>
    <w:rsid w:val="00AB4E5B"/>
    <w:rsid w:val="00AB57DA"/>
    <w:rsid w:val="00AB63EC"/>
    <w:rsid w:val="00AB66B7"/>
    <w:rsid w:val="00AB6C7F"/>
    <w:rsid w:val="00AB7C66"/>
    <w:rsid w:val="00AB7E26"/>
    <w:rsid w:val="00AC00BC"/>
    <w:rsid w:val="00AC043F"/>
    <w:rsid w:val="00AC07B3"/>
    <w:rsid w:val="00AC0861"/>
    <w:rsid w:val="00AC0CD7"/>
    <w:rsid w:val="00AC1B60"/>
    <w:rsid w:val="00AC2634"/>
    <w:rsid w:val="00AC28C6"/>
    <w:rsid w:val="00AC292F"/>
    <w:rsid w:val="00AC3A64"/>
    <w:rsid w:val="00AC3C18"/>
    <w:rsid w:val="00AC4961"/>
    <w:rsid w:val="00AC528B"/>
    <w:rsid w:val="00AC53EA"/>
    <w:rsid w:val="00AC631C"/>
    <w:rsid w:val="00AC73E6"/>
    <w:rsid w:val="00AC795F"/>
    <w:rsid w:val="00AC7F79"/>
    <w:rsid w:val="00AD0ACC"/>
    <w:rsid w:val="00AD0AEC"/>
    <w:rsid w:val="00AD0FB0"/>
    <w:rsid w:val="00AD1A7A"/>
    <w:rsid w:val="00AD1CAD"/>
    <w:rsid w:val="00AD27C0"/>
    <w:rsid w:val="00AD2CE6"/>
    <w:rsid w:val="00AD2F59"/>
    <w:rsid w:val="00AD5FF7"/>
    <w:rsid w:val="00AD6D67"/>
    <w:rsid w:val="00AD6E97"/>
    <w:rsid w:val="00AD7C18"/>
    <w:rsid w:val="00AD7FFD"/>
    <w:rsid w:val="00AE16ED"/>
    <w:rsid w:val="00AE21D1"/>
    <w:rsid w:val="00AE25CC"/>
    <w:rsid w:val="00AE4620"/>
    <w:rsid w:val="00AE49E6"/>
    <w:rsid w:val="00AE633B"/>
    <w:rsid w:val="00AE699C"/>
    <w:rsid w:val="00AE70F1"/>
    <w:rsid w:val="00AE756D"/>
    <w:rsid w:val="00AE7964"/>
    <w:rsid w:val="00AF0588"/>
    <w:rsid w:val="00AF2292"/>
    <w:rsid w:val="00AF2477"/>
    <w:rsid w:val="00AF2B7B"/>
    <w:rsid w:val="00AF2E9C"/>
    <w:rsid w:val="00AF3367"/>
    <w:rsid w:val="00AF34D9"/>
    <w:rsid w:val="00AF385A"/>
    <w:rsid w:val="00AF480F"/>
    <w:rsid w:val="00AF4F91"/>
    <w:rsid w:val="00AF5091"/>
    <w:rsid w:val="00AF5BAE"/>
    <w:rsid w:val="00AF6DA2"/>
    <w:rsid w:val="00AF6F51"/>
    <w:rsid w:val="00AF7193"/>
    <w:rsid w:val="00AF759B"/>
    <w:rsid w:val="00AF790A"/>
    <w:rsid w:val="00B00989"/>
    <w:rsid w:val="00B02817"/>
    <w:rsid w:val="00B03838"/>
    <w:rsid w:val="00B04011"/>
    <w:rsid w:val="00B0429B"/>
    <w:rsid w:val="00B066F8"/>
    <w:rsid w:val="00B07039"/>
    <w:rsid w:val="00B075B0"/>
    <w:rsid w:val="00B07D81"/>
    <w:rsid w:val="00B109FC"/>
    <w:rsid w:val="00B11542"/>
    <w:rsid w:val="00B11775"/>
    <w:rsid w:val="00B12538"/>
    <w:rsid w:val="00B13442"/>
    <w:rsid w:val="00B13674"/>
    <w:rsid w:val="00B142C5"/>
    <w:rsid w:val="00B1449F"/>
    <w:rsid w:val="00B148D4"/>
    <w:rsid w:val="00B1492E"/>
    <w:rsid w:val="00B14BF2"/>
    <w:rsid w:val="00B14C44"/>
    <w:rsid w:val="00B17BB4"/>
    <w:rsid w:val="00B20048"/>
    <w:rsid w:val="00B2085E"/>
    <w:rsid w:val="00B20C7F"/>
    <w:rsid w:val="00B22FA3"/>
    <w:rsid w:val="00B23FBF"/>
    <w:rsid w:val="00B243D6"/>
    <w:rsid w:val="00B251C9"/>
    <w:rsid w:val="00B25C55"/>
    <w:rsid w:val="00B262CF"/>
    <w:rsid w:val="00B27303"/>
    <w:rsid w:val="00B276AE"/>
    <w:rsid w:val="00B30570"/>
    <w:rsid w:val="00B30E91"/>
    <w:rsid w:val="00B30F9B"/>
    <w:rsid w:val="00B32B6E"/>
    <w:rsid w:val="00B33622"/>
    <w:rsid w:val="00B35068"/>
    <w:rsid w:val="00B35675"/>
    <w:rsid w:val="00B35A68"/>
    <w:rsid w:val="00B36433"/>
    <w:rsid w:val="00B36466"/>
    <w:rsid w:val="00B3663C"/>
    <w:rsid w:val="00B370A6"/>
    <w:rsid w:val="00B3728E"/>
    <w:rsid w:val="00B37C42"/>
    <w:rsid w:val="00B37CC5"/>
    <w:rsid w:val="00B402BB"/>
    <w:rsid w:val="00B40551"/>
    <w:rsid w:val="00B40991"/>
    <w:rsid w:val="00B40F57"/>
    <w:rsid w:val="00B4257D"/>
    <w:rsid w:val="00B42735"/>
    <w:rsid w:val="00B4289E"/>
    <w:rsid w:val="00B43196"/>
    <w:rsid w:val="00B43CC2"/>
    <w:rsid w:val="00B43DBA"/>
    <w:rsid w:val="00B43FAC"/>
    <w:rsid w:val="00B445A6"/>
    <w:rsid w:val="00B44CAB"/>
    <w:rsid w:val="00B464F7"/>
    <w:rsid w:val="00B51153"/>
    <w:rsid w:val="00B512DC"/>
    <w:rsid w:val="00B525BC"/>
    <w:rsid w:val="00B52B93"/>
    <w:rsid w:val="00B52E4E"/>
    <w:rsid w:val="00B52F0B"/>
    <w:rsid w:val="00B55EA8"/>
    <w:rsid w:val="00B5640A"/>
    <w:rsid w:val="00B56DCD"/>
    <w:rsid w:val="00B5721A"/>
    <w:rsid w:val="00B57747"/>
    <w:rsid w:val="00B57EDA"/>
    <w:rsid w:val="00B6310E"/>
    <w:rsid w:val="00B6383B"/>
    <w:rsid w:val="00B648CA"/>
    <w:rsid w:val="00B64D95"/>
    <w:rsid w:val="00B65183"/>
    <w:rsid w:val="00B65716"/>
    <w:rsid w:val="00B675D9"/>
    <w:rsid w:val="00B70129"/>
    <w:rsid w:val="00B70CB7"/>
    <w:rsid w:val="00B70FD8"/>
    <w:rsid w:val="00B71CDE"/>
    <w:rsid w:val="00B7202A"/>
    <w:rsid w:val="00B72908"/>
    <w:rsid w:val="00B72BE4"/>
    <w:rsid w:val="00B72F2E"/>
    <w:rsid w:val="00B73293"/>
    <w:rsid w:val="00B733CF"/>
    <w:rsid w:val="00B75FE2"/>
    <w:rsid w:val="00B8074B"/>
    <w:rsid w:val="00B818AD"/>
    <w:rsid w:val="00B81F74"/>
    <w:rsid w:val="00B82FB0"/>
    <w:rsid w:val="00B84F94"/>
    <w:rsid w:val="00B85259"/>
    <w:rsid w:val="00B902FD"/>
    <w:rsid w:val="00B90AD1"/>
    <w:rsid w:val="00B911AF"/>
    <w:rsid w:val="00B916EC"/>
    <w:rsid w:val="00B919F1"/>
    <w:rsid w:val="00B92B78"/>
    <w:rsid w:val="00B93030"/>
    <w:rsid w:val="00B93436"/>
    <w:rsid w:val="00B94176"/>
    <w:rsid w:val="00B94823"/>
    <w:rsid w:val="00B94B08"/>
    <w:rsid w:val="00B968A7"/>
    <w:rsid w:val="00B97AFA"/>
    <w:rsid w:val="00BA066E"/>
    <w:rsid w:val="00BA081A"/>
    <w:rsid w:val="00BA0BCB"/>
    <w:rsid w:val="00BA0F58"/>
    <w:rsid w:val="00BA100F"/>
    <w:rsid w:val="00BA139D"/>
    <w:rsid w:val="00BA2501"/>
    <w:rsid w:val="00BA2D14"/>
    <w:rsid w:val="00BA35F0"/>
    <w:rsid w:val="00BA4D09"/>
    <w:rsid w:val="00BA6BCF"/>
    <w:rsid w:val="00BA7ECA"/>
    <w:rsid w:val="00BB02CF"/>
    <w:rsid w:val="00BB0D62"/>
    <w:rsid w:val="00BB1159"/>
    <w:rsid w:val="00BB152D"/>
    <w:rsid w:val="00BB161C"/>
    <w:rsid w:val="00BB1B36"/>
    <w:rsid w:val="00BB20E1"/>
    <w:rsid w:val="00BB2DBE"/>
    <w:rsid w:val="00BB44CD"/>
    <w:rsid w:val="00BB4566"/>
    <w:rsid w:val="00BB46A4"/>
    <w:rsid w:val="00BB6286"/>
    <w:rsid w:val="00BB6CE6"/>
    <w:rsid w:val="00BB6D5D"/>
    <w:rsid w:val="00BC00DC"/>
    <w:rsid w:val="00BC086E"/>
    <w:rsid w:val="00BC09D2"/>
    <w:rsid w:val="00BC2A86"/>
    <w:rsid w:val="00BC37FA"/>
    <w:rsid w:val="00BC38C2"/>
    <w:rsid w:val="00BC401E"/>
    <w:rsid w:val="00BC4061"/>
    <w:rsid w:val="00BC7CAA"/>
    <w:rsid w:val="00BD016A"/>
    <w:rsid w:val="00BD0459"/>
    <w:rsid w:val="00BD0C18"/>
    <w:rsid w:val="00BD0D0D"/>
    <w:rsid w:val="00BD38C9"/>
    <w:rsid w:val="00BD39DF"/>
    <w:rsid w:val="00BD3C37"/>
    <w:rsid w:val="00BD41E5"/>
    <w:rsid w:val="00BD56C0"/>
    <w:rsid w:val="00BD5FC5"/>
    <w:rsid w:val="00BD66FE"/>
    <w:rsid w:val="00BD68E0"/>
    <w:rsid w:val="00BD6F67"/>
    <w:rsid w:val="00BD6F98"/>
    <w:rsid w:val="00BE05B6"/>
    <w:rsid w:val="00BE1305"/>
    <w:rsid w:val="00BE1DC7"/>
    <w:rsid w:val="00BE3827"/>
    <w:rsid w:val="00BE42FF"/>
    <w:rsid w:val="00BE502A"/>
    <w:rsid w:val="00BE51BF"/>
    <w:rsid w:val="00BE5AFF"/>
    <w:rsid w:val="00BE6BB5"/>
    <w:rsid w:val="00BE6C54"/>
    <w:rsid w:val="00BE6DBB"/>
    <w:rsid w:val="00BE7AE9"/>
    <w:rsid w:val="00BE7EDA"/>
    <w:rsid w:val="00BF0EEA"/>
    <w:rsid w:val="00BF0F0A"/>
    <w:rsid w:val="00BF15E5"/>
    <w:rsid w:val="00BF1BDD"/>
    <w:rsid w:val="00BF2C7F"/>
    <w:rsid w:val="00BF5851"/>
    <w:rsid w:val="00BF5E45"/>
    <w:rsid w:val="00BF72D5"/>
    <w:rsid w:val="00BF7B95"/>
    <w:rsid w:val="00C02637"/>
    <w:rsid w:val="00C0331E"/>
    <w:rsid w:val="00C03341"/>
    <w:rsid w:val="00C03A03"/>
    <w:rsid w:val="00C049DD"/>
    <w:rsid w:val="00C055EA"/>
    <w:rsid w:val="00C069B1"/>
    <w:rsid w:val="00C07995"/>
    <w:rsid w:val="00C10D77"/>
    <w:rsid w:val="00C12445"/>
    <w:rsid w:val="00C13370"/>
    <w:rsid w:val="00C14071"/>
    <w:rsid w:val="00C15349"/>
    <w:rsid w:val="00C1548E"/>
    <w:rsid w:val="00C15971"/>
    <w:rsid w:val="00C15FCF"/>
    <w:rsid w:val="00C1747D"/>
    <w:rsid w:val="00C175C9"/>
    <w:rsid w:val="00C21322"/>
    <w:rsid w:val="00C21738"/>
    <w:rsid w:val="00C218F8"/>
    <w:rsid w:val="00C224B3"/>
    <w:rsid w:val="00C25CCD"/>
    <w:rsid w:val="00C26B3E"/>
    <w:rsid w:val="00C27483"/>
    <w:rsid w:val="00C27E44"/>
    <w:rsid w:val="00C301FF"/>
    <w:rsid w:val="00C30C26"/>
    <w:rsid w:val="00C31330"/>
    <w:rsid w:val="00C321AD"/>
    <w:rsid w:val="00C32696"/>
    <w:rsid w:val="00C3307F"/>
    <w:rsid w:val="00C33823"/>
    <w:rsid w:val="00C33BB0"/>
    <w:rsid w:val="00C34173"/>
    <w:rsid w:val="00C342D9"/>
    <w:rsid w:val="00C34F55"/>
    <w:rsid w:val="00C35719"/>
    <w:rsid w:val="00C3591D"/>
    <w:rsid w:val="00C3665B"/>
    <w:rsid w:val="00C3752B"/>
    <w:rsid w:val="00C37B63"/>
    <w:rsid w:val="00C37C0A"/>
    <w:rsid w:val="00C37D6F"/>
    <w:rsid w:val="00C37E52"/>
    <w:rsid w:val="00C40692"/>
    <w:rsid w:val="00C40FE6"/>
    <w:rsid w:val="00C41429"/>
    <w:rsid w:val="00C4197C"/>
    <w:rsid w:val="00C42210"/>
    <w:rsid w:val="00C455B9"/>
    <w:rsid w:val="00C45AC5"/>
    <w:rsid w:val="00C47CC0"/>
    <w:rsid w:val="00C51283"/>
    <w:rsid w:val="00C5252D"/>
    <w:rsid w:val="00C5287E"/>
    <w:rsid w:val="00C531F2"/>
    <w:rsid w:val="00C535B4"/>
    <w:rsid w:val="00C53E96"/>
    <w:rsid w:val="00C5448E"/>
    <w:rsid w:val="00C55042"/>
    <w:rsid w:val="00C564E8"/>
    <w:rsid w:val="00C5712F"/>
    <w:rsid w:val="00C573DE"/>
    <w:rsid w:val="00C57421"/>
    <w:rsid w:val="00C61BE7"/>
    <w:rsid w:val="00C62B8E"/>
    <w:rsid w:val="00C62CD6"/>
    <w:rsid w:val="00C6344C"/>
    <w:rsid w:val="00C645F5"/>
    <w:rsid w:val="00C65D96"/>
    <w:rsid w:val="00C660B2"/>
    <w:rsid w:val="00C66D78"/>
    <w:rsid w:val="00C673E0"/>
    <w:rsid w:val="00C704BD"/>
    <w:rsid w:val="00C729B1"/>
    <w:rsid w:val="00C72B0B"/>
    <w:rsid w:val="00C731B4"/>
    <w:rsid w:val="00C73843"/>
    <w:rsid w:val="00C746A7"/>
    <w:rsid w:val="00C75066"/>
    <w:rsid w:val="00C75224"/>
    <w:rsid w:val="00C765E1"/>
    <w:rsid w:val="00C77943"/>
    <w:rsid w:val="00C80A63"/>
    <w:rsid w:val="00C80E3C"/>
    <w:rsid w:val="00C81001"/>
    <w:rsid w:val="00C814A4"/>
    <w:rsid w:val="00C82407"/>
    <w:rsid w:val="00C82643"/>
    <w:rsid w:val="00C835F8"/>
    <w:rsid w:val="00C8454D"/>
    <w:rsid w:val="00C84A4C"/>
    <w:rsid w:val="00C85C5A"/>
    <w:rsid w:val="00C86351"/>
    <w:rsid w:val="00C86C5A"/>
    <w:rsid w:val="00C86D56"/>
    <w:rsid w:val="00C8736D"/>
    <w:rsid w:val="00C8738A"/>
    <w:rsid w:val="00C878BA"/>
    <w:rsid w:val="00C909EC"/>
    <w:rsid w:val="00C90CDD"/>
    <w:rsid w:val="00C91D6E"/>
    <w:rsid w:val="00C92323"/>
    <w:rsid w:val="00C92409"/>
    <w:rsid w:val="00C925EC"/>
    <w:rsid w:val="00C95747"/>
    <w:rsid w:val="00C959C9"/>
    <w:rsid w:val="00C961DA"/>
    <w:rsid w:val="00C96BC1"/>
    <w:rsid w:val="00C9711A"/>
    <w:rsid w:val="00C9728A"/>
    <w:rsid w:val="00C97A7A"/>
    <w:rsid w:val="00CA0942"/>
    <w:rsid w:val="00CA0D11"/>
    <w:rsid w:val="00CA1D2D"/>
    <w:rsid w:val="00CA26FD"/>
    <w:rsid w:val="00CA28C0"/>
    <w:rsid w:val="00CA4712"/>
    <w:rsid w:val="00CA49FD"/>
    <w:rsid w:val="00CA6499"/>
    <w:rsid w:val="00CA677A"/>
    <w:rsid w:val="00CA7CC7"/>
    <w:rsid w:val="00CB05B4"/>
    <w:rsid w:val="00CB0FDE"/>
    <w:rsid w:val="00CB218E"/>
    <w:rsid w:val="00CB2F18"/>
    <w:rsid w:val="00CB3E7E"/>
    <w:rsid w:val="00CB41D5"/>
    <w:rsid w:val="00CB5B11"/>
    <w:rsid w:val="00CC0006"/>
    <w:rsid w:val="00CC05C2"/>
    <w:rsid w:val="00CC0649"/>
    <w:rsid w:val="00CC0812"/>
    <w:rsid w:val="00CC1020"/>
    <w:rsid w:val="00CC1A84"/>
    <w:rsid w:val="00CC2796"/>
    <w:rsid w:val="00CC32D0"/>
    <w:rsid w:val="00CC3AED"/>
    <w:rsid w:val="00CC492E"/>
    <w:rsid w:val="00CC4C8D"/>
    <w:rsid w:val="00CC4D1F"/>
    <w:rsid w:val="00CC4DD6"/>
    <w:rsid w:val="00CC4F92"/>
    <w:rsid w:val="00CC54A9"/>
    <w:rsid w:val="00CC5A88"/>
    <w:rsid w:val="00CC5B93"/>
    <w:rsid w:val="00CC5C65"/>
    <w:rsid w:val="00CC6135"/>
    <w:rsid w:val="00CC6972"/>
    <w:rsid w:val="00CC784C"/>
    <w:rsid w:val="00CC7ABA"/>
    <w:rsid w:val="00CD017D"/>
    <w:rsid w:val="00CD1C26"/>
    <w:rsid w:val="00CD2905"/>
    <w:rsid w:val="00CD31D5"/>
    <w:rsid w:val="00CD3542"/>
    <w:rsid w:val="00CD48F1"/>
    <w:rsid w:val="00CD4E56"/>
    <w:rsid w:val="00CD53F8"/>
    <w:rsid w:val="00CD5FC1"/>
    <w:rsid w:val="00CD6ECA"/>
    <w:rsid w:val="00CD7A77"/>
    <w:rsid w:val="00CD7D3C"/>
    <w:rsid w:val="00CE17AC"/>
    <w:rsid w:val="00CE1AC8"/>
    <w:rsid w:val="00CE1EEA"/>
    <w:rsid w:val="00CE202D"/>
    <w:rsid w:val="00CE24A8"/>
    <w:rsid w:val="00CE263D"/>
    <w:rsid w:val="00CE2ACF"/>
    <w:rsid w:val="00CE2CB9"/>
    <w:rsid w:val="00CE308D"/>
    <w:rsid w:val="00CE3541"/>
    <w:rsid w:val="00CE387D"/>
    <w:rsid w:val="00CE3A82"/>
    <w:rsid w:val="00CE4292"/>
    <w:rsid w:val="00CE4A19"/>
    <w:rsid w:val="00CE5A7D"/>
    <w:rsid w:val="00CE5AE3"/>
    <w:rsid w:val="00CE62D6"/>
    <w:rsid w:val="00CE6BEB"/>
    <w:rsid w:val="00CE7239"/>
    <w:rsid w:val="00CE724E"/>
    <w:rsid w:val="00CE77BC"/>
    <w:rsid w:val="00CE7A08"/>
    <w:rsid w:val="00CF004D"/>
    <w:rsid w:val="00CF020F"/>
    <w:rsid w:val="00CF0C10"/>
    <w:rsid w:val="00CF1630"/>
    <w:rsid w:val="00CF1B6E"/>
    <w:rsid w:val="00CF1BAE"/>
    <w:rsid w:val="00CF2D1D"/>
    <w:rsid w:val="00CF30DE"/>
    <w:rsid w:val="00CF3617"/>
    <w:rsid w:val="00CF3833"/>
    <w:rsid w:val="00CF42E3"/>
    <w:rsid w:val="00CF575F"/>
    <w:rsid w:val="00CF5A4A"/>
    <w:rsid w:val="00CF6A40"/>
    <w:rsid w:val="00CF6DF9"/>
    <w:rsid w:val="00CF71C8"/>
    <w:rsid w:val="00CF7708"/>
    <w:rsid w:val="00D0082C"/>
    <w:rsid w:val="00D02055"/>
    <w:rsid w:val="00D030DC"/>
    <w:rsid w:val="00D04B03"/>
    <w:rsid w:val="00D04B2F"/>
    <w:rsid w:val="00D061FF"/>
    <w:rsid w:val="00D06BD5"/>
    <w:rsid w:val="00D06BE5"/>
    <w:rsid w:val="00D07809"/>
    <w:rsid w:val="00D10E29"/>
    <w:rsid w:val="00D12215"/>
    <w:rsid w:val="00D127E2"/>
    <w:rsid w:val="00D13896"/>
    <w:rsid w:val="00D14CE8"/>
    <w:rsid w:val="00D15762"/>
    <w:rsid w:val="00D1703A"/>
    <w:rsid w:val="00D17FEB"/>
    <w:rsid w:val="00D21E43"/>
    <w:rsid w:val="00D21E46"/>
    <w:rsid w:val="00D225A5"/>
    <w:rsid w:val="00D2330B"/>
    <w:rsid w:val="00D23C9C"/>
    <w:rsid w:val="00D242A5"/>
    <w:rsid w:val="00D2442E"/>
    <w:rsid w:val="00D24466"/>
    <w:rsid w:val="00D25000"/>
    <w:rsid w:val="00D2540A"/>
    <w:rsid w:val="00D254FF"/>
    <w:rsid w:val="00D25995"/>
    <w:rsid w:val="00D25B81"/>
    <w:rsid w:val="00D279EB"/>
    <w:rsid w:val="00D27C7A"/>
    <w:rsid w:val="00D30BCE"/>
    <w:rsid w:val="00D30BFC"/>
    <w:rsid w:val="00D33055"/>
    <w:rsid w:val="00D33361"/>
    <w:rsid w:val="00D33CDB"/>
    <w:rsid w:val="00D33D01"/>
    <w:rsid w:val="00D33E15"/>
    <w:rsid w:val="00D34195"/>
    <w:rsid w:val="00D35479"/>
    <w:rsid w:val="00D3565C"/>
    <w:rsid w:val="00D35808"/>
    <w:rsid w:val="00D358BB"/>
    <w:rsid w:val="00D35A91"/>
    <w:rsid w:val="00D368D0"/>
    <w:rsid w:val="00D4051E"/>
    <w:rsid w:val="00D405DA"/>
    <w:rsid w:val="00D407C8"/>
    <w:rsid w:val="00D40CF6"/>
    <w:rsid w:val="00D41635"/>
    <w:rsid w:val="00D41E9B"/>
    <w:rsid w:val="00D42C04"/>
    <w:rsid w:val="00D50F12"/>
    <w:rsid w:val="00D52DF3"/>
    <w:rsid w:val="00D546C6"/>
    <w:rsid w:val="00D546CA"/>
    <w:rsid w:val="00D604D9"/>
    <w:rsid w:val="00D611ED"/>
    <w:rsid w:val="00D61519"/>
    <w:rsid w:val="00D62A51"/>
    <w:rsid w:val="00D62C85"/>
    <w:rsid w:val="00D63CBF"/>
    <w:rsid w:val="00D6480B"/>
    <w:rsid w:val="00D655F2"/>
    <w:rsid w:val="00D662A0"/>
    <w:rsid w:val="00D668C7"/>
    <w:rsid w:val="00D6718D"/>
    <w:rsid w:val="00D674E7"/>
    <w:rsid w:val="00D677B8"/>
    <w:rsid w:val="00D67879"/>
    <w:rsid w:val="00D706FC"/>
    <w:rsid w:val="00D70FA6"/>
    <w:rsid w:val="00D713DE"/>
    <w:rsid w:val="00D7277F"/>
    <w:rsid w:val="00D72864"/>
    <w:rsid w:val="00D7312A"/>
    <w:rsid w:val="00D76125"/>
    <w:rsid w:val="00D76365"/>
    <w:rsid w:val="00D806F6"/>
    <w:rsid w:val="00D80E66"/>
    <w:rsid w:val="00D811B5"/>
    <w:rsid w:val="00D825FC"/>
    <w:rsid w:val="00D82615"/>
    <w:rsid w:val="00D82E68"/>
    <w:rsid w:val="00D8442D"/>
    <w:rsid w:val="00D8458B"/>
    <w:rsid w:val="00D84FA4"/>
    <w:rsid w:val="00D856B9"/>
    <w:rsid w:val="00D8570E"/>
    <w:rsid w:val="00D85B35"/>
    <w:rsid w:val="00D86399"/>
    <w:rsid w:val="00D87852"/>
    <w:rsid w:val="00D911EE"/>
    <w:rsid w:val="00D9225A"/>
    <w:rsid w:val="00D9403F"/>
    <w:rsid w:val="00D94C0C"/>
    <w:rsid w:val="00D95537"/>
    <w:rsid w:val="00D95BF8"/>
    <w:rsid w:val="00D960E0"/>
    <w:rsid w:val="00D96A10"/>
    <w:rsid w:val="00DA0B00"/>
    <w:rsid w:val="00DA1BAF"/>
    <w:rsid w:val="00DA3474"/>
    <w:rsid w:val="00DA41C3"/>
    <w:rsid w:val="00DA41EC"/>
    <w:rsid w:val="00DA44A0"/>
    <w:rsid w:val="00DA4853"/>
    <w:rsid w:val="00DA4B14"/>
    <w:rsid w:val="00DA4BAF"/>
    <w:rsid w:val="00DA4C4E"/>
    <w:rsid w:val="00DA4E1F"/>
    <w:rsid w:val="00DA5975"/>
    <w:rsid w:val="00DA649C"/>
    <w:rsid w:val="00DA693A"/>
    <w:rsid w:val="00DA6CDE"/>
    <w:rsid w:val="00DB03A4"/>
    <w:rsid w:val="00DB0865"/>
    <w:rsid w:val="00DB08E4"/>
    <w:rsid w:val="00DB0BB0"/>
    <w:rsid w:val="00DB0D0E"/>
    <w:rsid w:val="00DB1C10"/>
    <w:rsid w:val="00DB2443"/>
    <w:rsid w:val="00DB31E3"/>
    <w:rsid w:val="00DB3655"/>
    <w:rsid w:val="00DB424C"/>
    <w:rsid w:val="00DB5CEF"/>
    <w:rsid w:val="00DB6004"/>
    <w:rsid w:val="00DB7203"/>
    <w:rsid w:val="00DC05DF"/>
    <w:rsid w:val="00DC1010"/>
    <w:rsid w:val="00DC1699"/>
    <w:rsid w:val="00DC17DC"/>
    <w:rsid w:val="00DC17E7"/>
    <w:rsid w:val="00DC1A68"/>
    <w:rsid w:val="00DC245D"/>
    <w:rsid w:val="00DC2EB3"/>
    <w:rsid w:val="00DC4622"/>
    <w:rsid w:val="00DC4B90"/>
    <w:rsid w:val="00DC4DE8"/>
    <w:rsid w:val="00DC6AC5"/>
    <w:rsid w:val="00DD1F27"/>
    <w:rsid w:val="00DD1F62"/>
    <w:rsid w:val="00DD2282"/>
    <w:rsid w:val="00DD24B4"/>
    <w:rsid w:val="00DD28C0"/>
    <w:rsid w:val="00DD3E1D"/>
    <w:rsid w:val="00DD48CF"/>
    <w:rsid w:val="00DD59E4"/>
    <w:rsid w:val="00DD5F1F"/>
    <w:rsid w:val="00DD61FF"/>
    <w:rsid w:val="00DD69F6"/>
    <w:rsid w:val="00DD6AF9"/>
    <w:rsid w:val="00DE067C"/>
    <w:rsid w:val="00DE0706"/>
    <w:rsid w:val="00DE0770"/>
    <w:rsid w:val="00DE1A1B"/>
    <w:rsid w:val="00DE2338"/>
    <w:rsid w:val="00DE29A4"/>
    <w:rsid w:val="00DE5497"/>
    <w:rsid w:val="00DE6A14"/>
    <w:rsid w:val="00DE700B"/>
    <w:rsid w:val="00DE7295"/>
    <w:rsid w:val="00DE74D4"/>
    <w:rsid w:val="00DF000E"/>
    <w:rsid w:val="00DF048E"/>
    <w:rsid w:val="00DF0A63"/>
    <w:rsid w:val="00DF25BA"/>
    <w:rsid w:val="00DF4815"/>
    <w:rsid w:val="00E00351"/>
    <w:rsid w:val="00E015C0"/>
    <w:rsid w:val="00E01E13"/>
    <w:rsid w:val="00E02F50"/>
    <w:rsid w:val="00E03654"/>
    <w:rsid w:val="00E03B96"/>
    <w:rsid w:val="00E047F7"/>
    <w:rsid w:val="00E05567"/>
    <w:rsid w:val="00E0695D"/>
    <w:rsid w:val="00E073E5"/>
    <w:rsid w:val="00E108CC"/>
    <w:rsid w:val="00E10D70"/>
    <w:rsid w:val="00E10F3F"/>
    <w:rsid w:val="00E10F8B"/>
    <w:rsid w:val="00E113A3"/>
    <w:rsid w:val="00E13B3D"/>
    <w:rsid w:val="00E13F81"/>
    <w:rsid w:val="00E1523D"/>
    <w:rsid w:val="00E154F4"/>
    <w:rsid w:val="00E15A7E"/>
    <w:rsid w:val="00E1662F"/>
    <w:rsid w:val="00E16B65"/>
    <w:rsid w:val="00E17E16"/>
    <w:rsid w:val="00E21C94"/>
    <w:rsid w:val="00E224AC"/>
    <w:rsid w:val="00E22704"/>
    <w:rsid w:val="00E233AA"/>
    <w:rsid w:val="00E2386F"/>
    <w:rsid w:val="00E23E94"/>
    <w:rsid w:val="00E245F3"/>
    <w:rsid w:val="00E24AD2"/>
    <w:rsid w:val="00E26566"/>
    <w:rsid w:val="00E27488"/>
    <w:rsid w:val="00E27949"/>
    <w:rsid w:val="00E319F5"/>
    <w:rsid w:val="00E31E1F"/>
    <w:rsid w:val="00E331DF"/>
    <w:rsid w:val="00E335EB"/>
    <w:rsid w:val="00E33738"/>
    <w:rsid w:val="00E3446E"/>
    <w:rsid w:val="00E34A8E"/>
    <w:rsid w:val="00E35BA0"/>
    <w:rsid w:val="00E35BD0"/>
    <w:rsid w:val="00E365A7"/>
    <w:rsid w:val="00E40465"/>
    <w:rsid w:val="00E40FF0"/>
    <w:rsid w:val="00E4120D"/>
    <w:rsid w:val="00E41466"/>
    <w:rsid w:val="00E4300E"/>
    <w:rsid w:val="00E43301"/>
    <w:rsid w:val="00E43598"/>
    <w:rsid w:val="00E438AA"/>
    <w:rsid w:val="00E43993"/>
    <w:rsid w:val="00E44210"/>
    <w:rsid w:val="00E44A4C"/>
    <w:rsid w:val="00E45754"/>
    <w:rsid w:val="00E45E0D"/>
    <w:rsid w:val="00E45F77"/>
    <w:rsid w:val="00E463CB"/>
    <w:rsid w:val="00E47319"/>
    <w:rsid w:val="00E4747F"/>
    <w:rsid w:val="00E47FB1"/>
    <w:rsid w:val="00E5038C"/>
    <w:rsid w:val="00E505EF"/>
    <w:rsid w:val="00E508FF"/>
    <w:rsid w:val="00E51275"/>
    <w:rsid w:val="00E534EC"/>
    <w:rsid w:val="00E5378E"/>
    <w:rsid w:val="00E55AA8"/>
    <w:rsid w:val="00E55C9B"/>
    <w:rsid w:val="00E562FE"/>
    <w:rsid w:val="00E56428"/>
    <w:rsid w:val="00E5730E"/>
    <w:rsid w:val="00E57506"/>
    <w:rsid w:val="00E57BAD"/>
    <w:rsid w:val="00E57D9C"/>
    <w:rsid w:val="00E60747"/>
    <w:rsid w:val="00E60CDA"/>
    <w:rsid w:val="00E61285"/>
    <w:rsid w:val="00E62C5B"/>
    <w:rsid w:val="00E6316A"/>
    <w:rsid w:val="00E63308"/>
    <w:rsid w:val="00E63906"/>
    <w:rsid w:val="00E639E3"/>
    <w:rsid w:val="00E643AF"/>
    <w:rsid w:val="00E648CD"/>
    <w:rsid w:val="00E652A7"/>
    <w:rsid w:val="00E664E2"/>
    <w:rsid w:val="00E66692"/>
    <w:rsid w:val="00E66862"/>
    <w:rsid w:val="00E70075"/>
    <w:rsid w:val="00E7020F"/>
    <w:rsid w:val="00E706B6"/>
    <w:rsid w:val="00E70852"/>
    <w:rsid w:val="00E70D86"/>
    <w:rsid w:val="00E7167E"/>
    <w:rsid w:val="00E731B1"/>
    <w:rsid w:val="00E735F3"/>
    <w:rsid w:val="00E73D2D"/>
    <w:rsid w:val="00E753CA"/>
    <w:rsid w:val="00E8053E"/>
    <w:rsid w:val="00E80853"/>
    <w:rsid w:val="00E80ADF"/>
    <w:rsid w:val="00E80C11"/>
    <w:rsid w:val="00E813F2"/>
    <w:rsid w:val="00E81482"/>
    <w:rsid w:val="00E81BBF"/>
    <w:rsid w:val="00E81FF6"/>
    <w:rsid w:val="00E82B4F"/>
    <w:rsid w:val="00E82E17"/>
    <w:rsid w:val="00E8454A"/>
    <w:rsid w:val="00E845ED"/>
    <w:rsid w:val="00E85634"/>
    <w:rsid w:val="00E8601F"/>
    <w:rsid w:val="00E8666D"/>
    <w:rsid w:val="00E8795C"/>
    <w:rsid w:val="00E90962"/>
    <w:rsid w:val="00E90ADB"/>
    <w:rsid w:val="00E914FB"/>
    <w:rsid w:val="00E91F7B"/>
    <w:rsid w:val="00E94B7F"/>
    <w:rsid w:val="00E951D6"/>
    <w:rsid w:val="00E95653"/>
    <w:rsid w:val="00E95964"/>
    <w:rsid w:val="00E9632C"/>
    <w:rsid w:val="00E9744A"/>
    <w:rsid w:val="00EA0376"/>
    <w:rsid w:val="00EA08DF"/>
    <w:rsid w:val="00EA0D80"/>
    <w:rsid w:val="00EA10F4"/>
    <w:rsid w:val="00EA29D7"/>
    <w:rsid w:val="00EA31CF"/>
    <w:rsid w:val="00EA391C"/>
    <w:rsid w:val="00EA3990"/>
    <w:rsid w:val="00EA3A6A"/>
    <w:rsid w:val="00EA40EB"/>
    <w:rsid w:val="00EA558B"/>
    <w:rsid w:val="00EA6880"/>
    <w:rsid w:val="00EA6E54"/>
    <w:rsid w:val="00EA6E91"/>
    <w:rsid w:val="00EA726C"/>
    <w:rsid w:val="00EB0080"/>
    <w:rsid w:val="00EB1F06"/>
    <w:rsid w:val="00EB24DA"/>
    <w:rsid w:val="00EB3929"/>
    <w:rsid w:val="00EB42EC"/>
    <w:rsid w:val="00EB4EA7"/>
    <w:rsid w:val="00EB7264"/>
    <w:rsid w:val="00EB75DA"/>
    <w:rsid w:val="00EB784E"/>
    <w:rsid w:val="00EB7884"/>
    <w:rsid w:val="00EC006C"/>
    <w:rsid w:val="00EC0318"/>
    <w:rsid w:val="00EC03CF"/>
    <w:rsid w:val="00EC04B5"/>
    <w:rsid w:val="00EC0A31"/>
    <w:rsid w:val="00EC1099"/>
    <w:rsid w:val="00EC1374"/>
    <w:rsid w:val="00EC2852"/>
    <w:rsid w:val="00EC30C0"/>
    <w:rsid w:val="00EC43C8"/>
    <w:rsid w:val="00EC47ED"/>
    <w:rsid w:val="00EC507E"/>
    <w:rsid w:val="00EC60D7"/>
    <w:rsid w:val="00EC6DD9"/>
    <w:rsid w:val="00EC7C58"/>
    <w:rsid w:val="00ED024E"/>
    <w:rsid w:val="00ED0A7A"/>
    <w:rsid w:val="00ED17B1"/>
    <w:rsid w:val="00ED1EC6"/>
    <w:rsid w:val="00ED1F44"/>
    <w:rsid w:val="00ED2171"/>
    <w:rsid w:val="00ED2F5A"/>
    <w:rsid w:val="00ED35D5"/>
    <w:rsid w:val="00ED53F9"/>
    <w:rsid w:val="00ED6C22"/>
    <w:rsid w:val="00ED6D6A"/>
    <w:rsid w:val="00ED7934"/>
    <w:rsid w:val="00ED7946"/>
    <w:rsid w:val="00EE10D7"/>
    <w:rsid w:val="00EE1225"/>
    <w:rsid w:val="00EE1FA3"/>
    <w:rsid w:val="00EE279D"/>
    <w:rsid w:val="00EE4457"/>
    <w:rsid w:val="00EE5D13"/>
    <w:rsid w:val="00EE5F5A"/>
    <w:rsid w:val="00EE701B"/>
    <w:rsid w:val="00EE71E0"/>
    <w:rsid w:val="00EE74F1"/>
    <w:rsid w:val="00EE7CB2"/>
    <w:rsid w:val="00EE7D21"/>
    <w:rsid w:val="00EF037D"/>
    <w:rsid w:val="00EF10AD"/>
    <w:rsid w:val="00EF2F90"/>
    <w:rsid w:val="00EF3B29"/>
    <w:rsid w:val="00EF3B60"/>
    <w:rsid w:val="00EF40AC"/>
    <w:rsid w:val="00EF45F3"/>
    <w:rsid w:val="00EF4F1E"/>
    <w:rsid w:val="00EF5197"/>
    <w:rsid w:val="00EF51B9"/>
    <w:rsid w:val="00EF72CB"/>
    <w:rsid w:val="00EF7406"/>
    <w:rsid w:val="00F00978"/>
    <w:rsid w:val="00F01227"/>
    <w:rsid w:val="00F01846"/>
    <w:rsid w:val="00F0205F"/>
    <w:rsid w:val="00F02AE1"/>
    <w:rsid w:val="00F03C13"/>
    <w:rsid w:val="00F03D81"/>
    <w:rsid w:val="00F03F67"/>
    <w:rsid w:val="00F04539"/>
    <w:rsid w:val="00F10050"/>
    <w:rsid w:val="00F10574"/>
    <w:rsid w:val="00F108BB"/>
    <w:rsid w:val="00F10CAD"/>
    <w:rsid w:val="00F117BD"/>
    <w:rsid w:val="00F118BD"/>
    <w:rsid w:val="00F11906"/>
    <w:rsid w:val="00F11E3D"/>
    <w:rsid w:val="00F13031"/>
    <w:rsid w:val="00F1317D"/>
    <w:rsid w:val="00F133CC"/>
    <w:rsid w:val="00F13689"/>
    <w:rsid w:val="00F14735"/>
    <w:rsid w:val="00F17BE8"/>
    <w:rsid w:val="00F20673"/>
    <w:rsid w:val="00F20828"/>
    <w:rsid w:val="00F214C1"/>
    <w:rsid w:val="00F21B8B"/>
    <w:rsid w:val="00F21F74"/>
    <w:rsid w:val="00F22859"/>
    <w:rsid w:val="00F237A2"/>
    <w:rsid w:val="00F2535B"/>
    <w:rsid w:val="00F25FDB"/>
    <w:rsid w:val="00F31474"/>
    <w:rsid w:val="00F318FE"/>
    <w:rsid w:val="00F31B52"/>
    <w:rsid w:val="00F32A4E"/>
    <w:rsid w:val="00F32D8B"/>
    <w:rsid w:val="00F330BA"/>
    <w:rsid w:val="00F3460E"/>
    <w:rsid w:val="00F34802"/>
    <w:rsid w:val="00F350C3"/>
    <w:rsid w:val="00F35F36"/>
    <w:rsid w:val="00F36347"/>
    <w:rsid w:val="00F3792F"/>
    <w:rsid w:val="00F41D0E"/>
    <w:rsid w:val="00F443BD"/>
    <w:rsid w:val="00F47207"/>
    <w:rsid w:val="00F503F1"/>
    <w:rsid w:val="00F50C7E"/>
    <w:rsid w:val="00F50E6E"/>
    <w:rsid w:val="00F51407"/>
    <w:rsid w:val="00F51B08"/>
    <w:rsid w:val="00F51D70"/>
    <w:rsid w:val="00F521DD"/>
    <w:rsid w:val="00F52435"/>
    <w:rsid w:val="00F52B01"/>
    <w:rsid w:val="00F53F88"/>
    <w:rsid w:val="00F54750"/>
    <w:rsid w:val="00F55C2E"/>
    <w:rsid w:val="00F579F1"/>
    <w:rsid w:val="00F60295"/>
    <w:rsid w:val="00F60A13"/>
    <w:rsid w:val="00F60B1A"/>
    <w:rsid w:val="00F61EC9"/>
    <w:rsid w:val="00F62B40"/>
    <w:rsid w:val="00F65902"/>
    <w:rsid w:val="00F65CC0"/>
    <w:rsid w:val="00F660DD"/>
    <w:rsid w:val="00F665E5"/>
    <w:rsid w:val="00F67569"/>
    <w:rsid w:val="00F679F1"/>
    <w:rsid w:val="00F67C1A"/>
    <w:rsid w:val="00F67F26"/>
    <w:rsid w:val="00F70528"/>
    <w:rsid w:val="00F70640"/>
    <w:rsid w:val="00F70918"/>
    <w:rsid w:val="00F715E4"/>
    <w:rsid w:val="00F74C89"/>
    <w:rsid w:val="00F7559B"/>
    <w:rsid w:val="00F755D6"/>
    <w:rsid w:val="00F7635E"/>
    <w:rsid w:val="00F7643D"/>
    <w:rsid w:val="00F77638"/>
    <w:rsid w:val="00F77D56"/>
    <w:rsid w:val="00F80CC2"/>
    <w:rsid w:val="00F80D6A"/>
    <w:rsid w:val="00F81F7B"/>
    <w:rsid w:val="00F81FCF"/>
    <w:rsid w:val="00F83A96"/>
    <w:rsid w:val="00F83D8E"/>
    <w:rsid w:val="00F8699A"/>
    <w:rsid w:val="00F86E0B"/>
    <w:rsid w:val="00F91FE8"/>
    <w:rsid w:val="00F92880"/>
    <w:rsid w:val="00F940DD"/>
    <w:rsid w:val="00F953C8"/>
    <w:rsid w:val="00F964DA"/>
    <w:rsid w:val="00F969B5"/>
    <w:rsid w:val="00FA03FC"/>
    <w:rsid w:val="00FA04A9"/>
    <w:rsid w:val="00FA1866"/>
    <w:rsid w:val="00FA1B63"/>
    <w:rsid w:val="00FA2FC6"/>
    <w:rsid w:val="00FA44C9"/>
    <w:rsid w:val="00FA5C3E"/>
    <w:rsid w:val="00FA65F8"/>
    <w:rsid w:val="00FA6822"/>
    <w:rsid w:val="00FA6CFC"/>
    <w:rsid w:val="00FA6D5B"/>
    <w:rsid w:val="00FA71DD"/>
    <w:rsid w:val="00FA7265"/>
    <w:rsid w:val="00FA7822"/>
    <w:rsid w:val="00FB139C"/>
    <w:rsid w:val="00FB163F"/>
    <w:rsid w:val="00FB184B"/>
    <w:rsid w:val="00FB1BD2"/>
    <w:rsid w:val="00FB2477"/>
    <w:rsid w:val="00FB317C"/>
    <w:rsid w:val="00FB355A"/>
    <w:rsid w:val="00FB3B61"/>
    <w:rsid w:val="00FB40D4"/>
    <w:rsid w:val="00FB5197"/>
    <w:rsid w:val="00FB6192"/>
    <w:rsid w:val="00FB72ED"/>
    <w:rsid w:val="00FC1555"/>
    <w:rsid w:val="00FC265C"/>
    <w:rsid w:val="00FC2EB8"/>
    <w:rsid w:val="00FC35A0"/>
    <w:rsid w:val="00FC363F"/>
    <w:rsid w:val="00FC3BF1"/>
    <w:rsid w:val="00FC460B"/>
    <w:rsid w:val="00FC58A3"/>
    <w:rsid w:val="00FC5EAB"/>
    <w:rsid w:val="00FC638A"/>
    <w:rsid w:val="00FC6C11"/>
    <w:rsid w:val="00FC6FD9"/>
    <w:rsid w:val="00FC74FE"/>
    <w:rsid w:val="00FC7B15"/>
    <w:rsid w:val="00FD053F"/>
    <w:rsid w:val="00FD0DF1"/>
    <w:rsid w:val="00FD1436"/>
    <w:rsid w:val="00FD170F"/>
    <w:rsid w:val="00FD2936"/>
    <w:rsid w:val="00FD532A"/>
    <w:rsid w:val="00FD5779"/>
    <w:rsid w:val="00FD5CCE"/>
    <w:rsid w:val="00FD7809"/>
    <w:rsid w:val="00FE02D8"/>
    <w:rsid w:val="00FE0338"/>
    <w:rsid w:val="00FE0D8E"/>
    <w:rsid w:val="00FE162F"/>
    <w:rsid w:val="00FE2295"/>
    <w:rsid w:val="00FE355D"/>
    <w:rsid w:val="00FE4451"/>
    <w:rsid w:val="00FE6328"/>
    <w:rsid w:val="00FE768C"/>
    <w:rsid w:val="00FE7DCA"/>
    <w:rsid w:val="00FF0B71"/>
    <w:rsid w:val="00FF0C7C"/>
    <w:rsid w:val="00FF112B"/>
    <w:rsid w:val="00FF13FD"/>
    <w:rsid w:val="00FF140D"/>
    <w:rsid w:val="00FF1CBE"/>
    <w:rsid w:val="00FF4999"/>
    <w:rsid w:val="00FF4C1E"/>
    <w:rsid w:val="00FF4DEE"/>
    <w:rsid w:val="00FF4F5A"/>
    <w:rsid w:val="00FF622D"/>
    <w:rsid w:val="00FF6467"/>
    <w:rsid w:val="00FF66E5"/>
    <w:rsid w:val="00FF77AD"/>
    <w:rsid w:val="00FF796E"/>
    <w:rsid w:val="00FF7C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E0155"/>
  <w15:docId w15:val="{35626140-F51D-4B5C-A29B-7DAD7FBD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uiPriority w:val="99"/>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 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
    <w:uiPriority w:val="99"/>
    <w:unhideWhenUsed/>
    <w:rsid w:val="00E22704"/>
    <w:pPr>
      <w:tabs>
        <w:tab w:val="center" w:pos="4536"/>
        <w:tab w:val="right" w:pos="9072"/>
      </w:tabs>
    </w:pPr>
    <w:rPr>
      <w:lang w:eastAsia="en-US"/>
    </w:rPr>
  </w:style>
  <w:style w:type="character" w:customStyle="1" w:styleId="AltBilgiChar">
    <w:name w:val="Alt Bilgi Char"/>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536E9E"/>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1">
    <w:name w:val="1"/>
    <w:basedOn w:val="Normal"/>
    <w:next w:val="AltBilgi"/>
    <w:link w:val="AltbilgiChar0"/>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0">
    <w:name w:val="Altbilgi Char"/>
    <w:link w:val="1"/>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character" w:styleId="zlenenKpr">
    <w:name w:val="FollowedHyperlink"/>
    <w:basedOn w:val="VarsaylanParagrafYazTipi"/>
    <w:uiPriority w:val="99"/>
    <w:semiHidden/>
    <w:unhideWhenUsed/>
    <w:rsid w:val="00885ADF"/>
    <w:rPr>
      <w:color w:val="954F72" w:themeColor="followedHyperlink"/>
      <w:u w:val="single"/>
    </w:rPr>
  </w:style>
  <w:style w:type="paragraph" w:customStyle="1" w:styleId="metin">
    <w:name w:val="metin"/>
    <w:basedOn w:val="Normal"/>
    <w:rsid w:val="00536E9E"/>
    <w:pPr>
      <w:spacing w:before="100" w:beforeAutospacing="1" w:after="100" w:afterAutospacing="1"/>
    </w:pPr>
  </w:style>
  <w:style w:type="paragraph" w:styleId="Altyaz">
    <w:name w:val="Subtitle"/>
    <w:basedOn w:val="Normal"/>
    <w:next w:val="Normal"/>
    <w:link w:val="AltyazChar"/>
    <w:qFormat/>
    <w:rsid w:val="00B65716"/>
    <w:pPr>
      <w:spacing w:after="60"/>
      <w:jc w:val="center"/>
      <w:outlineLvl w:val="1"/>
    </w:pPr>
    <w:rPr>
      <w:rFonts w:ascii="Calibri Light" w:hAnsi="Calibri Light"/>
      <w:sz w:val="20"/>
      <w:szCs w:val="20"/>
    </w:rPr>
  </w:style>
  <w:style w:type="character" w:customStyle="1" w:styleId="AltyazChar">
    <w:name w:val="Altyazı Char"/>
    <w:basedOn w:val="VarsaylanParagrafYazTipi"/>
    <w:link w:val="Altyaz"/>
    <w:rsid w:val="00B65716"/>
    <w:rPr>
      <w:rFonts w:ascii="Calibri Light" w:eastAsia="Times New Roman" w:hAnsi="Calibri Light" w:cs="Times New Roman"/>
      <w:sz w:val="20"/>
      <w:szCs w:val="20"/>
      <w:lang w:eastAsia="tr-TR"/>
    </w:rPr>
  </w:style>
  <w:style w:type="character" w:styleId="KitapBal">
    <w:name w:val="Book Title"/>
    <w:basedOn w:val="VarsaylanParagrafYazTipi"/>
    <w:uiPriority w:val="33"/>
    <w:qFormat/>
    <w:rsid w:val="00B65716"/>
    <w:rPr>
      <w:rFonts w:ascii="Times New Roman" w:hAnsi="Times New Roman"/>
      <w:b/>
      <w:bCs/>
      <w:iCs/>
      <w:spacing w:val="0"/>
      <w:sz w:val="24"/>
    </w:rPr>
  </w:style>
  <w:style w:type="numbering" w:customStyle="1" w:styleId="Stil1">
    <w:name w:val="Stil1"/>
    <w:uiPriority w:val="99"/>
    <w:rsid w:val="00AD7C18"/>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31556787">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171409101">
      <w:bodyDiv w:val="1"/>
      <w:marLeft w:val="0"/>
      <w:marRight w:val="0"/>
      <w:marTop w:val="0"/>
      <w:marBottom w:val="0"/>
      <w:divBdr>
        <w:top w:val="none" w:sz="0" w:space="0" w:color="auto"/>
        <w:left w:val="none" w:sz="0" w:space="0" w:color="auto"/>
        <w:bottom w:val="none" w:sz="0" w:space="0" w:color="auto"/>
        <w:right w:val="none" w:sz="0" w:space="0" w:color="auto"/>
      </w:divBdr>
    </w:div>
    <w:div w:id="329993335">
      <w:bodyDiv w:val="1"/>
      <w:marLeft w:val="0"/>
      <w:marRight w:val="0"/>
      <w:marTop w:val="0"/>
      <w:marBottom w:val="0"/>
      <w:divBdr>
        <w:top w:val="none" w:sz="0" w:space="0" w:color="auto"/>
        <w:left w:val="none" w:sz="0" w:space="0" w:color="auto"/>
        <w:bottom w:val="none" w:sz="0" w:space="0" w:color="auto"/>
        <w:right w:val="none" w:sz="0" w:space="0" w:color="auto"/>
      </w:divBdr>
    </w:div>
    <w:div w:id="349307239">
      <w:bodyDiv w:val="1"/>
      <w:marLeft w:val="0"/>
      <w:marRight w:val="0"/>
      <w:marTop w:val="0"/>
      <w:marBottom w:val="0"/>
      <w:divBdr>
        <w:top w:val="none" w:sz="0" w:space="0" w:color="auto"/>
        <w:left w:val="none" w:sz="0" w:space="0" w:color="auto"/>
        <w:bottom w:val="none" w:sz="0" w:space="0" w:color="auto"/>
        <w:right w:val="none" w:sz="0" w:space="0" w:color="auto"/>
      </w:divBdr>
    </w:div>
    <w:div w:id="416639142">
      <w:bodyDiv w:val="1"/>
      <w:marLeft w:val="0"/>
      <w:marRight w:val="0"/>
      <w:marTop w:val="0"/>
      <w:marBottom w:val="0"/>
      <w:divBdr>
        <w:top w:val="none" w:sz="0" w:space="0" w:color="auto"/>
        <w:left w:val="none" w:sz="0" w:space="0" w:color="auto"/>
        <w:bottom w:val="none" w:sz="0" w:space="0" w:color="auto"/>
        <w:right w:val="none" w:sz="0" w:space="0" w:color="auto"/>
      </w:divBdr>
    </w:div>
    <w:div w:id="458652532">
      <w:bodyDiv w:val="1"/>
      <w:marLeft w:val="0"/>
      <w:marRight w:val="0"/>
      <w:marTop w:val="0"/>
      <w:marBottom w:val="0"/>
      <w:divBdr>
        <w:top w:val="none" w:sz="0" w:space="0" w:color="auto"/>
        <w:left w:val="none" w:sz="0" w:space="0" w:color="auto"/>
        <w:bottom w:val="none" w:sz="0" w:space="0" w:color="auto"/>
        <w:right w:val="none" w:sz="0" w:space="0" w:color="auto"/>
      </w:divBdr>
    </w:div>
    <w:div w:id="459302777">
      <w:bodyDiv w:val="1"/>
      <w:marLeft w:val="0"/>
      <w:marRight w:val="0"/>
      <w:marTop w:val="0"/>
      <w:marBottom w:val="0"/>
      <w:divBdr>
        <w:top w:val="none" w:sz="0" w:space="0" w:color="auto"/>
        <w:left w:val="none" w:sz="0" w:space="0" w:color="auto"/>
        <w:bottom w:val="none" w:sz="0" w:space="0" w:color="auto"/>
        <w:right w:val="none" w:sz="0" w:space="0" w:color="auto"/>
      </w:divBdr>
    </w:div>
    <w:div w:id="459306921">
      <w:bodyDiv w:val="1"/>
      <w:marLeft w:val="0"/>
      <w:marRight w:val="0"/>
      <w:marTop w:val="0"/>
      <w:marBottom w:val="0"/>
      <w:divBdr>
        <w:top w:val="none" w:sz="0" w:space="0" w:color="auto"/>
        <w:left w:val="none" w:sz="0" w:space="0" w:color="auto"/>
        <w:bottom w:val="none" w:sz="0" w:space="0" w:color="auto"/>
        <w:right w:val="none" w:sz="0" w:space="0" w:color="auto"/>
      </w:divBdr>
    </w:div>
    <w:div w:id="470370885">
      <w:bodyDiv w:val="1"/>
      <w:marLeft w:val="0"/>
      <w:marRight w:val="0"/>
      <w:marTop w:val="0"/>
      <w:marBottom w:val="0"/>
      <w:divBdr>
        <w:top w:val="none" w:sz="0" w:space="0" w:color="auto"/>
        <w:left w:val="none" w:sz="0" w:space="0" w:color="auto"/>
        <w:bottom w:val="none" w:sz="0" w:space="0" w:color="auto"/>
        <w:right w:val="none" w:sz="0" w:space="0" w:color="auto"/>
      </w:divBdr>
    </w:div>
    <w:div w:id="483425524">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29073875">
      <w:bodyDiv w:val="1"/>
      <w:marLeft w:val="0"/>
      <w:marRight w:val="0"/>
      <w:marTop w:val="0"/>
      <w:marBottom w:val="0"/>
      <w:divBdr>
        <w:top w:val="none" w:sz="0" w:space="0" w:color="auto"/>
        <w:left w:val="none" w:sz="0" w:space="0" w:color="auto"/>
        <w:bottom w:val="none" w:sz="0" w:space="0" w:color="auto"/>
        <w:right w:val="none" w:sz="0" w:space="0" w:color="auto"/>
      </w:divBdr>
    </w:div>
    <w:div w:id="532813991">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580212512">
      <w:bodyDiv w:val="1"/>
      <w:marLeft w:val="0"/>
      <w:marRight w:val="0"/>
      <w:marTop w:val="0"/>
      <w:marBottom w:val="0"/>
      <w:divBdr>
        <w:top w:val="none" w:sz="0" w:space="0" w:color="auto"/>
        <w:left w:val="none" w:sz="0" w:space="0" w:color="auto"/>
        <w:bottom w:val="none" w:sz="0" w:space="0" w:color="auto"/>
        <w:right w:val="none" w:sz="0" w:space="0" w:color="auto"/>
      </w:divBdr>
    </w:div>
    <w:div w:id="583337465">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94367698">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44713528">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00477637">
      <w:bodyDiv w:val="1"/>
      <w:marLeft w:val="0"/>
      <w:marRight w:val="0"/>
      <w:marTop w:val="0"/>
      <w:marBottom w:val="0"/>
      <w:divBdr>
        <w:top w:val="none" w:sz="0" w:space="0" w:color="auto"/>
        <w:left w:val="none" w:sz="0" w:space="0" w:color="auto"/>
        <w:bottom w:val="none" w:sz="0" w:space="0" w:color="auto"/>
        <w:right w:val="none" w:sz="0" w:space="0" w:color="auto"/>
      </w:divBdr>
    </w:div>
    <w:div w:id="946546500">
      <w:bodyDiv w:val="1"/>
      <w:marLeft w:val="0"/>
      <w:marRight w:val="0"/>
      <w:marTop w:val="0"/>
      <w:marBottom w:val="0"/>
      <w:divBdr>
        <w:top w:val="none" w:sz="0" w:space="0" w:color="auto"/>
        <w:left w:val="none" w:sz="0" w:space="0" w:color="auto"/>
        <w:bottom w:val="none" w:sz="0" w:space="0" w:color="auto"/>
        <w:right w:val="none" w:sz="0" w:space="0" w:color="auto"/>
      </w:divBdr>
    </w:div>
    <w:div w:id="1050812513">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36091434">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64597189">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33361273">
      <w:bodyDiv w:val="1"/>
      <w:marLeft w:val="0"/>
      <w:marRight w:val="0"/>
      <w:marTop w:val="0"/>
      <w:marBottom w:val="0"/>
      <w:divBdr>
        <w:top w:val="none" w:sz="0" w:space="0" w:color="auto"/>
        <w:left w:val="none" w:sz="0" w:space="0" w:color="auto"/>
        <w:bottom w:val="none" w:sz="0" w:space="0" w:color="auto"/>
        <w:right w:val="none" w:sz="0" w:space="0" w:color="auto"/>
      </w:divBdr>
    </w:div>
    <w:div w:id="1434395256">
      <w:bodyDiv w:val="1"/>
      <w:marLeft w:val="0"/>
      <w:marRight w:val="0"/>
      <w:marTop w:val="0"/>
      <w:marBottom w:val="0"/>
      <w:divBdr>
        <w:top w:val="none" w:sz="0" w:space="0" w:color="auto"/>
        <w:left w:val="none" w:sz="0" w:space="0" w:color="auto"/>
        <w:bottom w:val="none" w:sz="0" w:space="0" w:color="auto"/>
        <w:right w:val="none" w:sz="0" w:space="0" w:color="auto"/>
      </w:divBdr>
    </w:div>
    <w:div w:id="1435322177">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67764025">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16762184">
      <w:bodyDiv w:val="1"/>
      <w:marLeft w:val="0"/>
      <w:marRight w:val="0"/>
      <w:marTop w:val="0"/>
      <w:marBottom w:val="0"/>
      <w:divBdr>
        <w:top w:val="none" w:sz="0" w:space="0" w:color="auto"/>
        <w:left w:val="none" w:sz="0" w:space="0" w:color="auto"/>
        <w:bottom w:val="none" w:sz="0" w:space="0" w:color="auto"/>
        <w:right w:val="none" w:sz="0" w:space="0" w:color="auto"/>
      </w:divBdr>
    </w:div>
    <w:div w:id="2034261734">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08856889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52EFA-AEFE-4541-A83C-AFFC2A090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1663</TotalTime>
  <Pages>1</Pages>
  <Words>5005</Words>
  <Characters>28532</Characters>
  <Application>Microsoft Office Word</Application>
  <DocSecurity>0</DocSecurity>
  <Lines>237</Lines>
  <Paragraphs>66</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33471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subject/>
  <dc:creator>Merve YALÇIN ERDİL</dc:creator>
  <cp:keywords/>
  <dc:description/>
  <cp:lastModifiedBy>Kübra KURTULUŞ</cp:lastModifiedBy>
  <cp:revision>280</cp:revision>
  <cp:lastPrinted>2024-12-06T08:43:00Z</cp:lastPrinted>
  <dcterms:created xsi:type="dcterms:W3CDTF">2023-10-02T10:13:00Z</dcterms:created>
  <dcterms:modified xsi:type="dcterms:W3CDTF">2025-06-23T06:27:00Z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user=23456064808</vt:lpwstr>
  </property>
  <property fmtid="{D5CDD505-2E9C-101B-9397-08002B2CF9AE}" pid="4" name="geodilabeltime">
    <vt:lpwstr>datetime=2024-03-18T12:29:54.291Z</vt:lpwstr>
  </property>
</Properties>
</file>