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5E0A1F" w14:textId="77777777" w:rsidR="00DF7AB1" w:rsidRDefault="00DF7AB1" w:rsidP="00E90AE7">
      <w:pPr>
        <w:spacing w:line="216" w:lineRule="auto"/>
        <w:rPr>
          <w:b/>
          <w:caps/>
        </w:rPr>
      </w:pPr>
      <w:r w:rsidRPr="00E90AE7">
        <w:rPr>
          <w:b/>
          <w:caps/>
        </w:rPr>
        <w:t>EK:</w:t>
      </w:r>
    </w:p>
    <w:p w14:paraId="66AC86AD" w14:textId="77777777" w:rsidR="00056AA1" w:rsidRPr="00E90AE7" w:rsidRDefault="00056AA1" w:rsidP="00E90AE7">
      <w:pPr>
        <w:spacing w:line="216" w:lineRule="auto"/>
        <w:rPr>
          <w:b/>
          <w:caps/>
        </w:rPr>
      </w:pPr>
    </w:p>
    <w:p w14:paraId="6EB72FEF" w14:textId="77777777" w:rsidR="00DF7AB1" w:rsidRPr="00E90AE7" w:rsidRDefault="00372C31" w:rsidP="00E90AE7">
      <w:pPr>
        <w:spacing w:line="216" w:lineRule="auto"/>
        <w:jc w:val="center"/>
        <w:rPr>
          <w:b/>
          <w:caps/>
        </w:rPr>
      </w:pPr>
      <w:r w:rsidRPr="00E90AE7">
        <w:rPr>
          <w:b/>
          <w:caps/>
        </w:rPr>
        <w:t>202</w:t>
      </w:r>
      <w:r w:rsidR="00A92DC6" w:rsidRPr="00E90AE7">
        <w:rPr>
          <w:b/>
          <w:caps/>
        </w:rPr>
        <w:t>4</w:t>
      </w:r>
      <w:r w:rsidR="00DF7AB1" w:rsidRPr="00E90AE7">
        <w:rPr>
          <w:b/>
          <w:caps/>
        </w:rPr>
        <w:t>/</w:t>
      </w:r>
      <w:r w:rsidR="004C6841">
        <w:rPr>
          <w:b/>
          <w:caps/>
        </w:rPr>
        <w:t>11</w:t>
      </w:r>
      <w:r w:rsidR="00DF7AB1" w:rsidRPr="00E90AE7">
        <w:rPr>
          <w:b/>
          <w:caps/>
        </w:rPr>
        <w:t xml:space="preserve"> SaYILI İTHALATTA HAKSIZ REKABETİN ÖNLENMESİNE İLİŞKİN TEBLİĞE DAİR BİLGİLENDİRME RAPORU</w:t>
      </w:r>
    </w:p>
    <w:p w14:paraId="04B6DA97" w14:textId="77777777" w:rsidR="00DF7AB1" w:rsidRPr="00E90AE7" w:rsidRDefault="00DF7AB1" w:rsidP="00E90AE7">
      <w:pPr>
        <w:spacing w:line="216" w:lineRule="auto"/>
        <w:jc w:val="center"/>
        <w:rPr>
          <w:b/>
          <w:caps/>
        </w:rPr>
      </w:pPr>
    </w:p>
    <w:p w14:paraId="75EC8295" w14:textId="77777777" w:rsidR="00585166" w:rsidRPr="00AB6C21" w:rsidRDefault="00585166" w:rsidP="00585166">
      <w:pPr>
        <w:spacing w:line="216" w:lineRule="auto"/>
        <w:rPr>
          <w:b/>
          <w:caps/>
        </w:rPr>
      </w:pPr>
      <w:r w:rsidRPr="00AB6C21">
        <w:rPr>
          <w:b/>
          <w:caps/>
        </w:rPr>
        <w:t>1. GEnel BİLgi ve işlemler</w:t>
      </w:r>
    </w:p>
    <w:p w14:paraId="0D5A8305" w14:textId="77777777" w:rsidR="00585166" w:rsidRPr="00AB6C21" w:rsidRDefault="00585166" w:rsidP="00585166">
      <w:pPr>
        <w:spacing w:line="216" w:lineRule="auto"/>
        <w:rPr>
          <w:b/>
          <w:caps/>
        </w:rPr>
      </w:pPr>
    </w:p>
    <w:p w14:paraId="64611814" w14:textId="77777777" w:rsidR="00585166" w:rsidRPr="00AB6C21" w:rsidRDefault="00585166" w:rsidP="00585166">
      <w:pPr>
        <w:numPr>
          <w:ilvl w:val="1"/>
          <w:numId w:val="5"/>
        </w:numPr>
        <w:spacing w:line="216" w:lineRule="auto"/>
        <w:rPr>
          <w:b/>
        </w:rPr>
      </w:pPr>
      <w:r w:rsidRPr="00AB6C21">
        <w:rPr>
          <w:b/>
        </w:rPr>
        <w:t>Kapsam ve yasal dayanak</w:t>
      </w:r>
    </w:p>
    <w:p w14:paraId="7BE5991E" w14:textId="77777777" w:rsidR="00585166" w:rsidRPr="00AB6C21" w:rsidRDefault="00585166" w:rsidP="00585166">
      <w:pPr>
        <w:spacing w:line="216" w:lineRule="auto"/>
        <w:ind w:left="420"/>
        <w:rPr>
          <w:b/>
          <w:caps/>
        </w:rPr>
      </w:pPr>
    </w:p>
    <w:p w14:paraId="32301CA5" w14:textId="77777777" w:rsidR="00585166" w:rsidRPr="00AB6C21" w:rsidRDefault="00585166" w:rsidP="00585166">
      <w:pPr>
        <w:spacing w:line="216" w:lineRule="auto"/>
        <w:jc w:val="both"/>
        <w:rPr>
          <w:color w:val="000000"/>
        </w:rPr>
      </w:pPr>
      <w:r w:rsidRPr="00AB6C21">
        <w:t xml:space="preserve">(1) Bu rapor, </w:t>
      </w:r>
      <w:r w:rsidRPr="00AB6C21">
        <w:rPr>
          <w:color w:val="000000"/>
        </w:rPr>
        <w:t xml:space="preserve">14/6/1989 tarihli ve 3577 sayılı İthalatta Haksız Rekabetin Önlenmesi Hakkında Kanun, 20/10/1999 tarihli ve 99/13482 sayılı Bakanlar Kurulu Kararı ile yürürlüğe konulan İthalatta Haksız Rekabetin Önlenmesi Hakkında Karar ve 30/10/1999 tarihli ve 23861 sayılı Resmî </w:t>
      </w:r>
      <w:proofErr w:type="spellStart"/>
      <w:r w:rsidRPr="00AB6C21">
        <w:rPr>
          <w:color w:val="000000"/>
        </w:rPr>
        <w:t>Gazete’de</w:t>
      </w:r>
      <w:proofErr w:type="spellEnd"/>
      <w:r w:rsidRPr="00AB6C21">
        <w:rPr>
          <w:color w:val="000000"/>
        </w:rPr>
        <w:t xml:space="preserve"> yayımlanan İthalatta Haksız Rekabetin Önlenmesi Hakkında Yönetmelik (Yönetmelik) hükümleri çerçevesinde yürütülen nihai gözden geçirme soruşturması (NGGS) sonucunda alınacak karara esas teşkil edecek bilgi ve bulguları içermektedir.</w:t>
      </w:r>
    </w:p>
    <w:p w14:paraId="7AC7AC72" w14:textId="77777777" w:rsidR="00585166" w:rsidRPr="00AB6C21" w:rsidRDefault="00585166" w:rsidP="00585166">
      <w:pPr>
        <w:spacing w:line="216" w:lineRule="auto"/>
        <w:jc w:val="both"/>
        <w:rPr>
          <w:color w:val="000000"/>
        </w:rPr>
      </w:pPr>
    </w:p>
    <w:p w14:paraId="592F8EB1" w14:textId="77777777" w:rsidR="00585166" w:rsidRPr="00AB6C21" w:rsidRDefault="00585166" w:rsidP="00585166">
      <w:pPr>
        <w:numPr>
          <w:ilvl w:val="1"/>
          <w:numId w:val="5"/>
        </w:numPr>
        <w:spacing w:line="216" w:lineRule="auto"/>
        <w:rPr>
          <w:b/>
        </w:rPr>
      </w:pPr>
      <w:r w:rsidRPr="00AB6C21">
        <w:rPr>
          <w:b/>
        </w:rPr>
        <w:t xml:space="preserve">Mevcut önlem ve geçmişi </w:t>
      </w:r>
    </w:p>
    <w:p w14:paraId="1082111E" w14:textId="77777777" w:rsidR="00585166" w:rsidRPr="00AB6C21" w:rsidRDefault="00585166" w:rsidP="00585166">
      <w:pPr>
        <w:spacing w:line="216" w:lineRule="auto"/>
        <w:ind w:left="420"/>
        <w:rPr>
          <w:b/>
          <w:caps/>
        </w:rPr>
      </w:pPr>
    </w:p>
    <w:p w14:paraId="68D76631" w14:textId="2196A580" w:rsidR="00585166" w:rsidRPr="00AB6C21" w:rsidRDefault="00585166" w:rsidP="00585166">
      <w:pPr>
        <w:spacing w:line="216" w:lineRule="auto"/>
        <w:jc w:val="both"/>
      </w:pPr>
      <w:bookmarkStart w:id="0" w:name="_Toc12439888"/>
      <w:r w:rsidRPr="00AB6C21">
        <w:t>(1) Brezilya Federatif Cumhuriyeti (Brezilya) ve Çin Halk Cumhuriyeti (ÇHC) menşeli “demir veya çelikten boru bağlantı parçaları” ürünü ithalatı için 13/7/1999 tarih</w:t>
      </w:r>
      <w:r w:rsidR="001B4B3A">
        <w:t>li</w:t>
      </w:r>
      <w:r w:rsidRPr="00AB6C21">
        <w:t xml:space="preserve"> ve 23754 sayılı Resmî </w:t>
      </w:r>
      <w:proofErr w:type="spellStart"/>
      <w:r w:rsidRPr="00AB6C21">
        <w:t>Gazete</w:t>
      </w:r>
      <w:r w:rsidR="00C0700D">
        <w:t>’</w:t>
      </w:r>
      <w:r w:rsidRPr="00AB6C21">
        <w:t>de</w:t>
      </w:r>
      <w:proofErr w:type="spellEnd"/>
      <w:r w:rsidRPr="00AB6C21">
        <w:t xml:space="preserve"> yayımlanan İthalatta Haksız Rekabetin Önlenmesine İlişkin</w:t>
      </w:r>
      <w:r w:rsidR="001B4B3A">
        <w:t xml:space="preserve"> </w:t>
      </w:r>
      <w:r w:rsidRPr="00AB6C21">
        <w:t>Tebliğ</w:t>
      </w:r>
      <w:r w:rsidR="001B4B3A">
        <w:t xml:space="preserve"> (99/4)</w:t>
      </w:r>
      <w:r w:rsidRPr="00AB6C21">
        <w:t xml:space="preserve"> ile başlatılan damping soruşturması neticesinde, 27/4/2000 tarihli ve 24032 sayılı Resmî </w:t>
      </w:r>
      <w:proofErr w:type="spellStart"/>
      <w:r w:rsidRPr="00AB6C21">
        <w:t>Gazete’de</w:t>
      </w:r>
      <w:proofErr w:type="spellEnd"/>
      <w:r w:rsidRPr="00AB6C21">
        <w:t xml:space="preserve"> yayımlanan İthalatta Haksız Rekabetin Önlenmesine İlişkin Tebliğ (Tebliğ No: 2000/3) ile 7307.19 gümrük tarife pozisyonu (GTP) altında kayıtlı “</w:t>
      </w:r>
      <w:r>
        <w:t>d</w:t>
      </w:r>
      <w:r w:rsidRPr="00AB6C21">
        <w:t>iğerleri” (boru bağlantı parçaları) ithalatının Brezilya</w:t>
      </w:r>
      <w:r>
        <w:t xml:space="preserve"> </w:t>
      </w:r>
      <w:r w:rsidRPr="00AB6C21">
        <w:t xml:space="preserve">menşeli olanlarına karşı CIF bedelin %50’si oranında, ÇHC menşeli olanlarına karşı CIF bedelin %95’i oranında dampinge karşı önlem yürürlüğe konulmuştur. 7/9/2006 tarihli ve 26282 sayılı Resmî </w:t>
      </w:r>
      <w:proofErr w:type="spellStart"/>
      <w:r w:rsidRPr="00AB6C21">
        <w:t>Gazete’de</w:t>
      </w:r>
      <w:proofErr w:type="spellEnd"/>
      <w:r w:rsidRPr="00AB6C21">
        <w:t xml:space="preserve"> yayımlanan İthalatta Haksız Rekabetin Önlenmesine İlişkin Tebliğ (Tebliğ No: 2006/23) ile tamamlanan ilk NGGS çerçevesinde bahse konu önlem, Brezilya menşeli ürün ithalatına karşı ton başına 400 ABD doları, ÇHC menşeli ürün ithalatına karşı ton başına 800 ABD doları olarak değiştirilerek devam ettirilmiştir.</w:t>
      </w:r>
    </w:p>
    <w:p w14:paraId="2A784BC8" w14:textId="77777777" w:rsidR="00585166" w:rsidRPr="00AB6C21" w:rsidRDefault="00585166" w:rsidP="00585166">
      <w:pPr>
        <w:spacing w:line="216" w:lineRule="auto"/>
        <w:jc w:val="both"/>
      </w:pPr>
    </w:p>
    <w:p w14:paraId="63FFF34C" w14:textId="77777777" w:rsidR="00585166" w:rsidRPr="00AB6C21" w:rsidRDefault="00585166" w:rsidP="00585166">
      <w:pPr>
        <w:spacing w:line="216" w:lineRule="auto"/>
        <w:jc w:val="both"/>
      </w:pPr>
      <w:r w:rsidRPr="00AB6C21">
        <w:t xml:space="preserve">(2) Öte yandan, 27/4/2005 tarihli ve 25798 sayılı Resmî </w:t>
      </w:r>
      <w:proofErr w:type="spellStart"/>
      <w:r w:rsidRPr="00AB6C21">
        <w:t>Gazete’de</w:t>
      </w:r>
      <w:proofErr w:type="spellEnd"/>
      <w:r w:rsidRPr="00AB6C21">
        <w:t xml:space="preserve"> yayımlanan  İthalatta Haksız Rekabetin Önlenmesine İlişkin Tebliğ (Tebliğ No: 2005/10) ile başlatılan damping soruşturması neticesinde, 7/9/2006 tarihli ve 26282 sayılı Resmî </w:t>
      </w:r>
      <w:proofErr w:type="spellStart"/>
      <w:r w:rsidRPr="00AB6C21">
        <w:t>Gazete’de</w:t>
      </w:r>
      <w:proofErr w:type="spellEnd"/>
      <w:r w:rsidRPr="00AB6C21">
        <w:t> yayımlanan  İthalatta Haksız Rekabetin Önlenmesine İlişkin Tebliğ (Tebliğ No: 2006/24) ile 7307.19 GTP altında kayıtlı “</w:t>
      </w:r>
      <w:r>
        <w:t>d</w:t>
      </w:r>
      <w:r w:rsidRPr="00AB6C21">
        <w:t xml:space="preserve">iğerleri” (boru bağlantı parçaları) ithalatının Bulgaristan Cumhuriyeti (Bulgaristan) menşeli olanlarına karşı ton başına 400 ABD doları, Endonezya Cumhuriyeti (Endonezya) menşeli olanlarına karşı ton başına 253 ABD doları ile 400 ABD doları olarak firma bazında değişen miktarlarda, Hindistan Cumhuriyeti (Hindistan) menşeli olanlarına karşı ton başına 305 ABD doları ile 400 ABD doları olarak firma bazında değişen miktarlarda, Sırbistan-Karadağ Cumhuriyeti menşeli olanlarına karşı ton başına 400 ABD doları, Tayland Krallığı (Tayland) menşeli olanlarına karşı ton başına 147 ABD doları ila 400 ABD doları olarak firma bazında değişen miktarlarda dampinge karşı önlem yürürlüğe konulmuştur. </w:t>
      </w:r>
    </w:p>
    <w:p w14:paraId="6D259AED" w14:textId="77777777" w:rsidR="00585166" w:rsidRPr="00AB6C21" w:rsidRDefault="00585166" w:rsidP="00585166">
      <w:pPr>
        <w:spacing w:line="216" w:lineRule="auto"/>
        <w:jc w:val="both"/>
      </w:pPr>
    </w:p>
    <w:p w14:paraId="56B55AA6" w14:textId="77777777" w:rsidR="00585166" w:rsidRPr="00AB6C21" w:rsidRDefault="00585166" w:rsidP="00585166">
      <w:pPr>
        <w:spacing w:line="216" w:lineRule="auto"/>
        <w:jc w:val="both"/>
      </w:pPr>
      <w:r w:rsidRPr="00AB6C21">
        <w:t xml:space="preserve">(3) 22/5/2012 tarihli ve 28300 sayılı Resmî </w:t>
      </w:r>
      <w:proofErr w:type="spellStart"/>
      <w:r w:rsidRPr="00AB6C21">
        <w:t>Gazete’de</w:t>
      </w:r>
      <w:proofErr w:type="spellEnd"/>
      <w:r w:rsidRPr="00AB6C21">
        <w:t xml:space="preserve"> yayımlanan İthalatta Haksız Rekabetin Önlenmesine İlişkin Tebliğ (Tebliğ No: 2012/10) ile sonuçlanan NGGS neticesinde, 7307.19 GTP altında kayıtlı “</w:t>
      </w:r>
      <w:r>
        <w:t>d</w:t>
      </w:r>
      <w:r w:rsidRPr="00AB6C21">
        <w:t>iğerleri” (boru bağlantı parçaları) ithalatının ÇHC, Brezilya, Bulgaristan, Endonezya, Hindistan ve Tayland menşeli olanlarında bulunan dampinge karşı önlem aynı şekilde devam ettirilmiştir. Sırbistan-Karadağ Cumhuriyeti’ne yönelik dampinge karşı önlem ise 5 yıllık süre sonunda yürürlükten kalkmıştır.</w:t>
      </w:r>
    </w:p>
    <w:p w14:paraId="06638985" w14:textId="77777777" w:rsidR="00585166" w:rsidRPr="00AB6C21" w:rsidRDefault="00585166" w:rsidP="00585166">
      <w:pPr>
        <w:spacing w:line="216" w:lineRule="auto"/>
        <w:jc w:val="both"/>
      </w:pPr>
    </w:p>
    <w:p w14:paraId="339F666B" w14:textId="39057289" w:rsidR="00585166" w:rsidRDefault="00585166" w:rsidP="00585166">
      <w:pPr>
        <w:spacing w:line="216" w:lineRule="auto"/>
        <w:jc w:val="both"/>
      </w:pPr>
      <w:r w:rsidRPr="00AB6C21">
        <w:t>(</w:t>
      </w:r>
      <w:r>
        <w:t>4</w:t>
      </w:r>
      <w:r w:rsidRPr="00AB6C21">
        <w:t xml:space="preserve">) 21/4/2018 tarihli ve 30398 sayılı Resmî </w:t>
      </w:r>
      <w:proofErr w:type="spellStart"/>
      <w:r w:rsidRPr="00AB6C21">
        <w:t>Gazete’de</w:t>
      </w:r>
      <w:proofErr w:type="spellEnd"/>
      <w:r w:rsidRPr="00AB6C21">
        <w:t xml:space="preserve"> yayımlanan İthalatta Haksız Rekabetin Önlenmesine İlişkin Tebliğ (Tebliğ No: 2018/15) ile sonuçlanan NGGS neticesinde, 7307.19 GTP altında kayıtlı “</w:t>
      </w:r>
      <w:r>
        <w:t>d</w:t>
      </w:r>
      <w:r w:rsidRPr="00AB6C21">
        <w:t xml:space="preserve">iğerleri” (boru bağlantı parçaları) ithalatının ÇHC, Brezilya, Bulgaristan, Endonezya, Hindistan ve Tayland menşeli olanlarında bulunan dampinge karşı önlem aynı şekilde devam ettirilmiştir. </w:t>
      </w:r>
    </w:p>
    <w:p w14:paraId="2107BC2D" w14:textId="77777777" w:rsidR="00910218" w:rsidRDefault="00910218" w:rsidP="00585166">
      <w:pPr>
        <w:spacing w:line="216" w:lineRule="auto"/>
        <w:jc w:val="both"/>
      </w:pPr>
    </w:p>
    <w:p w14:paraId="0528EC12" w14:textId="77777777" w:rsidR="00585166" w:rsidRPr="00AB6C21" w:rsidRDefault="00585166" w:rsidP="00585166">
      <w:pPr>
        <w:spacing w:line="216" w:lineRule="auto"/>
        <w:jc w:val="both"/>
      </w:pPr>
    </w:p>
    <w:p w14:paraId="0DF50FD0" w14:textId="77777777" w:rsidR="00585166" w:rsidRPr="00AB6C21" w:rsidRDefault="00585166" w:rsidP="00585166">
      <w:pPr>
        <w:numPr>
          <w:ilvl w:val="1"/>
          <w:numId w:val="5"/>
        </w:numPr>
        <w:spacing w:line="216" w:lineRule="auto"/>
        <w:jc w:val="both"/>
        <w:rPr>
          <w:b/>
        </w:rPr>
      </w:pPr>
      <w:r w:rsidRPr="00AB6C21">
        <w:rPr>
          <w:b/>
        </w:rPr>
        <w:t>Soruşturma</w:t>
      </w:r>
      <w:bookmarkEnd w:id="0"/>
    </w:p>
    <w:p w14:paraId="0D6C448E" w14:textId="77777777" w:rsidR="00585166" w:rsidRPr="00AB6C21" w:rsidRDefault="00585166" w:rsidP="00585166">
      <w:pPr>
        <w:spacing w:line="216" w:lineRule="auto"/>
        <w:ind w:left="420"/>
        <w:jc w:val="both"/>
        <w:rPr>
          <w:b/>
        </w:rPr>
      </w:pPr>
    </w:p>
    <w:p w14:paraId="0D8EB296" w14:textId="77777777" w:rsidR="00585166" w:rsidRPr="00AB6C21" w:rsidRDefault="00585166" w:rsidP="00585166">
      <w:pPr>
        <w:spacing w:line="216" w:lineRule="auto"/>
        <w:jc w:val="both"/>
      </w:pPr>
      <w:r w:rsidRPr="00AB6C21">
        <w:t xml:space="preserve">(1) Yönetmeliğin 35 inci maddesinin ikinci fıkrası hükmünce, 4/8/2022 tarihli ve 31913 sayılı Resmî </w:t>
      </w:r>
      <w:proofErr w:type="spellStart"/>
      <w:r w:rsidRPr="00AB6C21">
        <w:t>Gazete’de</w:t>
      </w:r>
      <w:proofErr w:type="spellEnd"/>
      <w:r w:rsidRPr="00AB6C21">
        <w:t xml:space="preserve"> yayımlanan İthalatta Haksız Rekabetin Önlenmesine İlişkin Tebliğ (Tebliğ No: 2022/22) ile mevcut önlemin yürürlükte kalma süresinin sona ereceği tarih ilan edilmiştir. İlgili ürünün yerli üreticisi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14:paraId="3665E468" w14:textId="77777777" w:rsidR="00585166" w:rsidRPr="00AB6C21" w:rsidRDefault="00585166" w:rsidP="00585166">
      <w:pPr>
        <w:spacing w:line="216" w:lineRule="auto"/>
        <w:jc w:val="both"/>
      </w:pPr>
    </w:p>
    <w:p w14:paraId="7DF8414B" w14:textId="77777777" w:rsidR="00585166" w:rsidRPr="00AB6C21" w:rsidRDefault="00585166" w:rsidP="00585166">
      <w:pPr>
        <w:spacing w:line="216" w:lineRule="auto"/>
        <w:jc w:val="both"/>
      </w:pPr>
      <w:r w:rsidRPr="00AB6C21">
        <w:t>(2) Bu çerçevede, yerli üretici Trakya Döküm San. ve Tic. A.Ş. (Trakya Döküm), ÇHC, Brezilya, Bulgaristan, Endonezya, Hindistan ve Tayland menşeli “</w:t>
      </w:r>
      <w:r>
        <w:t>d</w:t>
      </w:r>
      <w:r w:rsidRPr="00AB6C21">
        <w:t>iğerleri” (boru bağlantı parçaları) ithalatına yönelik olarak bir NGGS açılması için başvuruda bulunmuştur.</w:t>
      </w:r>
    </w:p>
    <w:p w14:paraId="37EDE072" w14:textId="77777777" w:rsidR="00585166" w:rsidRPr="00AB6C21" w:rsidRDefault="00585166" w:rsidP="00585166">
      <w:pPr>
        <w:spacing w:line="216" w:lineRule="auto"/>
        <w:jc w:val="both"/>
      </w:pPr>
    </w:p>
    <w:p w14:paraId="3BC8352E" w14:textId="77777777" w:rsidR="00585166" w:rsidRPr="00AB6C21" w:rsidRDefault="00585166" w:rsidP="00585166">
      <w:pPr>
        <w:spacing w:line="216" w:lineRule="auto"/>
        <w:jc w:val="both"/>
      </w:pPr>
      <w:r w:rsidRPr="00AB6C21">
        <w:t>(3) Başvuru kapsamında sunulan bilgi ve belgeler, İthalatta Haksız Rekabeti Değerlendirme Kurulu (Kurul) tarafından değerlendirilmiş ve bir NGGS açılmasını haklı kılacak yeterlilikte delillerin mevcudiyetine kanaat getirilmiştir.</w:t>
      </w:r>
    </w:p>
    <w:p w14:paraId="0AACEF4B" w14:textId="77777777" w:rsidR="00585166" w:rsidRPr="00AB6C21" w:rsidRDefault="00585166" w:rsidP="00585166">
      <w:pPr>
        <w:spacing w:line="216" w:lineRule="auto"/>
        <w:jc w:val="both"/>
      </w:pPr>
    </w:p>
    <w:p w14:paraId="2764D1F6" w14:textId="77777777" w:rsidR="00585166" w:rsidRPr="00AB6C21" w:rsidRDefault="00585166" w:rsidP="00585166">
      <w:pPr>
        <w:spacing w:line="216" w:lineRule="auto"/>
        <w:jc w:val="both"/>
      </w:pPr>
      <w:r w:rsidRPr="00AB6C21">
        <w:t xml:space="preserve">(4) Bu çerçevede, 8/4/2023 tarihli ve 32157 sayılı Resmî </w:t>
      </w:r>
      <w:proofErr w:type="spellStart"/>
      <w:r w:rsidRPr="00AB6C21">
        <w:t>Gazete’de</w:t>
      </w:r>
      <w:proofErr w:type="spellEnd"/>
      <w:r w:rsidRPr="00AB6C21">
        <w:t xml:space="preserve"> yayımlanan İthalatta Haksız Rekabetin Önlenmesine İlişkin Tebliğ (Tebliğ No: 2023/13) ile ÇHC, Brezilya, Bulgaristan, Endonezya, Hindistan ve Tayland menşeli 7307.19 </w:t>
      </w:r>
      <w:proofErr w:type="spellStart"/>
      <w:r w:rsidRPr="00AB6C21">
        <w:t>GTP’i</w:t>
      </w:r>
      <w:proofErr w:type="spellEnd"/>
      <w:r w:rsidRPr="00AB6C21">
        <w:t xml:space="preserve"> altında kayıtlı “</w:t>
      </w:r>
      <w:r>
        <w:t>d</w:t>
      </w:r>
      <w:r w:rsidRPr="00AB6C21">
        <w:t>iğerleri” (boru bağlantı parçaları) ithalatına yönelik olarak bir NGGS açılmıştır.</w:t>
      </w:r>
    </w:p>
    <w:p w14:paraId="61D7894E" w14:textId="77777777" w:rsidR="00585166" w:rsidRPr="00AB6C21" w:rsidRDefault="00585166" w:rsidP="00585166">
      <w:pPr>
        <w:spacing w:line="216" w:lineRule="auto"/>
        <w:jc w:val="both"/>
      </w:pPr>
    </w:p>
    <w:p w14:paraId="24BB655B" w14:textId="77777777" w:rsidR="00585166" w:rsidRPr="00AB6C21" w:rsidRDefault="00585166" w:rsidP="00585166">
      <w:pPr>
        <w:spacing w:line="216" w:lineRule="auto"/>
        <w:jc w:val="both"/>
      </w:pPr>
      <w:r w:rsidRPr="00AB6C21">
        <w:t xml:space="preserve">(5) T.C. Ticaret Bakanlığı (Bakanlık) İthalat Genel Müdürlüğü (Genel Müdürlük) tarafından yürütülen </w:t>
      </w:r>
      <w:r>
        <w:t>soruşturma</w:t>
      </w:r>
      <w:r w:rsidRPr="00AB6C21">
        <w:t xml:space="preserve"> tamamlanmıştır.</w:t>
      </w:r>
    </w:p>
    <w:p w14:paraId="442C1CBD" w14:textId="77777777" w:rsidR="00E53D12" w:rsidRPr="00E90AE7" w:rsidRDefault="00E53D12" w:rsidP="00E90AE7">
      <w:pPr>
        <w:spacing w:line="216" w:lineRule="auto"/>
        <w:jc w:val="both"/>
        <w:rPr>
          <w:color w:val="0D0D0D" w:themeColor="text1" w:themeTint="F2"/>
        </w:rPr>
      </w:pPr>
    </w:p>
    <w:p w14:paraId="6B575FD7" w14:textId="77777777" w:rsidR="00DF7AB1" w:rsidRPr="00E90AE7" w:rsidRDefault="00DF7AB1" w:rsidP="00585166">
      <w:pPr>
        <w:pStyle w:val="Balk2"/>
        <w:numPr>
          <w:ilvl w:val="1"/>
          <w:numId w:val="5"/>
        </w:numPr>
        <w:spacing w:before="0" w:line="216" w:lineRule="auto"/>
        <w:rPr>
          <w:rFonts w:cs="Times New Roman"/>
        </w:rPr>
      </w:pPr>
      <w:r w:rsidRPr="00E90AE7">
        <w:rPr>
          <w:rFonts w:cs="Times New Roman"/>
        </w:rPr>
        <w:t>Yerli üretim dalının temsil niteliği</w:t>
      </w:r>
    </w:p>
    <w:p w14:paraId="1204AB80" w14:textId="77777777" w:rsidR="00AC7E9A" w:rsidRPr="00E90AE7" w:rsidRDefault="00AC7E9A" w:rsidP="00E90AE7">
      <w:pPr>
        <w:spacing w:line="216" w:lineRule="auto"/>
        <w:rPr>
          <w:lang w:eastAsia="en-US"/>
        </w:rPr>
      </w:pPr>
    </w:p>
    <w:p w14:paraId="583412A8" w14:textId="77777777" w:rsidR="001B2116" w:rsidRPr="00E90AE7" w:rsidRDefault="001B2116" w:rsidP="00E90AE7">
      <w:pPr>
        <w:spacing w:line="216" w:lineRule="auto"/>
        <w:jc w:val="both"/>
      </w:pPr>
      <w:r w:rsidRPr="00E90AE7">
        <w:t xml:space="preserve">(1) Yönetmeliğin 18 inci maddesi uyarınca, yerli üretim dalını temsil etme niteliğine sahip olan yerli üretici Trakya Döküm tarafından yapılan başvurunun, Yönetmeliğin 20 </w:t>
      </w:r>
      <w:proofErr w:type="spellStart"/>
      <w:r w:rsidRPr="00E90AE7">
        <w:t>nci</w:t>
      </w:r>
      <w:proofErr w:type="spellEnd"/>
      <w:r w:rsidRPr="00E90AE7">
        <w:t xml:space="preserve"> maddesi uyarınca yerli üretim dalı adına yapıldığı anlaşılmıştır. Anılan firma, bu raporun ilgili bölümlerinde “yerli üretim dalı” olarak anılacaktır.</w:t>
      </w:r>
    </w:p>
    <w:p w14:paraId="60BCA9F8" w14:textId="77777777" w:rsidR="00AC7E9A" w:rsidRPr="00E90AE7" w:rsidRDefault="00AC7E9A" w:rsidP="00E90AE7">
      <w:pPr>
        <w:spacing w:line="216" w:lineRule="auto"/>
        <w:jc w:val="both"/>
      </w:pPr>
    </w:p>
    <w:p w14:paraId="40D1815C" w14:textId="77777777" w:rsidR="00AC7E9A" w:rsidRPr="00E90AE7" w:rsidRDefault="00AC7E9A" w:rsidP="00585166">
      <w:pPr>
        <w:pStyle w:val="Balk2"/>
        <w:numPr>
          <w:ilvl w:val="1"/>
          <w:numId w:val="5"/>
        </w:numPr>
        <w:spacing w:before="0" w:line="216" w:lineRule="auto"/>
        <w:ind w:left="426"/>
        <w:rPr>
          <w:rFonts w:cs="Times New Roman"/>
        </w:rPr>
      </w:pPr>
      <w:r w:rsidRPr="00E90AE7">
        <w:rPr>
          <w:rFonts w:cs="Times New Roman"/>
        </w:rPr>
        <w:t>Soruşturma ve g</w:t>
      </w:r>
      <w:r w:rsidR="00DF7AB1" w:rsidRPr="00E90AE7">
        <w:rPr>
          <w:rFonts w:cs="Times New Roman"/>
        </w:rPr>
        <w:t>özden geçirme dönemi</w:t>
      </w:r>
    </w:p>
    <w:p w14:paraId="405C8056" w14:textId="77777777" w:rsidR="00DF7AB1" w:rsidRPr="00E90AE7" w:rsidRDefault="00DF7AB1" w:rsidP="00E90AE7">
      <w:pPr>
        <w:pStyle w:val="Balk2"/>
        <w:spacing w:before="0" w:line="216" w:lineRule="auto"/>
        <w:ind w:left="426"/>
        <w:rPr>
          <w:rFonts w:cs="Times New Roman"/>
        </w:rPr>
      </w:pPr>
      <w:r w:rsidRPr="00E90AE7">
        <w:rPr>
          <w:rFonts w:cs="Times New Roman"/>
        </w:rPr>
        <w:t xml:space="preserve"> </w:t>
      </w:r>
    </w:p>
    <w:p w14:paraId="37B43BE2" w14:textId="77777777" w:rsidR="001B2116" w:rsidRPr="00E90AE7" w:rsidRDefault="001B2116" w:rsidP="00E90AE7">
      <w:pPr>
        <w:spacing w:line="216" w:lineRule="auto"/>
        <w:jc w:val="both"/>
      </w:pPr>
      <w:bookmarkStart w:id="1" w:name="_Toc317854277"/>
      <w:r w:rsidRPr="00E90AE7">
        <w:t>(1) Mevcut önlemlerin yürürlükten kalkması durumunda, dampingin ve zararın devam etmesinin veya yeniden meydana gelmesinin muhtemel olup olmadığının tespiti için 1/1/2020 – 31/12/2022 arasındaki dönem gözden geçirme dönemi; 1/1/2022 – 31/12/2022 dönemi ise soruşturma dönemi olarak saptanmıştır.</w:t>
      </w:r>
    </w:p>
    <w:p w14:paraId="186A225F" w14:textId="77777777" w:rsidR="00AC7E9A" w:rsidRPr="00E90AE7" w:rsidRDefault="00AC7E9A" w:rsidP="00E90AE7">
      <w:pPr>
        <w:spacing w:line="216" w:lineRule="auto"/>
        <w:jc w:val="both"/>
      </w:pPr>
    </w:p>
    <w:p w14:paraId="3AB5651D" w14:textId="77777777" w:rsidR="00DF7AB1" w:rsidRPr="00E90AE7" w:rsidRDefault="00DF7AB1" w:rsidP="00585166">
      <w:pPr>
        <w:pStyle w:val="Balk2"/>
        <w:numPr>
          <w:ilvl w:val="1"/>
          <w:numId w:val="5"/>
        </w:numPr>
        <w:spacing w:before="0" w:line="216" w:lineRule="auto"/>
        <w:ind w:left="426"/>
        <w:rPr>
          <w:rFonts w:cs="Times New Roman"/>
        </w:rPr>
      </w:pPr>
      <w:r w:rsidRPr="00E90AE7">
        <w:rPr>
          <w:rFonts w:cs="Times New Roman"/>
        </w:rPr>
        <w:t>İlgili tarafların bilgilendirilmesi, dinlenmesi ve bilgilerin değerlendirilmesi</w:t>
      </w:r>
      <w:bookmarkEnd w:id="1"/>
    </w:p>
    <w:p w14:paraId="5BF4D1C4" w14:textId="77777777" w:rsidR="00AC7E9A" w:rsidRPr="00E90AE7" w:rsidRDefault="00AC7E9A" w:rsidP="00E90AE7">
      <w:pPr>
        <w:spacing w:line="216" w:lineRule="auto"/>
        <w:rPr>
          <w:lang w:eastAsia="en-US"/>
        </w:rPr>
      </w:pPr>
    </w:p>
    <w:p w14:paraId="5A2029F0" w14:textId="77777777" w:rsidR="00E22D27" w:rsidRPr="00E90AE7" w:rsidRDefault="00E22D27" w:rsidP="00E90AE7">
      <w:pPr>
        <w:spacing w:line="216" w:lineRule="auto"/>
        <w:jc w:val="both"/>
      </w:pPr>
      <w:bookmarkStart w:id="2" w:name="_Toc317854278"/>
      <w:r w:rsidRPr="00E90AE7">
        <w:t xml:space="preserve">(1) Soruşturma açılmasını müteakip, soruşturma konusu ürünün Bakanlıkça tespit edilen Türkiye’de yerleşik ithalatçılarına, Brezilya, Bulgaristan, ÇHC, Endonezya, Hindistan ve </w:t>
      </w:r>
      <w:proofErr w:type="spellStart"/>
      <w:r w:rsidRPr="00E90AE7">
        <w:t>Tayland’ta</w:t>
      </w:r>
      <w:proofErr w:type="spellEnd"/>
      <w:r w:rsidRPr="00E90AE7">
        <w:t xml:space="preserve"> yerleşik bilinen üretici/ihracatçılarına ve bu ülkelerde yerleşik diğer üreticilerine/ihracatçılarına iletilebilmesini </w:t>
      </w:r>
      <w:proofErr w:type="spellStart"/>
      <w:r w:rsidRPr="00E90AE7">
        <w:t>teminen</w:t>
      </w:r>
      <w:proofErr w:type="spellEnd"/>
      <w:r w:rsidRPr="00E90AE7">
        <w:t>, bu ülkelerin Ankara Büyükelçiliklerine soruşturma açılışına ilişkin bildirimde bulunulmuştur.</w:t>
      </w:r>
    </w:p>
    <w:p w14:paraId="1EF5BEF2" w14:textId="77777777" w:rsidR="00E22D27" w:rsidRPr="00E90AE7" w:rsidRDefault="00E22D27" w:rsidP="00E90AE7">
      <w:pPr>
        <w:spacing w:line="216" w:lineRule="auto"/>
        <w:jc w:val="both"/>
      </w:pPr>
    </w:p>
    <w:p w14:paraId="54AB0CD3" w14:textId="77777777" w:rsidR="00E22D27" w:rsidRPr="00E90AE7" w:rsidRDefault="00E22D27" w:rsidP="00E90AE7">
      <w:pPr>
        <w:spacing w:line="216" w:lineRule="auto"/>
        <w:jc w:val="both"/>
      </w:pPr>
      <w:r w:rsidRPr="00E90AE7">
        <w:t>(2) Bildirimlerde, soruşturma açılış Tebliğine, başvurunun gizli olmayan özetine ve soru formlarına nereden erişileceği hususunda bilgi verilmiştir.</w:t>
      </w:r>
    </w:p>
    <w:p w14:paraId="4117DC5C" w14:textId="77777777" w:rsidR="00E22D27" w:rsidRPr="00E90AE7" w:rsidRDefault="00E22D27" w:rsidP="00E90AE7">
      <w:pPr>
        <w:spacing w:line="216" w:lineRule="auto"/>
        <w:jc w:val="both"/>
      </w:pPr>
    </w:p>
    <w:p w14:paraId="4B6D89DE" w14:textId="77777777" w:rsidR="00E22D27" w:rsidRPr="00E90AE7" w:rsidRDefault="00E22D27" w:rsidP="00E90AE7">
      <w:pPr>
        <w:pStyle w:val="Default"/>
        <w:spacing w:line="216" w:lineRule="auto"/>
        <w:jc w:val="both"/>
      </w:pPr>
      <w:r w:rsidRPr="00E90AE7">
        <w:t>(3) Taraflara görüş bildirme ve soru formlarını yanıtlamaları için posta süresi dâhil 37 gün süre tanınmıştır. Ayrıca, ilgili tarafların süre uzatımı yönündeki makul talepleri karşılanmıştır.</w:t>
      </w:r>
    </w:p>
    <w:p w14:paraId="444ED853" w14:textId="77777777" w:rsidR="00E22D27" w:rsidRPr="00E90AE7" w:rsidRDefault="00E22D27" w:rsidP="00E90AE7">
      <w:pPr>
        <w:spacing w:line="216" w:lineRule="auto"/>
        <w:ind w:firstLine="700"/>
        <w:jc w:val="both"/>
      </w:pPr>
    </w:p>
    <w:p w14:paraId="1FCDB75B" w14:textId="2C720AFF" w:rsidR="00E22D27" w:rsidRPr="00E90AE7" w:rsidRDefault="00E22D27" w:rsidP="00E90AE7">
      <w:pPr>
        <w:spacing w:line="216" w:lineRule="auto"/>
        <w:jc w:val="both"/>
      </w:pPr>
      <w:r w:rsidRPr="00E90AE7">
        <w:t>(4) Yerli üretim dalı, soruşturma süresi boyunca Bakanlık ile iş</w:t>
      </w:r>
      <w:r w:rsidR="00C0700D">
        <w:t xml:space="preserve"> </w:t>
      </w:r>
      <w:r w:rsidRPr="00E90AE7">
        <w:t xml:space="preserve">birliği içinde olmuş ve gerektiğinde talep edilen ilave bilgileri temin etmiştir. </w:t>
      </w:r>
    </w:p>
    <w:p w14:paraId="31FFD150" w14:textId="77777777" w:rsidR="00E22D27" w:rsidRPr="00E90AE7" w:rsidRDefault="00E22D27" w:rsidP="00E90AE7">
      <w:pPr>
        <w:spacing w:line="216" w:lineRule="auto"/>
        <w:jc w:val="both"/>
      </w:pPr>
    </w:p>
    <w:p w14:paraId="3E0DA6D4" w14:textId="77777777" w:rsidR="00E22D27" w:rsidRPr="00E90AE7" w:rsidRDefault="00E22D27" w:rsidP="00E90AE7">
      <w:pPr>
        <w:spacing w:line="216" w:lineRule="auto"/>
        <w:jc w:val="both"/>
      </w:pPr>
      <w:r w:rsidRPr="00E90AE7">
        <w:t>(5) Soruşturma konusu ürünün ithalatını gerçekleştirdiği tespit edilen ve bildirim gönderilen Türkiye’de yerleşik ithalatçı firmalardan 5 tanesi ithalatçı soru formunu yanıtlamıştır.</w:t>
      </w:r>
    </w:p>
    <w:p w14:paraId="2CC5F8C5" w14:textId="77777777" w:rsidR="00E22D27" w:rsidRPr="00E90AE7" w:rsidRDefault="00E22D27" w:rsidP="00E90AE7">
      <w:pPr>
        <w:spacing w:line="216" w:lineRule="auto"/>
        <w:jc w:val="both"/>
      </w:pPr>
    </w:p>
    <w:p w14:paraId="41E56AAB" w14:textId="77777777" w:rsidR="00E22D27" w:rsidRPr="00E90AE7" w:rsidRDefault="00E22D27" w:rsidP="00E90AE7">
      <w:pPr>
        <w:pStyle w:val="Default"/>
        <w:spacing w:line="216" w:lineRule="auto"/>
        <w:jc w:val="both"/>
      </w:pPr>
      <w:r w:rsidRPr="00E90AE7">
        <w:t xml:space="preserve">(6) Soruşturma konusu ürünün </w:t>
      </w:r>
      <w:r w:rsidRPr="00E90AE7">
        <w:rPr>
          <w:color w:val="auto"/>
        </w:rPr>
        <w:t xml:space="preserve">ihracatını gerçekleştirdiği tespit edilen ve bildirim gönderilen firmalardan, Bulgaristan’da yerleşik </w:t>
      </w:r>
      <w:proofErr w:type="spellStart"/>
      <w:r w:rsidRPr="00E90AE7">
        <w:rPr>
          <w:color w:val="auto"/>
        </w:rPr>
        <w:t>Berg</w:t>
      </w:r>
      <w:proofErr w:type="spellEnd"/>
      <w:r w:rsidRPr="00E90AE7">
        <w:rPr>
          <w:color w:val="auto"/>
        </w:rPr>
        <w:t xml:space="preserve"> </w:t>
      </w:r>
      <w:proofErr w:type="spellStart"/>
      <w:r w:rsidRPr="00E90AE7">
        <w:rPr>
          <w:color w:val="auto"/>
        </w:rPr>
        <w:t>Montana</w:t>
      </w:r>
      <w:proofErr w:type="spellEnd"/>
      <w:r w:rsidRPr="00E90AE7">
        <w:rPr>
          <w:color w:val="auto"/>
        </w:rPr>
        <w:t xml:space="preserve"> </w:t>
      </w:r>
      <w:proofErr w:type="spellStart"/>
      <w:r w:rsidRPr="00E90AE7">
        <w:rPr>
          <w:color w:val="auto"/>
        </w:rPr>
        <w:t>Fittings</w:t>
      </w:r>
      <w:proofErr w:type="spellEnd"/>
      <w:r w:rsidRPr="00E90AE7">
        <w:rPr>
          <w:color w:val="auto"/>
        </w:rPr>
        <w:t xml:space="preserve"> EAD firması üretici/ihracatçı</w:t>
      </w:r>
      <w:r w:rsidRPr="00E90AE7">
        <w:t xml:space="preserve"> soru formunu yanıtlamıştır. </w:t>
      </w:r>
    </w:p>
    <w:p w14:paraId="1939F871" w14:textId="77777777" w:rsidR="00E22D27" w:rsidRPr="00E90AE7" w:rsidRDefault="00E22D27" w:rsidP="00E90AE7">
      <w:pPr>
        <w:spacing w:line="216" w:lineRule="auto"/>
        <w:jc w:val="both"/>
      </w:pPr>
    </w:p>
    <w:p w14:paraId="5FFCC41E" w14:textId="77777777" w:rsidR="00E22D27" w:rsidRPr="00E90AE7" w:rsidRDefault="00E22D27" w:rsidP="00E90AE7">
      <w:pPr>
        <w:spacing w:line="216" w:lineRule="auto"/>
        <w:jc w:val="both"/>
      </w:pPr>
      <w:r w:rsidRPr="00E90AE7">
        <w:t xml:space="preserve">(7) Soruşturma sonucunda alınacak karara esas teşkil edecek bilgi, bulgu, tespit ve değerlendirmeleri içeren nihai bildirim raporu 25/1/2024 tarihinde yayımlanmıştır. </w:t>
      </w:r>
    </w:p>
    <w:p w14:paraId="7EFC8E28" w14:textId="77777777" w:rsidR="00E22D27" w:rsidRPr="00E90AE7" w:rsidRDefault="00E22D27" w:rsidP="00E90AE7">
      <w:pPr>
        <w:spacing w:line="216" w:lineRule="auto"/>
        <w:jc w:val="both"/>
      </w:pPr>
    </w:p>
    <w:p w14:paraId="39E69DE0" w14:textId="77777777" w:rsidR="00E22D27" w:rsidRPr="00E90AE7" w:rsidRDefault="00E22D27" w:rsidP="00E90AE7">
      <w:pPr>
        <w:spacing w:line="216" w:lineRule="auto"/>
        <w:jc w:val="both"/>
      </w:pPr>
      <w:r w:rsidRPr="00E90AE7">
        <w:t xml:space="preserve">(8) Nihai bildirim sonrasında, ilgili tarafların nihai bildirime ilişkin görüşlerini sözlü olarak da sunmalarına imkân tanımak amacıyla 19/2/2024 tarihinde çevrim içi olarak bir kamu dinleme toplantısı düzenlenmiştir. </w:t>
      </w:r>
    </w:p>
    <w:p w14:paraId="5F437244" w14:textId="77777777" w:rsidR="00E22D27" w:rsidRPr="00E90AE7" w:rsidRDefault="00E22D27" w:rsidP="00E90AE7">
      <w:pPr>
        <w:spacing w:line="216" w:lineRule="auto"/>
        <w:jc w:val="both"/>
      </w:pPr>
    </w:p>
    <w:p w14:paraId="39837704" w14:textId="77777777" w:rsidR="00AC7E9A" w:rsidRDefault="00E22D27" w:rsidP="00E90AE7">
      <w:pPr>
        <w:spacing w:line="216" w:lineRule="auto"/>
        <w:jc w:val="both"/>
      </w:pPr>
      <w:r w:rsidRPr="00E90AE7">
        <w:t>(9) Tarafların işbu soruşturma boyunca ortaya koyduğu tüm bilgi, belge ve görüşler incelenmiş, mezkûr görüşlerden mevzuat kapsamında değerlendirilebilecek olanlara bu raporun ilgili bölümlerinde değinilmiştir.</w:t>
      </w:r>
    </w:p>
    <w:p w14:paraId="0379A5E7" w14:textId="77777777" w:rsidR="00E90AE7" w:rsidRPr="00E90AE7" w:rsidRDefault="00E90AE7" w:rsidP="00E90AE7">
      <w:pPr>
        <w:spacing w:line="216" w:lineRule="auto"/>
        <w:jc w:val="both"/>
      </w:pPr>
    </w:p>
    <w:p w14:paraId="6CDE5366" w14:textId="77777777" w:rsidR="00DF7AB1" w:rsidRPr="00E90AE7" w:rsidRDefault="00DF7AB1" w:rsidP="00585166">
      <w:pPr>
        <w:pStyle w:val="Balk2"/>
        <w:numPr>
          <w:ilvl w:val="1"/>
          <w:numId w:val="5"/>
        </w:numPr>
        <w:spacing w:before="0" w:line="216" w:lineRule="auto"/>
        <w:ind w:left="426"/>
        <w:rPr>
          <w:rFonts w:cs="Times New Roman"/>
        </w:rPr>
      </w:pPr>
      <w:r w:rsidRPr="00E90AE7">
        <w:rPr>
          <w:rFonts w:cs="Times New Roman"/>
        </w:rPr>
        <w:t xml:space="preserve">Yerinde doğrulama </w:t>
      </w:r>
      <w:bookmarkEnd w:id="2"/>
      <w:r w:rsidRPr="00E90AE7">
        <w:rPr>
          <w:rFonts w:cs="Times New Roman"/>
        </w:rPr>
        <w:t>incelemesi</w:t>
      </w:r>
    </w:p>
    <w:p w14:paraId="28327102" w14:textId="77777777" w:rsidR="00AC7E9A" w:rsidRPr="00E90AE7" w:rsidRDefault="00AC7E9A" w:rsidP="00E90AE7">
      <w:pPr>
        <w:spacing w:line="216" w:lineRule="auto"/>
        <w:rPr>
          <w:lang w:eastAsia="en-US"/>
        </w:rPr>
      </w:pPr>
    </w:p>
    <w:p w14:paraId="3226246E" w14:textId="77777777" w:rsidR="00E22D27" w:rsidRPr="00E90AE7" w:rsidRDefault="00E22D27" w:rsidP="00E90AE7">
      <w:pPr>
        <w:spacing w:line="216" w:lineRule="auto"/>
        <w:jc w:val="both"/>
      </w:pPr>
      <w:r w:rsidRPr="00E90AE7">
        <w:t xml:space="preserve">(1) Yönetmeliğin 21 inci maddesi çerçevesinde, yerli üretici Trakya Döküm firmasının Kırklareli’nde bulunan üretim tesisleri ile İstanbul’da bulunan idari tesislerinde yerinde doğrulama incelemesi gerçekleştirilmiştir. </w:t>
      </w:r>
    </w:p>
    <w:p w14:paraId="7C506D78" w14:textId="77777777" w:rsidR="00AC7E9A" w:rsidRPr="00E90AE7" w:rsidRDefault="00AC7E9A" w:rsidP="00E90AE7">
      <w:pPr>
        <w:spacing w:line="216" w:lineRule="auto"/>
        <w:jc w:val="both"/>
        <w:rPr>
          <w:color w:val="000000"/>
        </w:rPr>
      </w:pPr>
    </w:p>
    <w:p w14:paraId="348488CF" w14:textId="77777777" w:rsidR="00DF7AB1" w:rsidRPr="00E7505A" w:rsidRDefault="00BC5463" w:rsidP="00585166">
      <w:pPr>
        <w:pStyle w:val="Balk1"/>
        <w:numPr>
          <w:ilvl w:val="0"/>
          <w:numId w:val="5"/>
        </w:numPr>
        <w:spacing w:before="0" w:after="0" w:line="216" w:lineRule="auto"/>
        <w:rPr>
          <w:rFonts w:ascii="Times New Roman" w:hAnsi="Times New Roman" w:cs="Times New Roman"/>
          <w:sz w:val="24"/>
          <w:szCs w:val="24"/>
        </w:rPr>
      </w:pPr>
      <w:r w:rsidRPr="00E7505A">
        <w:rPr>
          <w:rFonts w:ascii="Times New Roman" w:hAnsi="Times New Roman" w:cs="Times New Roman"/>
          <w:sz w:val="24"/>
          <w:szCs w:val="24"/>
        </w:rPr>
        <w:t>Soruşturma Konusu Ü</w:t>
      </w:r>
      <w:r w:rsidR="00DF7AB1" w:rsidRPr="00E7505A">
        <w:rPr>
          <w:rFonts w:ascii="Times New Roman" w:hAnsi="Times New Roman" w:cs="Times New Roman"/>
          <w:sz w:val="24"/>
          <w:szCs w:val="24"/>
        </w:rPr>
        <w:t>rün ve Benzer Ürün</w:t>
      </w:r>
    </w:p>
    <w:p w14:paraId="5B813C8C" w14:textId="77777777" w:rsidR="00AC7E9A" w:rsidRPr="00E90AE7" w:rsidRDefault="00AC7E9A" w:rsidP="00E90AE7">
      <w:pPr>
        <w:spacing w:line="216" w:lineRule="auto"/>
      </w:pPr>
    </w:p>
    <w:p w14:paraId="07FCAE6A" w14:textId="77777777" w:rsidR="00DF7AB1" w:rsidRPr="00E90AE7" w:rsidRDefault="00DF7AB1" w:rsidP="00585166">
      <w:pPr>
        <w:pStyle w:val="Balk2"/>
        <w:numPr>
          <w:ilvl w:val="1"/>
          <w:numId w:val="5"/>
        </w:numPr>
        <w:spacing w:before="0" w:line="216" w:lineRule="auto"/>
        <w:ind w:left="426"/>
        <w:rPr>
          <w:rFonts w:cs="Times New Roman"/>
        </w:rPr>
      </w:pPr>
      <w:r w:rsidRPr="00E90AE7">
        <w:rPr>
          <w:rFonts w:cs="Times New Roman"/>
        </w:rPr>
        <w:t>Soruşturma konusu ürün ve benzer ürün</w:t>
      </w:r>
    </w:p>
    <w:p w14:paraId="03BBCD09" w14:textId="77777777" w:rsidR="00AC7E9A" w:rsidRPr="00E90AE7" w:rsidRDefault="00AC7E9A" w:rsidP="00E90AE7">
      <w:pPr>
        <w:spacing w:line="216" w:lineRule="auto"/>
        <w:rPr>
          <w:lang w:eastAsia="en-US"/>
        </w:rPr>
      </w:pPr>
    </w:p>
    <w:p w14:paraId="56B59268" w14:textId="77777777" w:rsidR="007B3F75" w:rsidRPr="00E90AE7" w:rsidRDefault="007B3F75" w:rsidP="00E90AE7">
      <w:pPr>
        <w:spacing w:line="216" w:lineRule="auto"/>
        <w:jc w:val="both"/>
      </w:pPr>
      <w:bookmarkStart w:id="3" w:name="_Toc519505558"/>
      <w:r w:rsidRPr="00E90AE7">
        <w:t xml:space="preserve">(1) Soruşturma konusu ürün, Brezilya, Bulgaristan, ÇHC, Endonezya, Hindistan ve Tayland menşeli 7307.19 GTP altında “diğerleri” olarak sınıflandırılan “boru bağlantı </w:t>
      </w:r>
      <w:proofErr w:type="spellStart"/>
      <w:r w:rsidRPr="00E90AE7">
        <w:t>parçaları”dır</w:t>
      </w:r>
      <w:proofErr w:type="spellEnd"/>
      <w:r w:rsidRPr="00E90AE7">
        <w:t>.</w:t>
      </w:r>
    </w:p>
    <w:p w14:paraId="0EBE8C35" w14:textId="77777777" w:rsidR="007B3F75" w:rsidRPr="00E90AE7" w:rsidRDefault="007B3F75" w:rsidP="00E90AE7">
      <w:pPr>
        <w:spacing w:line="216" w:lineRule="auto"/>
        <w:jc w:val="both"/>
      </w:pPr>
    </w:p>
    <w:p w14:paraId="3F157A5C" w14:textId="6E5C9301" w:rsidR="007B3F75" w:rsidRPr="00E90AE7" w:rsidRDefault="007B3F75" w:rsidP="00E90AE7">
      <w:pPr>
        <w:spacing w:line="216" w:lineRule="auto"/>
        <w:jc w:val="both"/>
      </w:pPr>
      <w:r w:rsidRPr="00E90AE7">
        <w:t>(2) Soruşturma konusu ürün sıhhi tesisat, yangın tesisatı, kalorifer tesisatı, doğalgaz tesisatı, basınçlı hava tesisatı v</w:t>
      </w:r>
      <w:r w:rsidR="00C0700D">
        <w:t>e benzeri</w:t>
      </w:r>
      <w:r w:rsidRPr="00E90AE7">
        <w:t xml:space="preserve"> alanlarda kullanılmaktadır.</w:t>
      </w:r>
    </w:p>
    <w:p w14:paraId="36040299" w14:textId="77777777" w:rsidR="007B3F75" w:rsidRPr="00E90AE7" w:rsidRDefault="007B3F75" w:rsidP="00E90AE7">
      <w:pPr>
        <w:spacing w:line="216" w:lineRule="auto"/>
        <w:jc w:val="both"/>
      </w:pPr>
    </w:p>
    <w:p w14:paraId="52E485FE" w14:textId="77777777" w:rsidR="007B3F75" w:rsidRPr="00E90AE7" w:rsidRDefault="007B3F75" w:rsidP="00E90AE7">
      <w:pPr>
        <w:spacing w:line="216" w:lineRule="auto"/>
        <w:jc w:val="both"/>
      </w:pPr>
      <w:r w:rsidRPr="00E90AE7">
        <w:t xml:space="preserve">(3) Soruşturma konusu ürünün üretim sürecinde ilk önce, temel girdiler olan pik demir ve hurda ergitilerek sıvı metal haline getirilmektedir. Sıvı metal, hazırlanan kum kalıba dökülerek ürünün ilk hali oluşturulmaktadır. Kalıplanan ürün, kum ve diğer yüzey kirliliğinin giderilmesi için temizlenmektedir. Daha sonra, ürünün kırılganlığını gidermek ve ürüne yumuşaklık kazandırmak için ürün </w:t>
      </w:r>
      <w:proofErr w:type="spellStart"/>
      <w:r w:rsidRPr="00E90AE7">
        <w:t>temperlenmektedir</w:t>
      </w:r>
      <w:proofErr w:type="spellEnd"/>
      <w:r w:rsidRPr="00E90AE7">
        <w:t xml:space="preserve">. Kalıplanan ürünün yüzeyinin temizlenmesi için ürün taşlanmaktadır. Buna ek olarak, ürüne, üretim süreci içinde ihtiyaç duyulan ek operasyonlar yapılmaktadır. Galvanizli olarak satışı yapılacak ürünler, galvanizleme ünitesinde </w:t>
      </w:r>
      <w:proofErr w:type="spellStart"/>
      <w:r w:rsidRPr="00E90AE7">
        <w:t>galvanizlenmektedir</w:t>
      </w:r>
      <w:proofErr w:type="spellEnd"/>
      <w:r w:rsidRPr="00E90AE7">
        <w:t xml:space="preserve">. Daha sonra, boru bağlantı parçalarına diş açılmaktadır. Son olarak ise, kalite kontrol işlemlerinin akabinde nihai ürün paketlenerek </w:t>
      </w:r>
      <w:proofErr w:type="spellStart"/>
      <w:r w:rsidRPr="00E90AE7">
        <w:t>ambarlanmaktadır</w:t>
      </w:r>
      <w:proofErr w:type="spellEnd"/>
      <w:r w:rsidRPr="00E90AE7">
        <w:t xml:space="preserve">. </w:t>
      </w:r>
    </w:p>
    <w:p w14:paraId="23F53605" w14:textId="77777777" w:rsidR="007B3F75" w:rsidRPr="00E90AE7" w:rsidRDefault="007B3F75" w:rsidP="00E90AE7">
      <w:pPr>
        <w:pStyle w:val="ListeParagraf"/>
        <w:spacing w:line="216" w:lineRule="auto"/>
        <w:ind w:left="0"/>
        <w:jc w:val="both"/>
      </w:pPr>
      <w:r w:rsidRPr="00E90AE7">
        <w:t xml:space="preserve"> </w:t>
      </w:r>
    </w:p>
    <w:p w14:paraId="11262201" w14:textId="70807DAE" w:rsidR="007B3F75" w:rsidRPr="00E90AE7" w:rsidRDefault="007B3F75" w:rsidP="00E90AE7">
      <w:pPr>
        <w:spacing w:line="216" w:lineRule="auto"/>
        <w:jc w:val="both"/>
      </w:pPr>
      <w:r w:rsidRPr="00E90AE7">
        <w:t xml:space="preserve">(4) Bir ithalatçı firma, önleme tabi ürünlerden yivli olanlarının (yivli </w:t>
      </w:r>
      <w:proofErr w:type="spellStart"/>
      <w:r w:rsidRPr="00E90AE7">
        <w:t>rijit</w:t>
      </w:r>
      <w:proofErr w:type="spellEnd"/>
      <w:r w:rsidRPr="00E90AE7">
        <w:t xml:space="preserve"> </w:t>
      </w:r>
      <w:proofErr w:type="spellStart"/>
      <w:r w:rsidRPr="00E90AE7">
        <w:t>kaplin</w:t>
      </w:r>
      <w:proofErr w:type="spellEnd"/>
      <w:r w:rsidRPr="00E90AE7">
        <w:t xml:space="preserve">, yivli esnek </w:t>
      </w:r>
      <w:proofErr w:type="spellStart"/>
      <w:r w:rsidRPr="00E90AE7">
        <w:t>kaplin</w:t>
      </w:r>
      <w:proofErr w:type="spellEnd"/>
      <w:r w:rsidRPr="00E90AE7">
        <w:t xml:space="preserve">, yivli kör tapa, yivli </w:t>
      </w:r>
      <w:r w:rsidRPr="00BD3B0A">
        <w:t>eşit te</w:t>
      </w:r>
      <w:r w:rsidRPr="00E90AE7">
        <w:t xml:space="preserve"> v</w:t>
      </w:r>
      <w:r w:rsidR="00C0700D">
        <w:t>e be</w:t>
      </w:r>
      <w:r w:rsidR="00DF690F">
        <w:t>n</w:t>
      </w:r>
      <w:r w:rsidR="00C0700D">
        <w:t>zeri</w:t>
      </w:r>
      <w:r w:rsidRPr="00E90AE7">
        <w:t xml:space="preserve">) yerli üretici Trakya Döküm tarafından üretilmediğini, </w:t>
      </w:r>
      <w:proofErr w:type="gramStart"/>
      <w:r w:rsidRPr="00E90AE7">
        <w:t>mezkur</w:t>
      </w:r>
      <w:proofErr w:type="gramEnd"/>
      <w:r w:rsidRPr="00E90AE7">
        <w:t xml:space="preserve"> yerli üreticinin bahse konu ürünleri üretme kabiliyetinin olmadığını iddia etmiştir. Yapılan yerinde doğrulama incelemesi sırasında, Trakya Döküm firması bahse konu ürünleri üretmediğini, fakat halihazırda ürettiği boru bağlantı parçalarının ithalatçı firmanın bahsettiği ürünlerin ikamesi olduğunu belirtmiştir. Trakya Döküm firması ilaveten, ithalatçı firmanın bahsettiği ürünleri (1 inçten 14 inçe kadar) üretme kabiliyetinin de olduğunu, talep edilirse bahse konu ürünleri de üretebileceğini belirtmiştir. </w:t>
      </w:r>
    </w:p>
    <w:p w14:paraId="7EF33F13" w14:textId="77777777" w:rsidR="007B3F75" w:rsidRPr="00E90AE7" w:rsidRDefault="007B3F75" w:rsidP="00E90AE7">
      <w:pPr>
        <w:spacing w:line="216" w:lineRule="auto"/>
        <w:jc w:val="both"/>
      </w:pPr>
    </w:p>
    <w:p w14:paraId="54C7BD61" w14:textId="77777777" w:rsidR="007B3F75" w:rsidRPr="00E90AE7" w:rsidRDefault="007B3F75" w:rsidP="00E90AE7">
      <w:pPr>
        <w:spacing w:line="216" w:lineRule="auto"/>
        <w:jc w:val="both"/>
      </w:pPr>
      <w:r w:rsidRPr="00E90AE7">
        <w:t xml:space="preserve">(5) </w:t>
      </w:r>
      <w:proofErr w:type="gramStart"/>
      <w:r w:rsidRPr="00E90AE7">
        <w:t>Mezkur</w:t>
      </w:r>
      <w:proofErr w:type="gramEnd"/>
      <w:r w:rsidRPr="00E90AE7">
        <w:t xml:space="preserve"> ithalatçının değindiği bir diğer husus ise ithal ettikleri önleme tabi ürünlerin uluslararası alanda ihtiyaç duyulan UL (</w:t>
      </w:r>
      <w:proofErr w:type="spellStart"/>
      <w:r w:rsidRPr="00E90AE7">
        <w:t>Underwriters</w:t>
      </w:r>
      <w:proofErr w:type="spellEnd"/>
      <w:r w:rsidRPr="00E90AE7">
        <w:t xml:space="preserve"> </w:t>
      </w:r>
      <w:proofErr w:type="spellStart"/>
      <w:r w:rsidRPr="00E90AE7">
        <w:t>Laboratories</w:t>
      </w:r>
      <w:proofErr w:type="spellEnd"/>
      <w:r w:rsidRPr="00E90AE7">
        <w:t>) ve FM (</w:t>
      </w:r>
      <w:proofErr w:type="spellStart"/>
      <w:r w:rsidRPr="00E90AE7">
        <w:t>Factory</w:t>
      </w:r>
      <w:proofErr w:type="spellEnd"/>
      <w:r w:rsidRPr="00E90AE7">
        <w:t xml:space="preserve"> </w:t>
      </w:r>
      <w:proofErr w:type="spellStart"/>
      <w:r w:rsidRPr="00E90AE7">
        <w:t>Mutual</w:t>
      </w:r>
      <w:proofErr w:type="spellEnd"/>
      <w:r w:rsidRPr="00E90AE7">
        <w:t xml:space="preserve">) onaylı belgelere sahip olduğu, mezkur yerli üreticide ise bu belgelerin olmadığıdır. Yerli üretici konuyla ilgili olarak, FM onaylı belgeye sahip olduğunu fakat UL onaylı belgesinin bulunmadığını belirtmiştir. Trakya Döküm firması devamında, kendilerinde Türk Standartları Enstitüsünün TS-EN 10242 no.lu belgesinin olduğunu, kendilerince yapılan ilgili üretimin bu belge standardına uygun olarak yapıldığını belirtmiştir. </w:t>
      </w:r>
    </w:p>
    <w:p w14:paraId="0DB90749" w14:textId="77777777" w:rsidR="007B3F75" w:rsidRPr="00E90AE7" w:rsidRDefault="007B3F75" w:rsidP="00E90AE7">
      <w:pPr>
        <w:spacing w:line="216" w:lineRule="auto"/>
        <w:jc w:val="both"/>
      </w:pPr>
    </w:p>
    <w:p w14:paraId="0E593538" w14:textId="77777777" w:rsidR="007B3F75" w:rsidRPr="00E90AE7" w:rsidRDefault="007B3F75" w:rsidP="00E90AE7">
      <w:pPr>
        <w:spacing w:line="216" w:lineRule="auto"/>
        <w:jc w:val="both"/>
      </w:pPr>
      <w:r w:rsidRPr="00E90AE7">
        <w:t xml:space="preserve">(6) Ek olarak, bir ithalatçı firma nihai bildirim raporuna yönelik olarak sunduğu görüşlerde, ithal ettiği önleme tabi ürün olan yivli </w:t>
      </w:r>
      <w:proofErr w:type="spellStart"/>
      <w:r w:rsidRPr="00E90AE7">
        <w:t>kaplinin</w:t>
      </w:r>
      <w:proofErr w:type="spellEnd"/>
      <w:r w:rsidRPr="00E90AE7">
        <w:t xml:space="preserve"> kendinden contalı olduğunu, yerli üreticinin ürettiği ürünlerin ise dişli boru bağlantı parçaları olduğunu, dişli boru bağlantı parçalarının </w:t>
      </w:r>
      <w:proofErr w:type="spellStart"/>
      <w:r w:rsidRPr="00E90AE7">
        <w:t>contasız</w:t>
      </w:r>
      <w:proofErr w:type="spellEnd"/>
      <w:r w:rsidRPr="00E90AE7">
        <w:t xml:space="preserve"> olduğunu; bu anlamda, bu iki ürünün birbirinden çok farklı ürünler olduğunu iddia etmiştir. Bu anlamda, söz konusu ithalatçı firma bu durumun haksız rekabet yaratmadığını ve ilgili gümrük tarifesi ile dampinge karşı önlemin gözden geçirilmesini talep etmiştir.</w:t>
      </w:r>
    </w:p>
    <w:p w14:paraId="0F5B5394" w14:textId="77777777" w:rsidR="007B3F75" w:rsidRPr="00E90AE7" w:rsidRDefault="007B3F75" w:rsidP="00E90AE7">
      <w:pPr>
        <w:spacing w:line="216" w:lineRule="auto"/>
        <w:jc w:val="both"/>
      </w:pPr>
    </w:p>
    <w:p w14:paraId="3DA20B04" w14:textId="77777777" w:rsidR="007B3F75" w:rsidRPr="00E90AE7" w:rsidRDefault="007B3F75" w:rsidP="00E90AE7">
      <w:pPr>
        <w:spacing w:line="216" w:lineRule="auto"/>
        <w:jc w:val="both"/>
      </w:pPr>
      <w:r w:rsidRPr="00E90AE7">
        <w:t>(7) Buna ilaveten, bir ithalatçı firma 19/2/2024 tarihinde yapılan kamu dinleme toplantısını müteakip verdiği yazılı görüşte, ithal ettikleri yivli boru bağlantı parçaları ile yerli üretici tarafından üretilen boru bağlantı parçalarının teknik özelliklerinin aynı olmadığını, dolayısıyla birbiri yerine kullanılamayacağını, bu anlamda ithal ürünle yerli üretim dalı tarafından üretilen ürünlerin ikame olarak kabul edilemeyeceğini iddia etmiştir.</w:t>
      </w:r>
    </w:p>
    <w:p w14:paraId="0C8D5F6A" w14:textId="77777777" w:rsidR="007B3F75" w:rsidRPr="00E90AE7" w:rsidRDefault="007B3F75" w:rsidP="00E90AE7">
      <w:pPr>
        <w:spacing w:line="216" w:lineRule="auto"/>
        <w:jc w:val="both"/>
      </w:pPr>
    </w:p>
    <w:p w14:paraId="26921983" w14:textId="77777777" w:rsidR="007B3F75" w:rsidRPr="00E90AE7" w:rsidRDefault="007B3F75" w:rsidP="00E90AE7">
      <w:pPr>
        <w:spacing w:line="216" w:lineRule="auto"/>
        <w:jc w:val="both"/>
      </w:pPr>
      <w:r w:rsidRPr="00E90AE7">
        <w:t>(8) Trakya Döküm firması ise cevap olarak, ithalatçı firmanın bahsettiği ürünler ile firmalarının ürettiği dişli boru bağlantı parçalarının kulanım yeri, fonksiyonu ve işlevi açısından tamamen ikame ürünler olduğunu belirtmiştir.</w:t>
      </w:r>
    </w:p>
    <w:p w14:paraId="4DE96C50" w14:textId="77777777" w:rsidR="007B3F75" w:rsidRPr="00E90AE7" w:rsidRDefault="007B3F75" w:rsidP="00E90AE7">
      <w:pPr>
        <w:spacing w:line="216" w:lineRule="auto"/>
        <w:jc w:val="both"/>
      </w:pPr>
    </w:p>
    <w:p w14:paraId="0EED1BF9" w14:textId="77777777" w:rsidR="007B3F75" w:rsidRPr="00E90AE7" w:rsidRDefault="007B3F75" w:rsidP="00E90AE7">
      <w:pPr>
        <w:spacing w:line="216" w:lineRule="auto"/>
        <w:jc w:val="both"/>
      </w:pPr>
      <w:r w:rsidRPr="00E90AE7">
        <w:t>(9) Bilindiği üzere, benzer ürünün mevzuatta birebir aynı ürün olarak değil “aynı veya benzer nitelikteki ürün” olarak tanımlandığı açıktır. Bu açıdan, söz konusu münferit nitelikteki kimi ürün tiplerinin yerli üretim dalınca tedarik edilmiyor olmasının soruşturma geneli için geçerli benzer ürün tespitine halel getirmeyeceği sabittir. Bu itibarla, yürürlükteki mevzuat uyarınca, yerli üretim dalının soruşturma konusu ürünün tüm tiplerini üretme zorunluluğu bulunmamaktadır.</w:t>
      </w:r>
    </w:p>
    <w:p w14:paraId="3956C9F1" w14:textId="77777777" w:rsidR="007B3F75" w:rsidRPr="00E90AE7" w:rsidRDefault="007B3F75" w:rsidP="00E90AE7">
      <w:pPr>
        <w:spacing w:line="216" w:lineRule="auto"/>
        <w:jc w:val="both"/>
        <w:rPr>
          <w:color w:val="000000"/>
          <w:highlight w:val="yellow"/>
        </w:rPr>
      </w:pPr>
    </w:p>
    <w:p w14:paraId="518DFC04" w14:textId="0C6260D8" w:rsidR="007B3F75" w:rsidRPr="00E90AE7" w:rsidRDefault="007B3F75" w:rsidP="00E90AE7">
      <w:pPr>
        <w:spacing w:line="216" w:lineRule="auto"/>
        <w:jc w:val="both"/>
        <w:rPr>
          <w:color w:val="000000"/>
        </w:rPr>
      </w:pPr>
      <w:r w:rsidRPr="00E90AE7">
        <w:rPr>
          <w:color w:val="000000"/>
        </w:rPr>
        <w:t>(10)</w:t>
      </w:r>
      <w:r w:rsidR="00C0700D">
        <w:rPr>
          <w:color w:val="000000"/>
        </w:rPr>
        <w:t xml:space="preserve"> </w:t>
      </w:r>
      <w:r w:rsidR="00C0700D" w:rsidRPr="00AB6C21">
        <w:t>İthalatta Haksız Rekabetin Önlenmesine İlişk</w:t>
      </w:r>
      <w:r w:rsidR="00BC4CAA">
        <w:t xml:space="preserve">in Tebliğ (Tebliğ No: </w:t>
      </w:r>
      <w:r w:rsidR="00C0700D">
        <w:t>2000/3) ve</w:t>
      </w:r>
      <w:r w:rsidRPr="00E90AE7">
        <w:rPr>
          <w:color w:val="000000"/>
        </w:rPr>
        <w:t xml:space="preserve"> </w:t>
      </w:r>
      <w:r w:rsidR="00C0700D" w:rsidRPr="00AB6C21">
        <w:t>İthalatta Haksız Rekabetin Önlenmesine İlişkin Tebliğ (Tebliğ No: 2006/24)</w:t>
      </w:r>
      <w:r w:rsidR="008453A3">
        <w:t xml:space="preserve"> ile</w:t>
      </w:r>
      <w:r w:rsidR="00C0700D" w:rsidRPr="00AB6C21">
        <w:t xml:space="preserve"> </w:t>
      </w:r>
      <w:r w:rsidRPr="00E90AE7">
        <w:rPr>
          <w:color w:val="000000"/>
        </w:rPr>
        <w:t>sonuçlandırılan soruşturmalarda</w:t>
      </w:r>
      <w:r w:rsidR="00BC4CAA">
        <w:rPr>
          <w:color w:val="000000"/>
        </w:rPr>
        <w:t>,</w:t>
      </w:r>
      <w:r w:rsidRPr="00E90AE7">
        <w:rPr>
          <w:color w:val="000000"/>
        </w:rPr>
        <w:t xml:space="preserve"> yerli üretim dalı tarafından üretilen ürünler ile soruşturmaya konu ülke menşeli ürünler arasında fiziksel özellikler, ürün çeşitliliği ve kullanım alanları olarak “benzer ürün” tanımı açısından ayrım oluşturan herhangi bir farklılık bulunmadığı tespit edilmiştir. Bu defa da ilgili başvuru kapsamında yapılan değerlendirmede Yönetmeliğin 4 üncü maddesi çerçevesinde, benzer ürün için yapılan bahse konu tespiti değiştirecek herhangi bir bulguya rastlanmamıştır. </w:t>
      </w:r>
    </w:p>
    <w:p w14:paraId="4F09FAA5" w14:textId="77777777" w:rsidR="007B3F75" w:rsidRPr="00E90AE7" w:rsidRDefault="007B3F75" w:rsidP="00E90AE7">
      <w:pPr>
        <w:spacing w:line="216" w:lineRule="auto"/>
        <w:jc w:val="both"/>
        <w:rPr>
          <w:color w:val="000000"/>
        </w:rPr>
      </w:pPr>
    </w:p>
    <w:p w14:paraId="4CE179F0" w14:textId="77777777" w:rsidR="007B3F75" w:rsidRPr="00E90AE7" w:rsidRDefault="007B3F75" w:rsidP="00E90AE7">
      <w:pPr>
        <w:spacing w:line="216" w:lineRule="auto"/>
        <w:jc w:val="both"/>
      </w:pPr>
      <w:r w:rsidRPr="00E90AE7">
        <w:t xml:space="preserve">(11) Soruşturma konusu ürün ve benzer ürün ile ilgili açıklamalar bağlayıcı nitelikte olmayıp genel içerikli ve bilgi amaçlıdır. </w:t>
      </w:r>
    </w:p>
    <w:p w14:paraId="010FB88B" w14:textId="77777777" w:rsidR="00AC7E9A" w:rsidRPr="00E90AE7" w:rsidRDefault="00AC7E9A" w:rsidP="00E90AE7">
      <w:pPr>
        <w:spacing w:line="216" w:lineRule="auto"/>
        <w:contextualSpacing/>
        <w:jc w:val="both"/>
      </w:pPr>
    </w:p>
    <w:p w14:paraId="5327637E" w14:textId="77777777" w:rsidR="00DF7AB1" w:rsidRPr="00E90AE7" w:rsidRDefault="00DF7AB1" w:rsidP="00585166">
      <w:pPr>
        <w:pStyle w:val="Balk2"/>
        <w:numPr>
          <w:ilvl w:val="1"/>
          <w:numId w:val="5"/>
        </w:numPr>
        <w:spacing w:before="0" w:line="216" w:lineRule="auto"/>
        <w:ind w:left="426"/>
        <w:rPr>
          <w:rFonts w:cs="Times New Roman"/>
        </w:rPr>
      </w:pPr>
      <w:r w:rsidRPr="00E90AE7">
        <w:rPr>
          <w:rFonts w:cs="Times New Roman"/>
        </w:rPr>
        <w:t xml:space="preserve">Ürünün ithalinde uygulanan </w:t>
      </w:r>
      <w:bookmarkEnd w:id="3"/>
      <w:r w:rsidRPr="00E90AE7">
        <w:rPr>
          <w:rFonts w:cs="Times New Roman"/>
        </w:rPr>
        <w:t>vergi oranları ve diğer yükümlülükler</w:t>
      </w:r>
    </w:p>
    <w:p w14:paraId="2920BF0E" w14:textId="77777777" w:rsidR="00AC7E9A" w:rsidRPr="00E90AE7" w:rsidRDefault="00AC7E9A" w:rsidP="00E90AE7">
      <w:pPr>
        <w:spacing w:line="216" w:lineRule="auto"/>
        <w:rPr>
          <w:lang w:eastAsia="en-US"/>
        </w:rPr>
      </w:pPr>
    </w:p>
    <w:p w14:paraId="684E38B3" w14:textId="5C1CCA87" w:rsidR="007B3F75" w:rsidRPr="00E90AE7" w:rsidRDefault="007B3F75" w:rsidP="00E90AE7">
      <w:pPr>
        <w:spacing w:line="216" w:lineRule="auto"/>
        <w:jc w:val="both"/>
      </w:pPr>
      <w:r w:rsidRPr="00E90AE7">
        <w:t xml:space="preserve">(1) </w:t>
      </w:r>
      <w:r w:rsidRPr="00DF690F">
        <w:t>“</w:t>
      </w:r>
      <w:r w:rsidR="00372F7D" w:rsidRPr="00DF690F">
        <w:t>d</w:t>
      </w:r>
      <w:r w:rsidRPr="00DF690F">
        <w:t>iğerleri”</w:t>
      </w:r>
      <w:r w:rsidRPr="00E90AE7">
        <w:t xml:space="preserve"> tanımlı 7307.19 </w:t>
      </w:r>
      <w:proofErr w:type="spellStart"/>
      <w:r w:rsidRPr="00E90AE7">
        <w:t>GTP’i</w:t>
      </w:r>
      <w:proofErr w:type="spellEnd"/>
      <w:r w:rsidRPr="00E90AE7">
        <w:t xml:space="preserve"> altında yer alan ürünlerin</w:t>
      </w:r>
      <w:r w:rsidR="00372F7D">
        <w:t>;</w:t>
      </w:r>
      <w:r w:rsidRPr="00E90AE7">
        <w:t xml:space="preserve"> gözden geçirme döneminde, Bulgaristan’dan ithalatında %0 oranında gümrük vergisi, önleme tabi diğer ülkelerden ithalatında %3,7 oranında gümrük vergisi uygulanmaktadır. 7307.19 </w:t>
      </w:r>
      <w:proofErr w:type="spellStart"/>
      <w:r w:rsidRPr="00E90AE7">
        <w:t>GTP’i</w:t>
      </w:r>
      <w:proofErr w:type="spellEnd"/>
      <w:r w:rsidRPr="00E90AE7">
        <w:t xml:space="preserve"> altında kayıtlı </w:t>
      </w:r>
      <w:r w:rsidRPr="00DF690F">
        <w:t>“</w:t>
      </w:r>
      <w:r w:rsidR="00372F7D" w:rsidRPr="00DF690F">
        <w:t>d</w:t>
      </w:r>
      <w:r w:rsidRPr="00DF690F">
        <w:t>iğerleri”</w:t>
      </w:r>
      <w:r w:rsidRPr="00E90AE7">
        <w:t xml:space="preserve"> ürününün</w:t>
      </w:r>
      <w:r w:rsidR="00372F7D">
        <w:t>;</w:t>
      </w:r>
      <w:r w:rsidRPr="00E90AE7">
        <w:t xml:space="preserve"> Bulgaristan’dan ithalatında %0 oranında ilave gümrük vergisi (İGV), Bulgaristan hariç önleme tabi ülkelerden gerçekleşen ithalatında</w:t>
      </w:r>
      <w:r w:rsidR="00372F7D">
        <w:t xml:space="preserve"> 27/6/2020 tarihli ve 2682 sayılı Cumhurbaşkanı Kararı ile yürürlüğe konulan İthalat R</w:t>
      </w:r>
      <w:r w:rsidR="00C00DF7">
        <w:t>ejimi Kararına</w:t>
      </w:r>
      <w:r w:rsidR="00372F7D">
        <w:t xml:space="preserve"> Ek Karar ile %15 oranında İGV uygulanmıştır. Söz konusu </w:t>
      </w:r>
      <w:r w:rsidR="0087763F">
        <w:t>İGV</w:t>
      </w:r>
      <w:r w:rsidR="00372F7D">
        <w:t xml:space="preserve">, 31/12/2020 tarihli ve 3351 sayılı Cumhurbaşkanı Kararı ile yürürlüğe konulan İthalatta İlave Gümrük Vergisi Uygulanmasına ilişkin Karar ile </w:t>
      </w:r>
      <w:r w:rsidRPr="00E90AE7">
        <w:t xml:space="preserve">%10’a düşürülmüştür. </w:t>
      </w:r>
    </w:p>
    <w:p w14:paraId="1BE22936" w14:textId="77777777" w:rsidR="007B3F75" w:rsidRPr="00E90AE7" w:rsidRDefault="007B3F75" w:rsidP="00E90AE7">
      <w:pPr>
        <w:spacing w:line="216" w:lineRule="auto"/>
        <w:jc w:val="both"/>
      </w:pPr>
    </w:p>
    <w:p w14:paraId="4E53AB99" w14:textId="1284A3F8" w:rsidR="007B3F75" w:rsidRPr="00E90AE7" w:rsidRDefault="007B3F75" w:rsidP="00E90AE7">
      <w:pPr>
        <w:spacing w:line="216" w:lineRule="auto"/>
        <w:jc w:val="both"/>
      </w:pPr>
      <w:r w:rsidRPr="00E90AE7">
        <w:t xml:space="preserve">(2) 7307.19 </w:t>
      </w:r>
      <w:proofErr w:type="spellStart"/>
      <w:r w:rsidRPr="00E90AE7">
        <w:t>GTP’i</w:t>
      </w:r>
      <w:proofErr w:type="spellEnd"/>
      <w:r w:rsidRPr="00E90AE7">
        <w:t xml:space="preserve"> altında yer alan ürünlerin önleme tabi tüm ülkelerden ithalatında 10/7/2023 tarihine kadar %18 oranında Katma Değer Vergisi uygulanmıştır</w:t>
      </w:r>
      <w:r w:rsidR="00FB4078">
        <w:t>. 6/7/2023 tarihli ve 7346 sayılı Cumhurbaşkanı Kararı ile yürürlüğe konulan</w:t>
      </w:r>
      <w:r w:rsidRPr="00E90AE7">
        <w:t xml:space="preserve"> Mal ve Hizmetlere Uygulanacak Katma Değer Vergisi Oranlarının Tespitine İlişkin Kararda Değişiklik Yapılmasına Dair Kara</w:t>
      </w:r>
      <w:r w:rsidR="00FB4078">
        <w:t>r ile</w:t>
      </w:r>
      <w:r w:rsidRPr="00E90AE7">
        <w:t xml:space="preserve"> 10/7/2023 tarihinden itibaren ise %20 oranında Katma Değer Vergisi uygulanmaktadır.</w:t>
      </w:r>
    </w:p>
    <w:p w14:paraId="7AEAE226" w14:textId="77777777" w:rsidR="007B3F75" w:rsidRPr="00E90AE7" w:rsidRDefault="007B3F75" w:rsidP="00E90AE7">
      <w:pPr>
        <w:spacing w:line="216" w:lineRule="auto"/>
        <w:jc w:val="both"/>
      </w:pPr>
    </w:p>
    <w:p w14:paraId="1FF2B648" w14:textId="77777777" w:rsidR="007B3F75" w:rsidRPr="00E90AE7" w:rsidRDefault="007B3F75" w:rsidP="00E90AE7">
      <w:pPr>
        <w:spacing w:line="216" w:lineRule="auto"/>
        <w:jc w:val="both"/>
      </w:pPr>
      <w:r w:rsidRPr="00E90AE7">
        <w:t xml:space="preserve">(3) 19/6/2018 tarihli ve 30453 sayılı Resmî </w:t>
      </w:r>
      <w:proofErr w:type="spellStart"/>
      <w:r w:rsidRPr="00E90AE7">
        <w:t>Gazete’de</w:t>
      </w:r>
      <w:proofErr w:type="spellEnd"/>
      <w:r w:rsidRPr="00E90AE7">
        <w:t xml:space="preserve"> yayımlanan İthalatta Gözetim Uygulanmasına İlişkin Tebliğ (Tebliğ No: 2018/12) ile 7307.19 </w:t>
      </w:r>
      <w:proofErr w:type="spellStart"/>
      <w:r w:rsidRPr="00E90AE7">
        <w:t>GTP’i</w:t>
      </w:r>
      <w:proofErr w:type="spellEnd"/>
      <w:r w:rsidRPr="00E90AE7">
        <w:t xml:space="preserve"> altında yer alan ürünler için kg (brüt) başına 2,5 ABD doları tutarının altındaki ithalatta gözetim uygulaması yürürlüğe konulmuştur.</w:t>
      </w:r>
    </w:p>
    <w:p w14:paraId="3D479FFA" w14:textId="77777777" w:rsidR="001F70AA" w:rsidRPr="00E90AE7" w:rsidRDefault="001F70AA" w:rsidP="00E90AE7">
      <w:pPr>
        <w:spacing w:line="216" w:lineRule="auto"/>
        <w:jc w:val="both"/>
      </w:pPr>
    </w:p>
    <w:p w14:paraId="7FD12005" w14:textId="77777777" w:rsidR="001F70AA" w:rsidRPr="00E90AE7" w:rsidRDefault="001F70AA" w:rsidP="00585166">
      <w:pPr>
        <w:pStyle w:val="ListeParagraf"/>
        <w:numPr>
          <w:ilvl w:val="0"/>
          <w:numId w:val="5"/>
        </w:numPr>
        <w:spacing w:line="216" w:lineRule="auto"/>
        <w:contextualSpacing/>
        <w:jc w:val="both"/>
        <w:rPr>
          <w:b/>
          <w:caps/>
        </w:rPr>
      </w:pPr>
      <w:r w:rsidRPr="00E90AE7">
        <w:rPr>
          <w:b/>
          <w:caps/>
        </w:rPr>
        <w:t>DAMPİNGİN DEVAM ETME VEYA YENİDEN MEYDANA GELME İHTİMALİ</w:t>
      </w:r>
    </w:p>
    <w:p w14:paraId="14C656BB" w14:textId="77777777" w:rsidR="001F70AA" w:rsidRPr="00E90AE7" w:rsidRDefault="001F70AA" w:rsidP="00E90AE7">
      <w:pPr>
        <w:spacing w:line="216" w:lineRule="auto"/>
        <w:ind w:left="420"/>
        <w:contextualSpacing/>
        <w:jc w:val="both"/>
        <w:rPr>
          <w:b/>
          <w:caps/>
        </w:rPr>
      </w:pPr>
    </w:p>
    <w:p w14:paraId="17FA019A" w14:textId="77777777" w:rsidR="001F70AA" w:rsidRPr="00E90AE7" w:rsidRDefault="001F70AA" w:rsidP="00E90AE7">
      <w:pPr>
        <w:pStyle w:val="2dzey"/>
        <w:rPr>
          <w:rFonts w:ascii="Times New Roman" w:eastAsia="Times New Roman" w:hAnsi="Times New Roman" w:cs="Times New Roman"/>
          <w:caps/>
        </w:rPr>
      </w:pPr>
      <w:bookmarkStart w:id="4" w:name="_Toc151035424"/>
      <w:r w:rsidRPr="00E90AE7">
        <w:rPr>
          <w:rFonts w:ascii="Times New Roman" w:eastAsia="Times New Roman" w:hAnsi="Times New Roman" w:cs="Times New Roman"/>
        </w:rPr>
        <w:t>3.1. Genel Açıklamalar</w:t>
      </w:r>
      <w:bookmarkEnd w:id="4"/>
    </w:p>
    <w:p w14:paraId="6D1C373A" w14:textId="77777777" w:rsidR="001F70AA" w:rsidRPr="00E90AE7" w:rsidRDefault="001F70AA" w:rsidP="00E90AE7">
      <w:pPr>
        <w:spacing w:line="216" w:lineRule="auto"/>
        <w:jc w:val="both"/>
        <w:rPr>
          <w:b/>
        </w:rPr>
      </w:pPr>
    </w:p>
    <w:p w14:paraId="6E7F9471" w14:textId="77777777" w:rsidR="001F70AA" w:rsidRPr="00E90AE7" w:rsidRDefault="001F70AA" w:rsidP="00585166">
      <w:pPr>
        <w:spacing w:line="216" w:lineRule="auto"/>
        <w:jc w:val="both"/>
      </w:pPr>
      <w:r w:rsidRPr="00E90AE7">
        <w:t xml:space="preserve">(1) Yönetmeliğin 35 inci maddesi çerçevesinde, önlemlerin yürürlükten kalkması halinde dampingin devam etmesinin veya yeniden meydana gelmesinin muhtemel olup olmadığı incelenmiştir.  </w:t>
      </w:r>
    </w:p>
    <w:p w14:paraId="2F6EB44E" w14:textId="77777777" w:rsidR="001F70AA" w:rsidRPr="00E90AE7" w:rsidRDefault="001F70AA" w:rsidP="00E90AE7">
      <w:pPr>
        <w:pStyle w:val="Default"/>
        <w:spacing w:line="216" w:lineRule="auto"/>
        <w:jc w:val="both"/>
        <w:rPr>
          <w:noProof/>
        </w:rPr>
      </w:pPr>
    </w:p>
    <w:p w14:paraId="4507D48D" w14:textId="77777777" w:rsidR="001F70AA" w:rsidRPr="00E90AE7" w:rsidRDefault="001F70AA" w:rsidP="00E90AE7">
      <w:pPr>
        <w:pStyle w:val="2dzey"/>
        <w:rPr>
          <w:rFonts w:ascii="Times New Roman" w:hAnsi="Times New Roman" w:cs="Times New Roman"/>
        </w:rPr>
      </w:pPr>
      <w:bookmarkStart w:id="5" w:name="_Toc151035425"/>
      <w:r w:rsidRPr="00E90AE7">
        <w:rPr>
          <w:rFonts w:ascii="Times New Roman" w:eastAsia="Times New Roman" w:hAnsi="Times New Roman" w:cs="Times New Roman"/>
        </w:rPr>
        <w:t>3.2. Dampingin devam etme ihtimali</w:t>
      </w:r>
      <w:bookmarkEnd w:id="5"/>
      <w:r w:rsidRPr="00E90AE7">
        <w:rPr>
          <w:rFonts w:ascii="Times New Roman" w:hAnsi="Times New Roman" w:cs="Times New Roman"/>
        </w:rPr>
        <w:t xml:space="preserve"> </w:t>
      </w:r>
    </w:p>
    <w:p w14:paraId="5871F23F" w14:textId="77777777" w:rsidR="001F70AA" w:rsidRPr="00E90AE7" w:rsidRDefault="001F70AA" w:rsidP="00E90AE7">
      <w:pPr>
        <w:pStyle w:val="Default"/>
        <w:spacing w:line="216" w:lineRule="auto"/>
        <w:jc w:val="both"/>
        <w:rPr>
          <w:b/>
          <w:color w:val="auto"/>
        </w:rPr>
      </w:pPr>
    </w:p>
    <w:p w14:paraId="2667509A" w14:textId="77777777" w:rsidR="001F70AA" w:rsidRPr="00E90AE7" w:rsidRDefault="001F70AA" w:rsidP="00E90AE7">
      <w:pPr>
        <w:spacing w:line="216" w:lineRule="auto"/>
        <w:jc w:val="both"/>
      </w:pPr>
      <w:r w:rsidRPr="00E90AE7">
        <w:t xml:space="preserve">(1) Yönetmeliğin 40 </w:t>
      </w:r>
      <w:proofErr w:type="spellStart"/>
      <w:r w:rsidRPr="00E90AE7">
        <w:t>ıncı</w:t>
      </w:r>
      <w:proofErr w:type="spellEnd"/>
      <w:r w:rsidRPr="00E90AE7">
        <w:t xml:space="preserve"> ve 41 inci maddeleri çerçevesinde, bu soruşturma sırasında yeniden bir damping marjı hesaplanmamış, esas soruşturmada hesaplanmış olan damping marjları gösterge olarak dikkate alınmıştır.</w:t>
      </w:r>
    </w:p>
    <w:p w14:paraId="648BE522" w14:textId="77777777" w:rsidR="001F70AA" w:rsidRPr="00E90AE7" w:rsidRDefault="001F70AA" w:rsidP="00E90AE7">
      <w:pPr>
        <w:spacing w:line="216" w:lineRule="auto"/>
        <w:jc w:val="both"/>
      </w:pPr>
    </w:p>
    <w:p w14:paraId="65E2243D" w14:textId="76B134E6" w:rsidR="001F70AA" w:rsidRPr="00E90AE7" w:rsidRDefault="001F70AA" w:rsidP="00E90AE7">
      <w:pPr>
        <w:spacing w:line="216" w:lineRule="auto"/>
        <w:jc w:val="both"/>
      </w:pPr>
      <w:r w:rsidRPr="00E90AE7">
        <w:t xml:space="preserve">(2) Bu çerçevede, </w:t>
      </w:r>
      <w:r w:rsidR="00461B0E">
        <w:t xml:space="preserve">İthalatta Haksız Rekabetin Önlenmesine İlişkin </w:t>
      </w:r>
      <w:r w:rsidRPr="00E90AE7">
        <w:t>Tebliğ</w:t>
      </w:r>
      <w:r w:rsidR="00461B0E">
        <w:t xml:space="preserve"> (Tebliğ No: 2000/3)</w:t>
      </w:r>
      <w:r w:rsidRPr="00E90AE7">
        <w:t xml:space="preserve"> ile sonuçlanan damping soruşturmasında, Brezilya’da yerleşik </w:t>
      </w:r>
      <w:proofErr w:type="spellStart"/>
      <w:r w:rsidRPr="00E90AE7">
        <w:t>Industria</w:t>
      </w:r>
      <w:proofErr w:type="spellEnd"/>
      <w:r w:rsidRPr="00E90AE7">
        <w:t xml:space="preserve"> De </w:t>
      </w:r>
      <w:proofErr w:type="spellStart"/>
      <w:r w:rsidRPr="00E90AE7">
        <w:t>Fundiçao</w:t>
      </w:r>
      <w:proofErr w:type="spellEnd"/>
      <w:r w:rsidRPr="00E90AE7">
        <w:t xml:space="preserve"> </w:t>
      </w:r>
      <w:proofErr w:type="spellStart"/>
      <w:r w:rsidRPr="00E90AE7">
        <w:t>Tupy</w:t>
      </w:r>
      <w:proofErr w:type="spellEnd"/>
      <w:r w:rsidRPr="00E90AE7">
        <w:t xml:space="preserve"> </w:t>
      </w:r>
      <w:proofErr w:type="spellStart"/>
      <w:r w:rsidRPr="00BD3B0A">
        <w:t>Ltda</w:t>
      </w:r>
      <w:proofErr w:type="spellEnd"/>
      <w:r w:rsidRPr="00BD3B0A">
        <w:t>.</w:t>
      </w:r>
      <w:r w:rsidRPr="00E90AE7">
        <w:t xml:space="preserve"> firması için CIF bedelin %57,4’ü oranında; </w:t>
      </w:r>
      <w:proofErr w:type="spellStart"/>
      <w:r w:rsidRPr="00E90AE7">
        <w:t>ÇHC’de</w:t>
      </w:r>
      <w:proofErr w:type="spellEnd"/>
      <w:r w:rsidRPr="00E90AE7">
        <w:t xml:space="preserve"> yerleşik </w:t>
      </w:r>
      <w:proofErr w:type="spellStart"/>
      <w:r w:rsidRPr="00E90AE7">
        <w:t>Jinan</w:t>
      </w:r>
      <w:proofErr w:type="spellEnd"/>
      <w:r w:rsidRPr="00E90AE7">
        <w:t xml:space="preserve"> </w:t>
      </w:r>
      <w:proofErr w:type="spellStart"/>
      <w:r w:rsidRPr="00E90AE7">
        <w:t>Meide</w:t>
      </w:r>
      <w:proofErr w:type="spellEnd"/>
      <w:r w:rsidRPr="00E90AE7">
        <w:t xml:space="preserve"> </w:t>
      </w:r>
      <w:proofErr w:type="spellStart"/>
      <w:r w:rsidRPr="00E90AE7">
        <w:t>Casting</w:t>
      </w:r>
      <w:proofErr w:type="spellEnd"/>
      <w:r w:rsidRPr="00E90AE7">
        <w:t xml:space="preserve"> </w:t>
      </w:r>
      <w:proofErr w:type="spellStart"/>
      <w:r w:rsidRPr="00BD3B0A">
        <w:t>Co</w:t>
      </w:r>
      <w:proofErr w:type="spellEnd"/>
      <w:proofErr w:type="gramStart"/>
      <w:r w:rsidRPr="00BD3B0A">
        <w:t>.,</w:t>
      </w:r>
      <w:proofErr w:type="gramEnd"/>
      <w:r w:rsidRPr="00E90AE7">
        <w:t xml:space="preserve"> Ltd. firması için CIF bedelin %158’i oranında; diğer firmalar içinse CIF bedelin %192’si oranında damping marjı hesaplanmıştır.   </w:t>
      </w:r>
    </w:p>
    <w:p w14:paraId="2F951EAA" w14:textId="77777777" w:rsidR="001F70AA" w:rsidRPr="00E90AE7" w:rsidRDefault="001F70AA" w:rsidP="00E90AE7">
      <w:pPr>
        <w:spacing w:line="216" w:lineRule="auto"/>
        <w:jc w:val="both"/>
      </w:pPr>
    </w:p>
    <w:p w14:paraId="06C625D2" w14:textId="074747FB" w:rsidR="001F70AA" w:rsidRPr="00E90AE7" w:rsidRDefault="001F70AA" w:rsidP="00E90AE7">
      <w:pPr>
        <w:spacing w:line="216" w:lineRule="auto"/>
        <w:jc w:val="both"/>
      </w:pPr>
      <w:r w:rsidRPr="00E90AE7">
        <w:t>(3) Diğer taraftan,</w:t>
      </w:r>
      <w:r w:rsidR="00461B0E">
        <w:t xml:space="preserve"> İthalatta Haksız Rekabetin Önlenmesine İlişkin </w:t>
      </w:r>
      <w:r w:rsidRPr="00E90AE7">
        <w:t>Tebliğ</w:t>
      </w:r>
      <w:r w:rsidR="00461B0E">
        <w:t xml:space="preserve"> (Tebliğ No: 2006/24)</w:t>
      </w:r>
      <w:r w:rsidRPr="00E90AE7">
        <w:t xml:space="preserve"> ile sonuçlanan damping soruşturmasında, Endonezya’da yerleşik PT. TRI Sinar </w:t>
      </w:r>
      <w:proofErr w:type="spellStart"/>
      <w:r w:rsidRPr="00E90AE7">
        <w:t>Purnama</w:t>
      </w:r>
      <w:proofErr w:type="spellEnd"/>
      <w:r w:rsidRPr="00E90AE7">
        <w:t> </w:t>
      </w:r>
      <w:proofErr w:type="spellStart"/>
      <w:r w:rsidRPr="00E90AE7">
        <w:t>Foundry</w:t>
      </w:r>
      <w:proofErr w:type="spellEnd"/>
      <w:r w:rsidRPr="00E90AE7">
        <w:t> firması için CIF değerin %25,08’i oranında, miktar bazında 253 ABD doları/ton tutarında, Endonezya’da yerleşik diğer üretici/ihracatçı firmalar için CIF değerin %156’sı oranında, miktar bazında 1.939 ABD doları/ton tutarında; Hindistan’da yerleşik </w:t>
      </w:r>
      <w:proofErr w:type="spellStart"/>
      <w:r w:rsidRPr="00E90AE7">
        <w:t>Jainsons</w:t>
      </w:r>
      <w:proofErr w:type="spellEnd"/>
      <w:r w:rsidRPr="00E90AE7">
        <w:t> </w:t>
      </w:r>
      <w:proofErr w:type="spellStart"/>
      <w:r w:rsidRPr="00E90AE7">
        <w:t>Industries</w:t>
      </w:r>
      <w:proofErr w:type="spellEnd"/>
      <w:r w:rsidRPr="00E90AE7">
        <w:t> </w:t>
      </w:r>
      <w:proofErr w:type="spellStart"/>
      <w:r w:rsidRPr="00E90AE7">
        <w:t>Regd</w:t>
      </w:r>
      <w:proofErr w:type="spellEnd"/>
      <w:r w:rsidRPr="00E90AE7">
        <w:t>. firması için CIF değerin %22,93’ü oranında, miktar bazında 305 ABD doları/ton tutarında, Hindistan’da yerleşik diğer üretici/ihracatçı firmalar için CIF değerin %183’ü oranında, miktar bazında 2.340 ABD doları/ton tutarında; Tayland’da yerleşik BIS </w:t>
      </w:r>
      <w:proofErr w:type="spellStart"/>
      <w:r w:rsidRPr="00E90AE7">
        <w:t>Pipe</w:t>
      </w:r>
      <w:proofErr w:type="spellEnd"/>
      <w:r w:rsidRPr="00E90AE7">
        <w:t> </w:t>
      </w:r>
      <w:proofErr w:type="spellStart"/>
      <w:r w:rsidRPr="00E90AE7">
        <w:t>Fitting</w:t>
      </w:r>
      <w:proofErr w:type="spellEnd"/>
      <w:r w:rsidRPr="00E90AE7">
        <w:t> </w:t>
      </w:r>
      <w:proofErr w:type="spellStart"/>
      <w:r w:rsidRPr="00E90AE7">
        <w:t>Industry</w:t>
      </w:r>
      <w:proofErr w:type="spellEnd"/>
      <w:r w:rsidRPr="00E90AE7">
        <w:t> </w:t>
      </w:r>
      <w:proofErr w:type="spellStart"/>
      <w:r w:rsidRPr="00E90AE7">
        <w:t>Company</w:t>
      </w:r>
      <w:proofErr w:type="spellEnd"/>
      <w:r w:rsidRPr="00E90AE7">
        <w:t> Ltd. için CIF değerin %10,21’i oranında, miktar bazında 147 ABD doları/ton tutarında, Tayland’da yerleşik diğer üretici/ihracatçı firmalar için CIF değerin %110’u oranında, miktar bazında 1.507 ABD doları/ton tutarında; Bulgaristan için CIF değerin %95,91’i oranında, miktar bazında 1.710 ABD doları/ton tutarında olarak damping marjı hesaplanmıştır.</w:t>
      </w:r>
    </w:p>
    <w:p w14:paraId="7AA59665" w14:textId="77777777" w:rsidR="001F70AA" w:rsidRPr="00E90AE7" w:rsidRDefault="001F70AA" w:rsidP="00E90AE7">
      <w:pPr>
        <w:spacing w:line="216" w:lineRule="auto"/>
        <w:jc w:val="both"/>
      </w:pPr>
    </w:p>
    <w:p w14:paraId="3D8787DE" w14:textId="77777777" w:rsidR="001F70AA" w:rsidRPr="00E90AE7" w:rsidRDefault="001F70AA" w:rsidP="00E90AE7">
      <w:pPr>
        <w:spacing w:line="216" w:lineRule="auto"/>
        <w:jc w:val="both"/>
      </w:pPr>
      <w:r w:rsidRPr="00E90AE7">
        <w:t xml:space="preserve">(4) Mevcut dampinge karşı önlemlerin hukuki ve idari alt yapısını teşkil eden esas soruşturma esnasında tespit edilen damping marjlarının, firmaların önlemin yürürlükten kalkması halindeki muhtemel davranışlarını yansıtacak önemli bir gösterge niteliği taşıdığı değerlendirilmektedir. </w:t>
      </w:r>
    </w:p>
    <w:p w14:paraId="13742E23" w14:textId="77777777" w:rsidR="001F70AA" w:rsidRPr="00E90AE7" w:rsidRDefault="001F70AA" w:rsidP="00E90AE7">
      <w:pPr>
        <w:pStyle w:val="Default"/>
        <w:spacing w:line="216" w:lineRule="auto"/>
        <w:jc w:val="both"/>
        <w:rPr>
          <w:b/>
        </w:rPr>
      </w:pPr>
    </w:p>
    <w:p w14:paraId="6B1AAA10" w14:textId="62B167C4" w:rsidR="001F70AA" w:rsidRPr="00E90AE7" w:rsidRDefault="001F70AA" w:rsidP="00E90AE7">
      <w:pPr>
        <w:pStyle w:val="2dzey"/>
        <w:rPr>
          <w:rFonts w:ascii="Times New Roman" w:eastAsia="Times New Roman" w:hAnsi="Times New Roman" w:cs="Times New Roman"/>
          <w:bCs/>
          <w:iCs/>
          <w:lang w:eastAsia="tr-TR"/>
        </w:rPr>
      </w:pPr>
      <w:bookmarkStart w:id="6" w:name="_Toc151035426"/>
      <w:r w:rsidRPr="00E90AE7">
        <w:rPr>
          <w:rFonts w:ascii="Times New Roman" w:eastAsia="Times New Roman" w:hAnsi="Times New Roman" w:cs="Times New Roman"/>
          <w:bCs/>
          <w:iCs/>
          <w:lang w:eastAsia="tr-TR"/>
        </w:rPr>
        <w:t>3.3. Dampingin yeniden meydana gelme ihtimali</w:t>
      </w:r>
      <w:bookmarkEnd w:id="6"/>
    </w:p>
    <w:p w14:paraId="78FB0E3D" w14:textId="77777777" w:rsidR="001F70AA" w:rsidRPr="00E90AE7" w:rsidRDefault="001F70AA" w:rsidP="00E90AE7">
      <w:pPr>
        <w:pStyle w:val="Default"/>
        <w:spacing w:line="216" w:lineRule="auto"/>
        <w:jc w:val="both"/>
        <w:rPr>
          <w:b/>
          <w:color w:val="auto"/>
        </w:rPr>
      </w:pPr>
    </w:p>
    <w:p w14:paraId="525E1FB0" w14:textId="77777777" w:rsidR="001F70AA" w:rsidRPr="00E90AE7" w:rsidRDefault="001F70AA" w:rsidP="00E90AE7">
      <w:pPr>
        <w:pStyle w:val="Default"/>
        <w:spacing w:line="216" w:lineRule="auto"/>
        <w:jc w:val="both"/>
      </w:pPr>
      <w:r w:rsidRPr="00E90AE7">
        <w:t>(1) İhracatçı firmaların davranışlarını ve yeniden meydana gelmesi muhtemel olan dampingi göstermesi açısından soruşturma konusu ülkelerin Türkiye’ye yönlendirebilecek üretim ve ihracat kapasitesi ile fiyatları önem arz etmektedir.</w:t>
      </w:r>
    </w:p>
    <w:p w14:paraId="7FF28191" w14:textId="77777777" w:rsidR="001F70AA" w:rsidRPr="00E90AE7" w:rsidRDefault="001F70AA" w:rsidP="00E90AE7">
      <w:pPr>
        <w:pStyle w:val="Default"/>
        <w:spacing w:line="216" w:lineRule="auto"/>
        <w:jc w:val="both"/>
        <w:rPr>
          <w:b/>
          <w:color w:val="auto"/>
        </w:rPr>
      </w:pPr>
      <w:r w:rsidRPr="00E90AE7">
        <w:rPr>
          <w:b/>
          <w:color w:val="auto"/>
        </w:rPr>
        <w:t xml:space="preserve"> </w:t>
      </w:r>
    </w:p>
    <w:p w14:paraId="1561A7B1" w14:textId="77777777" w:rsidR="001F70AA" w:rsidRPr="00E90AE7" w:rsidRDefault="001F70AA" w:rsidP="00E90AE7">
      <w:pPr>
        <w:pStyle w:val="Default"/>
        <w:spacing w:line="216" w:lineRule="auto"/>
        <w:jc w:val="both"/>
        <w:rPr>
          <w:b/>
          <w:bCs/>
          <w:iCs/>
          <w:color w:val="auto"/>
        </w:rPr>
      </w:pPr>
      <w:r w:rsidRPr="00E90AE7">
        <w:rPr>
          <w:b/>
          <w:bCs/>
          <w:iCs/>
          <w:color w:val="auto"/>
        </w:rPr>
        <w:t>3.3.1. Soruşturma konusu ülkelerdeki üretim ve ihracat kapasitesi</w:t>
      </w:r>
    </w:p>
    <w:p w14:paraId="5E6AE945" w14:textId="77777777" w:rsidR="001F70AA" w:rsidRPr="00E90AE7" w:rsidRDefault="001F70AA" w:rsidP="00E90AE7">
      <w:pPr>
        <w:autoSpaceDE w:val="0"/>
        <w:autoSpaceDN w:val="0"/>
        <w:adjustRightInd w:val="0"/>
        <w:spacing w:line="216" w:lineRule="auto"/>
        <w:jc w:val="both"/>
        <w:rPr>
          <w:b/>
        </w:rPr>
      </w:pPr>
    </w:p>
    <w:p w14:paraId="4683F035" w14:textId="77777777" w:rsidR="001F70AA" w:rsidRPr="00E90AE7" w:rsidRDefault="001F70AA" w:rsidP="00E90AE7">
      <w:pPr>
        <w:spacing w:line="216" w:lineRule="auto"/>
        <w:jc w:val="both"/>
      </w:pPr>
      <w:r w:rsidRPr="00E90AE7">
        <w:t xml:space="preserve">(1) Soruşturma konusu ülkelerin üretim ve ihracat kabiliyetlerine ilişkin değerlendirmede, Uluslararası Ticaret Merkezi’nin (International </w:t>
      </w:r>
      <w:proofErr w:type="spellStart"/>
      <w:r w:rsidRPr="00E90AE7">
        <w:t>Trade</w:t>
      </w:r>
      <w:proofErr w:type="spellEnd"/>
      <w:r w:rsidRPr="00E90AE7">
        <w:t xml:space="preserve"> Center, ITC) 7307.19 </w:t>
      </w:r>
      <w:proofErr w:type="spellStart"/>
      <w:r w:rsidRPr="00E90AE7">
        <w:t>GTP’ine</w:t>
      </w:r>
      <w:proofErr w:type="spellEnd"/>
      <w:r w:rsidRPr="00E90AE7">
        <w:t xml:space="preserve"> ilişkin 2020-2022 dönemi ihracat verileri kullanılmıştır.</w:t>
      </w:r>
    </w:p>
    <w:p w14:paraId="4EA2E98F" w14:textId="77777777" w:rsidR="001F70AA" w:rsidRPr="00E90AE7" w:rsidRDefault="001F70AA" w:rsidP="00E90AE7">
      <w:pPr>
        <w:spacing w:line="216" w:lineRule="auto"/>
        <w:jc w:val="both"/>
      </w:pPr>
    </w:p>
    <w:p w14:paraId="5AE6F7A7" w14:textId="77777777" w:rsidR="001F70AA" w:rsidRPr="00E90AE7" w:rsidRDefault="001F70AA" w:rsidP="00E90AE7">
      <w:pPr>
        <w:spacing w:line="216" w:lineRule="auto"/>
        <w:jc w:val="both"/>
      </w:pPr>
      <w:r w:rsidRPr="00E90AE7">
        <w:t xml:space="preserve">(2) ITC verileri çerçevesinde, 2020 yılında soruşturma konusu üründe dünya geneli ihracat miktarı yaklaşık olarak 498 bin ton, 2021 ve 2022 yıllarında ise sırasıyla yaklaşık olarak 529 bin ton ve yaklaşık olarak 483 bin ton olarak gerçekleşmiştir. </w:t>
      </w:r>
    </w:p>
    <w:p w14:paraId="69B7A04D" w14:textId="77777777" w:rsidR="001F70AA" w:rsidRPr="00E90AE7" w:rsidRDefault="001F70AA" w:rsidP="00E90AE7">
      <w:pPr>
        <w:spacing w:line="216" w:lineRule="auto"/>
        <w:jc w:val="both"/>
      </w:pPr>
    </w:p>
    <w:p w14:paraId="448D939F" w14:textId="77777777" w:rsidR="001F70AA" w:rsidRPr="00E90AE7" w:rsidRDefault="001F70AA" w:rsidP="00E90AE7">
      <w:pPr>
        <w:spacing w:line="216" w:lineRule="auto"/>
        <w:jc w:val="both"/>
      </w:pPr>
      <w:r w:rsidRPr="00E90AE7">
        <w:t xml:space="preserve">(3) Bunun yanında, söz konusu ürünün 2020 yılında yaklaşık olarak 1,9 milyar ABD doları olarak gerçekleşen dünya geneli ihracat değeri, 2021 yılında yaklaşık olarak 2,3 milyar ABD doları, 2022 yılında ise yaklaşık olarak 2,4 milyar ABD doları olarak gerçekleşmiştir. </w:t>
      </w:r>
    </w:p>
    <w:p w14:paraId="066518F3" w14:textId="77777777" w:rsidR="001F70AA" w:rsidRPr="00E90AE7" w:rsidRDefault="001F70AA" w:rsidP="00E90AE7">
      <w:pPr>
        <w:spacing w:line="216" w:lineRule="auto"/>
        <w:jc w:val="both"/>
      </w:pPr>
    </w:p>
    <w:p w14:paraId="6F7AE21D" w14:textId="77777777" w:rsidR="001F70AA" w:rsidRPr="00E90AE7" w:rsidRDefault="001F70AA" w:rsidP="00E90AE7">
      <w:pPr>
        <w:spacing w:line="216" w:lineRule="auto"/>
        <w:jc w:val="both"/>
      </w:pPr>
      <w:r w:rsidRPr="00E90AE7">
        <w:t xml:space="preserve">(4) Soruşturma konusu ülkelerden </w:t>
      </w:r>
      <w:proofErr w:type="spellStart"/>
      <w:r w:rsidRPr="00E90AE7">
        <w:t>ÇHC’nin</w:t>
      </w:r>
      <w:proofErr w:type="spellEnd"/>
      <w:r w:rsidRPr="00E90AE7">
        <w:t xml:space="preserve"> 7307.19 </w:t>
      </w:r>
      <w:proofErr w:type="spellStart"/>
      <w:r w:rsidRPr="00E90AE7">
        <w:t>GTP’i</w:t>
      </w:r>
      <w:proofErr w:type="spellEnd"/>
      <w:r w:rsidRPr="00E90AE7">
        <w:t xml:space="preserve"> altında kayıtlı üründe 2022 yılında dünya geneline gerçekleştirdiği ihracat miktarının yaklaşık olarak 186,7 bin ton olduğu tespit edilmiştir. Bu değerle </w:t>
      </w:r>
      <w:proofErr w:type="spellStart"/>
      <w:r w:rsidRPr="00E90AE7">
        <w:t>ÇHC’nin</w:t>
      </w:r>
      <w:proofErr w:type="spellEnd"/>
      <w:r w:rsidRPr="00E90AE7">
        <w:t xml:space="preserve"> 2022 yılında, söz konusu ürünün dünya geneli ihracatında %38,7’lik payla birinci sırada yer aldığı görülmektedir. </w:t>
      </w:r>
      <w:proofErr w:type="spellStart"/>
      <w:r w:rsidRPr="00E90AE7">
        <w:t>ÇHC’nin</w:t>
      </w:r>
      <w:proofErr w:type="spellEnd"/>
      <w:r w:rsidRPr="00E90AE7">
        <w:t xml:space="preserve"> bahse konu üründe dünyaya yaptığı ihracatın dünya ihracatı içindeki payının 2020-2022 döneminde azaldığı görülmektedir.</w:t>
      </w:r>
    </w:p>
    <w:p w14:paraId="58416972" w14:textId="77777777" w:rsidR="001F70AA" w:rsidRPr="00E90AE7" w:rsidRDefault="001F70AA" w:rsidP="00E90AE7">
      <w:pPr>
        <w:spacing w:line="216" w:lineRule="auto"/>
        <w:jc w:val="both"/>
      </w:pPr>
    </w:p>
    <w:p w14:paraId="60771E71" w14:textId="77777777" w:rsidR="001F70AA" w:rsidRPr="00E90AE7" w:rsidRDefault="001F70AA" w:rsidP="00E90AE7">
      <w:pPr>
        <w:spacing w:line="216" w:lineRule="auto"/>
        <w:jc w:val="both"/>
      </w:pPr>
      <w:r w:rsidRPr="00E90AE7">
        <w:t xml:space="preserve">(5) Soruşturma konusu ülkelerden Endonezya’nın 7307.19 GTP altında kayıtlı üründe 2022 yılında dünya geneline gerçekleştirdiği ihracat miktarının yaklaşık olarak 8,8 bin ton olduğu tespit edilmiştir. Bu değerle Endonezya’nın 2022 yılında, söz konusu ürünün dünya geneli ihracatında %1,83’lük payla on üçüncü sırada yer aldığı görülmektedir. Endonezya’nın bahse konu üründe dünyaya yaptığı ihracatın dünya ihracatı içindeki payının 2022 yılında 2020 yılına göre arttığı görülmektedir. </w:t>
      </w:r>
    </w:p>
    <w:p w14:paraId="54D7C1B2" w14:textId="77777777" w:rsidR="001F70AA" w:rsidRPr="00E90AE7" w:rsidRDefault="001F70AA" w:rsidP="00E90AE7">
      <w:pPr>
        <w:spacing w:line="216" w:lineRule="auto"/>
        <w:jc w:val="both"/>
      </w:pPr>
    </w:p>
    <w:p w14:paraId="742EB209" w14:textId="77777777" w:rsidR="001F70AA" w:rsidRPr="00E90AE7" w:rsidRDefault="001F70AA" w:rsidP="00E90AE7">
      <w:pPr>
        <w:spacing w:line="216" w:lineRule="auto"/>
        <w:jc w:val="both"/>
      </w:pPr>
      <w:r w:rsidRPr="00E90AE7">
        <w:t xml:space="preserve">(6) Soruşturma konusu ülkelerden Brezilya’nın 7307.19 GTP altında kayıtlı üründe 2022 yılında dünya geneline gerçekleştirdiği ihracat miktarının yaklaşık olarak 3,4 bin ton olduğu tespit edilmiştir. Bu değerle Brezilya’nın 2022 yılında, söz konusu ürünün dünya geneli ihracatında %0,71’lik payla on dokuzuncu sırada yer aldığı görülmektedir. Brezilya’nın bahse konu üründe dünyaya yaptığı ihracatın dünya ihracatı içindeki payının 2022 yılında 2020 yılına göre arttığı görülmektedir. </w:t>
      </w:r>
    </w:p>
    <w:p w14:paraId="3E710472" w14:textId="77777777" w:rsidR="001F70AA" w:rsidRPr="00E90AE7" w:rsidRDefault="001F70AA" w:rsidP="00E90AE7">
      <w:pPr>
        <w:spacing w:line="216" w:lineRule="auto"/>
        <w:jc w:val="both"/>
      </w:pPr>
    </w:p>
    <w:p w14:paraId="10C468F3" w14:textId="77777777" w:rsidR="001F70AA" w:rsidRPr="00E90AE7" w:rsidRDefault="001F70AA" w:rsidP="00E90AE7">
      <w:pPr>
        <w:spacing w:line="216" w:lineRule="auto"/>
        <w:jc w:val="both"/>
      </w:pPr>
      <w:r w:rsidRPr="00E90AE7">
        <w:t xml:space="preserve">(7) Soruşturma konusu ülkelerden Tayland’ın 7307.19 GTP altında kayıtlı üründe 2022 yılında dünya geneline gerçekleştirdiği ihracat miktarının yaklaşık olarak 19,1 bin ton olduğu tespit edilmiştir. Bu değerle Tayland’ın 2022 yılında, söz konusu ürünün dünya geneli ihracatında %3,95’lik payla altıncı sırada yer aldığı görülmektedir. Tayland’ın bahse konu üründe dünyaya yaptığı ihracatın dünya ihracatı içindeki payının 2022 yılında 2020 yılına göre arttığı görülmektedir. </w:t>
      </w:r>
    </w:p>
    <w:p w14:paraId="59FAFC75" w14:textId="77777777" w:rsidR="001F70AA" w:rsidRPr="00E90AE7" w:rsidRDefault="001F70AA" w:rsidP="00E90AE7">
      <w:pPr>
        <w:spacing w:line="216" w:lineRule="auto"/>
        <w:jc w:val="both"/>
      </w:pPr>
    </w:p>
    <w:p w14:paraId="0CB3E79A" w14:textId="77777777" w:rsidR="001F70AA" w:rsidRPr="00E90AE7" w:rsidRDefault="001F70AA" w:rsidP="00E90AE7">
      <w:pPr>
        <w:spacing w:line="216" w:lineRule="auto"/>
        <w:jc w:val="both"/>
      </w:pPr>
      <w:r w:rsidRPr="00E90AE7">
        <w:t xml:space="preserve">(8) Soruşturma konusu ülkelerden Bulgaristan’ın 7307.19 GTP altında kayıtlı üründe 2022 yılında dünya geneline gerçekleştirdiği ihracat miktarının yaklaşık olarak 7,3 bin ton olduğu tespit edilmiştir. Bu değerle Bulgaristan’ın 2022 yılında, söz konusu ürünün dünya geneli ihracatında %1,52’lik payla on altıncı sırada yer aldığı görülmektedir. Bulgaristan’ın bahse konu üründe dünyaya yaptığı ihracatın dünya ihracatı içindeki payının 2022 yılında 2020 yılına göre azaldığı görülmektedir. </w:t>
      </w:r>
    </w:p>
    <w:p w14:paraId="6CC8C347" w14:textId="77777777" w:rsidR="001F70AA" w:rsidRPr="00E90AE7" w:rsidRDefault="001F70AA" w:rsidP="00E90AE7">
      <w:pPr>
        <w:spacing w:line="216" w:lineRule="auto"/>
        <w:jc w:val="both"/>
      </w:pPr>
    </w:p>
    <w:p w14:paraId="6CF86DCE" w14:textId="77777777" w:rsidR="001F70AA" w:rsidRPr="00E90AE7" w:rsidRDefault="001F70AA" w:rsidP="00E90AE7">
      <w:pPr>
        <w:spacing w:line="216" w:lineRule="auto"/>
        <w:jc w:val="both"/>
      </w:pPr>
      <w:r w:rsidRPr="00E90AE7">
        <w:t xml:space="preserve">(9) Soruşturma konusu ülkelerden Hindistan’ın 7307.19 </w:t>
      </w:r>
      <w:proofErr w:type="spellStart"/>
      <w:r w:rsidRPr="00E90AE7">
        <w:t>GTP’i</w:t>
      </w:r>
      <w:proofErr w:type="spellEnd"/>
      <w:r w:rsidRPr="00E90AE7">
        <w:t xml:space="preserve"> altında kayıtlı üründe 2022 yılında dünya geneline gerçekleştirdiği ihracat miktarının yaklaşık olarak 27,1 bin ton olduğu tespit edilmiştir. Bu değerle Hindistan’ın 2022 yılında, söz konusu ürünün dünya geneli ihracatında %5,6’lık payla dördüncü sırada yer aldığı görülmektedir. Hindistan’ın bahse konu üründe dünyaya yaptığı ihracatın dünya ihracatı içindeki payının 2020-2022 döneminde arttığı görülmektedir. </w:t>
      </w:r>
      <w:bookmarkStart w:id="7" w:name="_Toc12439909"/>
      <w:bookmarkStart w:id="8" w:name="_Toc21523227"/>
      <w:bookmarkStart w:id="9" w:name="_Toc21523278"/>
      <w:bookmarkStart w:id="10" w:name="_Toc21523405"/>
      <w:bookmarkStart w:id="11" w:name="_Toc21523439"/>
      <w:bookmarkStart w:id="12" w:name="_Toc21523464"/>
      <w:bookmarkStart w:id="13" w:name="_Toc21523505"/>
      <w:bookmarkStart w:id="14" w:name="_Toc21523570"/>
      <w:bookmarkStart w:id="15" w:name="_Toc21523575"/>
      <w:bookmarkStart w:id="16" w:name="_Toc22139771"/>
      <w:bookmarkStart w:id="17" w:name="_Toc12439910"/>
    </w:p>
    <w:p w14:paraId="11997126" w14:textId="77777777" w:rsidR="001F70AA" w:rsidRPr="00E90AE7" w:rsidRDefault="001F70AA" w:rsidP="00E90AE7">
      <w:pPr>
        <w:spacing w:line="216" w:lineRule="auto"/>
        <w:jc w:val="both"/>
      </w:pPr>
    </w:p>
    <w:p w14:paraId="46967547" w14:textId="77777777" w:rsidR="001F70AA" w:rsidRPr="00E90AE7" w:rsidRDefault="001F70AA" w:rsidP="00E90AE7">
      <w:pPr>
        <w:pStyle w:val="Balk2"/>
        <w:spacing w:before="0" w:line="216" w:lineRule="auto"/>
        <w:rPr>
          <w:rFonts w:eastAsia="Times New Roman" w:cs="Times New Roman"/>
          <w:bCs/>
          <w:iCs/>
          <w:szCs w:val="24"/>
          <w:lang w:eastAsia="tr-TR"/>
        </w:rPr>
      </w:pPr>
      <w:bookmarkStart w:id="18" w:name="_Toc157003595"/>
      <w:r w:rsidRPr="00E90AE7">
        <w:rPr>
          <w:rFonts w:eastAsia="Times New Roman" w:cs="Times New Roman"/>
          <w:bCs/>
          <w:iCs/>
          <w:szCs w:val="24"/>
          <w:lang w:eastAsia="tr-TR"/>
        </w:rPr>
        <w:t xml:space="preserve">3.4. </w:t>
      </w:r>
      <w:bookmarkEnd w:id="7"/>
      <w:bookmarkEnd w:id="8"/>
      <w:bookmarkEnd w:id="9"/>
      <w:bookmarkEnd w:id="10"/>
      <w:bookmarkEnd w:id="11"/>
      <w:bookmarkEnd w:id="12"/>
      <w:bookmarkEnd w:id="13"/>
      <w:bookmarkEnd w:id="14"/>
      <w:bookmarkEnd w:id="15"/>
      <w:bookmarkEnd w:id="16"/>
      <w:r w:rsidRPr="00E90AE7">
        <w:rPr>
          <w:rFonts w:eastAsia="Times New Roman" w:cs="Times New Roman"/>
          <w:bCs/>
          <w:iCs/>
          <w:szCs w:val="24"/>
          <w:lang w:eastAsia="tr-TR"/>
        </w:rPr>
        <w:t>Dampingin devamı veya yeniden meydana gelmesi ihtimaline ilişkin değerlendirme</w:t>
      </w:r>
      <w:bookmarkEnd w:id="18"/>
    </w:p>
    <w:p w14:paraId="151E00A8" w14:textId="77777777" w:rsidR="001F70AA" w:rsidRPr="00E90AE7" w:rsidRDefault="001F70AA" w:rsidP="00E90AE7">
      <w:pPr>
        <w:spacing w:line="216" w:lineRule="auto"/>
      </w:pPr>
    </w:p>
    <w:p w14:paraId="3B0BFB08" w14:textId="77777777" w:rsidR="001F70AA" w:rsidRPr="00E90AE7" w:rsidRDefault="001F70AA" w:rsidP="00E90AE7">
      <w:pPr>
        <w:spacing w:line="216" w:lineRule="auto"/>
        <w:jc w:val="both"/>
      </w:pPr>
      <w:r w:rsidRPr="00E90AE7">
        <w:t>(1) Dampingin devamı veya yeniden meydana gelmesi ihtimaline ilişkin olarak yapılan inceleme neticesinde;</w:t>
      </w:r>
    </w:p>
    <w:p w14:paraId="55AA3F1E" w14:textId="77777777" w:rsidR="001F70AA" w:rsidRPr="00E90AE7" w:rsidRDefault="001F70AA" w:rsidP="00E90AE7">
      <w:pPr>
        <w:spacing w:line="216" w:lineRule="auto"/>
        <w:jc w:val="both"/>
      </w:pPr>
    </w:p>
    <w:p w14:paraId="7F443A3C" w14:textId="77777777" w:rsidR="001F70AA" w:rsidRPr="00E90AE7" w:rsidRDefault="001F70AA" w:rsidP="00E90AE7">
      <w:pPr>
        <w:numPr>
          <w:ilvl w:val="0"/>
          <w:numId w:val="6"/>
        </w:numPr>
        <w:spacing w:line="216" w:lineRule="auto"/>
        <w:jc w:val="both"/>
      </w:pPr>
      <w:r w:rsidRPr="00E90AE7">
        <w:t>Önleme tabi ülkeler menşeli soruşturma konusu ürünün ithalatında esas soruşturmalarda tespit edilen damping marjlarının önemli düzeylerde olduğu,</w:t>
      </w:r>
    </w:p>
    <w:p w14:paraId="777B15EA" w14:textId="77777777" w:rsidR="001F70AA" w:rsidRPr="00E90AE7" w:rsidRDefault="001F70AA" w:rsidP="00E90AE7">
      <w:pPr>
        <w:spacing w:line="216" w:lineRule="auto"/>
        <w:jc w:val="both"/>
      </w:pPr>
    </w:p>
    <w:p w14:paraId="4804B79B" w14:textId="77777777" w:rsidR="001F70AA" w:rsidRPr="00E90AE7" w:rsidRDefault="001F70AA" w:rsidP="00E90AE7">
      <w:pPr>
        <w:numPr>
          <w:ilvl w:val="0"/>
          <w:numId w:val="6"/>
        </w:numPr>
        <w:spacing w:line="216" w:lineRule="auto"/>
        <w:jc w:val="both"/>
      </w:pPr>
      <w:r w:rsidRPr="00E90AE7">
        <w:t>Soruşturma konusu ülkelerin üretim ve ihracat kapasitelerinin önemli düzeylerde olduğu,</w:t>
      </w:r>
    </w:p>
    <w:p w14:paraId="78048A0D" w14:textId="77777777" w:rsidR="001F70AA" w:rsidRPr="00E90AE7" w:rsidRDefault="001F70AA" w:rsidP="00E90AE7">
      <w:pPr>
        <w:spacing w:line="216" w:lineRule="auto"/>
        <w:jc w:val="both"/>
      </w:pPr>
    </w:p>
    <w:p w14:paraId="6130FF45" w14:textId="12913E58" w:rsidR="001F70AA" w:rsidRPr="00E90AE7" w:rsidRDefault="00240901" w:rsidP="00BD3B0A">
      <w:pPr>
        <w:spacing w:line="216" w:lineRule="auto"/>
        <w:ind w:firstLine="360"/>
        <w:jc w:val="both"/>
      </w:pPr>
      <w:r>
        <w:t xml:space="preserve">     </w:t>
      </w:r>
      <w:proofErr w:type="gramStart"/>
      <w:r w:rsidR="001F70AA" w:rsidRPr="00E90AE7">
        <w:t>hususları</w:t>
      </w:r>
      <w:proofErr w:type="gramEnd"/>
      <w:r w:rsidR="001F70AA" w:rsidRPr="00E90AE7">
        <w:t xml:space="preserve"> birlikte değerlendirildiğinde, yürürlükteki önlemin ortadan kalkması halinde dampingli ithalatın devam etmesinin veya tekrar etmesinin muhtemel olduğu değerlendirilmektedir.</w:t>
      </w:r>
    </w:p>
    <w:bookmarkEnd w:id="17"/>
    <w:p w14:paraId="2FBDDF4C" w14:textId="77777777" w:rsidR="00DF7AB1" w:rsidRPr="00E90AE7" w:rsidRDefault="00DF7AB1" w:rsidP="00E90AE7">
      <w:pPr>
        <w:spacing w:line="216" w:lineRule="auto"/>
        <w:jc w:val="both"/>
        <w:rPr>
          <w:noProof/>
          <w:color w:val="000000"/>
        </w:rPr>
      </w:pPr>
    </w:p>
    <w:p w14:paraId="222C294C" w14:textId="66663B68" w:rsidR="00FB76BE" w:rsidRPr="00E90AE7" w:rsidRDefault="00FB76BE" w:rsidP="00E90AE7">
      <w:pPr>
        <w:pStyle w:val="1dzey"/>
        <w:rPr>
          <w:rFonts w:ascii="Times New Roman" w:eastAsia="Times New Roman" w:hAnsi="Times New Roman" w:cs="Times New Roman"/>
          <w:bCs/>
          <w:iCs/>
          <w:caps w:val="0"/>
          <w:lang w:eastAsia="tr-TR"/>
        </w:rPr>
      </w:pPr>
      <w:r w:rsidRPr="00E90AE7">
        <w:rPr>
          <w:rFonts w:ascii="Times New Roman" w:eastAsia="Times New Roman" w:hAnsi="Times New Roman" w:cs="Times New Roman"/>
          <w:bCs/>
          <w:iCs/>
          <w:caps w:val="0"/>
          <w:lang w:eastAsia="tr-TR"/>
        </w:rPr>
        <w:t>4. ZARARIN DEVAMI VEYA YENİDEN MEYDANA GELME</w:t>
      </w:r>
      <w:r w:rsidR="00752C53">
        <w:rPr>
          <w:rFonts w:ascii="Times New Roman" w:eastAsia="Times New Roman" w:hAnsi="Times New Roman" w:cs="Times New Roman"/>
          <w:bCs/>
          <w:iCs/>
          <w:caps w:val="0"/>
          <w:lang w:eastAsia="tr-TR"/>
        </w:rPr>
        <w:t>Sİ</w:t>
      </w:r>
      <w:r w:rsidRPr="00E90AE7">
        <w:rPr>
          <w:rFonts w:ascii="Times New Roman" w:eastAsia="Times New Roman" w:hAnsi="Times New Roman" w:cs="Times New Roman"/>
          <w:bCs/>
          <w:iCs/>
          <w:caps w:val="0"/>
          <w:lang w:eastAsia="tr-TR"/>
        </w:rPr>
        <w:t xml:space="preserve"> İHTİMALİ</w:t>
      </w:r>
    </w:p>
    <w:p w14:paraId="1339156A" w14:textId="77777777" w:rsidR="00FB76BE" w:rsidRPr="00E90AE7" w:rsidRDefault="00FB76BE" w:rsidP="00E90AE7">
      <w:pPr>
        <w:spacing w:line="216" w:lineRule="auto"/>
        <w:rPr>
          <w:b/>
          <w:bCs/>
          <w:iCs/>
        </w:rPr>
      </w:pPr>
    </w:p>
    <w:p w14:paraId="0FF73DF5" w14:textId="77777777" w:rsidR="00FB76BE" w:rsidRPr="00E90AE7" w:rsidRDefault="00FB76BE" w:rsidP="00E90AE7">
      <w:pPr>
        <w:pStyle w:val="2dzey"/>
        <w:rPr>
          <w:rFonts w:ascii="Times New Roman" w:eastAsia="Times New Roman" w:hAnsi="Times New Roman" w:cs="Times New Roman"/>
          <w:bCs/>
          <w:iCs/>
          <w:lang w:eastAsia="tr-TR"/>
        </w:rPr>
      </w:pPr>
      <w:bookmarkStart w:id="19" w:name="_Toc151035430"/>
      <w:r w:rsidRPr="00E90AE7">
        <w:rPr>
          <w:rFonts w:ascii="Times New Roman" w:eastAsia="Times New Roman" w:hAnsi="Times New Roman" w:cs="Times New Roman"/>
          <w:bCs/>
          <w:iCs/>
          <w:lang w:eastAsia="tr-TR"/>
        </w:rPr>
        <w:t>4.1. Genel açıklamalar</w:t>
      </w:r>
      <w:bookmarkEnd w:id="19"/>
    </w:p>
    <w:p w14:paraId="1B108732" w14:textId="77777777" w:rsidR="00FB76BE" w:rsidRPr="00E90AE7" w:rsidRDefault="00FB76BE" w:rsidP="00E90AE7">
      <w:pPr>
        <w:spacing w:line="216" w:lineRule="auto"/>
        <w:jc w:val="both"/>
        <w:rPr>
          <w:b/>
        </w:rPr>
      </w:pPr>
    </w:p>
    <w:p w14:paraId="641F3C90" w14:textId="77777777" w:rsidR="00FB76BE" w:rsidRPr="00E90AE7" w:rsidRDefault="00FB76BE" w:rsidP="00E90AE7">
      <w:pPr>
        <w:pStyle w:val="GvdeMetni"/>
        <w:spacing w:line="216" w:lineRule="auto"/>
        <w:rPr>
          <w:color w:val="auto"/>
          <w:lang w:eastAsia="tr-TR"/>
        </w:rPr>
      </w:pPr>
      <w:r w:rsidRPr="00E90AE7">
        <w:rPr>
          <w:color w:val="auto"/>
          <w:lang w:eastAsia="tr-TR"/>
        </w:rPr>
        <w:t>(1) Yönetmeliğin 35 inci maddesi çerçevesinde, gözden geçirme döneminde zararın devam edip etmediği ve önlemlerin yürürlükten kalkması halinde zararın devam etmesinin veya yeniden meydana gelmesinin muhtemel olup olmadığı incelenmiştir. Bu kapsamda, ithalatın mutlak ve nispi olarak gelişimi, dampingli ithalatın fiyatları ve bu fiyatların yerli üretim dalının fiyatları üzerindeki etkisi ile yerli üretim dalının ekonomik göstergeleri değerlendirilmiştir.</w:t>
      </w:r>
    </w:p>
    <w:p w14:paraId="1D635162" w14:textId="77777777" w:rsidR="00FB76BE" w:rsidRPr="00E90AE7" w:rsidRDefault="00FB76BE" w:rsidP="00E90AE7">
      <w:pPr>
        <w:pStyle w:val="GvdeMetni"/>
        <w:spacing w:line="216" w:lineRule="auto"/>
        <w:rPr>
          <w:color w:val="auto"/>
          <w:lang w:eastAsia="tr-TR"/>
        </w:rPr>
      </w:pPr>
    </w:p>
    <w:p w14:paraId="0635D3C1" w14:textId="77777777" w:rsidR="00FB76BE" w:rsidRPr="00E90AE7" w:rsidRDefault="00FB76BE" w:rsidP="00E90AE7">
      <w:pPr>
        <w:pStyle w:val="GvdeMetni"/>
        <w:spacing w:line="216" w:lineRule="auto"/>
        <w:rPr>
          <w:color w:val="auto"/>
          <w:lang w:eastAsia="tr-TR"/>
        </w:rPr>
      </w:pPr>
      <w:r w:rsidRPr="00E90AE7">
        <w:rPr>
          <w:color w:val="auto"/>
          <w:lang w:eastAsia="tr-TR"/>
        </w:rPr>
        <w:t>(2) Soruşturma konusu ürünün genel ithalatı ve soruşturma konusu ülkelerden yapılan ithalatın incelenmesinde Bakanlık KÜBİS veri tabanı Özel Ticaret Sistemi (ÖTS) verileri kullanılmıştır.</w:t>
      </w:r>
    </w:p>
    <w:p w14:paraId="5A093A99" w14:textId="77777777" w:rsidR="00FB76BE" w:rsidRPr="00E90AE7" w:rsidRDefault="00FB76BE" w:rsidP="00E90AE7">
      <w:pPr>
        <w:pStyle w:val="GvdeMetni"/>
        <w:spacing w:line="216" w:lineRule="auto"/>
      </w:pPr>
    </w:p>
    <w:p w14:paraId="2F19F539" w14:textId="77777777" w:rsidR="00FB76BE" w:rsidRPr="00E90AE7" w:rsidRDefault="00FB76BE" w:rsidP="00E90AE7">
      <w:pPr>
        <w:pStyle w:val="1dzey"/>
        <w:rPr>
          <w:rFonts w:ascii="Times New Roman" w:eastAsia="Times New Roman" w:hAnsi="Times New Roman" w:cs="Times New Roman"/>
          <w:bCs/>
          <w:iCs/>
          <w:caps w:val="0"/>
          <w:lang w:eastAsia="tr-TR"/>
        </w:rPr>
      </w:pPr>
      <w:bookmarkStart w:id="20" w:name="_Toc157003598"/>
      <w:r w:rsidRPr="00E90AE7">
        <w:rPr>
          <w:rFonts w:ascii="Times New Roman" w:eastAsia="Times New Roman" w:hAnsi="Times New Roman" w:cs="Times New Roman"/>
          <w:bCs/>
          <w:iCs/>
          <w:caps w:val="0"/>
          <w:lang w:eastAsia="tr-TR"/>
        </w:rPr>
        <w:t>4.2. Ürünün genel ithalatının mutlak gelişimi ve fiyatları</w:t>
      </w:r>
      <w:bookmarkEnd w:id="20"/>
    </w:p>
    <w:p w14:paraId="11E145EE" w14:textId="77777777" w:rsidR="00FB76BE" w:rsidRPr="00E90AE7" w:rsidRDefault="00FB76BE" w:rsidP="00E90AE7">
      <w:pPr>
        <w:spacing w:line="216" w:lineRule="auto"/>
        <w:jc w:val="both"/>
      </w:pPr>
    </w:p>
    <w:p w14:paraId="0A44741C" w14:textId="7ABB4ABF" w:rsidR="00FB76BE" w:rsidRPr="00E90AE7" w:rsidRDefault="00FB76BE" w:rsidP="00E90AE7">
      <w:pPr>
        <w:spacing w:line="216" w:lineRule="auto"/>
        <w:jc w:val="both"/>
      </w:pPr>
      <w:r w:rsidRPr="00E90AE7">
        <w:t xml:space="preserve">(1) 2020-2022 döneminde, önleme tabi ürünün miktar bazındaki genel ithalatı sırasıyla, 5.115.924 kg, 5.493.803 kg, 5.166.088 kg olarak; önleme tabi ürünün değer bazındaki genel ithalatı sırasıyla, 15.566.868 ABD doları, 19.766.144 ABD doları, 21.658.184 ABD doları olarak; önleme tabi ürünün genel ithalatının ortalama birim fiyatları sırasıyla, 3,04 ABD doları/kg, 3,60 ABD doları/kg, 4,19 ABD doları/kg olarak gerçekleşmiştir. </w:t>
      </w:r>
    </w:p>
    <w:p w14:paraId="7F2715EF" w14:textId="77777777" w:rsidR="00FB76BE" w:rsidRPr="00E90AE7" w:rsidRDefault="00FB76BE" w:rsidP="00E90AE7">
      <w:pPr>
        <w:spacing w:line="216" w:lineRule="auto"/>
        <w:jc w:val="both"/>
      </w:pPr>
    </w:p>
    <w:p w14:paraId="198161C5" w14:textId="77777777" w:rsidR="00FB76BE" w:rsidRPr="00E90AE7" w:rsidRDefault="00FB76BE" w:rsidP="00E90AE7">
      <w:pPr>
        <w:spacing w:line="216" w:lineRule="auto"/>
        <w:jc w:val="both"/>
        <w:rPr>
          <w:b/>
        </w:rPr>
      </w:pPr>
      <w:bookmarkStart w:id="21" w:name="_Toc157003599"/>
      <w:r w:rsidRPr="00E90AE7">
        <w:rPr>
          <w:b/>
          <w:bCs/>
          <w:iCs/>
        </w:rPr>
        <w:t>4.3. Ürünün soruşturma konusu ülkelerden ithalatının mutlak gelişimi ve fiyatları</w:t>
      </w:r>
      <w:bookmarkEnd w:id="21"/>
      <w:r w:rsidRPr="00E90AE7">
        <w:rPr>
          <w:b/>
        </w:rPr>
        <w:t xml:space="preserve"> </w:t>
      </w:r>
    </w:p>
    <w:p w14:paraId="1390846E" w14:textId="77777777" w:rsidR="00E6318A" w:rsidRPr="00E90AE7" w:rsidRDefault="00E6318A" w:rsidP="00E90AE7">
      <w:pPr>
        <w:spacing w:line="216" w:lineRule="auto"/>
        <w:jc w:val="both"/>
        <w:rPr>
          <w:b/>
        </w:rPr>
      </w:pPr>
    </w:p>
    <w:p w14:paraId="2A353CD7" w14:textId="7E2F7CDD" w:rsidR="00FB76BE" w:rsidRPr="00E90AE7" w:rsidRDefault="00FB76BE" w:rsidP="00E90AE7">
      <w:pPr>
        <w:spacing w:line="216" w:lineRule="auto"/>
        <w:jc w:val="both"/>
      </w:pPr>
      <w:r w:rsidRPr="00E90AE7">
        <w:t xml:space="preserve">(1) 2020-2022 döneminde, önleme tabi ürünün </w:t>
      </w:r>
      <w:proofErr w:type="spellStart"/>
      <w:r w:rsidRPr="00E90AE7">
        <w:t>ÇHC’den</w:t>
      </w:r>
      <w:proofErr w:type="spellEnd"/>
      <w:r w:rsidRPr="00E90AE7">
        <w:t xml:space="preserve"> miktar bazındaki ithalatı sırasıyla, 3.134.195 kg, 2.690.692 kg, 2.730.444 kg olarak; değer bazındaki ithalatı sırasıyla, 8.187.652 ABD doları, 7.798.656 ABD doları, 10.177.691 ABD doları olarak; anılan ithalatın ortalama birim fiyatları sırasıyla, 2,61 ABD doları/kg, 2,90 ABD doları/kg, 3,73 ABD doları/kg olarak gerçekleşmiştir.</w:t>
      </w:r>
    </w:p>
    <w:p w14:paraId="576BC584" w14:textId="77777777" w:rsidR="00FB76BE" w:rsidRPr="00E90AE7" w:rsidRDefault="00FB76BE" w:rsidP="00E90AE7">
      <w:pPr>
        <w:spacing w:line="216" w:lineRule="auto"/>
        <w:jc w:val="both"/>
      </w:pPr>
    </w:p>
    <w:p w14:paraId="5C8548BF" w14:textId="77777777" w:rsidR="00FB76BE" w:rsidRPr="00E90AE7" w:rsidRDefault="00FB76BE" w:rsidP="00E90AE7">
      <w:pPr>
        <w:spacing w:line="216" w:lineRule="auto"/>
        <w:jc w:val="both"/>
      </w:pPr>
      <w:r w:rsidRPr="00E90AE7">
        <w:t xml:space="preserve">(2) 2020-2022 döneminde, önleme tabi ürünün </w:t>
      </w:r>
      <w:proofErr w:type="spellStart"/>
      <w:r w:rsidRPr="00E90AE7">
        <w:t>Tayland’tan</w:t>
      </w:r>
      <w:proofErr w:type="spellEnd"/>
      <w:r w:rsidRPr="00E90AE7">
        <w:t xml:space="preserve"> miktar bazındaki ithalatı sırasıyla, 24.399 kg, 17.859 kg, 18.432 kg olarak; değer bazındaki ithalatı, sırasıyla, 71.441 ABD doları, 58.601 ABD doları, 65.898 ABD doları olarak; anılan ithalatın ortalama birim fiyatları sırasıyla, 2,93 ABD doları/kg, 3,28 ABD doları/kg, 3,58 ABD doları/kg olarak gerçekleşmiştir. </w:t>
      </w:r>
    </w:p>
    <w:p w14:paraId="0044A188" w14:textId="77777777" w:rsidR="00FB76BE" w:rsidRPr="00E90AE7" w:rsidRDefault="00FB76BE" w:rsidP="00E90AE7">
      <w:pPr>
        <w:spacing w:line="216" w:lineRule="auto"/>
        <w:jc w:val="both"/>
      </w:pPr>
    </w:p>
    <w:p w14:paraId="63F57F39" w14:textId="7ED637AC" w:rsidR="00FB76BE" w:rsidRPr="00E90AE7" w:rsidRDefault="00FB76BE" w:rsidP="00E90AE7">
      <w:pPr>
        <w:spacing w:line="216" w:lineRule="auto"/>
        <w:jc w:val="both"/>
      </w:pPr>
      <w:r w:rsidRPr="00E90AE7">
        <w:t xml:space="preserve">(3) 2020-2022 döneminde, önleme tabi ürünün Bulgaristan’dan miktar bazındaki ithalatı sırasıyla, 27.007 kg, 56.814 kg, 9.212 kg olarak; değer bazındaki ithalatı sırasıyla, 123.478 ABD doları, 262.140 ABD doları, 67.885 ABD doları olarak; anılan ithalatın ortalama birim fiyatları sırasıyla, 4,57 ABD doları/kg, 4,61 ABD doları/kg, 7,37 ABD doları/kg olarak gerçekleşmiştir. </w:t>
      </w:r>
    </w:p>
    <w:p w14:paraId="5C1E9CFA" w14:textId="77777777" w:rsidR="00FB76BE" w:rsidRPr="00E90AE7" w:rsidRDefault="00FB76BE" w:rsidP="00E90AE7">
      <w:pPr>
        <w:spacing w:line="216" w:lineRule="auto"/>
        <w:jc w:val="both"/>
      </w:pPr>
      <w:r w:rsidRPr="00E90AE7">
        <w:t xml:space="preserve"> </w:t>
      </w:r>
    </w:p>
    <w:p w14:paraId="1D7900EF" w14:textId="77777777" w:rsidR="00FB76BE" w:rsidRPr="00E90AE7" w:rsidRDefault="00FB76BE" w:rsidP="00E90AE7">
      <w:pPr>
        <w:spacing w:line="216" w:lineRule="auto"/>
        <w:jc w:val="both"/>
      </w:pPr>
      <w:r w:rsidRPr="00E90AE7">
        <w:t xml:space="preserve">(4) 2020-2022 döneminde, önleme tabi ürünün Hindistan’dan miktar bazındaki ithalatı sırasıyla, 6.765 kg, 401 kg, 1.259 kg olarak; değer bazındaki ithalatı, sırasıyla, 60.475 ABD doları, 6.291 ABD doları, 35.590 ABD doları olarak; anılan ithalatın ortalama birim fiyatları sırasıyla, 8,94 ABD doları/kg, 15,69 ABD doları/kg, 28,27 ABD doları/kg olarak gerçekleşmiştir. </w:t>
      </w:r>
    </w:p>
    <w:p w14:paraId="462589B2" w14:textId="77777777" w:rsidR="00FB76BE" w:rsidRPr="00E90AE7" w:rsidRDefault="00FB76BE" w:rsidP="00E90AE7">
      <w:pPr>
        <w:spacing w:line="216" w:lineRule="auto"/>
        <w:jc w:val="both"/>
      </w:pPr>
    </w:p>
    <w:p w14:paraId="29204656" w14:textId="77777777" w:rsidR="00FB76BE" w:rsidRPr="00E90AE7" w:rsidRDefault="00FB76BE" w:rsidP="00E90AE7">
      <w:pPr>
        <w:spacing w:line="216" w:lineRule="auto"/>
        <w:jc w:val="both"/>
      </w:pPr>
      <w:r w:rsidRPr="00E90AE7">
        <w:t xml:space="preserve">(5) 2020-2022 döneminde, önleme tabi ürünün Brezilya’dan miktar bazındaki ithalatı sırasıyla, 18 kg, 142 kg, 41 kg olarak; değer bazındaki ithalatı, sırasıyla, 659 ABD doları, 1.108 ABD doları, 174 ABD doları olarak; anılan ithalatın ortalama birim fiyatları sırasıyla, 36,61 ABD doları/kg, 7,80 ABD doları/kg, 4,24 ABD doları/kg olarak gerçekleşmiştir. </w:t>
      </w:r>
    </w:p>
    <w:p w14:paraId="56370E75" w14:textId="77777777" w:rsidR="00FB76BE" w:rsidRPr="00E90AE7" w:rsidRDefault="00FB76BE" w:rsidP="00E90AE7">
      <w:pPr>
        <w:spacing w:line="216" w:lineRule="auto"/>
        <w:jc w:val="both"/>
      </w:pPr>
    </w:p>
    <w:p w14:paraId="193287B5" w14:textId="77777777" w:rsidR="00FB76BE" w:rsidRPr="00E90AE7" w:rsidRDefault="00FB76BE" w:rsidP="00E90AE7">
      <w:pPr>
        <w:spacing w:line="216" w:lineRule="auto"/>
        <w:jc w:val="both"/>
      </w:pPr>
      <w:r w:rsidRPr="00E90AE7">
        <w:t xml:space="preserve">(6) 2020-2022 döneminde, önleme tabi ürünün Endonezya’dan miktar bazındaki ithalatı sırasıyla, 15.848 kg, 1 kg, 2 kg olarak; değer bazındaki ithalatı, sırasıyla, 40.885 ABD doları, 647 ABD doları, 8 ABD doları olarak; anılan ithalatın ortalama birim fiyatları sırasıyla, 2,58 ABD doları/kg, 647 ABD doları/kg, 4 ABD doları/kg olarak gerçekleşmiştir. </w:t>
      </w:r>
    </w:p>
    <w:p w14:paraId="428CDF21" w14:textId="77777777" w:rsidR="00FB76BE" w:rsidRPr="00E90AE7" w:rsidRDefault="00FB76BE" w:rsidP="00E90AE7">
      <w:pPr>
        <w:spacing w:line="216" w:lineRule="auto"/>
        <w:jc w:val="both"/>
      </w:pPr>
    </w:p>
    <w:p w14:paraId="3158CD8E" w14:textId="77777777" w:rsidR="00FB76BE" w:rsidRPr="00E90AE7" w:rsidRDefault="00FB76BE" w:rsidP="00E90AE7">
      <w:pPr>
        <w:spacing w:line="216" w:lineRule="auto"/>
        <w:jc w:val="both"/>
      </w:pPr>
      <w:r w:rsidRPr="00E90AE7">
        <w:t>(7) 2020-2022 döneminde, önleme tabi ürünün önleme tabi tüm ülkelerden yapılan ithalatı miktar olarak sırasıyla, 3.208.232 kg, 2.765.909 kg, 2.759.390 kg olarak; değer olarak sırasıyla, 8.484.590 ABD doları, 8.127.443 ABD doları, 10.347.246 ABD doları; anılan ithalatın ortalama birim fiyatları sırasıyla, 2,64 ABD doları/kg, 2,94 ABD doları/kg, 3,75 ABD doları/kg olarak gerçekleşmiştir.</w:t>
      </w:r>
    </w:p>
    <w:p w14:paraId="36D28EE3" w14:textId="77777777" w:rsidR="00FB76BE" w:rsidRPr="00E90AE7" w:rsidRDefault="00FB76BE" w:rsidP="00E90AE7">
      <w:pPr>
        <w:spacing w:line="216" w:lineRule="auto"/>
        <w:jc w:val="both"/>
      </w:pPr>
    </w:p>
    <w:p w14:paraId="46C06D30" w14:textId="77777777" w:rsidR="00FB76BE" w:rsidRPr="00E90AE7" w:rsidRDefault="00FB76BE" w:rsidP="00E90AE7">
      <w:pPr>
        <w:spacing w:line="216" w:lineRule="auto"/>
        <w:jc w:val="both"/>
        <w:rPr>
          <w:b/>
        </w:rPr>
      </w:pPr>
      <w:bookmarkStart w:id="22" w:name="_Toc157003600"/>
      <w:r w:rsidRPr="00E90AE7">
        <w:rPr>
          <w:b/>
          <w:bCs/>
          <w:iCs/>
        </w:rPr>
        <w:t>4.4. Diğer ülkelerden ithalatın mutlak gelişimi ve fiyatları</w:t>
      </w:r>
      <w:bookmarkEnd w:id="22"/>
    </w:p>
    <w:p w14:paraId="5F29924B" w14:textId="77777777" w:rsidR="00FB76BE" w:rsidRPr="00E90AE7" w:rsidRDefault="00FB76BE" w:rsidP="00E90AE7">
      <w:pPr>
        <w:spacing w:line="216" w:lineRule="auto"/>
        <w:jc w:val="both"/>
        <w:rPr>
          <w:b/>
          <w:color w:val="000000"/>
        </w:rPr>
      </w:pPr>
    </w:p>
    <w:p w14:paraId="58DE2880" w14:textId="77777777" w:rsidR="00FB76BE" w:rsidRPr="00E90AE7" w:rsidRDefault="00FB76BE" w:rsidP="00E90AE7">
      <w:pPr>
        <w:spacing w:line="216" w:lineRule="auto"/>
        <w:jc w:val="both"/>
      </w:pPr>
      <w:r w:rsidRPr="00E90AE7">
        <w:t>(1) 2020-2022 döneminde, önleme tabi ürünün önleme tabi ülkeler dışındaki ülkelerden yapılan ithalatı miktar olarak sırasıyla, 1.907.692 kg, 2.727.894 kg, 2.406.698 kg olarak; değer olarak sırasıyla, 7.082.278 ABD doları, 11.638.701 ABD doları, 11.310.938 ABD doları; anılan ithalatın ortalama birim fiyatları sırasıyla, 3,71 ABD doları/kg, 4,27 ABD doları/kg, 4,70 ABD doları/kg olarak gerçekleşmiştir.</w:t>
      </w:r>
    </w:p>
    <w:p w14:paraId="5DC4ADDC" w14:textId="77777777" w:rsidR="00FB76BE" w:rsidRPr="00E90AE7" w:rsidRDefault="00FB76BE" w:rsidP="00E90AE7">
      <w:pPr>
        <w:spacing w:line="216" w:lineRule="auto"/>
        <w:jc w:val="both"/>
      </w:pPr>
    </w:p>
    <w:p w14:paraId="5D4EB852" w14:textId="77777777" w:rsidR="00FB76BE" w:rsidRPr="00E90AE7" w:rsidRDefault="00FB76BE" w:rsidP="00E90AE7">
      <w:pPr>
        <w:spacing w:line="216" w:lineRule="auto"/>
        <w:jc w:val="both"/>
        <w:rPr>
          <w:b/>
          <w:bCs/>
          <w:iCs/>
        </w:rPr>
      </w:pPr>
      <w:bookmarkStart w:id="23" w:name="_Toc25742997"/>
      <w:bookmarkStart w:id="24" w:name="_Toc157003601"/>
      <w:r w:rsidRPr="00E90AE7">
        <w:rPr>
          <w:b/>
          <w:bCs/>
          <w:iCs/>
        </w:rPr>
        <w:t>4.5. İthalatın nispi gelişimi</w:t>
      </w:r>
      <w:bookmarkEnd w:id="23"/>
      <w:bookmarkEnd w:id="24"/>
    </w:p>
    <w:p w14:paraId="3002151B" w14:textId="77777777" w:rsidR="00FB76BE" w:rsidRPr="00E90AE7" w:rsidRDefault="00FB76BE" w:rsidP="00E90AE7">
      <w:pPr>
        <w:spacing w:line="216" w:lineRule="auto"/>
      </w:pPr>
    </w:p>
    <w:p w14:paraId="5AF07530" w14:textId="77777777" w:rsidR="00FB76BE" w:rsidRPr="00E90AE7" w:rsidRDefault="00FB76BE" w:rsidP="00E90AE7">
      <w:pPr>
        <w:spacing w:line="216" w:lineRule="auto"/>
        <w:jc w:val="both"/>
      </w:pPr>
      <w:r w:rsidRPr="00E90AE7">
        <w:t>(1) Önlem konusu ithalatın nispi olarak gelişimini görebilmek için, soruşturma konusu ülkelerden gerçekleştirilen ithalatın Türkiye toplam benzer mal tüketimi içindeki payı incelenmiştir. Bu bağlamda, öncelikle yerli üretim dalının yurt içi satışları ve diğer yerli üreticilerin yurt içi satışları ile genel ithalat miktarı toplanarak ilgili yıllarda Türkiye toplam benzer mal tüketimi elde edilmiştir. Yerli üretim dalının yurt içi satış miktarının ve soruşturma konusu ülkelerden gerçekleştirilen ithalat miktarının toplam tüketime oranlanmasıyla da pazar payları hesaplanmıştır. İncelenen veriler 2020 yılı=100 olacak şekilde endekslenmiştir.</w:t>
      </w:r>
    </w:p>
    <w:p w14:paraId="55CC9E1C" w14:textId="77777777" w:rsidR="00FB76BE" w:rsidRPr="00E90AE7" w:rsidRDefault="00FB76BE" w:rsidP="00E90AE7">
      <w:pPr>
        <w:spacing w:line="216" w:lineRule="auto"/>
        <w:jc w:val="both"/>
      </w:pPr>
    </w:p>
    <w:p w14:paraId="25DA72B0" w14:textId="77777777" w:rsidR="00FB76BE" w:rsidRPr="00E90AE7" w:rsidRDefault="00FB76BE" w:rsidP="00E90AE7">
      <w:pPr>
        <w:spacing w:line="216" w:lineRule="auto"/>
        <w:jc w:val="both"/>
      </w:pPr>
      <w:r w:rsidRPr="00E90AE7">
        <w:t xml:space="preserve">(2) Bu çerçevede, Türkiye toplam benzer mal tüketimi endeks değeri, 2020 yılında 100 birim kabul edildiğinde, 2021 yılında 128 birim, 2022 yılında 145 birim olarak gerçekleşmiştir. </w:t>
      </w:r>
    </w:p>
    <w:p w14:paraId="486E8D99" w14:textId="77777777" w:rsidR="00FB76BE" w:rsidRPr="00E90AE7" w:rsidRDefault="00FB76BE" w:rsidP="00E90AE7">
      <w:pPr>
        <w:spacing w:line="216" w:lineRule="auto"/>
        <w:jc w:val="both"/>
      </w:pPr>
    </w:p>
    <w:p w14:paraId="543B013F" w14:textId="77777777" w:rsidR="00FB76BE" w:rsidRPr="00E90AE7" w:rsidRDefault="00FB76BE" w:rsidP="00E90AE7">
      <w:pPr>
        <w:spacing w:line="216" w:lineRule="auto"/>
        <w:jc w:val="both"/>
      </w:pPr>
      <w:r w:rsidRPr="00E90AE7">
        <w:t>(3) Önlem konusu üründe yerli üretim dalının pazar payının endeks değeri 2020 yılında 100 birim, 2021 yılında 105 birim, 2022 yılında ise 117 birim olarak gerçekleşmiştir.</w:t>
      </w:r>
    </w:p>
    <w:p w14:paraId="76AB9F7B" w14:textId="77777777" w:rsidR="00FB76BE" w:rsidRPr="00E90AE7" w:rsidRDefault="00FB76BE" w:rsidP="00E90AE7">
      <w:pPr>
        <w:spacing w:line="216" w:lineRule="auto"/>
        <w:jc w:val="both"/>
      </w:pPr>
    </w:p>
    <w:p w14:paraId="31122A78" w14:textId="77777777" w:rsidR="00FB76BE" w:rsidRPr="00E90AE7" w:rsidRDefault="00FB76BE" w:rsidP="00E90AE7">
      <w:pPr>
        <w:spacing w:line="216" w:lineRule="auto"/>
        <w:jc w:val="both"/>
      </w:pPr>
      <w:r w:rsidRPr="00E90AE7">
        <w:t xml:space="preserve">(4) Önlem konusu üründe ÇHC menşeli ithalatın pazar payının endeks değeri 2020 yılında 100 birim, 2021 yılında 67 birim, 2022 yılında 60 birim olarak gerçekleşmiştir. </w:t>
      </w:r>
    </w:p>
    <w:p w14:paraId="20F40FF1" w14:textId="77777777" w:rsidR="00FB76BE" w:rsidRPr="00E90AE7" w:rsidRDefault="00FB76BE" w:rsidP="00E90AE7">
      <w:pPr>
        <w:spacing w:line="216" w:lineRule="auto"/>
        <w:jc w:val="both"/>
      </w:pPr>
    </w:p>
    <w:p w14:paraId="4E145BEE" w14:textId="77777777" w:rsidR="00FB76BE" w:rsidRPr="00E90AE7" w:rsidRDefault="00FB76BE" w:rsidP="00E90AE7">
      <w:pPr>
        <w:spacing w:line="216" w:lineRule="auto"/>
        <w:jc w:val="both"/>
      </w:pPr>
      <w:r w:rsidRPr="00E90AE7">
        <w:t xml:space="preserve">(5) Önlem konusu üründe Tayland menşeli ithalatın pazar payının endeks değeri 2020 yılında 100 birim, 2021 yılında 57 birim, 2022 yılında 52 birim olarak gerçekleşmiştir. </w:t>
      </w:r>
    </w:p>
    <w:p w14:paraId="7E1788F5" w14:textId="77777777" w:rsidR="00FB76BE" w:rsidRPr="00E90AE7" w:rsidRDefault="00FB76BE" w:rsidP="00E90AE7">
      <w:pPr>
        <w:spacing w:line="216" w:lineRule="auto"/>
        <w:jc w:val="both"/>
      </w:pPr>
    </w:p>
    <w:p w14:paraId="67EE147D" w14:textId="77777777" w:rsidR="00FB76BE" w:rsidRPr="00E90AE7" w:rsidRDefault="00FB76BE" w:rsidP="00E90AE7">
      <w:pPr>
        <w:spacing w:line="216" w:lineRule="auto"/>
        <w:jc w:val="both"/>
      </w:pPr>
      <w:r w:rsidRPr="00E90AE7">
        <w:t xml:space="preserve">(6) Önlem konusu üründe Bulgaristan menşeli ithalatın pazar payının endeks değeri 2020 yılında 100 birim, 2021 yılında 165 birim, 2022 yılında 23 birim olarak gerçekleşmiştir. </w:t>
      </w:r>
    </w:p>
    <w:p w14:paraId="3394F86C" w14:textId="77777777" w:rsidR="00FB76BE" w:rsidRPr="00E90AE7" w:rsidRDefault="00FB76BE" w:rsidP="00E90AE7">
      <w:pPr>
        <w:spacing w:line="216" w:lineRule="auto"/>
        <w:jc w:val="both"/>
      </w:pPr>
    </w:p>
    <w:p w14:paraId="750B081F" w14:textId="77777777" w:rsidR="00FB76BE" w:rsidRPr="00E90AE7" w:rsidRDefault="00FB76BE" w:rsidP="00E90AE7">
      <w:pPr>
        <w:spacing w:line="216" w:lineRule="auto"/>
        <w:jc w:val="both"/>
      </w:pPr>
      <w:r w:rsidRPr="00E90AE7">
        <w:t xml:space="preserve">(7) Önlem konusu üründe Hindistan menşeli ithalatın pazar payının endeks değeri 2020 yılında 100 birim, 2021 yılında 5 birim, 2022 yılında 13 birim olarak gerçekleşmiştir. </w:t>
      </w:r>
    </w:p>
    <w:p w14:paraId="434372A4" w14:textId="77777777" w:rsidR="00FB76BE" w:rsidRPr="00E90AE7" w:rsidRDefault="00FB76BE" w:rsidP="00E90AE7">
      <w:pPr>
        <w:spacing w:line="216" w:lineRule="auto"/>
        <w:jc w:val="both"/>
      </w:pPr>
    </w:p>
    <w:p w14:paraId="0D91CE48" w14:textId="77777777" w:rsidR="00FB76BE" w:rsidRPr="00E90AE7" w:rsidRDefault="00FB76BE" w:rsidP="00E90AE7">
      <w:pPr>
        <w:spacing w:line="216" w:lineRule="auto"/>
        <w:jc w:val="both"/>
      </w:pPr>
      <w:r w:rsidRPr="00E90AE7">
        <w:t>(8) Önlem konusu üründe Brezilya menşeli ithalatın pazar payının endeks değeri 2020 yılında 100 birim, 2021 yılında 618 birim, 2022 yılında 157 birim olarak gerçekleşmiştir.</w:t>
      </w:r>
    </w:p>
    <w:p w14:paraId="2DA34552" w14:textId="77777777" w:rsidR="00FB76BE" w:rsidRPr="00E90AE7" w:rsidRDefault="00FB76BE" w:rsidP="00E90AE7">
      <w:pPr>
        <w:spacing w:line="216" w:lineRule="auto"/>
        <w:jc w:val="both"/>
      </w:pPr>
    </w:p>
    <w:p w14:paraId="6BA73839" w14:textId="77777777" w:rsidR="00FB76BE" w:rsidRPr="00E90AE7" w:rsidRDefault="00FB76BE" w:rsidP="00E90AE7">
      <w:pPr>
        <w:spacing w:line="216" w:lineRule="auto"/>
        <w:jc w:val="both"/>
      </w:pPr>
      <w:r w:rsidRPr="00E90AE7">
        <w:t xml:space="preserve">(9) Önlem konusu üründe Endonezya menşeli ithalatın pazar payının endeks değeri 2020 yılında 100 birim, 2021 yılında 0,005 birim, 2022 yılında 0,009 birim olarak gerçekleşmiştir. </w:t>
      </w:r>
    </w:p>
    <w:p w14:paraId="0924CFF5" w14:textId="77777777" w:rsidR="00FB76BE" w:rsidRPr="00E90AE7" w:rsidRDefault="00FB76BE" w:rsidP="00E90AE7">
      <w:pPr>
        <w:spacing w:line="216" w:lineRule="auto"/>
        <w:jc w:val="both"/>
      </w:pPr>
    </w:p>
    <w:p w14:paraId="644A972F" w14:textId="77777777" w:rsidR="00FB76BE" w:rsidRPr="00E90AE7" w:rsidRDefault="00FB76BE" w:rsidP="00E90AE7">
      <w:pPr>
        <w:spacing w:line="216" w:lineRule="auto"/>
        <w:jc w:val="both"/>
      </w:pPr>
      <w:bookmarkStart w:id="25" w:name="_Hlk127203871"/>
      <w:r w:rsidRPr="00E90AE7">
        <w:t xml:space="preserve">(10) Önlem konusu üründe önleme tabi ülkeler menşeli ithalatın pazar payının endeks değeri 2020 yılında 100 birim, 2021 yılında 68 birim, 2022 yılında 59 birim olarak gerçekleşmiştir. </w:t>
      </w:r>
      <w:bookmarkEnd w:id="25"/>
    </w:p>
    <w:p w14:paraId="1C96D439" w14:textId="77777777" w:rsidR="00FB76BE" w:rsidRPr="00E90AE7" w:rsidRDefault="00FB76BE" w:rsidP="00E90AE7">
      <w:pPr>
        <w:spacing w:line="216" w:lineRule="auto"/>
        <w:jc w:val="both"/>
      </w:pPr>
    </w:p>
    <w:p w14:paraId="615842A1" w14:textId="77777777" w:rsidR="00FB76BE" w:rsidRPr="00E90AE7" w:rsidRDefault="00FB76BE" w:rsidP="00E90AE7">
      <w:pPr>
        <w:spacing w:line="216" w:lineRule="auto"/>
        <w:jc w:val="both"/>
      </w:pPr>
      <w:r w:rsidRPr="00E90AE7">
        <w:t>(11) Önlem konusu üründe diğer ülkeler menşeli ithalatın pazar payının endeks değeri 2020 yılında 100 birim, 2021 yılında 112 birim, 2022 yılında ise 87 birim olarak gerçekleşmiştir.</w:t>
      </w:r>
    </w:p>
    <w:p w14:paraId="120115F9" w14:textId="77777777" w:rsidR="00FB76BE" w:rsidRPr="00E90AE7" w:rsidRDefault="00FB76BE" w:rsidP="00E90AE7">
      <w:pPr>
        <w:spacing w:line="216" w:lineRule="auto"/>
        <w:jc w:val="both"/>
      </w:pPr>
    </w:p>
    <w:p w14:paraId="4EB4B21F" w14:textId="77777777" w:rsidR="00FB76BE" w:rsidRPr="00E90AE7" w:rsidRDefault="00FB76BE" w:rsidP="00E90AE7">
      <w:pPr>
        <w:pStyle w:val="Balk2"/>
        <w:spacing w:before="0" w:line="216" w:lineRule="auto"/>
        <w:rPr>
          <w:rFonts w:eastAsia="Times New Roman" w:cs="Times New Roman"/>
          <w:bCs/>
          <w:iCs/>
          <w:szCs w:val="24"/>
          <w:lang w:eastAsia="tr-TR"/>
        </w:rPr>
      </w:pPr>
      <w:bookmarkStart w:id="26" w:name="_Toc157003602"/>
      <w:bookmarkStart w:id="27" w:name="_Toc25742998"/>
      <w:r w:rsidRPr="00E90AE7">
        <w:rPr>
          <w:rFonts w:eastAsia="Times New Roman" w:cs="Times New Roman"/>
          <w:bCs/>
          <w:iCs/>
          <w:szCs w:val="24"/>
          <w:lang w:eastAsia="tr-TR"/>
        </w:rPr>
        <w:t>4.6. Fiyat kırılması ve baskısı</w:t>
      </w:r>
      <w:bookmarkEnd w:id="26"/>
      <w:bookmarkEnd w:id="27"/>
      <w:r w:rsidRPr="00E90AE7">
        <w:rPr>
          <w:rFonts w:eastAsia="Times New Roman" w:cs="Times New Roman"/>
          <w:bCs/>
          <w:iCs/>
          <w:szCs w:val="24"/>
          <w:lang w:eastAsia="tr-TR"/>
        </w:rPr>
        <w:t xml:space="preserve"> </w:t>
      </w:r>
    </w:p>
    <w:p w14:paraId="05221FBD" w14:textId="77777777" w:rsidR="00FB76BE" w:rsidRPr="00E90AE7" w:rsidRDefault="00FB76BE" w:rsidP="00E90AE7">
      <w:pPr>
        <w:spacing w:line="216" w:lineRule="auto"/>
        <w:rPr>
          <w:b/>
          <w:bCs/>
          <w:iCs/>
        </w:rPr>
      </w:pPr>
    </w:p>
    <w:p w14:paraId="09284C49" w14:textId="77777777" w:rsidR="00FB76BE" w:rsidRPr="00E90AE7" w:rsidRDefault="00FB76BE" w:rsidP="00E90AE7">
      <w:pPr>
        <w:pStyle w:val="Balk3"/>
        <w:spacing w:before="0" w:line="216" w:lineRule="auto"/>
        <w:rPr>
          <w:rFonts w:ascii="Times New Roman" w:eastAsia="Times New Roman" w:hAnsi="Times New Roman" w:cs="Times New Roman"/>
          <w:iCs/>
          <w:color w:val="auto"/>
        </w:rPr>
      </w:pPr>
      <w:bookmarkStart w:id="28" w:name="_Toc157003603"/>
      <w:r w:rsidRPr="00E90AE7">
        <w:rPr>
          <w:rFonts w:ascii="Times New Roman" w:eastAsia="Times New Roman" w:hAnsi="Times New Roman" w:cs="Times New Roman"/>
          <w:iCs/>
          <w:color w:val="auto"/>
        </w:rPr>
        <w:t>4.6.1. Fiyat kırılması</w:t>
      </w:r>
      <w:bookmarkEnd w:id="28"/>
      <w:r w:rsidRPr="00E90AE7">
        <w:rPr>
          <w:rFonts w:ascii="Times New Roman" w:eastAsia="Times New Roman" w:hAnsi="Times New Roman" w:cs="Times New Roman"/>
          <w:iCs/>
          <w:color w:val="auto"/>
        </w:rPr>
        <w:t xml:space="preserve"> </w:t>
      </w:r>
    </w:p>
    <w:p w14:paraId="6A034FF4" w14:textId="77777777" w:rsidR="00FB76BE" w:rsidRPr="00E90AE7" w:rsidRDefault="00FB76BE" w:rsidP="00E90AE7">
      <w:pPr>
        <w:pStyle w:val="GvdeMetni"/>
        <w:spacing w:line="216" w:lineRule="auto"/>
        <w:rPr>
          <w:b/>
          <w:bCs/>
          <w:iCs/>
          <w:color w:val="auto"/>
          <w:lang w:eastAsia="tr-TR"/>
        </w:rPr>
      </w:pPr>
    </w:p>
    <w:p w14:paraId="1C1F2FC4" w14:textId="77777777" w:rsidR="00FB76BE" w:rsidRPr="00E90AE7" w:rsidRDefault="00FB76BE" w:rsidP="00E90AE7">
      <w:pPr>
        <w:spacing w:line="216" w:lineRule="auto"/>
        <w:jc w:val="both"/>
      </w:pPr>
      <w:r w:rsidRPr="00E90AE7">
        <w:t xml:space="preserve">(1) Yönetmeliğin 17 </w:t>
      </w:r>
      <w:proofErr w:type="spellStart"/>
      <w:r w:rsidRPr="00E90AE7">
        <w:t>nci</w:t>
      </w:r>
      <w:proofErr w:type="spellEnd"/>
      <w:r w:rsidRPr="00E90AE7">
        <w:t xml:space="preserve"> maddesinin ilgili hükümleri çerçevesinde, </w:t>
      </w:r>
      <w:proofErr w:type="gramStart"/>
      <w:r w:rsidRPr="00E90AE7">
        <w:t>dampingli</w:t>
      </w:r>
      <w:proofErr w:type="gramEnd"/>
      <w:r w:rsidRPr="00E90AE7">
        <w:t xml:space="preserve"> olduğu iddia edilen ithalatın yerli üretim dalının satış fiyatları üzerindeki etkisi değerlendirilirken soruşturma konusu ülkelerden gerçekleştirilen ithalatın yerli üretim dalının fiyatlarını kırıp kırmadığı incelenmiştir. Fiyat kırılması, dampingli ithal ürünün ortalama pazara giriş fiyatının yerli üretim dalının ortalama yurt içi birim satış fiyatının ne kadar altında kaldığını göstermekte olup, CIF ihraç fiyatının yüzdesi olarak hesaplanmaktadır.</w:t>
      </w:r>
    </w:p>
    <w:p w14:paraId="737829CC" w14:textId="77777777" w:rsidR="00FB76BE" w:rsidRPr="00E90AE7" w:rsidRDefault="00FB76BE" w:rsidP="00E90AE7">
      <w:pPr>
        <w:spacing w:line="216" w:lineRule="auto"/>
        <w:jc w:val="both"/>
      </w:pPr>
    </w:p>
    <w:p w14:paraId="63E86EC5" w14:textId="77777777" w:rsidR="00FB76BE" w:rsidRPr="00E90AE7" w:rsidRDefault="00FB76BE" w:rsidP="00E90AE7">
      <w:pPr>
        <w:spacing w:line="216" w:lineRule="auto"/>
        <w:jc w:val="both"/>
      </w:pPr>
      <w:r w:rsidRPr="00E90AE7">
        <w:t xml:space="preserve">(2) Fiyat kırılması hesabı, ÇHC, Brezilya, Hindistan, Tayland, Endonezya menşeli soruşturma konusu ürün ithalatının Türkiye’ye giriş fiyatları, KÜBİS ÖTS istatistiklerinden elde edilen ortalama CIF fiyatlar üzerine, CIF değerin %3,7’si oranındaki gümrük vergisi, CIF bedelin %1,2’si oranındaki diğer gümrük masrafları ile 2020 yılı için CIF değerin %15’i tutarındaki ilave gümrük vergisi, 2021 ve 2022 yılları için CIF bedelin %10’u oranındaki ilave gümrük vergisi eklenerek bulunmuştur. Bulgaristan için bahse konu fiyat ise KÜBİS ÖTS istatistiklerinden elde edilen ortalama CIF fiyatlar üzerine CIF değerin %1,2’si oranındaki diğer gümrük masrafları eklenerek bulunmuştur. </w:t>
      </w:r>
    </w:p>
    <w:p w14:paraId="66EE588D" w14:textId="77777777" w:rsidR="00FB76BE" w:rsidRPr="00E90AE7" w:rsidRDefault="00FB76BE" w:rsidP="00E90AE7">
      <w:pPr>
        <w:spacing w:line="216" w:lineRule="auto"/>
        <w:jc w:val="both"/>
      </w:pPr>
    </w:p>
    <w:p w14:paraId="60C80305" w14:textId="77777777" w:rsidR="00FB76BE" w:rsidRPr="00E90AE7" w:rsidRDefault="00FB76BE" w:rsidP="00E90AE7">
      <w:pPr>
        <w:spacing w:line="216" w:lineRule="auto"/>
        <w:jc w:val="both"/>
      </w:pPr>
      <w:r w:rsidRPr="00E90AE7">
        <w:t xml:space="preserve">(3) Dampinge karşı önlemin bulunmadığı bir ortamda fiyatların hangi düzeyde olacağına ilişkin değerlendirmeyi mümkün kılmak amacıyla anılan fiyatlara dampinge karşı önlem eklenmemiştir. </w:t>
      </w:r>
    </w:p>
    <w:p w14:paraId="7428C2EF" w14:textId="77777777" w:rsidR="00FB76BE" w:rsidRPr="00E90AE7" w:rsidRDefault="00FB76BE" w:rsidP="00E90AE7">
      <w:pPr>
        <w:spacing w:line="216" w:lineRule="auto"/>
        <w:jc w:val="both"/>
      </w:pPr>
    </w:p>
    <w:p w14:paraId="5ACB4F25" w14:textId="77777777" w:rsidR="00FB76BE" w:rsidRPr="00E90AE7" w:rsidRDefault="00FB76BE" w:rsidP="00E90AE7">
      <w:pPr>
        <w:spacing w:line="216" w:lineRule="auto"/>
        <w:jc w:val="both"/>
      </w:pPr>
      <w:r w:rsidRPr="00E90AE7">
        <w:t xml:space="preserve">(4) Bu kapsamda, ilgili dönemde, önlem konusu üründe ÇHC, Bulgaristan, Hindistan, Brezilya, Endonezya ve Tayland menşeli ithalatın yerli üretim dalının önleme tabi üründeki yurt içi satış fiyatlarını kırmadığı tespit edilmiştir. </w:t>
      </w:r>
    </w:p>
    <w:p w14:paraId="44A83640" w14:textId="77777777" w:rsidR="00FB76BE" w:rsidRPr="00E90AE7" w:rsidRDefault="00FB76BE" w:rsidP="00E90AE7">
      <w:pPr>
        <w:spacing w:line="216" w:lineRule="auto"/>
        <w:jc w:val="both"/>
      </w:pPr>
    </w:p>
    <w:p w14:paraId="0436201A" w14:textId="77777777" w:rsidR="00FB76BE" w:rsidRPr="00E90AE7" w:rsidRDefault="00FB76BE" w:rsidP="00E90AE7">
      <w:pPr>
        <w:pStyle w:val="Balk2"/>
        <w:spacing w:before="0" w:line="216" w:lineRule="auto"/>
        <w:rPr>
          <w:rFonts w:eastAsia="Times New Roman" w:cs="Times New Roman"/>
          <w:szCs w:val="24"/>
          <w:lang w:eastAsia="tr-TR"/>
        </w:rPr>
      </w:pPr>
      <w:bookmarkStart w:id="29" w:name="_Toc157003604"/>
      <w:r w:rsidRPr="00E90AE7">
        <w:rPr>
          <w:rFonts w:eastAsia="Times New Roman" w:cs="Times New Roman"/>
          <w:szCs w:val="24"/>
          <w:lang w:eastAsia="tr-TR"/>
        </w:rPr>
        <w:t>4.6.2. Fiyat baskısı</w:t>
      </w:r>
      <w:bookmarkEnd w:id="29"/>
      <w:r w:rsidRPr="00E90AE7">
        <w:rPr>
          <w:rFonts w:eastAsia="Times New Roman" w:cs="Times New Roman"/>
          <w:szCs w:val="24"/>
          <w:lang w:eastAsia="tr-TR"/>
        </w:rPr>
        <w:t xml:space="preserve"> </w:t>
      </w:r>
    </w:p>
    <w:p w14:paraId="2B7A39AC" w14:textId="77777777" w:rsidR="00FB76BE" w:rsidRPr="00E90AE7" w:rsidRDefault="00FB76BE" w:rsidP="00E90AE7">
      <w:pPr>
        <w:pStyle w:val="GvdeMetni"/>
        <w:spacing w:line="216" w:lineRule="auto"/>
      </w:pPr>
    </w:p>
    <w:p w14:paraId="0B03461E" w14:textId="77777777" w:rsidR="00FB76BE" w:rsidRPr="00E90AE7" w:rsidRDefault="00FB76BE" w:rsidP="00E90AE7">
      <w:pPr>
        <w:spacing w:line="216" w:lineRule="auto"/>
        <w:jc w:val="both"/>
      </w:pPr>
      <w:r w:rsidRPr="00E90AE7">
        <w:t xml:space="preserve">(1) Yönetmeliğin 17 </w:t>
      </w:r>
      <w:proofErr w:type="spellStart"/>
      <w:r w:rsidRPr="00E90AE7">
        <w:t>nci</w:t>
      </w:r>
      <w:proofErr w:type="spellEnd"/>
      <w:r w:rsidRPr="00E90AE7">
        <w:t xml:space="preserve"> maddesinin ilgili hükümleri çerçevesinde, </w:t>
      </w:r>
      <w:proofErr w:type="gramStart"/>
      <w:r w:rsidRPr="00E90AE7">
        <w:t>dampingli</w:t>
      </w:r>
      <w:proofErr w:type="gramEnd"/>
      <w:r w:rsidRPr="00E90AE7">
        <w:t xml:space="preserve"> olduğu iddia edilen ithalatın yerli üretim dalının satış fiyatları üzerindeki etkisi değerlendirilirken soruşturma konusu ülkelerden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soruşturmaya konu ürünün Türkiye pazarına ortalama giriş fiyatı ile yerli üretim dalının ortalama ticari maliyetine makul bir kâr oranı (%</w:t>
      </w:r>
      <w:r w:rsidR="00540322" w:rsidRPr="00E90AE7">
        <w:t>X</w:t>
      </w:r>
      <w:r w:rsidRPr="00E90AE7">
        <w:t>) eklenerek bulunan olması gereken yurt içi birim satış fiyatı karşılaştırılmıştır.</w:t>
      </w:r>
    </w:p>
    <w:p w14:paraId="17A59D15" w14:textId="77777777" w:rsidR="00FB76BE" w:rsidRPr="00E90AE7" w:rsidRDefault="00FB76BE" w:rsidP="00E90AE7">
      <w:pPr>
        <w:spacing w:line="216" w:lineRule="auto"/>
        <w:jc w:val="both"/>
      </w:pPr>
    </w:p>
    <w:p w14:paraId="4787DA3D" w14:textId="77777777" w:rsidR="00FB76BE" w:rsidRPr="00E90AE7" w:rsidRDefault="00FB76BE" w:rsidP="00E90AE7">
      <w:pPr>
        <w:spacing w:line="216" w:lineRule="auto"/>
        <w:jc w:val="both"/>
      </w:pPr>
      <w:r w:rsidRPr="00E90AE7">
        <w:t xml:space="preserve">(2) Fiyat baskısı hesaplanırken, fiyat kırılması hesabında olduğu gibi ithal ürün için gümrük vergileri, ilave gümrük vergileri ve gümrükleme masrafları dahil Türkiye piyasasına giriş fiyatı bulunmuş, bu değer yerli üretim dalının ortalama ticari maliyetine makul bir kâr oranı eklenerek bulunan olması gereken yurt içi satış fiyatı ile karşılaştırılmıştır. </w:t>
      </w:r>
    </w:p>
    <w:p w14:paraId="41CC250F" w14:textId="77777777" w:rsidR="00FB76BE" w:rsidRPr="00E90AE7" w:rsidRDefault="00FB76BE" w:rsidP="00E90AE7">
      <w:pPr>
        <w:spacing w:line="216" w:lineRule="auto"/>
        <w:jc w:val="both"/>
      </w:pPr>
    </w:p>
    <w:p w14:paraId="4FB6948E" w14:textId="77777777" w:rsidR="00FB76BE" w:rsidRPr="00E90AE7" w:rsidRDefault="00FB76BE" w:rsidP="00E90AE7">
      <w:pPr>
        <w:spacing w:line="216" w:lineRule="auto"/>
        <w:jc w:val="both"/>
      </w:pPr>
      <w:r w:rsidRPr="00E90AE7">
        <w:t>(3) Dampinge karşı önlemlerin söz konusu olmadığı bir ortamda fiyatların hangi düzeyde oluşacağına ilişkin değerlendirmeyi mümkün kılmak amacıyla, anılan fiyatlara dampinge karşı önlemler eklenmemiştir.</w:t>
      </w:r>
    </w:p>
    <w:p w14:paraId="2A6DD8D7" w14:textId="77777777" w:rsidR="00FB76BE" w:rsidRPr="00E90AE7" w:rsidRDefault="00FB76BE" w:rsidP="00E90AE7">
      <w:pPr>
        <w:spacing w:line="216" w:lineRule="auto"/>
        <w:jc w:val="both"/>
      </w:pPr>
    </w:p>
    <w:p w14:paraId="53246DFF" w14:textId="77777777" w:rsidR="00FB76BE" w:rsidRPr="00E90AE7" w:rsidRDefault="00FB76BE" w:rsidP="00E90AE7">
      <w:pPr>
        <w:spacing w:line="216" w:lineRule="auto"/>
        <w:jc w:val="both"/>
      </w:pPr>
      <w:r w:rsidRPr="00E90AE7">
        <w:t xml:space="preserve">(4) Bu kapsamda, ilgili dönemde, önlem konusu üründe ÇHC, Bulgaristan, Hindistan, Brezilya, Endonezya ve Tayland menşeli ithalatın yerli üretim dalının önleme tabi üründeki yurt içi satış fiyatlarını baskılamadığı tespit edilmiştir. </w:t>
      </w:r>
    </w:p>
    <w:p w14:paraId="379CAAD3" w14:textId="77777777" w:rsidR="00FB76BE" w:rsidRPr="00E90AE7" w:rsidRDefault="00FB76BE" w:rsidP="00E90AE7">
      <w:pPr>
        <w:spacing w:line="216" w:lineRule="auto"/>
        <w:jc w:val="both"/>
      </w:pPr>
    </w:p>
    <w:p w14:paraId="10523CAB" w14:textId="77777777" w:rsidR="00FB76BE" w:rsidRPr="00E90AE7" w:rsidRDefault="00FB76BE" w:rsidP="00E90AE7">
      <w:pPr>
        <w:pStyle w:val="Balk2"/>
        <w:spacing w:before="0" w:line="216" w:lineRule="auto"/>
        <w:rPr>
          <w:rFonts w:eastAsia="Times New Roman" w:cs="Times New Roman"/>
          <w:szCs w:val="24"/>
          <w:lang w:eastAsia="tr-TR"/>
        </w:rPr>
      </w:pPr>
      <w:bookmarkStart w:id="30" w:name="_Toc25742999"/>
      <w:bookmarkStart w:id="31" w:name="_Toc157003605"/>
      <w:r w:rsidRPr="00E90AE7">
        <w:rPr>
          <w:rFonts w:eastAsia="Times New Roman" w:cs="Times New Roman"/>
          <w:szCs w:val="24"/>
          <w:lang w:eastAsia="tr-TR"/>
        </w:rPr>
        <w:t>4.7. Yerli üretim dalının ekonomik göstergeleri</w:t>
      </w:r>
      <w:bookmarkEnd w:id="30"/>
      <w:bookmarkEnd w:id="31"/>
    </w:p>
    <w:p w14:paraId="3DEE21B2" w14:textId="77777777" w:rsidR="00857DC1" w:rsidRPr="00E90AE7" w:rsidRDefault="00857DC1" w:rsidP="00E90AE7">
      <w:pPr>
        <w:spacing w:line="216" w:lineRule="auto"/>
      </w:pPr>
    </w:p>
    <w:p w14:paraId="62F9E5F1" w14:textId="40CACBFC" w:rsidR="00FB76BE" w:rsidRPr="00E90AE7" w:rsidRDefault="00FB76BE" w:rsidP="00E90AE7">
      <w:pPr>
        <w:spacing w:line="216" w:lineRule="auto"/>
        <w:jc w:val="both"/>
        <w:rPr>
          <w:bCs/>
        </w:rPr>
      </w:pPr>
      <w:r w:rsidRPr="00E90AE7">
        <w:rPr>
          <w:bCs/>
        </w:rPr>
        <w:t>(1) Yerli üretim dalının ekonomik göstergeleri, yerli üretim dalının 2020-2022 yılları arasındaki verileri esas alınarak analiz edilmiştir.</w:t>
      </w:r>
    </w:p>
    <w:p w14:paraId="27F72758" w14:textId="77777777" w:rsidR="00FB76BE" w:rsidRPr="00E90AE7" w:rsidRDefault="00FB76BE" w:rsidP="00E90AE7">
      <w:pPr>
        <w:spacing w:line="216" w:lineRule="auto"/>
        <w:jc w:val="both"/>
      </w:pPr>
      <w:r w:rsidRPr="00E90AE7">
        <w:rPr>
          <w:bCs/>
        </w:rPr>
        <w:t xml:space="preserve">(2) </w:t>
      </w:r>
      <w:r w:rsidRPr="00E90AE7">
        <w:t xml:space="preserve">Eğilimin sağlıklı bir şekilde analiz edilebilmesi amacıyla, Türk lirası bazındaki veriler yıllık ortalama Üretici Fiyat Endeksi (ÜFE) kullanılması suretiyle enflasyondan arındırılarak endekslenmiştir. </w:t>
      </w:r>
    </w:p>
    <w:p w14:paraId="4FAD17CF" w14:textId="77777777" w:rsidR="00FB76BE" w:rsidRPr="00E90AE7" w:rsidRDefault="00FB76BE" w:rsidP="00E90AE7">
      <w:pPr>
        <w:spacing w:line="216" w:lineRule="auto"/>
        <w:jc w:val="both"/>
      </w:pPr>
    </w:p>
    <w:p w14:paraId="3E774CEC" w14:textId="77777777" w:rsidR="00FB76BE" w:rsidRPr="00E90AE7" w:rsidRDefault="00FB76BE" w:rsidP="00E90AE7">
      <w:pPr>
        <w:spacing w:line="216" w:lineRule="auto"/>
        <w:jc w:val="both"/>
      </w:pPr>
      <w:r w:rsidRPr="00E90AE7">
        <w:t xml:space="preserve">(3) Ekonomik göstergelerin değerlendirilmesinde, soruşturma konusu ürüne ait miktar incelemesinde ton ölçü birimi kullanılmıştır. </w:t>
      </w:r>
    </w:p>
    <w:p w14:paraId="01CEC2B8" w14:textId="77777777" w:rsidR="00FB76BE" w:rsidRPr="00E90AE7" w:rsidRDefault="00FB76BE" w:rsidP="00E90AE7">
      <w:pPr>
        <w:spacing w:line="216" w:lineRule="auto"/>
        <w:jc w:val="both"/>
      </w:pPr>
    </w:p>
    <w:p w14:paraId="7410BD2B" w14:textId="77777777" w:rsidR="00FB76BE" w:rsidRPr="00E90AE7" w:rsidRDefault="00FB76BE" w:rsidP="00E90AE7">
      <w:pPr>
        <w:spacing w:line="216" w:lineRule="auto"/>
        <w:jc w:val="both"/>
        <w:rPr>
          <w:b/>
        </w:rPr>
      </w:pPr>
      <w:r w:rsidRPr="00E90AE7">
        <w:rPr>
          <w:b/>
        </w:rPr>
        <w:t>a) Üretim, kapasite ve kapasite kullanım oranı (KKO)</w:t>
      </w:r>
    </w:p>
    <w:p w14:paraId="413620E5" w14:textId="77777777" w:rsidR="00FB76BE" w:rsidRPr="00E90AE7" w:rsidRDefault="00FB76BE" w:rsidP="00E90AE7">
      <w:pPr>
        <w:spacing w:line="216" w:lineRule="auto"/>
        <w:jc w:val="both"/>
      </w:pPr>
      <w:r w:rsidRPr="00E90AE7">
        <w:rPr>
          <w:bCs/>
        </w:rPr>
        <w:t>(1) Yerli üretim dalının soruşturma konusu üründe üretim miktar endeksi 2020 yılında 100 birim olarak kabul edildiğinde, 2021 yılında 144 birim, 2022 yılında 180 birim olarak gerçekleşmiştir. Yerli üretim dalının soruşturma konusu üründe kapasite miktar endeksi 2020 yılında 100 birim olarak kabul edildiğinde, 2021 yılında 100 birim, 2022 yılında 139 birim olarak gerçekleşmiştir. Yerli üretim dalının soruşturma konusu üründe KKO endeksi ise 2020 yılında 100 birim olarak kabul edildiğinde, 2021 yılında 144 birim, 2022 yılında 129 birim olarak gerçekleşmiştir.</w:t>
      </w:r>
      <w:r w:rsidRPr="00E90AE7">
        <w:t xml:space="preserve"> </w:t>
      </w:r>
    </w:p>
    <w:p w14:paraId="5498CEED" w14:textId="77777777" w:rsidR="00FB76BE" w:rsidRPr="00E90AE7" w:rsidRDefault="00FB76BE" w:rsidP="00E90AE7">
      <w:pPr>
        <w:spacing w:line="216" w:lineRule="auto"/>
        <w:jc w:val="both"/>
      </w:pPr>
    </w:p>
    <w:p w14:paraId="05473CDB" w14:textId="77777777" w:rsidR="00FB76BE" w:rsidRPr="00E90AE7" w:rsidRDefault="00FB76BE" w:rsidP="00E90AE7">
      <w:pPr>
        <w:spacing w:line="216" w:lineRule="auto"/>
        <w:jc w:val="both"/>
        <w:rPr>
          <w:b/>
        </w:rPr>
      </w:pPr>
      <w:r w:rsidRPr="00E90AE7">
        <w:rPr>
          <w:b/>
        </w:rPr>
        <w:t>b) Yurt içi ve yurt dışı satışlar</w:t>
      </w:r>
    </w:p>
    <w:p w14:paraId="18F66079" w14:textId="77777777" w:rsidR="00FB76BE" w:rsidRPr="00E90AE7" w:rsidRDefault="00FB76BE" w:rsidP="00E90AE7">
      <w:pPr>
        <w:spacing w:line="216" w:lineRule="auto"/>
        <w:jc w:val="both"/>
        <w:rPr>
          <w:bCs/>
        </w:rPr>
      </w:pPr>
      <w:r w:rsidRPr="00E90AE7">
        <w:rPr>
          <w:bCs/>
        </w:rPr>
        <w:t>(1) Yerli üretim dalının soruşturma konusu üründe yurt içi satış miktarı endeksi 2020 yılında 100 birim olarak kabul edildiğinde, 2021 yılında 135 birim, 2022 yılında 170 birim olarak gerçekleşmiştir. Yerli üretim dalının soruşturma konusu üründe yurt içi satış hasılası endeksi ise 2020 yılında 100 birim olarak kabul edildiğinde, 2021 yılında 131 birim, 2022 yılında 107 birim olarak gerçekleşmiştir.</w:t>
      </w:r>
    </w:p>
    <w:p w14:paraId="3EDFBD4D" w14:textId="77777777" w:rsidR="00FB76BE" w:rsidRPr="00E90AE7" w:rsidRDefault="00FB76BE" w:rsidP="00E90AE7">
      <w:pPr>
        <w:spacing w:line="216" w:lineRule="auto"/>
        <w:jc w:val="both"/>
        <w:rPr>
          <w:bCs/>
        </w:rPr>
      </w:pPr>
    </w:p>
    <w:p w14:paraId="286E076B" w14:textId="77777777" w:rsidR="00FB76BE" w:rsidRPr="00E90AE7" w:rsidRDefault="00FB76BE" w:rsidP="00E90AE7">
      <w:pPr>
        <w:spacing w:line="216" w:lineRule="auto"/>
        <w:jc w:val="both"/>
        <w:rPr>
          <w:bCs/>
        </w:rPr>
      </w:pPr>
      <w:r w:rsidRPr="00E90AE7">
        <w:rPr>
          <w:bCs/>
        </w:rPr>
        <w:t>(2) Yerli üretim dalının soruşturma konusu üründe yurt dışı satış miktarı endeksi 2020 yılında 100 birim olarak kabul edildiğinde, 2021 yılında 449 birim olarak, 2022 yılında 320 birim gerçekleşmiştir. Yerli üretim dalının soruşturma konusu üründe yurt dışı satış hasılası endeksi ise 2020 yılında 100 birim olarak kabul edildiğinde, 2021 yılında 366 birim, 2022 yılında 228 birim olarak gerçekleşmiştir.</w:t>
      </w:r>
    </w:p>
    <w:p w14:paraId="201F628C" w14:textId="77777777" w:rsidR="00FB76BE" w:rsidRPr="00E90AE7" w:rsidRDefault="00FB76BE" w:rsidP="00E90AE7">
      <w:pPr>
        <w:spacing w:line="216" w:lineRule="auto"/>
        <w:jc w:val="both"/>
        <w:rPr>
          <w:bCs/>
        </w:rPr>
      </w:pPr>
    </w:p>
    <w:p w14:paraId="6F14640E" w14:textId="77777777" w:rsidR="00FB76BE" w:rsidRPr="00E90AE7" w:rsidRDefault="00FB76BE" w:rsidP="00E90AE7">
      <w:pPr>
        <w:spacing w:line="216" w:lineRule="auto"/>
        <w:jc w:val="both"/>
        <w:rPr>
          <w:b/>
        </w:rPr>
      </w:pPr>
      <w:r w:rsidRPr="00E90AE7">
        <w:rPr>
          <w:b/>
        </w:rPr>
        <w:t>c) Yurt içi fiyatlar</w:t>
      </w:r>
    </w:p>
    <w:p w14:paraId="7C4F6D0F" w14:textId="77777777" w:rsidR="00FB76BE" w:rsidRPr="00E90AE7" w:rsidRDefault="00FB76BE" w:rsidP="00E90AE7">
      <w:pPr>
        <w:spacing w:line="216" w:lineRule="auto"/>
        <w:jc w:val="both"/>
        <w:rPr>
          <w:bCs/>
        </w:rPr>
      </w:pPr>
      <w:r w:rsidRPr="00E90AE7">
        <w:rPr>
          <w:bCs/>
        </w:rPr>
        <w:t>(1) Yerli üretim dalının soruşturma konusu ürün için ağırlıklı ortalama yurt içi satış fiyatı 2020 yılında 100 birim olarak kabul edildiğinde, 2021 yılında 98 birim, 2022 yılında 63 birim olarak gerçekleşmiştir.</w:t>
      </w:r>
    </w:p>
    <w:p w14:paraId="0E17E1F2" w14:textId="77777777" w:rsidR="00FB76BE" w:rsidRPr="00E90AE7" w:rsidRDefault="00FB76BE" w:rsidP="00E90AE7">
      <w:pPr>
        <w:spacing w:line="216" w:lineRule="auto"/>
        <w:jc w:val="both"/>
        <w:rPr>
          <w:bCs/>
        </w:rPr>
      </w:pPr>
    </w:p>
    <w:p w14:paraId="4543C061" w14:textId="77777777" w:rsidR="00FB76BE" w:rsidRPr="00E90AE7" w:rsidRDefault="00FB76BE" w:rsidP="00E90AE7">
      <w:pPr>
        <w:spacing w:line="216" w:lineRule="auto"/>
        <w:jc w:val="both"/>
        <w:rPr>
          <w:b/>
          <w:spacing w:val="-2"/>
        </w:rPr>
      </w:pPr>
      <w:r w:rsidRPr="00E90AE7">
        <w:rPr>
          <w:b/>
          <w:spacing w:val="-2"/>
        </w:rPr>
        <w:t>ç) Pazar payı</w:t>
      </w:r>
    </w:p>
    <w:p w14:paraId="53381D4F" w14:textId="77777777" w:rsidR="00FB76BE" w:rsidRPr="00E90AE7" w:rsidRDefault="00FB76BE" w:rsidP="00E90AE7">
      <w:pPr>
        <w:spacing w:line="216" w:lineRule="auto"/>
        <w:jc w:val="both"/>
        <w:rPr>
          <w:bCs/>
        </w:rPr>
      </w:pPr>
      <w:r w:rsidRPr="00E90AE7">
        <w:rPr>
          <w:bCs/>
        </w:rPr>
        <w:t xml:space="preserve">(1) Yerli üretim dalının soruşturma konusu üründe pazar payı endeksi 2020 yılında 100 birim olarak kabul edildiğinde, 2021 yılında 105 birim, 2022 yılında 117 birim olarak gerçekleşmiştir. </w:t>
      </w:r>
    </w:p>
    <w:p w14:paraId="2AC931E6" w14:textId="77777777" w:rsidR="00FB76BE" w:rsidRPr="00E90AE7" w:rsidRDefault="00FB76BE" w:rsidP="00E90AE7">
      <w:pPr>
        <w:spacing w:line="216" w:lineRule="auto"/>
        <w:jc w:val="both"/>
        <w:rPr>
          <w:bCs/>
        </w:rPr>
      </w:pPr>
    </w:p>
    <w:p w14:paraId="038C0200" w14:textId="77777777" w:rsidR="00FB76BE" w:rsidRPr="00E90AE7" w:rsidRDefault="00FB76BE" w:rsidP="00E90AE7">
      <w:pPr>
        <w:spacing w:line="216" w:lineRule="auto"/>
        <w:jc w:val="both"/>
        <w:rPr>
          <w:b/>
        </w:rPr>
      </w:pPr>
      <w:r w:rsidRPr="00E90AE7">
        <w:rPr>
          <w:b/>
        </w:rPr>
        <w:t>d) Maliyetler ve kârlılık</w:t>
      </w:r>
    </w:p>
    <w:p w14:paraId="2D356B61" w14:textId="77777777" w:rsidR="00FB76BE" w:rsidRPr="00E90AE7" w:rsidRDefault="00FB76BE" w:rsidP="00E90AE7">
      <w:pPr>
        <w:pStyle w:val="GvdeMetni"/>
        <w:spacing w:line="216" w:lineRule="auto"/>
        <w:rPr>
          <w:bCs/>
          <w:color w:val="auto"/>
          <w:lang w:eastAsia="tr-TR"/>
        </w:rPr>
      </w:pPr>
      <w:r w:rsidRPr="00E90AE7">
        <w:rPr>
          <w:bCs/>
          <w:color w:val="auto"/>
          <w:lang w:eastAsia="tr-TR"/>
        </w:rPr>
        <w:t>(1) Yerli üretim dalının önleme tabi üründeki birim sınai maliyet endeksi 2020 yılında 100 birim olarak kabul edildiğinde, 2021 yılında 88 birim, 2022 yılında 89 birim olarak gerçekleşmiştir.</w:t>
      </w:r>
    </w:p>
    <w:p w14:paraId="7565369C" w14:textId="77777777" w:rsidR="00FB76BE" w:rsidRPr="00E90AE7" w:rsidRDefault="00FB76BE" w:rsidP="00E90AE7">
      <w:pPr>
        <w:pStyle w:val="GvdeMetni"/>
        <w:spacing w:line="216" w:lineRule="auto"/>
      </w:pPr>
    </w:p>
    <w:p w14:paraId="46ECFEB9" w14:textId="77777777" w:rsidR="00FB76BE" w:rsidRPr="00E90AE7" w:rsidRDefault="00FB76BE" w:rsidP="00E90AE7">
      <w:pPr>
        <w:spacing w:line="216" w:lineRule="auto"/>
        <w:jc w:val="both"/>
        <w:rPr>
          <w:bCs/>
        </w:rPr>
      </w:pPr>
      <w:r w:rsidRPr="00E90AE7">
        <w:rPr>
          <w:bCs/>
        </w:rPr>
        <w:t>(2) Yerli üretim dalının</w:t>
      </w:r>
      <w:r w:rsidRPr="00E90AE7">
        <w:t xml:space="preserve"> s</w:t>
      </w:r>
      <w:r w:rsidRPr="00E90AE7">
        <w:rPr>
          <w:bCs/>
        </w:rPr>
        <w:t>oruşturma konusu üründe birim ticari maliyet endeksi 2020 yılında 100 birim olarak kabul edildiğinde, 2021 yılında 89 birim, 2022 yılında ise 90 birim olarak gerçekleşmiştir.</w:t>
      </w:r>
    </w:p>
    <w:p w14:paraId="0CF4E962" w14:textId="77777777" w:rsidR="00FB76BE" w:rsidRPr="00E90AE7" w:rsidRDefault="00FB76BE" w:rsidP="00E90AE7">
      <w:pPr>
        <w:spacing w:line="216" w:lineRule="auto"/>
        <w:jc w:val="both"/>
        <w:rPr>
          <w:bCs/>
        </w:rPr>
      </w:pPr>
    </w:p>
    <w:p w14:paraId="2AAA16D7" w14:textId="77777777" w:rsidR="00FB76BE" w:rsidRPr="00BD3B0A" w:rsidRDefault="00FB76BE" w:rsidP="00E90AE7">
      <w:pPr>
        <w:spacing w:line="216" w:lineRule="auto"/>
        <w:jc w:val="both"/>
      </w:pPr>
      <w:r w:rsidRPr="00BD3B0A">
        <w:t>(3) Yerli üretim dalının</w:t>
      </w:r>
      <w:r w:rsidRPr="00E90AE7">
        <w:t xml:space="preserve"> s</w:t>
      </w:r>
      <w:r w:rsidRPr="00BD3B0A">
        <w:t>oruşturma konusu üründe yurt içi satışlarından elde ettiği birim kârlılık endeksi 2020 yılında 100 birim olarak kabul edildiğinde, 2021 yılında 146 birim, 2022 yılında ise -82 birim olarak gerçekleşmiştir.</w:t>
      </w:r>
    </w:p>
    <w:p w14:paraId="5A3AFF76" w14:textId="77777777" w:rsidR="00FB76BE" w:rsidRPr="00BD3B0A" w:rsidRDefault="00FB76BE" w:rsidP="00E90AE7">
      <w:pPr>
        <w:spacing w:line="216" w:lineRule="auto"/>
        <w:jc w:val="both"/>
      </w:pPr>
    </w:p>
    <w:p w14:paraId="2467250A" w14:textId="77777777" w:rsidR="00FB76BE" w:rsidRPr="00BD3B0A" w:rsidRDefault="00FB76BE" w:rsidP="00E90AE7">
      <w:pPr>
        <w:spacing w:line="216" w:lineRule="auto"/>
        <w:jc w:val="both"/>
      </w:pPr>
      <w:r w:rsidRPr="00BD3B0A">
        <w:t>(4) Yerli üretim dalının</w:t>
      </w:r>
      <w:r w:rsidRPr="00E90AE7">
        <w:t xml:space="preserve"> s</w:t>
      </w:r>
      <w:r w:rsidRPr="00BD3B0A">
        <w:t>oruşturma konusu üründe yurt dışı satışlarından elde ettiği birim kârlılık endeksi 2020 yılında 100 birim olarak kabul edildiğinde, 2021 yılında 70 birim, 2022 yılında ise 41 birim olarak gerçekleşmiştir.</w:t>
      </w:r>
    </w:p>
    <w:p w14:paraId="2404BBF0" w14:textId="77777777" w:rsidR="00FB76BE" w:rsidRPr="00BD3B0A" w:rsidRDefault="00FB76BE" w:rsidP="00E90AE7">
      <w:pPr>
        <w:spacing w:line="216" w:lineRule="auto"/>
        <w:jc w:val="both"/>
      </w:pPr>
    </w:p>
    <w:p w14:paraId="64AAAEB7" w14:textId="77777777" w:rsidR="00FB76BE" w:rsidRPr="00BD3B0A" w:rsidRDefault="00FB76BE" w:rsidP="00E90AE7">
      <w:pPr>
        <w:spacing w:line="216" w:lineRule="auto"/>
        <w:jc w:val="both"/>
      </w:pPr>
      <w:r w:rsidRPr="00BD3B0A">
        <w:t>(5) Yerli üretim dalının soruşturma konusu üründe toplam satışların birim kârlılık endeksi 2020 yılında 100 birim olarak kabul edildiğinde, 2021 yılında 146 birim, 2022 yılında ise -76 birim olarak gerçekleşmiştir.</w:t>
      </w:r>
    </w:p>
    <w:p w14:paraId="02FD9C18" w14:textId="77777777" w:rsidR="00FB76BE" w:rsidRPr="00E90AE7" w:rsidRDefault="00FB76BE" w:rsidP="00E90AE7">
      <w:pPr>
        <w:spacing w:line="216" w:lineRule="auto"/>
        <w:jc w:val="both"/>
        <w:rPr>
          <w:bCs/>
        </w:rPr>
      </w:pPr>
    </w:p>
    <w:p w14:paraId="5659F0A0" w14:textId="77777777" w:rsidR="00FB76BE" w:rsidRPr="00E90AE7" w:rsidRDefault="00FB76BE" w:rsidP="00E90AE7">
      <w:pPr>
        <w:spacing w:line="216" w:lineRule="auto"/>
        <w:jc w:val="both"/>
        <w:rPr>
          <w:b/>
        </w:rPr>
      </w:pPr>
      <w:r w:rsidRPr="00E90AE7">
        <w:rPr>
          <w:b/>
        </w:rPr>
        <w:t xml:space="preserve">e) Stoklar </w:t>
      </w:r>
    </w:p>
    <w:p w14:paraId="537114E6" w14:textId="77777777" w:rsidR="00FB76BE" w:rsidRPr="00E90AE7" w:rsidRDefault="00FB76BE" w:rsidP="00E90AE7">
      <w:pPr>
        <w:spacing w:line="216" w:lineRule="auto"/>
        <w:jc w:val="both"/>
        <w:rPr>
          <w:bCs/>
        </w:rPr>
      </w:pPr>
      <w:r w:rsidRPr="00E90AE7">
        <w:rPr>
          <w:bCs/>
        </w:rPr>
        <w:t xml:space="preserve">(1) Yerli üretim dalının soruşturma konusu üründe dönem sonu stok endeksi 2020 yılında 100 birim olarak kabul edildiğinde, 2021 yılında 123 birim, 2022 yılında 148 birim olarak gerçekleşmektedir. </w:t>
      </w:r>
    </w:p>
    <w:p w14:paraId="343BA62E" w14:textId="77777777" w:rsidR="00FB76BE" w:rsidRPr="00E90AE7" w:rsidRDefault="00FB76BE" w:rsidP="00E90AE7">
      <w:pPr>
        <w:spacing w:line="216" w:lineRule="auto"/>
        <w:jc w:val="both"/>
        <w:rPr>
          <w:bCs/>
        </w:rPr>
      </w:pPr>
    </w:p>
    <w:p w14:paraId="6F62F864" w14:textId="77777777" w:rsidR="00FB76BE" w:rsidRPr="00E90AE7" w:rsidRDefault="00FB76BE" w:rsidP="00E90AE7">
      <w:pPr>
        <w:spacing w:line="216" w:lineRule="auto"/>
        <w:jc w:val="both"/>
        <w:rPr>
          <w:b/>
        </w:rPr>
      </w:pPr>
      <w:r w:rsidRPr="00E90AE7">
        <w:rPr>
          <w:b/>
        </w:rPr>
        <w:t xml:space="preserve">f) İstihdam </w:t>
      </w:r>
    </w:p>
    <w:p w14:paraId="42E011AF" w14:textId="77777777" w:rsidR="00FB76BE" w:rsidRPr="00E90AE7" w:rsidRDefault="00FB76BE" w:rsidP="00E90AE7">
      <w:pPr>
        <w:spacing w:line="216" w:lineRule="auto"/>
        <w:jc w:val="both"/>
        <w:rPr>
          <w:bCs/>
        </w:rPr>
      </w:pPr>
      <w:r w:rsidRPr="00E90AE7">
        <w:rPr>
          <w:bCs/>
        </w:rPr>
        <w:t>(1) Yerli üretim dalının soruşturma konusu ürün üretiminde çalışan direkt işçi sayısına ilişkin endeks değeri 2020 yılında 100 birim olarak kabul edildiğinde, 2021 ve 2022 yıllarında 122 ve 145 birim olarak gerçekleşmiştir.</w:t>
      </w:r>
    </w:p>
    <w:p w14:paraId="29133C12" w14:textId="77777777" w:rsidR="00857DC1" w:rsidRPr="00E90AE7" w:rsidRDefault="00857DC1" w:rsidP="00E90AE7">
      <w:pPr>
        <w:spacing w:line="216" w:lineRule="auto"/>
        <w:jc w:val="both"/>
        <w:rPr>
          <w:bCs/>
        </w:rPr>
      </w:pPr>
    </w:p>
    <w:p w14:paraId="61F43BAE" w14:textId="77777777" w:rsidR="00FB76BE" w:rsidRPr="00E90AE7" w:rsidRDefault="00FB76BE" w:rsidP="00E90AE7">
      <w:pPr>
        <w:spacing w:line="216" w:lineRule="auto"/>
        <w:jc w:val="both"/>
        <w:rPr>
          <w:b/>
        </w:rPr>
      </w:pPr>
      <w:r w:rsidRPr="00E90AE7">
        <w:rPr>
          <w:b/>
        </w:rPr>
        <w:t>g) Ücretler</w:t>
      </w:r>
    </w:p>
    <w:p w14:paraId="71A26470" w14:textId="77777777" w:rsidR="00FB76BE" w:rsidRPr="00E90AE7" w:rsidRDefault="00FB76BE" w:rsidP="00E90AE7">
      <w:pPr>
        <w:spacing w:line="216" w:lineRule="auto"/>
        <w:jc w:val="both"/>
      </w:pPr>
      <w:r w:rsidRPr="00E90AE7">
        <w:rPr>
          <w:bCs/>
        </w:rPr>
        <w:t>(1) Yerli üretim dalının bütün faaliyetleri için çalışan işçilerin aylık ücretleri endeksi 2020 yılında 100 birim olarak kabul edildiğinde, 2021 yılında 154 birim, 2022 yılında 68 birim olarak gerçekleşmiştir.</w:t>
      </w:r>
      <w:r w:rsidRPr="00E90AE7">
        <w:t xml:space="preserve"> </w:t>
      </w:r>
    </w:p>
    <w:p w14:paraId="7DF421E8" w14:textId="77777777" w:rsidR="00FB76BE" w:rsidRPr="00E90AE7" w:rsidRDefault="00FB76BE" w:rsidP="00E90AE7">
      <w:pPr>
        <w:spacing w:line="216" w:lineRule="auto"/>
        <w:jc w:val="both"/>
        <w:rPr>
          <w:bCs/>
        </w:rPr>
      </w:pPr>
    </w:p>
    <w:p w14:paraId="19C5BFFD" w14:textId="77777777" w:rsidR="00FB76BE" w:rsidRPr="00E90AE7" w:rsidRDefault="00FB76BE" w:rsidP="00E90AE7">
      <w:pPr>
        <w:spacing w:line="216" w:lineRule="auto"/>
        <w:jc w:val="both"/>
        <w:rPr>
          <w:b/>
        </w:rPr>
      </w:pPr>
      <w:r w:rsidRPr="00E90AE7">
        <w:rPr>
          <w:b/>
        </w:rPr>
        <w:t>ğ) Verimlilik</w:t>
      </w:r>
    </w:p>
    <w:p w14:paraId="52630661" w14:textId="77777777" w:rsidR="00FB76BE" w:rsidRPr="00E90AE7" w:rsidRDefault="00FB76BE" w:rsidP="00E90AE7">
      <w:pPr>
        <w:spacing w:line="216" w:lineRule="auto"/>
        <w:jc w:val="both"/>
        <w:rPr>
          <w:bCs/>
        </w:rPr>
      </w:pPr>
      <w:r w:rsidRPr="00E90AE7">
        <w:rPr>
          <w:bCs/>
        </w:rPr>
        <w:t>(1) Soruşturma konusu ürün üretiminde çalışan işçi başına üretim miktarını gösteren verimlilik endeksi 2020 yılında 100 birim olarak kabul edildiğinde, 2021 yılında 118 birim, 2022 yılında 124 birim olarak gerçekleşmiştir.</w:t>
      </w:r>
    </w:p>
    <w:p w14:paraId="3BF89D4B" w14:textId="77777777" w:rsidR="00FB76BE" w:rsidRPr="00E90AE7" w:rsidRDefault="00FB76BE" w:rsidP="00E90AE7">
      <w:pPr>
        <w:spacing w:line="216" w:lineRule="auto"/>
        <w:jc w:val="both"/>
        <w:rPr>
          <w:bCs/>
        </w:rPr>
      </w:pPr>
    </w:p>
    <w:p w14:paraId="4BB708DB" w14:textId="77777777" w:rsidR="00FB76BE" w:rsidRPr="00E90AE7" w:rsidRDefault="00FB76BE" w:rsidP="00E90AE7">
      <w:pPr>
        <w:spacing w:line="216" w:lineRule="auto"/>
        <w:jc w:val="both"/>
        <w:rPr>
          <w:b/>
        </w:rPr>
      </w:pPr>
      <w:r w:rsidRPr="00E90AE7">
        <w:rPr>
          <w:b/>
        </w:rPr>
        <w:t>h) Nakit akışı</w:t>
      </w:r>
    </w:p>
    <w:p w14:paraId="47DBA5C1" w14:textId="77777777" w:rsidR="00FB76BE" w:rsidRPr="00E90AE7" w:rsidRDefault="00FB76BE" w:rsidP="00E90AE7">
      <w:pPr>
        <w:spacing w:line="216" w:lineRule="auto"/>
        <w:jc w:val="both"/>
        <w:rPr>
          <w:bCs/>
        </w:rPr>
      </w:pPr>
      <w:r w:rsidRPr="00E90AE7">
        <w:rPr>
          <w:bCs/>
        </w:rPr>
        <w:t>(1) Yerli üretim dalının soruşturma konusu ürünün nakit akışı endeksi 2020 yılında 100 birim olarak kabul edildiğinde, 2021 yılında 152 birim, 2022 yılında 31 birim olarak gerçekleşmiştir.</w:t>
      </w:r>
    </w:p>
    <w:p w14:paraId="5072C20A" w14:textId="77777777" w:rsidR="00FB76BE" w:rsidRPr="00E90AE7" w:rsidRDefault="00FB76BE" w:rsidP="00E90AE7">
      <w:pPr>
        <w:spacing w:line="216" w:lineRule="auto"/>
        <w:jc w:val="both"/>
        <w:rPr>
          <w:bCs/>
        </w:rPr>
      </w:pPr>
    </w:p>
    <w:p w14:paraId="5D8AED2C" w14:textId="77777777" w:rsidR="00FB76BE" w:rsidRPr="00E90AE7" w:rsidRDefault="00FB76BE" w:rsidP="00E90AE7">
      <w:pPr>
        <w:spacing w:line="216" w:lineRule="auto"/>
        <w:jc w:val="both"/>
        <w:rPr>
          <w:b/>
        </w:rPr>
      </w:pPr>
      <w:r w:rsidRPr="00E90AE7">
        <w:rPr>
          <w:b/>
        </w:rPr>
        <w:t>ı) Büyüme</w:t>
      </w:r>
    </w:p>
    <w:p w14:paraId="35B98E45" w14:textId="77777777" w:rsidR="00FB76BE" w:rsidRPr="00E90AE7" w:rsidRDefault="00FB76BE" w:rsidP="00E90AE7">
      <w:pPr>
        <w:spacing w:line="216" w:lineRule="auto"/>
        <w:jc w:val="both"/>
        <w:rPr>
          <w:bCs/>
        </w:rPr>
      </w:pPr>
      <w:r w:rsidRPr="00E90AE7">
        <w:rPr>
          <w:bCs/>
        </w:rPr>
        <w:t>(1) Yerli üretim dalının bütün faaliyetlerini kapsayan aktif büyüklük endeksi 2020 yılında 100 birim olarak kabul edildiğinde, 2021 yılında 89 birim, 2022 yılında 91 birim olarak gerçekleşmiştir.</w:t>
      </w:r>
    </w:p>
    <w:p w14:paraId="2A93CC60" w14:textId="77777777" w:rsidR="00FB76BE" w:rsidRPr="00E90AE7" w:rsidRDefault="00FB76BE" w:rsidP="00E90AE7">
      <w:pPr>
        <w:spacing w:line="216" w:lineRule="auto"/>
        <w:jc w:val="both"/>
        <w:rPr>
          <w:bCs/>
        </w:rPr>
      </w:pPr>
    </w:p>
    <w:p w14:paraId="03145A84" w14:textId="77777777" w:rsidR="00FB76BE" w:rsidRPr="00E90AE7" w:rsidRDefault="00FB76BE" w:rsidP="00E90AE7">
      <w:pPr>
        <w:spacing w:line="216" w:lineRule="auto"/>
        <w:jc w:val="both"/>
        <w:rPr>
          <w:b/>
        </w:rPr>
      </w:pPr>
      <w:r w:rsidRPr="00E90AE7">
        <w:rPr>
          <w:b/>
        </w:rPr>
        <w:t>i) Sermaye arttırma yeteneği</w:t>
      </w:r>
    </w:p>
    <w:p w14:paraId="3EE1330D" w14:textId="77777777" w:rsidR="00FB76BE" w:rsidRPr="00E90AE7" w:rsidRDefault="00FB76BE" w:rsidP="00E90AE7">
      <w:pPr>
        <w:spacing w:line="216" w:lineRule="auto"/>
        <w:jc w:val="both"/>
        <w:rPr>
          <w:bCs/>
        </w:rPr>
      </w:pPr>
      <w:r w:rsidRPr="00E90AE7">
        <w:rPr>
          <w:bCs/>
        </w:rPr>
        <w:t xml:space="preserve">(1) Yerli üretim dalının bütün faaliyetleri ile ilgili </w:t>
      </w:r>
      <w:proofErr w:type="spellStart"/>
      <w:r w:rsidRPr="00E90AE7">
        <w:rPr>
          <w:bCs/>
        </w:rPr>
        <w:t>özsermaye</w:t>
      </w:r>
      <w:proofErr w:type="spellEnd"/>
      <w:r w:rsidRPr="00E90AE7">
        <w:rPr>
          <w:bCs/>
        </w:rPr>
        <w:t xml:space="preserve"> büyüklük endeksi 2020 yılında 100 birim olarak kabul edildiğinde, 2021 yılında 56 birim, 2022 yılında 5 birim olarak gerçekleşmiştir.</w:t>
      </w:r>
    </w:p>
    <w:p w14:paraId="60703CEF" w14:textId="77777777" w:rsidR="00FB76BE" w:rsidRPr="00E90AE7" w:rsidRDefault="00FB76BE" w:rsidP="00E90AE7">
      <w:pPr>
        <w:spacing w:line="216" w:lineRule="auto"/>
        <w:jc w:val="both"/>
        <w:rPr>
          <w:bCs/>
        </w:rPr>
      </w:pPr>
    </w:p>
    <w:p w14:paraId="4CDE8B0B" w14:textId="77777777" w:rsidR="00FB76BE" w:rsidRPr="00E90AE7" w:rsidRDefault="00FB76BE" w:rsidP="00E90AE7">
      <w:pPr>
        <w:spacing w:line="216" w:lineRule="auto"/>
        <w:jc w:val="both"/>
        <w:rPr>
          <w:b/>
        </w:rPr>
      </w:pPr>
      <w:r w:rsidRPr="00E90AE7">
        <w:rPr>
          <w:b/>
        </w:rPr>
        <w:t xml:space="preserve">j) Yatırımları arttırma yeteneği </w:t>
      </w:r>
    </w:p>
    <w:p w14:paraId="10890642" w14:textId="77777777" w:rsidR="00FB76BE" w:rsidRPr="00E90AE7" w:rsidRDefault="00FB76BE" w:rsidP="00E90AE7">
      <w:pPr>
        <w:spacing w:line="216" w:lineRule="auto"/>
        <w:jc w:val="both"/>
      </w:pPr>
      <w:r w:rsidRPr="00E90AE7">
        <w:t xml:space="preserve">(1) Yerli üretim dalının tevsi yatırım endeksi </w:t>
      </w:r>
      <w:r w:rsidRPr="00E90AE7">
        <w:rPr>
          <w:bCs/>
        </w:rPr>
        <w:t xml:space="preserve">2020 yılında 100 birim olarak kabul edildiğinde, </w:t>
      </w:r>
      <w:r w:rsidRPr="00E90AE7">
        <w:t xml:space="preserve">2021 yılında 44 birim, 2022 yılında 426 birim olarak gerçekleşmiştir. </w:t>
      </w:r>
    </w:p>
    <w:p w14:paraId="73C1BC9C" w14:textId="77777777" w:rsidR="00FB76BE" w:rsidRPr="00E90AE7" w:rsidRDefault="00FB76BE" w:rsidP="00E90AE7">
      <w:pPr>
        <w:spacing w:line="216" w:lineRule="auto"/>
        <w:jc w:val="both"/>
        <w:rPr>
          <w:bCs/>
          <w:u w:val="single"/>
        </w:rPr>
      </w:pPr>
    </w:p>
    <w:p w14:paraId="6A6D9412" w14:textId="77777777" w:rsidR="00FB76BE" w:rsidRPr="00E90AE7" w:rsidRDefault="00FB76BE" w:rsidP="00E90AE7">
      <w:pPr>
        <w:spacing w:line="216" w:lineRule="auto"/>
        <w:jc w:val="both"/>
      </w:pPr>
      <w:r w:rsidRPr="00E90AE7">
        <w:t xml:space="preserve">(2) Yerli üretim dalının yenileme yatırımları endeksi </w:t>
      </w:r>
      <w:r w:rsidRPr="00E90AE7">
        <w:rPr>
          <w:bCs/>
        </w:rPr>
        <w:t xml:space="preserve">2020 yılında 100 birim olarak kabul edildiğinde, </w:t>
      </w:r>
      <w:r w:rsidRPr="00E90AE7">
        <w:t xml:space="preserve">2021 yılında 47 birim, 2022 yılında 43 birim olarak gerçekleşmiştir. </w:t>
      </w:r>
    </w:p>
    <w:p w14:paraId="08D669DB" w14:textId="77777777" w:rsidR="00FB76BE" w:rsidRPr="00E90AE7" w:rsidRDefault="00FB76BE" w:rsidP="00E90AE7">
      <w:pPr>
        <w:spacing w:line="216" w:lineRule="auto"/>
        <w:jc w:val="both"/>
      </w:pPr>
    </w:p>
    <w:p w14:paraId="24A7BEF1" w14:textId="77777777" w:rsidR="00FB76BE" w:rsidRPr="00E90AE7" w:rsidRDefault="00FB76BE" w:rsidP="00E90AE7">
      <w:pPr>
        <w:tabs>
          <w:tab w:val="left" w:pos="360"/>
        </w:tabs>
        <w:spacing w:line="216" w:lineRule="auto"/>
        <w:jc w:val="both"/>
        <w:rPr>
          <w:bCs/>
          <w:spacing w:val="-2"/>
        </w:rPr>
      </w:pPr>
      <w:r w:rsidRPr="00E90AE7">
        <w:rPr>
          <w:bCs/>
          <w:spacing w:val="-2"/>
        </w:rPr>
        <w:t xml:space="preserve">(3) Yatırımların geri dönüş oranı (dönem karı-zararı/öz sermaye) endeksi </w:t>
      </w:r>
      <w:r w:rsidRPr="00E90AE7">
        <w:rPr>
          <w:bCs/>
        </w:rPr>
        <w:t xml:space="preserve">2020 yılında 100 birim olarak kabul edildiğinde, </w:t>
      </w:r>
      <w:r w:rsidRPr="00E90AE7">
        <w:rPr>
          <w:bCs/>
          <w:spacing w:val="-2"/>
        </w:rPr>
        <w:t>2021 yılında 36</w:t>
      </w:r>
      <w:r w:rsidRPr="00E90AE7">
        <w:rPr>
          <w:bCs/>
        </w:rPr>
        <w:t xml:space="preserve"> birim</w:t>
      </w:r>
      <w:r w:rsidRPr="00E90AE7">
        <w:rPr>
          <w:bCs/>
          <w:spacing w:val="-2"/>
        </w:rPr>
        <w:t xml:space="preserve">, 2022 yılında </w:t>
      </w:r>
      <w:r w:rsidRPr="00BD3B0A">
        <w:rPr>
          <w:bCs/>
          <w:spacing w:val="-2"/>
        </w:rPr>
        <w:t xml:space="preserve">ise -644 </w:t>
      </w:r>
      <w:r w:rsidRPr="00BD3B0A">
        <w:rPr>
          <w:bCs/>
        </w:rPr>
        <w:t>birim</w:t>
      </w:r>
      <w:r w:rsidRPr="00E90AE7">
        <w:rPr>
          <w:bCs/>
          <w:spacing w:val="-2"/>
        </w:rPr>
        <w:t xml:space="preserve"> olarak gerçekleşmiştir.</w:t>
      </w:r>
      <w:bookmarkStart w:id="32" w:name="_Toc25743000"/>
    </w:p>
    <w:p w14:paraId="5254E8DC" w14:textId="77777777" w:rsidR="00FB76BE" w:rsidRPr="00E90AE7" w:rsidRDefault="00FB76BE" w:rsidP="00E90AE7">
      <w:pPr>
        <w:tabs>
          <w:tab w:val="left" w:pos="360"/>
        </w:tabs>
        <w:spacing w:line="216" w:lineRule="auto"/>
        <w:jc w:val="both"/>
        <w:rPr>
          <w:bCs/>
          <w:spacing w:val="-2"/>
        </w:rPr>
      </w:pPr>
    </w:p>
    <w:p w14:paraId="1E761A70" w14:textId="62795A9D" w:rsidR="00FB76BE" w:rsidRPr="00E90AE7" w:rsidRDefault="00FB76BE" w:rsidP="00E90AE7">
      <w:pPr>
        <w:pStyle w:val="Balk1"/>
        <w:spacing w:before="0" w:after="0" w:line="216" w:lineRule="auto"/>
        <w:jc w:val="both"/>
        <w:rPr>
          <w:rFonts w:ascii="Times New Roman" w:hAnsi="Times New Roman" w:cs="Times New Roman"/>
          <w:sz w:val="24"/>
          <w:szCs w:val="24"/>
        </w:rPr>
      </w:pPr>
      <w:bookmarkStart w:id="33" w:name="_Toc157003606"/>
      <w:r w:rsidRPr="00E90AE7">
        <w:rPr>
          <w:rFonts w:ascii="Times New Roman" w:hAnsi="Times New Roman" w:cs="Times New Roman"/>
          <w:sz w:val="24"/>
          <w:szCs w:val="24"/>
        </w:rPr>
        <w:t xml:space="preserve">4.8. </w:t>
      </w:r>
      <w:r w:rsidR="00752C53">
        <w:rPr>
          <w:rFonts w:ascii="Times New Roman" w:hAnsi="Times New Roman" w:cs="Times New Roman"/>
          <w:caps w:val="0"/>
          <w:sz w:val="24"/>
          <w:szCs w:val="24"/>
        </w:rPr>
        <w:t>Y</w:t>
      </w:r>
      <w:r w:rsidR="00752C53" w:rsidRPr="00E90AE7">
        <w:rPr>
          <w:rFonts w:ascii="Times New Roman" w:hAnsi="Times New Roman" w:cs="Times New Roman"/>
          <w:caps w:val="0"/>
          <w:sz w:val="24"/>
          <w:szCs w:val="24"/>
        </w:rPr>
        <w:t>erli üretim dalının ekonomik göstergelerinin değerlendirilmesi</w:t>
      </w:r>
      <w:bookmarkEnd w:id="32"/>
      <w:bookmarkEnd w:id="33"/>
    </w:p>
    <w:p w14:paraId="33E0FE59" w14:textId="77777777" w:rsidR="00FB76BE" w:rsidRPr="00E90AE7" w:rsidRDefault="00FB76BE" w:rsidP="00E90AE7">
      <w:pPr>
        <w:spacing w:line="216" w:lineRule="auto"/>
      </w:pPr>
    </w:p>
    <w:p w14:paraId="598A76FE" w14:textId="77777777" w:rsidR="00FB76BE" w:rsidRPr="00E90AE7" w:rsidRDefault="00FB76BE" w:rsidP="00E90AE7">
      <w:pPr>
        <w:spacing w:line="216" w:lineRule="auto"/>
        <w:jc w:val="both"/>
        <w:rPr>
          <w:color w:val="000000"/>
        </w:rPr>
      </w:pPr>
      <w:r w:rsidRPr="00E90AE7">
        <w:rPr>
          <w:color w:val="000000"/>
        </w:rPr>
        <w:t xml:space="preserve">(1) Yukarıdaki veriler ışığında yerli üretim dalının, yurt içi satış fiyatları, yurt içi ve yurt dışı satışlardan ürün birim karlılığı, yatırımların geri dönüş oranı, dönem sonu stoklar, büyüme ve sermayeyi arttırma yeteneği gibi endeks değerlerinde olumsuzluklar olduğu gözlemlenmektedir. </w:t>
      </w:r>
    </w:p>
    <w:p w14:paraId="3003E63C" w14:textId="77777777" w:rsidR="00FB76BE" w:rsidRPr="00E90AE7" w:rsidRDefault="00FB76BE" w:rsidP="00E90AE7">
      <w:pPr>
        <w:pStyle w:val="Default"/>
        <w:spacing w:line="216" w:lineRule="auto"/>
        <w:ind w:left="644"/>
        <w:contextualSpacing/>
        <w:jc w:val="both"/>
        <w:rPr>
          <w:bCs/>
          <w:color w:val="auto"/>
          <w:spacing w:val="-2"/>
          <w:highlight w:val="yellow"/>
        </w:rPr>
      </w:pPr>
    </w:p>
    <w:p w14:paraId="20A45E38" w14:textId="77777777" w:rsidR="00FB76BE" w:rsidRPr="00E90AE7" w:rsidRDefault="00FB76BE" w:rsidP="00E90AE7">
      <w:pPr>
        <w:spacing w:line="216" w:lineRule="auto"/>
        <w:jc w:val="both"/>
        <w:rPr>
          <w:color w:val="000000"/>
        </w:rPr>
      </w:pPr>
      <w:r w:rsidRPr="00E90AE7">
        <w:rPr>
          <w:color w:val="000000"/>
        </w:rPr>
        <w:t xml:space="preserve">(2) Yerli üretim dalının üretim miktar ve değeri, kapasite kullanım oranı, yurt içi ve yurt dışı satış miktar ve değeri ile direkt işçi sayısı gibi endeks değerlerinde ise nispi olarak iyileşme olduğu görülmektedir. </w:t>
      </w:r>
    </w:p>
    <w:p w14:paraId="5CBF5CB0" w14:textId="77777777" w:rsidR="00FB76BE" w:rsidRPr="00E90AE7" w:rsidRDefault="00FB76BE" w:rsidP="00E90AE7">
      <w:pPr>
        <w:spacing w:line="216" w:lineRule="auto"/>
        <w:jc w:val="both"/>
        <w:rPr>
          <w:color w:val="000000"/>
        </w:rPr>
      </w:pPr>
    </w:p>
    <w:p w14:paraId="3453BDAE" w14:textId="3EB962AC" w:rsidR="00FB76BE" w:rsidRPr="00E90AE7" w:rsidRDefault="00FB76BE" w:rsidP="00E90AE7">
      <w:pPr>
        <w:pStyle w:val="Balk1"/>
        <w:spacing w:before="0" w:after="0" w:line="216" w:lineRule="auto"/>
        <w:jc w:val="both"/>
        <w:rPr>
          <w:rFonts w:ascii="Times New Roman" w:hAnsi="Times New Roman" w:cs="Times New Roman"/>
          <w:sz w:val="24"/>
          <w:szCs w:val="24"/>
        </w:rPr>
      </w:pPr>
      <w:bookmarkStart w:id="34" w:name="_Toc157003607"/>
      <w:r w:rsidRPr="00E90AE7">
        <w:rPr>
          <w:rFonts w:ascii="Times New Roman" w:hAnsi="Times New Roman" w:cs="Times New Roman"/>
          <w:sz w:val="24"/>
          <w:szCs w:val="24"/>
        </w:rPr>
        <w:t xml:space="preserve">4.9. </w:t>
      </w:r>
      <w:r w:rsidR="00752C53">
        <w:rPr>
          <w:rFonts w:ascii="Times New Roman" w:hAnsi="Times New Roman" w:cs="Times New Roman"/>
          <w:caps w:val="0"/>
          <w:sz w:val="24"/>
          <w:szCs w:val="24"/>
        </w:rPr>
        <w:t>Z</w:t>
      </w:r>
      <w:r w:rsidR="00752C53" w:rsidRPr="00E90AE7">
        <w:rPr>
          <w:rFonts w:ascii="Times New Roman" w:hAnsi="Times New Roman" w:cs="Times New Roman"/>
          <w:caps w:val="0"/>
          <w:sz w:val="24"/>
          <w:szCs w:val="24"/>
        </w:rPr>
        <w:t xml:space="preserve">ararın devamı </w:t>
      </w:r>
      <w:r w:rsidR="00752C53">
        <w:rPr>
          <w:rFonts w:ascii="Times New Roman" w:hAnsi="Times New Roman" w:cs="Times New Roman"/>
          <w:caps w:val="0"/>
          <w:sz w:val="24"/>
          <w:szCs w:val="24"/>
        </w:rPr>
        <w:t>v</w:t>
      </w:r>
      <w:r w:rsidR="00752C53" w:rsidRPr="00E90AE7">
        <w:rPr>
          <w:rFonts w:ascii="Times New Roman" w:hAnsi="Times New Roman" w:cs="Times New Roman"/>
          <w:caps w:val="0"/>
          <w:sz w:val="24"/>
          <w:szCs w:val="24"/>
        </w:rPr>
        <w:t>eya yeniden meydana gelmesi ihtimaline ilişkin değerlendirme</w:t>
      </w:r>
      <w:bookmarkEnd w:id="34"/>
    </w:p>
    <w:p w14:paraId="0BA08BB7" w14:textId="77777777" w:rsidR="00FB76BE" w:rsidRPr="00E90AE7" w:rsidRDefault="00FB76BE" w:rsidP="00E90AE7">
      <w:pPr>
        <w:pStyle w:val="Default"/>
        <w:spacing w:line="216" w:lineRule="auto"/>
      </w:pPr>
    </w:p>
    <w:p w14:paraId="291C943E" w14:textId="7B22B864" w:rsidR="00FB76BE" w:rsidRPr="00E90AE7" w:rsidRDefault="00FB76BE" w:rsidP="00E90AE7">
      <w:pPr>
        <w:spacing w:line="216" w:lineRule="auto"/>
        <w:jc w:val="both"/>
        <w:rPr>
          <w:color w:val="000000"/>
        </w:rPr>
      </w:pPr>
      <w:r w:rsidRPr="00E90AE7">
        <w:rPr>
          <w:color w:val="000000"/>
        </w:rPr>
        <w:t>(1) Zararın devam etmesi veya yeniden meydana gelmesi ihtimaline ilişkin yukarıdaki bilgiler çerçevesinde</w:t>
      </w:r>
      <w:r w:rsidR="008D0006">
        <w:rPr>
          <w:color w:val="000000"/>
        </w:rPr>
        <w:t>;</w:t>
      </w:r>
      <w:r w:rsidRPr="00E90AE7">
        <w:rPr>
          <w:color w:val="000000"/>
        </w:rPr>
        <w:t xml:space="preserve"> </w:t>
      </w:r>
    </w:p>
    <w:p w14:paraId="486FE12B" w14:textId="77777777" w:rsidR="00FB76BE" w:rsidRPr="00E90AE7" w:rsidRDefault="00FB76BE" w:rsidP="00E90AE7">
      <w:pPr>
        <w:spacing w:line="216" w:lineRule="auto"/>
        <w:jc w:val="both"/>
        <w:rPr>
          <w:color w:val="000000"/>
        </w:rPr>
      </w:pPr>
    </w:p>
    <w:p w14:paraId="071E15E0" w14:textId="77777777" w:rsidR="00FB76BE" w:rsidRPr="00E90AE7" w:rsidRDefault="00FB76BE" w:rsidP="00E90AE7">
      <w:pPr>
        <w:numPr>
          <w:ilvl w:val="0"/>
          <w:numId w:val="7"/>
        </w:numPr>
        <w:spacing w:line="216" w:lineRule="auto"/>
        <w:jc w:val="both"/>
      </w:pPr>
      <w:r w:rsidRPr="00E90AE7">
        <w:rPr>
          <w:color w:val="000000"/>
        </w:rPr>
        <w:t xml:space="preserve">Dampinge karşı önlemin yürürlükte olduğu ilgili dönemde, yerli üretim dalının pazar payı artış göstermiştir. </w:t>
      </w:r>
      <w:r w:rsidRPr="00E90AE7">
        <w:t xml:space="preserve">Önlemin yürürlükte olmadığı bir durumda </w:t>
      </w:r>
      <w:r w:rsidRPr="00E90AE7">
        <w:rPr>
          <w:color w:val="000000"/>
        </w:rPr>
        <w:t xml:space="preserve">yerli üretim dalının pazar payının </w:t>
      </w:r>
      <w:r w:rsidRPr="00E90AE7">
        <w:t>azalabileceği değerlendirilmektedir.</w:t>
      </w:r>
    </w:p>
    <w:p w14:paraId="2839F164" w14:textId="77777777" w:rsidR="00FB76BE" w:rsidRPr="00E90AE7" w:rsidRDefault="00FB76BE" w:rsidP="00E90AE7">
      <w:pPr>
        <w:spacing w:line="216" w:lineRule="auto"/>
        <w:jc w:val="both"/>
        <w:rPr>
          <w:color w:val="000000"/>
        </w:rPr>
      </w:pPr>
    </w:p>
    <w:p w14:paraId="51EE59F3" w14:textId="7E08DEB8" w:rsidR="00FB76BE" w:rsidRPr="00E90AE7" w:rsidRDefault="00FB76BE" w:rsidP="00E90AE7">
      <w:pPr>
        <w:numPr>
          <w:ilvl w:val="0"/>
          <w:numId w:val="7"/>
        </w:numPr>
        <w:spacing w:line="216" w:lineRule="auto"/>
        <w:jc w:val="both"/>
      </w:pPr>
      <w:r w:rsidRPr="00E90AE7">
        <w:t>ÇHC menşeli ithalatın pazar payı önleme tabi diğer ülkeler menşeli ithalatın pazar payına nazaran önemli düzeydedir ancak ilgili dönemde azalmıştır. Önlemin yürürlükte olmadığı bir durumda ÇHC menşeli ithalatın pazar payının daha da artabileceği değerlendirilmektedir.</w:t>
      </w:r>
    </w:p>
    <w:p w14:paraId="3FFDAA33" w14:textId="77777777" w:rsidR="00FB76BE" w:rsidRPr="00E90AE7" w:rsidRDefault="00FB76BE" w:rsidP="00E90AE7">
      <w:pPr>
        <w:spacing w:line="216" w:lineRule="auto"/>
        <w:jc w:val="both"/>
      </w:pPr>
    </w:p>
    <w:p w14:paraId="01774817" w14:textId="77777777" w:rsidR="00FB76BE" w:rsidRPr="00E90AE7" w:rsidRDefault="00FB76BE" w:rsidP="00E90AE7">
      <w:pPr>
        <w:numPr>
          <w:ilvl w:val="0"/>
          <w:numId w:val="7"/>
        </w:numPr>
        <w:spacing w:line="216" w:lineRule="auto"/>
        <w:jc w:val="both"/>
      </w:pPr>
      <w:r w:rsidRPr="00E90AE7">
        <w:t>Önleme tabi diğer ülkeler menşeli ithalatın pazar paylarının ise önlemin olmadığı bir durumda artabileceği değerlendirilmektedir.</w:t>
      </w:r>
    </w:p>
    <w:p w14:paraId="58153A80" w14:textId="77777777" w:rsidR="00FB76BE" w:rsidRPr="00E90AE7" w:rsidRDefault="00FB76BE" w:rsidP="00E90AE7">
      <w:pPr>
        <w:spacing w:line="216" w:lineRule="auto"/>
        <w:jc w:val="both"/>
        <w:rPr>
          <w:color w:val="000000"/>
        </w:rPr>
      </w:pPr>
    </w:p>
    <w:p w14:paraId="4172176B" w14:textId="77777777" w:rsidR="00FB76BE" w:rsidRPr="00E90AE7" w:rsidRDefault="00FB76BE" w:rsidP="00E90AE7">
      <w:pPr>
        <w:pStyle w:val="Default"/>
        <w:numPr>
          <w:ilvl w:val="0"/>
          <w:numId w:val="7"/>
        </w:numPr>
        <w:spacing w:line="216" w:lineRule="auto"/>
        <w:contextualSpacing/>
        <w:jc w:val="both"/>
      </w:pPr>
      <w:r w:rsidRPr="00E90AE7">
        <w:t xml:space="preserve">Yerli üretim dalının, yurt içi satış fiyatları, yurt içi ve yurt dışı satışlardan ürün birim karlılığı, yatırımların geri dönüş oranı, dönem sonu stoklar, büyüme ve sermayeyi arttırma yeteneği gibi endeks değerlerinde olumsuzlukların devam ettiği görülmektedir. </w:t>
      </w:r>
    </w:p>
    <w:p w14:paraId="50F93DC9" w14:textId="77777777" w:rsidR="00FB76BE" w:rsidRPr="00E90AE7" w:rsidRDefault="00FB76BE" w:rsidP="00E90AE7">
      <w:pPr>
        <w:pStyle w:val="Default"/>
        <w:spacing w:line="216" w:lineRule="auto"/>
        <w:jc w:val="both"/>
      </w:pPr>
    </w:p>
    <w:p w14:paraId="04C420AA" w14:textId="77777777" w:rsidR="00FB76BE" w:rsidRPr="00E90AE7" w:rsidRDefault="00FB76BE" w:rsidP="00E90AE7">
      <w:pPr>
        <w:numPr>
          <w:ilvl w:val="0"/>
          <w:numId w:val="7"/>
        </w:numPr>
        <w:spacing w:line="216" w:lineRule="auto"/>
        <w:jc w:val="both"/>
        <w:rPr>
          <w:color w:val="000000"/>
        </w:rPr>
      </w:pPr>
      <w:r w:rsidRPr="00E90AE7">
        <w:rPr>
          <w:color w:val="000000"/>
        </w:rPr>
        <w:t>Soruşturma konusu ülkelerin önemli seviyede bir ihracat kabiliyetine sahip olmalarından ötürü, önlemin yokluğunda ihracatlarını soruşturma konusu üründe önemli bir pazar olan Türkiye’ye kolayca yönlendirebileceği düşünülmektedir.</w:t>
      </w:r>
    </w:p>
    <w:p w14:paraId="7325C8A9" w14:textId="77777777" w:rsidR="00FB76BE" w:rsidRPr="00E90AE7" w:rsidRDefault="00FB76BE" w:rsidP="00E90AE7">
      <w:pPr>
        <w:pStyle w:val="ListeParagraf"/>
        <w:spacing w:line="216" w:lineRule="auto"/>
        <w:rPr>
          <w:color w:val="000000"/>
        </w:rPr>
      </w:pPr>
    </w:p>
    <w:p w14:paraId="0B8FF05C" w14:textId="4A30B283" w:rsidR="00FB76BE" w:rsidRPr="00E90AE7" w:rsidRDefault="008D0006" w:rsidP="00E90AE7">
      <w:pPr>
        <w:spacing w:line="216" w:lineRule="auto"/>
        <w:jc w:val="both"/>
        <w:rPr>
          <w:color w:val="000000"/>
        </w:rPr>
      </w:pPr>
      <w:r>
        <w:t xml:space="preserve">(2) </w:t>
      </w:r>
      <w:r w:rsidR="00FB76BE" w:rsidRPr="00E90AE7">
        <w:t>Bu hususlar birlikte dikkate alındığında, zararın devam etmesinin veya yeniden meydana gelmesinin muhtemel olduğu düşünülmektedir.</w:t>
      </w:r>
    </w:p>
    <w:p w14:paraId="2C04C1BB" w14:textId="77777777" w:rsidR="00804630" w:rsidRPr="00E90AE7" w:rsidRDefault="00804630" w:rsidP="00E90AE7">
      <w:pPr>
        <w:spacing w:line="216" w:lineRule="auto"/>
        <w:contextualSpacing/>
        <w:jc w:val="both"/>
        <w:rPr>
          <w:bCs/>
          <w:color w:val="000000"/>
        </w:rPr>
      </w:pPr>
    </w:p>
    <w:p w14:paraId="4D88E146" w14:textId="53E2FF57" w:rsidR="00DF7AB1" w:rsidRPr="00E7505A" w:rsidRDefault="00DF7AB1" w:rsidP="00E90AE7">
      <w:pPr>
        <w:pStyle w:val="Balk1"/>
        <w:spacing w:before="0" w:after="0" w:line="216" w:lineRule="auto"/>
        <w:rPr>
          <w:rFonts w:ascii="Times New Roman" w:hAnsi="Times New Roman" w:cs="Times New Roman"/>
          <w:sz w:val="24"/>
          <w:szCs w:val="24"/>
        </w:rPr>
      </w:pPr>
      <w:r w:rsidRPr="00E7505A">
        <w:rPr>
          <w:rFonts w:ascii="Times New Roman" w:hAnsi="Times New Roman" w:cs="Times New Roman"/>
          <w:sz w:val="24"/>
          <w:szCs w:val="24"/>
        </w:rPr>
        <w:t xml:space="preserve">5. </w:t>
      </w:r>
      <w:r w:rsidR="00752C53" w:rsidRPr="00E7505A">
        <w:rPr>
          <w:rFonts w:ascii="Times New Roman" w:hAnsi="Times New Roman" w:cs="Times New Roman"/>
          <w:sz w:val="24"/>
          <w:szCs w:val="24"/>
        </w:rPr>
        <w:t xml:space="preserve">GENEL </w:t>
      </w:r>
      <w:r w:rsidRPr="00E7505A">
        <w:rPr>
          <w:rFonts w:ascii="Times New Roman" w:hAnsi="Times New Roman" w:cs="Times New Roman"/>
          <w:sz w:val="24"/>
          <w:szCs w:val="24"/>
        </w:rPr>
        <w:t>DEĞERLENDİRME VE Sonuç</w:t>
      </w:r>
    </w:p>
    <w:p w14:paraId="17371911" w14:textId="77777777" w:rsidR="00A42668" w:rsidRPr="00E90AE7" w:rsidRDefault="00A42668" w:rsidP="00E90AE7">
      <w:pPr>
        <w:spacing w:line="216" w:lineRule="auto"/>
      </w:pPr>
    </w:p>
    <w:p w14:paraId="37C96476" w14:textId="77777777" w:rsidR="00857DC1" w:rsidRPr="00E90AE7" w:rsidRDefault="00857DC1" w:rsidP="00E90AE7">
      <w:pPr>
        <w:pStyle w:val="Default"/>
        <w:spacing w:line="216" w:lineRule="auto"/>
        <w:jc w:val="both"/>
        <w:rPr>
          <w:bCs/>
          <w:lang w:eastAsia="en-US"/>
        </w:rPr>
      </w:pPr>
      <w:r w:rsidRPr="00E90AE7">
        <w:rPr>
          <w:bCs/>
          <w:lang w:eastAsia="en-US"/>
        </w:rPr>
        <w:t>(1) Yürütülen soruşturma esnasında elde edilen bilgi ve bulgular çerçevesinde, yürürlükteki önlemin ortadan kalkması durumunda dampingin ve zararın devam etmesinin veya yeniden meydana gelmesinin muhtemel olduğu değerlendirilmiştir.</w:t>
      </w:r>
    </w:p>
    <w:p w14:paraId="441FE10D" w14:textId="77777777" w:rsidR="00857DC1" w:rsidRPr="00E90AE7" w:rsidRDefault="00857DC1" w:rsidP="00E90AE7">
      <w:pPr>
        <w:pStyle w:val="Default"/>
        <w:spacing w:line="216" w:lineRule="auto"/>
        <w:jc w:val="both"/>
        <w:rPr>
          <w:b/>
        </w:rPr>
      </w:pPr>
    </w:p>
    <w:p w14:paraId="342BD633" w14:textId="35552591" w:rsidR="00A8185A" w:rsidRPr="00BD3B0A" w:rsidRDefault="00857DC1" w:rsidP="00BD3B0A">
      <w:pPr>
        <w:spacing w:line="216" w:lineRule="auto"/>
        <w:jc w:val="both"/>
        <w:rPr>
          <w:color w:val="000000"/>
        </w:rPr>
      </w:pPr>
      <w:r w:rsidRPr="00BD3B0A">
        <w:rPr>
          <w:color w:val="000000"/>
        </w:rPr>
        <w:t xml:space="preserve">(2) </w:t>
      </w:r>
      <w:r w:rsidR="00A8185A" w:rsidRPr="00BD3B0A">
        <w:rPr>
          <w:color w:val="000000"/>
        </w:rPr>
        <w:t xml:space="preserve">Bu çerçevede, soruşturma neticesinde ulaşılan tespitleri değerlendiren Kurulun kararı ile yayımlanan İthalatta Haksız Rekabetin Önlenmesine İlişkin Tebliğ (Tebliğ No: 2018/15) ile yürürlükte olan </w:t>
      </w:r>
      <w:proofErr w:type="gramStart"/>
      <w:r w:rsidR="00A8185A" w:rsidRPr="00BD3B0A">
        <w:rPr>
          <w:color w:val="000000"/>
        </w:rPr>
        <w:t>dampinge</w:t>
      </w:r>
      <w:proofErr w:type="gramEnd"/>
      <w:r w:rsidR="00A8185A" w:rsidRPr="00BD3B0A">
        <w:rPr>
          <w:color w:val="000000"/>
        </w:rPr>
        <w:t xml:space="preserve"> karşı önlemin, Yönetmeliğin 42 </w:t>
      </w:r>
      <w:proofErr w:type="spellStart"/>
      <w:r w:rsidR="00A8185A" w:rsidRPr="00BD3B0A">
        <w:rPr>
          <w:color w:val="000000"/>
        </w:rPr>
        <w:t>nci</w:t>
      </w:r>
      <w:proofErr w:type="spellEnd"/>
      <w:r w:rsidR="00A8185A" w:rsidRPr="00BD3B0A">
        <w:rPr>
          <w:color w:val="000000"/>
        </w:rPr>
        <w:t xml:space="preserve"> maddesi çerçevesinde aşağıdaki tabloda gösterilen biçimde aynen uygulanmaya devam edilmesine karar verilmiştir.</w:t>
      </w:r>
    </w:p>
    <w:p w14:paraId="2BBACE39" w14:textId="38863BD2" w:rsidR="00BD3B0A" w:rsidRDefault="00BD3B0A" w:rsidP="00E90AE7">
      <w:pPr>
        <w:pStyle w:val="Default"/>
        <w:spacing w:line="216" w:lineRule="auto"/>
        <w:jc w:val="both"/>
        <w:rPr>
          <w:bCs/>
          <w:lang w:eastAsia="en-US"/>
        </w:rPr>
      </w:pPr>
    </w:p>
    <w:p w14:paraId="10B1C7D6" w14:textId="0F4C2520" w:rsidR="00BD3B0A" w:rsidRDefault="00BD3B0A" w:rsidP="00E90AE7">
      <w:pPr>
        <w:pStyle w:val="Default"/>
        <w:spacing w:line="216" w:lineRule="auto"/>
        <w:jc w:val="both"/>
        <w:rPr>
          <w:bCs/>
          <w:lang w:eastAsia="en-US"/>
        </w:rPr>
      </w:pPr>
    </w:p>
    <w:p w14:paraId="773901EE" w14:textId="610C0856" w:rsidR="00BD3B0A" w:rsidRDefault="00BD3B0A" w:rsidP="00E90AE7">
      <w:pPr>
        <w:pStyle w:val="Default"/>
        <w:spacing w:line="216" w:lineRule="auto"/>
        <w:jc w:val="both"/>
        <w:rPr>
          <w:bCs/>
          <w:lang w:eastAsia="en-US"/>
        </w:rPr>
      </w:pPr>
    </w:p>
    <w:p w14:paraId="25A8B545" w14:textId="543ECC5E" w:rsidR="00BD3B0A" w:rsidRDefault="00BD3B0A" w:rsidP="00E90AE7">
      <w:pPr>
        <w:pStyle w:val="Default"/>
        <w:spacing w:line="216" w:lineRule="auto"/>
        <w:jc w:val="both"/>
        <w:rPr>
          <w:bCs/>
          <w:lang w:eastAsia="en-US"/>
        </w:rPr>
      </w:pPr>
    </w:p>
    <w:p w14:paraId="083303C0" w14:textId="282388CF" w:rsidR="00BD3B0A" w:rsidRDefault="00BD3B0A" w:rsidP="00E90AE7">
      <w:pPr>
        <w:pStyle w:val="Default"/>
        <w:spacing w:line="216" w:lineRule="auto"/>
        <w:jc w:val="both"/>
        <w:rPr>
          <w:bCs/>
          <w:lang w:eastAsia="en-US"/>
        </w:rPr>
      </w:pPr>
    </w:p>
    <w:p w14:paraId="76443F8B" w14:textId="3346A93D" w:rsidR="00BD3B0A" w:rsidRDefault="00BD3B0A" w:rsidP="00E90AE7">
      <w:pPr>
        <w:pStyle w:val="Default"/>
        <w:spacing w:line="216" w:lineRule="auto"/>
        <w:jc w:val="both"/>
        <w:rPr>
          <w:bCs/>
          <w:lang w:eastAsia="en-US"/>
        </w:rPr>
      </w:pPr>
    </w:p>
    <w:p w14:paraId="38D758CF" w14:textId="77777777" w:rsidR="00BD3B0A" w:rsidRDefault="00BD3B0A" w:rsidP="00E90AE7">
      <w:pPr>
        <w:pStyle w:val="Default"/>
        <w:spacing w:line="216" w:lineRule="auto"/>
        <w:jc w:val="both"/>
        <w:rPr>
          <w:bCs/>
          <w:lang w:eastAsia="en-US"/>
        </w:rPr>
      </w:pPr>
    </w:p>
    <w:p w14:paraId="6FD60992" w14:textId="77777777" w:rsidR="00BD3B0A" w:rsidRPr="00E90AE7" w:rsidRDefault="00BD3B0A" w:rsidP="00E90AE7">
      <w:pPr>
        <w:pStyle w:val="Default"/>
        <w:spacing w:line="216" w:lineRule="auto"/>
        <w:jc w:val="both"/>
        <w:rPr>
          <w:rFonts w:eastAsiaTheme="minorHAnsi"/>
          <w:bCs/>
          <w:color w:val="auto"/>
          <w:spacing w:val="-2"/>
          <w:lang w:eastAsia="en-US"/>
        </w:rPr>
      </w:pPr>
    </w:p>
    <w:tbl>
      <w:tblPr>
        <w:tblW w:w="4988" w:type="pct"/>
        <w:tblLayout w:type="fixed"/>
        <w:tblCellMar>
          <w:left w:w="70" w:type="dxa"/>
          <w:right w:w="70" w:type="dxa"/>
        </w:tblCellMar>
        <w:tblLook w:val="04A0" w:firstRow="1" w:lastRow="0" w:firstColumn="1" w:lastColumn="0" w:noHBand="0" w:noVBand="1"/>
      </w:tblPr>
      <w:tblGrid>
        <w:gridCol w:w="983"/>
        <w:gridCol w:w="1123"/>
        <w:gridCol w:w="2698"/>
        <w:gridCol w:w="1978"/>
        <w:gridCol w:w="2258"/>
      </w:tblGrid>
      <w:tr w:rsidR="00621A3E" w:rsidRPr="00E02D23" w14:paraId="4D11A45F" w14:textId="77777777" w:rsidTr="003E5DFE">
        <w:trPr>
          <w:trHeight w:val="111"/>
        </w:trPr>
        <w:tc>
          <w:tcPr>
            <w:tcW w:w="544" w:type="pct"/>
            <w:tcBorders>
              <w:top w:val="single" w:sz="4" w:space="0" w:color="auto"/>
              <w:left w:val="single" w:sz="4" w:space="0" w:color="auto"/>
              <w:bottom w:val="single" w:sz="4" w:space="0" w:color="auto"/>
              <w:right w:val="single" w:sz="4" w:space="0" w:color="auto"/>
            </w:tcBorders>
            <w:noWrap/>
            <w:vAlign w:val="center"/>
            <w:hideMark/>
          </w:tcPr>
          <w:p w14:paraId="33B31EE6" w14:textId="77777777" w:rsidR="006710C9" w:rsidRPr="003E5DFE" w:rsidRDefault="006710C9" w:rsidP="00E90AE7">
            <w:pPr>
              <w:spacing w:line="216" w:lineRule="auto"/>
              <w:jc w:val="center"/>
              <w:rPr>
                <w:b/>
                <w:bCs/>
                <w:color w:val="000000"/>
                <w:sz w:val="22"/>
                <w:szCs w:val="22"/>
              </w:rPr>
            </w:pPr>
            <w:r w:rsidRPr="003E5DFE">
              <w:rPr>
                <w:b/>
                <w:bCs/>
                <w:color w:val="000000"/>
                <w:sz w:val="22"/>
                <w:szCs w:val="22"/>
              </w:rPr>
              <w:t>GTP</w:t>
            </w:r>
          </w:p>
        </w:tc>
        <w:tc>
          <w:tcPr>
            <w:tcW w:w="621" w:type="pct"/>
            <w:tcBorders>
              <w:top w:val="single" w:sz="4" w:space="0" w:color="auto"/>
              <w:left w:val="nil"/>
              <w:bottom w:val="single" w:sz="4" w:space="0" w:color="auto"/>
              <w:right w:val="single" w:sz="4" w:space="0" w:color="auto"/>
            </w:tcBorders>
            <w:noWrap/>
            <w:vAlign w:val="center"/>
            <w:hideMark/>
          </w:tcPr>
          <w:p w14:paraId="79B51CDE" w14:textId="77777777" w:rsidR="006710C9" w:rsidRPr="003E5DFE" w:rsidRDefault="006710C9" w:rsidP="00E90AE7">
            <w:pPr>
              <w:spacing w:line="216" w:lineRule="auto"/>
              <w:jc w:val="center"/>
              <w:rPr>
                <w:b/>
                <w:bCs/>
                <w:color w:val="000000"/>
                <w:sz w:val="22"/>
                <w:szCs w:val="22"/>
              </w:rPr>
            </w:pPr>
            <w:r w:rsidRPr="003E5DFE">
              <w:rPr>
                <w:b/>
                <w:bCs/>
                <w:color w:val="000000"/>
                <w:sz w:val="22"/>
                <w:szCs w:val="22"/>
              </w:rPr>
              <w:t>Eşyanın Tanımı</w:t>
            </w:r>
          </w:p>
        </w:tc>
        <w:tc>
          <w:tcPr>
            <w:tcW w:w="1492" w:type="pct"/>
            <w:tcBorders>
              <w:top w:val="single" w:sz="4" w:space="0" w:color="auto"/>
              <w:left w:val="nil"/>
              <w:bottom w:val="single" w:sz="4" w:space="0" w:color="auto"/>
              <w:right w:val="single" w:sz="4" w:space="0" w:color="auto"/>
            </w:tcBorders>
            <w:noWrap/>
            <w:vAlign w:val="bottom"/>
            <w:hideMark/>
          </w:tcPr>
          <w:p w14:paraId="1332083C" w14:textId="77777777" w:rsidR="00621A3E" w:rsidRPr="003E5DFE" w:rsidRDefault="00621A3E" w:rsidP="00E02D23">
            <w:pPr>
              <w:jc w:val="center"/>
              <w:rPr>
                <w:b/>
                <w:sz w:val="22"/>
                <w:szCs w:val="22"/>
              </w:rPr>
            </w:pPr>
            <w:r w:rsidRPr="003E5DFE">
              <w:rPr>
                <w:b/>
                <w:sz w:val="22"/>
                <w:szCs w:val="22"/>
              </w:rPr>
              <w:t>Menşe Ülke</w:t>
            </w:r>
          </w:p>
          <w:p w14:paraId="34215D25" w14:textId="19FA50E2" w:rsidR="006710C9" w:rsidRPr="003E5DFE" w:rsidRDefault="006710C9" w:rsidP="00E02D23">
            <w:pPr>
              <w:spacing w:line="216" w:lineRule="auto"/>
              <w:jc w:val="center"/>
              <w:rPr>
                <w:b/>
                <w:bCs/>
                <w:color w:val="000000"/>
                <w:sz w:val="22"/>
                <w:szCs w:val="22"/>
              </w:rPr>
            </w:pPr>
          </w:p>
        </w:tc>
        <w:tc>
          <w:tcPr>
            <w:tcW w:w="1094" w:type="pct"/>
            <w:tcBorders>
              <w:top w:val="single" w:sz="4" w:space="0" w:color="auto"/>
              <w:left w:val="nil"/>
              <w:bottom w:val="single" w:sz="4" w:space="0" w:color="auto"/>
              <w:right w:val="single" w:sz="4" w:space="0" w:color="auto"/>
            </w:tcBorders>
            <w:noWrap/>
            <w:vAlign w:val="center"/>
            <w:hideMark/>
          </w:tcPr>
          <w:p w14:paraId="7EFF2EE0" w14:textId="77777777" w:rsidR="006710C9" w:rsidRPr="003E5DFE" w:rsidRDefault="006710C9" w:rsidP="00E90AE7">
            <w:pPr>
              <w:spacing w:line="216" w:lineRule="auto"/>
              <w:jc w:val="center"/>
              <w:rPr>
                <w:b/>
                <w:bCs/>
                <w:color w:val="000000"/>
                <w:sz w:val="22"/>
                <w:szCs w:val="22"/>
              </w:rPr>
            </w:pPr>
            <w:r w:rsidRPr="003E5DFE">
              <w:rPr>
                <w:b/>
                <w:bCs/>
                <w:color w:val="000000"/>
                <w:sz w:val="22"/>
                <w:szCs w:val="22"/>
              </w:rPr>
              <w:t>Firma</w:t>
            </w:r>
          </w:p>
        </w:tc>
        <w:tc>
          <w:tcPr>
            <w:tcW w:w="1249" w:type="pct"/>
            <w:tcBorders>
              <w:top w:val="single" w:sz="4" w:space="0" w:color="auto"/>
              <w:left w:val="nil"/>
              <w:bottom w:val="single" w:sz="4" w:space="0" w:color="auto"/>
              <w:right w:val="single" w:sz="4" w:space="0" w:color="auto"/>
            </w:tcBorders>
            <w:noWrap/>
            <w:vAlign w:val="center"/>
            <w:hideMark/>
          </w:tcPr>
          <w:p w14:paraId="1EB650CC" w14:textId="32FDA1E1" w:rsidR="006710C9" w:rsidRPr="003E5DFE" w:rsidRDefault="006710C9" w:rsidP="00E02D23">
            <w:pPr>
              <w:jc w:val="center"/>
              <w:rPr>
                <w:b/>
                <w:bCs/>
                <w:color w:val="000000"/>
                <w:sz w:val="22"/>
                <w:szCs w:val="22"/>
              </w:rPr>
            </w:pPr>
            <w:r w:rsidRPr="003E5DFE">
              <w:rPr>
                <w:b/>
                <w:bCs/>
                <w:color w:val="000000"/>
                <w:sz w:val="22"/>
                <w:szCs w:val="22"/>
              </w:rPr>
              <w:t xml:space="preserve">Dampinge Karşı </w:t>
            </w:r>
            <w:r w:rsidR="00621A3E" w:rsidRPr="003E5DFE">
              <w:rPr>
                <w:b/>
                <w:sz w:val="22"/>
                <w:szCs w:val="22"/>
              </w:rPr>
              <w:t xml:space="preserve">Önlem </w:t>
            </w:r>
            <w:r w:rsidRPr="003E5DFE">
              <w:rPr>
                <w:b/>
                <w:bCs/>
                <w:color w:val="000000"/>
                <w:sz w:val="22"/>
                <w:szCs w:val="22"/>
              </w:rPr>
              <w:t>Miktarı</w:t>
            </w:r>
          </w:p>
          <w:p w14:paraId="53465AAE" w14:textId="172611E9" w:rsidR="006710C9" w:rsidRPr="003E5DFE" w:rsidRDefault="006710C9" w:rsidP="00E02D23">
            <w:pPr>
              <w:spacing w:line="216" w:lineRule="auto"/>
              <w:jc w:val="center"/>
              <w:rPr>
                <w:b/>
                <w:bCs/>
                <w:color w:val="000000"/>
                <w:sz w:val="22"/>
                <w:szCs w:val="22"/>
              </w:rPr>
            </w:pPr>
            <w:r w:rsidRPr="003E5DFE">
              <w:rPr>
                <w:b/>
                <w:bCs/>
                <w:color w:val="000000"/>
                <w:sz w:val="22"/>
                <w:szCs w:val="22"/>
              </w:rPr>
              <w:t>(ABD doları/ton)</w:t>
            </w:r>
          </w:p>
        </w:tc>
      </w:tr>
      <w:tr w:rsidR="00621A3E" w:rsidRPr="00E02D23" w14:paraId="24486B7C" w14:textId="77777777" w:rsidTr="003E5DFE">
        <w:trPr>
          <w:trHeight w:val="111"/>
        </w:trPr>
        <w:tc>
          <w:tcPr>
            <w:tcW w:w="544" w:type="pct"/>
            <w:vMerge w:val="restart"/>
            <w:tcBorders>
              <w:top w:val="nil"/>
              <w:left w:val="single" w:sz="4" w:space="0" w:color="auto"/>
              <w:bottom w:val="single" w:sz="4" w:space="0" w:color="auto"/>
              <w:right w:val="single" w:sz="4" w:space="0" w:color="auto"/>
            </w:tcBorders>
            <w:noWrap/>
            <w:vAlign w:val="center"/>
            <w:hideMark/>
          </w:tcPr>
          <w:p w14:paraId="38DB9E37" w14:textId="77777777" w:rsidR="006710C9" w:rsidRPr="003E5DFE" w:rsidRDefault="006710C9" w:rsidP="00E90AE7">
            <w:pPr>
              <w:spacing w:line="216" w:lineRule="auto"/>
              <w:jc w:val="center"/>
              <w:rPr>
                <w:color w:val="000000"/>
                <w:sz w:val="22"/>
                <w:szCs w:val="22"/>
              </w:rPr>
            </w:pPr>
            <w:r w:rsidRPr="003E5DFE">
              <w:rPr>
                <w:color w:val="000000"/>
                <w:sz w:val="22"/>
                <w:szCs w:val="22"/>
              </w:rPr>
              <w:t>7307.19</w:t>
            </w:r>
          </w:p>
        </w:tc>
        <w:tc>
          <w:tcPr>
            <w:tcW w:w="621" w:type="pct"/>
            <w:vMerge w:val="restart"/>
            <w:tcBorders>
              <w:top w:val="nil"/>
              <w:left w:val="single" w:sz="4" w:space="0" w:color="auto"/>
              <w:bottom w:val="single" w:sz="4" w:space="0" w:color="auto"/>
              <w:right w:val="single" w:sz="4" w:space="0" w:color="auto"/>
            </w:tcBorders>
            <w:noWrap/>
            <w:vAlign w:val="center"/>
            <w:hideMark/>
          </w:tcPr>
          <w:p w14:paraId="5C516551" w14:textId="77777777" w:rsidR="006710C9" w:rsidRPr="003E5DFE" w:rsidRDefault="006710C9" w:rsidP="00E90AE7">
            <w:pPr>
              <w:spacing w:line="216" w:lineRule="auto"/>
              <w:jc w:val="center"/>
              <w:rPr>
                <w:color w:val="000000"/>
                <w:sz w:val="22"/>
                <w:szCs w:val="22"/>
              </w:rPr>
            </w:pPr>
            <w:r w:rsidRPr="003E5DFE">
              <w:rPr>
                <w:color w:val="000000"/>
                <w:sz w:val="22"/>
                <w:szCs w:val="22"/>
              </w:rPr>
              <w:t>Diğerleri</w:t>
            </w:r>
          </w:p>
        </w:tc>
        <w:tc>
          <w:tcPr>
            <w:tcW w:w="1492" w:type="pct"/>
            <w:tcBorders>
              <w:top w:val="nil"/>
              <w:left w:val="nil"/>
              <w:bottom w:val="single" w:sz="4" w:space="0" w:color="auto"/>
              <w:right w:val="single" w:sz="4" w:space="0" w:color="auto"/>
            </w:tcBorders>
            <w:noWrap/>
            <w:vAlign w:val="center"/>
            <w:hideMark/>
          </w:tcPr>
          <w:p w14:paraId="39A8BD40" w14:textId="77777777" w:rsidR="006710C9" w:rsidRPr="003E5DFE" w:rsidRDefault="006710C9" w:rsidP="00E90AE7">
            <w:pPr>
              <w:spacing w:line="216" w:lineRule="auto"/>
              <w:jc w:val="center"/>
              <w:rPr>
                <w:color w:val="000000"/>
                <w:sz w:val="22"/>
                <w:szCs w:val="22"/>
              </w:rPr>
            </w:pPr>
            <w:r w:rsidRPr="003E5DFE">
              <w:rPr>
                <w:color w:val="000000"/>
                <w:sz w:val="22"/>
                <w:szCs w:val="22"/>
              </w:rPr>
              <w:t>Çin Halk Cumhuriyeti</w:t>
            </w:r>
          </w:p>
        </w:tc>
        <w:tc>
          <w:tcPr>
            <w:tcW w:w="1094" w:type="pct"/>
            <w:tcBorders>
              <w:top w:val="nil"/>
              <w:left w:val="nil"/>
              <w:bottom w:val="single" w:sz="4" w:space="0" w:color="auto"/>
              <w:right w:val="single" w:sz="4" w:space="0" w:color="auto"/>
            </w:tcBorders>
            <w:noWrap/>
            <w:vAlign w:val="center"/>
            <w:hideMark/>
          </w:tcPr>
          <w:p w14:paraId="19711E83" w14:textId="77777777" w:rsidR="006710C9" w:rsidRPr="003E5DFE" w:rsidRDefault="006710C9" w:rsidP="00E90AE7">
            <w:pPr>
              <w:spacing w:line="216" w:lineRule="auto"/>
              <w:jc w:val="center"/>
              <w:rPr>
                <w:color w:val="000000"/>
                <w:sz w:val="22"/>
                <w:szCs w:val="22"/>
              </w:rPr>
            </w:pPr>
            <w:r w:rsidRPr="003E5DFE">
              <w:rPr>
                <w:color w:val="000000"/>
                <w:sz w:val="22"/>
                <w:szCs w:val="22"/>
              </w:rPr>
              <w:t>Tüm firmalar</w:t>
            </w:r>
          </w:p>
        </w:tc>
        <w:tc>
          <w:tcPr>
            <w:tcW w:w="1249" w:type="pct"/>
            <w:tcBorders>
              <w:top w:val="nil"/>
              <w:left w:val="nil"/>
              <w:bottom w:val="single" w:sz="4" w:space="0" w:color="auto"/>
              <w:right w:val="single" w:sz="4" w:space="0" w:color="auto"/>
            </w:tcBorders>
            <w:noWrap/>
            <w:vAlign w:val="center"/>
            <w:hideMark/>
          </w:tcPr>
          <w:p w14:paraId="23AC4E66" w14:textId="77777777" w:rsidR="006710C9" w:rsidRPr="003E5DFE" w:rsidRDefault="006710C9" w:rsidP="00E90AE7">
            <w:pPr>
              <w:spacing w:line="216" w:lineRule="auto"/>
              <w:jc w:val="center"/>
              <w:rPr>
                <w:color w:val="000000"/>
                <w:sz w:val="22"/>
                <w:szCs w:val="22"/>
              </w:rPr>
            </w:pPr>
            <w:r w:rsidRPr="003E5DFE">
              <w:rPr>
                <w:color w:val="000000"/>
                <w:sz w:val="22"/>
                <w:szCs w:val="22"/>
              </w:rPr>
              <w:t>800</w:t>
            </w:r>
          </w:p>
        </w:tc>
      </w:tr>
      <w:tr w:rsidR="00621A3E" w:rsidRPr="00E02D23" w14:paraId="54978AF6" w14:textId="77777777" w:rsidTr="003E5DFE">
        <w:trPr>
          <w:trHeight w:val="111"/>
        </w:trPr>
        <w:tc>
          <w:tcPr>
            <w:tcW w:w="544" w:type="pct"/>
            <w:vMerge/>
            <w:tcBorders>
              <w:top w:val="nil"/>
              <w:left w:val="single" w:sz="4" w:space="0" w:color="auto"/>
              <w:bottom w:val="single" w:sz="4" w:space="0" w:color="auto"/>
              <w:right w:val="single" w:sz="4" w:space="0" w:color="auto"/>
            </w:tcBorders>
            <w:vAlign w:val="center"/>
            <w:hideMark/>
          </w:tcPr>
          <w:p w14:paraId="09503204" w14:textId="77777777" w:rsidR="006710C9" w:rsidRPr="003E5DFE" w:rsidRDefault="006710C9" w:rsidP="00E90AE7">
            <w:pPr>
              <w:spacing w:line="216" w:lineRule="auto"/>
              <w:rPr>
                <w:color w:val="000000"/>
                <w:sz w:val="22"/>
                <w:szCs w:val="22"/>
              </w:rPr>
            </w:pPr>
          </w:p>
        </w:tc>
        <w:tc>
          <w:tcPr>
            <w:tcW w:w="621" w:type="pct"/>
            <w:vMerge/>
            <w:tcBorders>
              <w:top w:val="nil"/>
              <w:left w:val="single" w:sz="4" w:space="0" w:color="auto"/>
              <w:bottom w:val="single" w:sz="4" w:space="0" w:color="auto"/>
              <w:right w:val="single" w:sz="4" w:space="0" w:color="auto"/>
            </w:tcBorders>
            <w:vAlign w:val="center"/>
            <w:hideMark/>
          </w:tcPr>
          <w:p w14:paraId="649B7F3E" w14:textId="77777777" w:rsidR="006710C9" w:rsidRPr="003E5DFE" w:rsidRDefault="006710C9" w:rsidP="00E90AE7">
            <w:pPr>
              <w:spacing w:line="216" w:lineRule="auto"/>
              <w:rPr>
                <w:color w:val="000000"/>
                <w:sz w:val="22"/>
                <w:szCs w:val="22"/>
              </w:rPr>
            </w:pPr>
          </w:p>
        </w:tc>
        <w:tc>
          <w:tcPr>
            <w:tcW w:w="1492" w:type="pct"/>
            <w:tcBorders>
              <w:top w:val="nil"/>
              <w:left w:val="nil"/>
              <w:bottom w:val="single" w:sz="4" w:space="0" w:color="auto"/>
              <w:right w:val="single" w:sz="4" w:space="0" w:color="auto"/>
            </w:tcBorders>
            <w:noWrap/>
            <w:vAlign w:val="center"/>
            <w:hideMark/>
          </w:tcPr>
          <w:p w14:paraId="3C6D6BC7" w14:textId="77777777" w:rsidR="006710C9" w:rsidRPr="003E5DFE" w:rsidRDefault="006710C9" w:rsidP="00E90AE7">
            <w:pPr>
              <w:spacing w:line="216" w:lineRule="auto"/>
              <w:jc w:val="center"/>
              <w:rPr>
                <w:color w:val="000000"/>
                <w:sz w:val="22"/>
                <w:szCs w:val="22"/>
              </w:rPr>
            </w:pPr>
            <w:r w:rsidRPr="003E5DFE">
              <w:rPr>
                <w:color w:val="000000"/>
                <w:sz w:val="22"/>
                <w:szCs w:val="22"/>
              </w:rPr>
              <w:t>Brezilya</w:t>
            </w:r>
            <w:r w:rsidRPr="003E5DFE">
              <w:rPr>
                <w:sz w:val="22"/>
                <w:szCs w:val="22"/>
              </w:rPr>
              <w:t xml:space="preserve"> </w:t>
            </w:r>
            <w:r w:rsidRPr="003E5DFE">
              <w:rPr>
                <w:color w:val="000000"/>
                <w:sz w:val="22"/>
                <w:szCs w:val="22"/>
              </w:rPr>
              <w:t>Federatif Cumhuriyeti</w:t>
            </w:r>
          </w:p>
        </w:tc>
        <w:tc>
          <w:tcPr>
            <w:tcW w:w="1094" w:type="pct"/>
            <w:tcBorders>
              <w:top w:val="nil"/>
              <w:left w:val="nil"/>
              <w:bottom w:val="single" w:sz="4" w:space="0" w:color="auto"/>
              <w:right w:val="single" w:sz="4" w:space="0" w:color="auto"/>
            </w:tcBorders>
            <w:noWrap/>
            <w:vAlign w:val="center"/>
            <w:hideMark/>
          </w:tcPr>
          <w:p w14:paraId="4CCC8D9B" w14:textId="77777777" w:rsidR="006710C9" w:rsidRPr="003E5DFE" w:rsidRDefault="006710C9" w:rsidP="00E90AE7">
            <w:pPr>
              <w:spacing w:line="216" w:lineRule="auto"/>
              <w:jc w:val="center"/>
              <w:rPr>
                <w:color w:val="000000"/>
                <w:sz w:val="22"/>
                <w:szCs w:val="22"/>
              </w:rPr>
            </w:pPr>
            <w:r w:rsidRPr="003E5DFE">
              <w:rPr>
                <w:color w:val="000000"/>
                <w:sz w:val="22"/>
                <w:szCs w:val="22"/>
              </w:rPr>
              <w:t>Tüm firmalar</w:t>
            </w:r>
          </w:p>
        </w:tc>
        <w:tc>
          <w:tcPr>
            <w:tcW w:w="1249" w:type="pct"/>
            <w:tcBorders>
              <w:top w:val="nil"/>
              <w:left w:val="nil"/>
              <w:bottom w:val="single" w:sz="4" w:space="0" w:color="auto"/>
              <w:right w:val="single" w:sz="4" w:space="0" w:color="auto"/>
            </w:tcBorders>
            <w:noWrap/>
            <w:vAlign w:val="center"/>
            <w:hideMark/>
          </w:tcPr>
          <w:p w14:paraId="5E6144C1" w14:textId="77777777" w:rsidR="006710C9" w:rsidRPr="003E5DFE" w:rsidRDefault="006710C9" w:rsidP="00E90AE7">
            <w:pPr>
              <w:spacing w:line="216" w:lineRule="auto"/>
              <w:jc w:val="center"/>
              <w:rPr>
                <w:color w:val="000000"/>
                <w:sz w:val="22"/>
                <w:szCs w:val="22"/>
              </w:rPr>
            </w:pPr>
            <w:r w:rsidRPr="003E5DFE">
              <w:rPr>
                <w:color w:val="000000"/>
                <w:sz w:val="22"/>
                <w:szCs w:val="22"/>
              </w:rPr>
              <w:t>400</w:t>
            </w:r>
          </w:p>
        </w:tc>
      </w:tr>
      <w:tr w:rsidR="00621A3E" w:rsidRPr="00E02D23" w14:paraId="70DE9422" w14:textId="77777777" w:rsidTr="003E5DFE">
        <w:trPr>
          <w:trHeight w:val="111"/>
        </w:trPr>
        <w:tc>
          <w:tcPr>
            <w:tcW w:w="544" w:type="pct"/>
            <w:vMerge/>
            <w:tcBorders>
              <w:top w:val="nil"/>
              <w:left w:val="single" w:sz="4" w:space="0" w:color="auto"/>
              <w:bottom w:val="single" w:sz="4" w:space="0" w:color="auto"/>
              <w:right w:val="single" w:sz="4" w:space="0" w:color="auto"/>
            </w:tcBorders>
            <w:vAlign w:val="center"/>
            <w:hideMark/>
          </w:tcPr>
          <w:p w14:paraId="54BAD9F4" w14:textId="77777777" w:rsidR="006710C9" w:rsidRPr="003E5DFE" w:rsidRDefault="006710C9" w:rsidP="00E90AE7">
            <w:pPr>
              <w:spacing w:line="216" w:lineRule="auto"/>
              <w:rPr>
                <w:color w:val="000000"/>
                <w:sz w:val="22"/>
                <w:szCs w:val="22"/>
              </w:rPr>
            </w:pPr>
          </w:p>
        </w:tc>
        <w:tc>
          <w:tcPr>
            <w:tcW w:w="621" w:type="pct"/>
            <w:vMerge/>
            <w:tcBorders>
              <w:top w:val="nil"/>
              <w:left w:val="single" w:sz="4" w:space="0" w:color="auto"/>
              <w:bottom w:val="single" w:sz="4" w:space="0" w:color="auto"/>
              <w:right w:val="single" w:sz="4" w:space="0" w:color="auto"/>
            </w:tcBorders>
            <w:vAlign w:val="center"/>
            <w:hideMark/>
          </w:tcPr>
          <w:p w14:paraId="1F4856A3" w14:textId="77777777" w:rsidR="006710C9" w:rsidRPr="003E5DFE" w:rsidRDefault="006710C9" w:rsidP="00E90AE7">
            <w:pPr>
              <w:spacing w:line="216" w:lineRule="auto"/>
              <w:rPr>
                <w:color w:val="000000"/>
                <w:sz w:val="22"/>
                <w:szCs w:val="22"/>
              </w:rPr>
            </w:pPr>
          </w:p>
        </w:tc>
        <w:tc>
          <w:tcPr>
            <w:tcW w:w="1492" w:type="pct"/>
            <w:tcBorders>
              <w:top w:val="nil"/>
              <w:left w:val="nil"/>
              <w:bottom w:val="single" w:sz="4" w:space="0" w:color="auto"/>
              <w:right w:val="single" w:sz="4" w:space="0" w:color="auto"/>
            </w:tcBorders>
            <w:noWrap/>
            <w:vAlign w:val="center"/>
            <w:hideMark/>
          </w:tcPr>
          <w:p w14:paraId="35305B65" w14:textId="77777777" w:rsidR="006710C9" w:rsidRPr="003E5DFE" w:rsidRDefault="006710C9" w:rsidP="00E90AE7">
            <w:pPr>
              <w:spacing w:line="216" w:lineRule="auto"/>
              <w:jc w:val="center"/>
              <w:rPr>
                <w:color w:val="000000"/>
                <w:sz w:val="22"/>
                <w:szCs w:val="22"/>
              </w:rPr>
            </w:pPr>
            <w:r w:rsidRPr="003E5DFE">
              <w:rPr>
                <w:color w:val="000000"/>
                <w:sz w:val="22"/>
                <w:szCs w:val="22"/>
              </w:rPr>
              <w:t>Bulgaristan</w:t>
            </w:r>
            <w:r w:rsidRPr="003E5DFE">
              <w:rPr>
                <w:sz w:val="22"/>
                <w:szCs w:val="22"/>
              </w:rPr>
              <w:t xml:space="preserve"> </w:t>
            </w:r>
            <w:r w:rsidRPr="003E5DFE">
              <w:rPr>
                <w:color w:val="000000"/>
                <w:sz w:val="22"/>
                <w:szCs w:val="22"/>
              </w:rPr>
              <w:t>Cumhuriyeti</w:t>
            </w:r>
          </w:p>
        </w:tc>
        <w:tc>
          <w:tcPr>
            <w:tcW w:w="1094" w:type="pct"/>
            <w:tcBorders>
              <w:top w:val="nil"/>
              <w:left w:val="nil"/>
              <w:bottom w:val="single" w:sz="4" w:space="0" w:color="auto"/>
              <w:right w:val="single" w:sz="4" w:space="0" w:color="auto"/>
            </w:tcBorders>
            <w:noWrap/>
            <w:vAlign w:val="center"/>
            <w:hideMark/>
          </w:tcPr>
          <w:p w14:paraId="1B2F03AA" w14:textId="77777777" w:rsidR="006710C9" w:rsidRPr="003E5DFE" w:rsidRDefault="006710C9" w:rsidP="00E90AE7">
            <w:pPr>
              <w:spacing w:line="216" w:lineRule="auto"/>
              <w:jc w:val="center"/>
              <w:rPr>
                <w:color w:val="000000"/>
                <w:sz w:val="22"/>
                <w:szCs w:val="22"/>
              </w:rPr>
            </w:pPr>
            <w:r w:rsidRPr="003E5DFE">
              <w:rPr>
                <w:color w:val="000000"/>
                <w:sz w:val="22"/>
                <w:szCs w:val="22"/>
              </w:rPr>
              <w:t>Tüm firmalar</w:t>
            </w:r>
          </w:p>
        </w:tc>
        <w:tc>
          <w:tcPr>
            <w:tcW w:w="1249" w:type="pct"/>
            <w:tcBorders>
              <w:top w:val="nil"/>
              <w:left w:val="nil"/>
              <w:bottom w:val="single" w:sz="4" w:space="0" w:color="auto"/>
              <w:right w:val="single" w:sz="4" w:space="0" w:color="auto"/>
            </w:tcBorders>
            <w:noWrap/>
            <w:vAlign w:val="center"/>
            <w:hideMark/>
          </w:tcPr>
          <w:p w14:paraId="75AC5FA8" w14:textId="77777777" w:rsidR="006710C9" w:rsidRPr="003E5DFE" w:rsidRDefault="006710C9" w:rsidP="00E90AE7">
            <w:pPr>
              <w:spacing w:line="216" w:lineRule="auto"/>
              <w:jc w:val="center"/>
              <w:rPr>
                <w:color w:val="000000"/>
                <w:sz w:val="22"/>
                <w:szCs w:val="22"/>
              </w:rPr>
            </w:pPr>
            <w:r w:rsidRPr="003E5DFE">
              <w:rPr>
                <w:color w:val="000000"/>
                <w:sz w:val="22"/>
                <w:szCs w:val="22"/>
              </w:rPr>
              <w:t>400</w:t>
            </w:r>
          </w:p>
        </w:tc>
      </w:tr>
      <w:tr w:rsidR="00621A3E" w:rsidRPr="00E02D23" w14:paraId="699FBB79" w14:textId="77777777" w:rsidTr="003E5DFE">
        <w:trPr>
          <w:trHeight w:val="111"/>
        </w:trPr>
        <w:tc>
          <w:tcPr>
            <w:tcW w:w="544" w:type="pct"/>
            <w:vMerge/>
            <w:tcBorders>
              <w:top w:val="nil"/>
              <w:left w:val="single" w:sz="4" w:space="0" w:color="auto"/>
              <w:bottom w:val="single" w:sz="4" w:space="0" w:color="auto"/>
              <w:right w:val="single" w:sz="4" w:space="0" w:color="auto"/>
            </w:tcBorders>
            <w:vAlign w:val="center"/>
            <w:hideMark/>
          </w:tcPr>
          <w:p w14:paraId="25E5CFF8" w14:textId="77777777" w:rsidR="006710C9" w:rsidRPr="003E5DFE" w:rsidRDefault="006710C9" w:rsidP="00E90AE7">
            <w:pPr>
              <w:spacing w:line="216" w:lineRule="auto"/>
              <w:rPr>
                <w:color w:val="000000"/>
                <w:sz w:val="22"/>
                <w:szCs w:val="22"/>
              </w:rPr>
            </w:pPr>
          </w:p>
        </w:tc>
        <w:tc>
          <w:tcPr>
            <w:tcW w:w="621" w:type="pct"/>
            <w:vMerge/>
            <w:tcBorders>
              <w:top w:val="nil"/>
              <w:left w:val="single" w:sz="4" w:space="0" w:color="auto"/>
              <w:bottom w:val="single" w:sz="4" w:space="0" w:color="auto"/>
              <w:right w:val="single" w:sz="4" w:space="0" w:color="auto"/>
            </w:tcBorders>
            <w:vAlign w:val="center"/>
            <w:hideMark/>
          </w:tcPr>
          <w:p w14:paraId="7C681B0E" w14:textId="77777777" w:rsidR="006710C9" w:rsidRPr="003E5DFE" w:rsidRDefault="006710C9" w:rsidP="00E90AE7">
            <w:pPr>
              <w:spacing w:line="216" w:lineRule="auto"/>
              <w:rPr>
                <w:color w:val="000000"/>
                <w:sz w:val="22"/>
                <w:szCs w:val="22"/>
              </w:rPr>
            </w:pPr>
          </w:p>
        </w:tc>
        <w:tc>
          <w:tcPr>
            <w:tcW w:w="1492" w:type="pct"/>
            <w:vMerge w:val="restart"/>
            <w:tcBorders>
              <w:top w:val="nil"/>
              <w:left w:val="single" w:sz="4" w:space="0" w:color="auto"/>
              <w:bottom w:val="single" w:sz="4" w:space="0" w:color="000000"/>
              <w:right w:val="single" w:sz="4" w:space="0" w:color="auto"/>
            </w:tcBorders>
            <w:noWrap/>
            <w:vAlign w:val="center"/>
            <w:hideMark/>
          </w:tcPr>
          <w:p w14:paraId="40E2F09B" w14:textId="77777777" w:rsidR="006710C9" w:rsidRPr="003E5DFE" w:rsidRDefault="006710C9" w:rsidP="00E90AE7">
            <w:pPr>
              <w:spacing w:line="216" w:lineRule="auto"/>
              <w:jc w:val="center"/>
              <w:rPr>
                <w:color w:val="000000"/>
                <w:sz w:val="22"/>
                <w:szCs w:val="22"/>
              </w:rPr>
            </w:pPr>
            <w:r w:rsidRPr="003E5DFE">
              <w:rPr>
                <w:color w:val="000000"/>
                <w:sz w:val="22"/>
                <w:szCs w:val="22"/>
              </w:rPr>
              <w:t>Endonezya</w:t>
            </w:r>
            <w:r w:rsidRPr="003E5DFE">
              <w:rPr>
                <w:sz w:val="22"/>
                <w:szCs w:val="22"/>
              </w:rPr>
              <w:t xml:space="preserve"> </w:t>
            </w:r>
            <w:r w:rsidRPr="003E5DFE">
              <w:rPr>
                <w:color w:val="000000"/>
                <w:sz w:val="22"/>
                <w:szCs w:val="22"/>
              </w:rPr>
              <w:t>Cumhuriyeti</w:t>
            </w:r>
          </w:p>
        </w:tc>
        <w:tc>
          <w:tcPr>
            <w:tcW w:w="1094" w:type="pct"/>
            <w:tcBorders>
              <w:top w:val="nil"/>
              <w:left w:val="nil"/>
              <w:bottom w:val="single" w:sz="4" w:space="0" w:color="auto"/>
              <w:right w:val="single" w:sz="4" w:space="0" w:color="auto"/>
            </w:tcBorders>
            <w:noWrap/>
            <w:vAlign w:val="center"/>
            <w:hideMark/>
          </w:tcPr>
          <w:p w14:paraId="5D354259" w14:textId="77777777" w:rsidR="006710C9" w:rsidRPr="003E5DFE" w:rsidRDefault="006710C9" w:rsidP="00E90AE7">
            <w:pPr>
              <w:spacing w:line="216" w:lineRule="auto"/>
              <w:jc w:val="center"/>
              <w:rPr>
                <w:color w:val="000000"/>
                <w:sz w:val="22"/>
                <w:szCs w:val="22"/>
              </w:rPr>
            </w:pPr>
            <w:r w:rsidRPr="003E5DFE">
              <w:rPr>
                <w:color w:val="000000"/>
                <w:sz w:val="22"/>
                <w:szCs w:val="22"/>
              </w:rPr>
              <w:t xml:space="preserve">PT. TRI Sinar </w:t>
            </w:r>
          </w:p>
          <w:p w14:paraId="5F3F3A94" w14:textId="77777777" w:rsidR="006710C9" w:rsidRPr="003E5DFE" w:rsidRDefault="006710C9" w:rsidP="00E90AE7">
            <w:pPr>
              <w:spacing w:line="216" w:lineRule="auto"/>
              <w:jc w:val="center"/>
              <w:rPr>
                <w:color w:val="000000"/>
                <w:sz w:val="22"/>
                <w:szCs w:val="22"/>
              </w:rPr>
            </w:pPr>
            <w:proofErr w:type="spellStart"/>
            <w:r w:rsidRPr="003E5DFE">
              <w:rPr>
                <w:color w:val="000000"/>
                <w:sz w:val="22"/>
                <w:szCs w:val="22"/>
              </w:rPr>
              <w:t>Purnama</w:t>
            </w:r>
            <w:proofErr w:type="spellEnd"/>
            <w:r w:rsidRPr="003E5DFE">
              <w:rPr>
                <w:color w:val="000000"/>
                <w:sz w:val="22"/>
                <w:szCs w:val="22"/>
              </w:rPr>
              <w:t xml:space="preserve"> </w:t>
            </w:r>
            <w:proofErr w:type="spellStart"/>
            <w:r w:rsidRPr="003E5DFE">
              <w:rPr>
                <w:color w:val="000000"/>
                <w:sz w:val="22"/>
                <w:szCs w:val="22"/>
              </w:rPr>
              <w:t>Foundry</w:t>
            </w:r>
            <w:proofErr w:type="spellEnd"/>
          </w:p>
        </w:tc>
        <w:tc>
          <w:tcPr>
            <w:tcW w:w="1249" w:type="pct"/>
            <w:tcBorders>
              <w:top w:val="nil"/>
              <w:left w:val="nil"/>
              <w:bottom w:val="single" w:sz="4" w:space="0" w:color="auto"/>
              <w:right w:val="single" w:sz="4" w:space="0" w:color="auto"/>
            </w:tcBorders>
            <w:noWrap/>
            <w:vAlign w:val="center"/>
            <w:hideMark/>
          </w:tcPr>
          <w:p w14:paraId="17B72F56" w14:textId="77777777" w:rsidR="006710C9" w:rsidRPr="003E5DFE" w:rsidRDefault="006710C9" w:rsidP="00E90AE7">
            <w:pPr>
              <w:spacing w:line="216" w:lineRule="auto"/>
              <w:jc w:val="center"/>
              <w:rPr>
                <w:color w:val="000000"/>
                <w:sz w:val="22"/>
                <w:szCs w:val="22"/>
              </w:rPr>
            </w:pPr>
            <w:r w:rsidRPr="003E5DFE">
              <w:rPr>
                <w:color w:val="000000"/>
                <w:sz w:val="22"/>
                <w:szCs w:val="22"/>
              </w:rPr>
              <w:t>253</w:t>
            </w:r>
          </w:p>
        </w:tc>
      </w:tr>
      <w:tr w:rsidR="00621A3E" w:rsidRPr="00E02D23" w14:paraId="636469B6" w14:textId="77777777" w:rsidTr="003E5DFE">
        <w:trPr>
          <w:trHeight w:val="111"/>
        </w:trPr>
        <w:tc>
          <w:tcPr>
            <w:tcW w:w="544" w:type="pct"/>
            <w:vMerge/>
            <w:tcBorders>
              <w:top w:val="nil"/>
              <w:left w:val="single" w:sz="4" w:space="0" w:color="auto"/>
              <w:bottom w:val="single" w:sz="4" w:space="0" w:color="auto"/>
              <w:right w:val="single" w:sz="4" w:space="0" w:color="auto"/>
            </w:tcBorders>
            <w:vAlign w:val="center"/>
            <w:hideMark/>
          </w:tcPr>
          <w:p w14:paraId="2FE80ADE" w14:textId="77777777" w:rsidR="006710C9" w:rsidRPr="003E5DFE" w:rsidRDefault="006710C9" w:rsidP="00E90AE7">
            <w:pPr>
              <w:spacing w:line="216" w:lineRule="auto"/>
              <w:rPr>
                <w:color w:val="000000"/>
                <w:sz w:val="22"/>
                <w:szCs w:val="22"/>
              </w:rPr>
            </w:pPr>
          </w:p>
        </w:tc>
        <w:tc>
          <w:tcPr>
            <w:tcW w:w="621" w:type="pct"/>
            <w:vMerge/>
            <w:tcBorders>
              <w:top w:val="nil"/>
              <w:left w:val="single" w:sz="4" w:space="0" w:color="auto"/>
              <w:bottom w:val="single" w:sz="4" w:space="0" w:color="auto"/>
              <w:right w:val="single" w:sz="4" w:space="0" w:color="auto"/>
            </w:tcBorders>
            <w:vAlign w:val="center"/>
            <w:hideMark/>
          </w:tcPr>
          <w:p w14:paraId="73F5AE6D" w14:textId="77777777" w:rsidR="006710C9" w:rsidRPr="003E5DFE" w:rsidRDefault="006710C9" w:rsidP="00E90AE7">
            <w:pPr>
              <w:spacing w:line="216" w:lineRule="auto"/>
              <w:rPr>
                <w:color w:val="000000"/>
                <w:sz w:val="22"/>
                <w:szCs w:val="22"/>
              </w:rPr>
            </w:pPr>
          </w:p>
        </w:tc>
        <w:tc>
          <w:tcPr>
            <w:tcW w:w="1492" w:type="pct"/>
            <w:vMerge/>
            <w:tcBorders>
              <w:top w:val="nil"/>
              <w:left w:val="single" w:sz="4" w:space="0" w:color="auto"/>
              <w:bottom w:val="single" w:sz="4" w:space="0" w:color="000000"/>
              <w:right w:val="single" w:sz="4" w:space="0" w:color="auto"/>
            </w:tcBorders>
            <w:vAlign w:val="center"/>
            <w:hideMark/>
          </w:tcPr>
          <w:p w14:paraId="33318C40" w14:textId="77777777" w:rsidR="006710C9" w:rsidRPr="003E5DFE" w:rsidRDefault="006710C9" w:rsidP="00E90AE7">
            <w:pPr>
              <w:spacing w:line="216" w:lineRule="auto"/>
              <w:rPr>
                <w:color w:val="000000"/>
                <w:sz w:val="22"/>
                <w:szCs w:val="22"/>
              </w:rPr>
            </w:pPr>
          </w:p>
        </w:tc>
        <w:tc>
          <w:tcPr>
            <w:tcW w:w="1094" w:type="pct"/>
            <w:tcBorders>
              <w:top w:val="nil"/>
              <w:left w:val="nil"/>
              <w:bottom w:val="single" w:sz="4" w:space="0" w:color="auto"/>
              <w:right w:val="single" w:sz="4" w:space="0" w:color="auto"/>
            </w:tcBorders>
            <w:noWrap/>
            <w:vAlign w:val="center"/>
            <w:hideMark/>
          </w:tcPr>
          <w:p w14:paraId="0EDE4872" w14:textId="77777777" w:rsidR="006710C9" w:rsidRPr="003E5DFE" w:rsidRDefault="006710C9" w:rsidP="00E90AE7">
            <w:pPr>
              <w:spacing w:line="216" w:lineRule="auto"/>
              <w:jc w:val="center"/>
              <w:rPr>
                <w:color w:val="000000"/>
                <w:sz w:val="22"/>
                <w:szCs w:val="22"/>
              </w:rPr>
            </w:pPr>
            <w:r w:rsidRPr="003E5DFE">
              <w:rPr>
                <w:color w:val="000000"/>
                <w:sz w:val="22"/>
                <w:szCs w:val="22"/>
              </w:rPr>
              <w:t>Diğerleri</w:t>
            </w:r>
          </w:p>
        </w:tc>
        <w:tc>
          <w:tcPr>
            <w:tcW w:w="1249" w:type="pct"/>
            <w:tcBorders>
              <w:top w:val="nil"/>
              <w:left w:val="nil"/>
              <w:bottom w:val="single" w:sz="4" w:space="0" w:color="auto"/>
              <w:right w:val="single" w:sz="4" w:space="0" w:color="auto"/>
            </w:tcBorders>
            <w:noWrap/>
            <w:vAlign w:val="center"/>
            <w:hideMark/>
          </w:tcPr>
          <w:p w14:paraId="008E050D" w14:textId="77777777" w:rsidR="006710C9" w:rsidRPr="003E5DFE" w:rsidRDefault="006710C9" w:rsidP="00E90AE7">
            <w:pPr>
              <w:spacing w:line="216" w:lineRule="auto"/>
              <w:jc w:val="center"/>
              <w:rPr>
                <w:color w:val="000000"/>
                <w:sz w:val="22"/>
                <w:szCs w:val="22"/>
              </w:rPr>
            </w:pPr>
            <w:r w:rsidRPr="003E5DFE">
              <w:rPr>
                <w:color w:val="000000"/>
                <w:sz w:val="22"/>
                <w:szCs w:val="22"/>
              </w:rPr>
              <w:t>400</w:t>
            </w:r>
          </w:p>
        </w:tc>
      </w:tr>
      <w:tr w:rsidR="00621A3E" w:rsidRPr="00E02D23" w14:paraId="6CCB21C5" w14:textId="77777777" w:rsidTr="003E5DFE">
        <w:trPr>
          <w:trHeight w:val="111"/>
        </w:trPr>
        <w:tc>
          <w:tcPr>
            <w:tcW w:w="544" w:type="pct"/>
            <w:vMerge/>
            <w:tcBorders>
              <w:top w:val="nil"/>
              <w:left w:val="single" w:sz="4" w:space="0" w:color="auto"/>
              <w:bottom w:val="single" w:sz="4" w:space="0" w:color="auto"/>
              <w:right w:val="single" w:sz="4" w:space="0" w:color="auto"/>
            </w:tcBorders>
            <w:vAlign w:val="center"/>
            <w:hideMark/>
          </w:tcPr>
          <w:p w14:paraId="1E38487B" w14:textId="77777777" w:rsidR="006710C9" w:rsidRPr="003E5DFE" w:rsidRDefault="006710C9" w:rsidP="00E90AE7">
            <w:pPr>
              <w:spacing w:line="216" w:lineRule="auto"/>
              <w:rPr>
                <w:color w:val="000000"/>
                <w:sz w:val="22"/>
                <w:szCs w:val="22"/>
              </w:rPr>
            </w:pPr>
          </w:p>
        </w:tc>
        <w:tc>
          <w:tcPr>
            <w:tcW w:w="621" w:type="pct"/>
            <w:vMerge/>
            <w:tcBorders>
              <w:top w:val="nil"/>
              <w:left w:val="single" w:sz="4" w:space="0" w:color="auto"/>
              <w:bottom w:val="single" w:sz="4" w:space="0" w:color="auto"/>
              <w:right w:val="single" w:sz="4" w:space="0" w:color="auto"/>
            </w:tcBorders>
            <w:vAlign w:val="center"/>
            <w:hideMark/>
          </w:tcPr>
          <w:p w14:paraId="7041620F" w14:textId="77777777" w:rsidR="006710C9" w:rsidRPr="003E5DFE" w:rsidRDefault="006710C9" w:rsidP="00E90AE7">
            <w:pPr>
              <w:spacing w:line="216" w:lineRule="auto"/>
              <w:rPr>
                <w:color w:val="000000"/>
                <w:sz w:val="22"/>
                <w:szCs w:val="22"/>
              </w:rPr>
            </w:pPr>
          </w:p>
        </w:tc>
        <w:tc>
          <w:tcPr>
            <w:tcW w:w="1492" w:type="pct"/>
            <w:vMerge w:val="restart"/>
            <w:tcBorders>
              <w:top w:val="nil"/>
              <w:left w:val="single" w:sz="4" w:space="0" w:color="auto"/>
              <w:bottom w:val="single" w:sz="4" w:space="0" w:color="000000"/>
              <w:right w:val="single" w:sz="4" w:space="0" w:color="auto"/>
            </w:tcBorders>
            <w:noWrap/>
            <w:vAlign w:val="center"/>
            <w:hideMark/>
          </w:tcPr>
          <w:p w14:paraId="175BCF50" w14:textId="77777777" w:rsidR="006710C9" w:rsidRPr="003E5DFE" w:rsidRDefault="006710C9" w:rsidP="00E90AE7">
            <w:pPr>
              <w:spacing w:line="216" w:lineRule="auto"/>
              <w:jc w:val="center"/>
              <w:rPr>
                <w:color w:val="000000"/>
                <w:sz w:val="22"/>
                <w:szCs w:val="22"/>
              </w:rPr>
            </w:pPr>
            <w:r w:rsidRPr="003E5DFE">
              <w:rPr>
                <w:color w:val="000000"/>
                <w:sz w:val="22"/>
                <w:szCs w:val="22"/>
              </w:rPr>
              <w:t>Hindistan Cumhuriyeti</w:t>
            </w:r>
          </w:p>
        </w:tc>
        <w:tc>
          <w:tcPr>
            <w:tcW w:w="1094" w:type="pct"/>
            <w:tcBorders>
              <w:top w:val="nil"/>
              <w:left w:val="nil"/>
              <w:bottom w:val="single" w:sz="4" w:space="0" w:color="auto"/>
              <w:right w:val="single" w:sz="4" w:space="0" w:color="auto"/>
            </w:tcBorders>
            <w:noWrap/>
            <w:vAlign w:val="center"/>
            <w:hideMark/>
          </w:tcPr>
          <w:p w14:paraId="382CFF43" w14:textId="77777777" w:rsidR="006710C9" w:rsidRPr="003E5DFE" w:rsidRDefault="006710C9" w:rsidP="00E90AE7">
            <w:pPr>
              <w:spacing w:line="216" w:lineRule="auto"/>
              <w:jc w:val="center"/>
              <w:rPr>
                <w:color w:val="000000"/>
                <w:sz w:val="22"/>
                <w:szCs w:val="22"/>
              </w:rPr>
            </w:pPr>
            <w:proofErr w:type="spellStart"/>
            <w:r w:rsidRPr="003E5DFE">
              <w:rPr>
                <w:color w:val="000000"/>
                <w:sz w:val="22"/>
                <w:szCs w:val="22"/>
              </w:rPr>
              <w:t>Jainsons</w:t>
            </w:r>
            <w:proofErr w:type="spellEnd"/>
            <w:r w:rsidRPr="003E5DFE">
              <w:rPr>
                <w:color w:val="000000"/>
                <w:sz w:val="22"/>
                <w:szCs w:val="22"/>
              </w:rPr>
              <w:t xml:space="preserve"> </w:t>
            </w:r>
            <w:proofErr w:type="spellStart"/>
            <w:r w:rsidRPr="003E5DFE">
              <w:rPr>
                <w:color w:val="000000"/>
                <w:sz w:val="22"/>
                <w:szCs w:val="22"/>
              </w:rPr>
              <w:t>Industries</w:t>
            </w:r>
            <w:proofErr w:type="spellEnd"/>
          </w:p>
        </w:tc>
        <w:tc>
          <w:tcPr>
            <w:tcW w:w="1249" w:type="pct"/>
            <w:tcBorders>
              <w:top w:val="nil"/>
              <w:left w:val="nil"/>
              <w:bottom w:val="single" w:sz="4" w:space="0" w:color="auto"/>
              <w:right w:val="single" w:sz="4" w:space="0" w:color="auto"/>
            </w:tcBorders>
            <w:noWrap/>
            <w:vAlign w:val="center"/>
            <w:hideMark/>
          </w:tcPr>
          <w:p w14:paraId="314986F5" w14:textId="77777777" w:rsidR="006710C9" w:rsidRPr="003E5DFE" w:rsidRDefault="006710C9" w:rsidP="00E90AE7">
            <w:pPr>
              <w:spacing w:line="216" w:lineRule="auto"/>
              <w:jc w:val="center"/>
              <w:rPr>
                <w:color w:val="000000"/>
                <w:sz w:val="22"/>
                <w:szCs w:val="22"/>
              </w:rPr>
            </w:pPr>
            <w:r w:rsidRPr="003E5DFE">
              <w:rPr>
                <w:color w:val="000000"/>
                <w:sz w:val="22"/>
                <w:szCs w:val="22"/>
              </w:rPr>
              <w:t>305</w:t>
            </w:r>
          </w:p>
        </w:tc>
      </w:tr>
      <w:tr w:rsidR="00621A3E" w:rsidRPr="00E02D23" w14:paraId="36C21E26" w14:textId="77777777" w:rsidTr="003E5DFE">
        <w:trPr>
          <w:trHeight w:val="111"/>
        </w:trPr>
        <w:tc>
          <w:tcPr>
            <w:tcW w:w="544" w:type="pct"/>
            <w:vMerge/>
            <w:tcBorders>
              <w:top w:val="nil"/>
              <w:left w:val="single" w:sz="4" w:space="0" w:color="auto"/>
              <w:bottom w:val="single" w:sz="4" w:space="0" w:color="auto"/>
              <w:right w:val="single" w:sz="4" w:space="0" w:color="auto"/>
            </w:tcBorders>
            <w:vAlign w:val="center"/>
            <w:hideMark/>
          </w:tcPr>
          <w:p w14:paraId="47DB6852" w14:textId="77777777" w:rsidR="006710C9" w:rsidRPr="003E5DFE" w:rsidRDefault="006710C9" w:rsidP="00E90AE7">
            <w:pPr>
              <w:spacing w:line="216" w:lineRule="auto"/>
              <w:rPr>
                <w:color w:val="000000"/>
                <w:sz w:val="22"/>
                <w:szCs w:val="22"/>
              </w:rPr>
            </w:pPr>
          </w:p>
        </w:tc>
        <w:tc>
          <w:tcPr>
            <w:tcW w:w="621" w:type="pct"/>
            <w:vMerge/>
            <w:tcBorders>
              <w:top w:val="nil"/>
              <w:left w:val="single" w:sz="4" w:space="0" w:color="auto"/>
              <w:bottom w:val="single" w:sz="4" w:space="0" w:color="auto"/>
              <w:right w:val="single" w:sz="4" w:space="0" w:color="auto"/>
            </w:tcBorders>
            <w:vAlign w:val="center"/>
            <w:hideMark/>
          </w:tcPr>
          <w:p w14:paraId="473DDF0A" w14:textId="77777777" w:rsidR="006710C9" w:rsidRPr="003E5DFE" w:rsidRDefault="006710C9" w:rsidP="00E90AE7">
            <w:pPr>
              <w:spacing w:line="216" w:lineRule="auto"/>
              <w:rPr>
                <w:color w:val="000000"/>
                <w:sz w:val="22"/>
                <w:szCs w:val="22"/>
              </w:rPr>
            </w:pPr>
          </w:p>
        </w:tc>
        <w:tc>
          <w:tcPr>
            <w:tcW w:w="1492" w:type="pct"/>
            <w:vMerge/>
            <w:tcBorders>
              <w:top w:val="nil"/>
              <w:left w:val="single" w:sz="4" w:space="0" w:color="auto"/>
              <w:bottom w:val="single" w:sz="4" w:space="0" w:color="000000"/>
              <w:right w:val="single" w:sz="4" w:space="0" w:color="auto"/>
            </w:tcBorders>
            <w:vAlign w:val="center"/>
            <w:hideMark/>
          </w:tcPr>
          <w:p w14:paraId="2BA266E3" w14:textId="77777777" w:rsidR="006710C9" w:rsidRPr="003E5DFE" w:rsidRDefault="006710C9" w:rsidP="00E90AE7">
            <w:pPr>
              <w:spacing w:line="216" w:lineRule="auto"/>
              <w:rPr>
                <w:color w:val="000000"/>
                <w:sz w:val="22"/>
                <w:szCs w:val="22"/>
              </w:rPr>
            </w:pPr>
          </w:p>
        </w:tc>
        <w:tc>
          <w:tcPr>
            <w:tcW w:w="1094" w:type="pct"/>
            <w:tcBorders>
              <w:top w:val="nil"/>
              <w:left w:val="nil"/>
              <w:bottom w:val="single" w:sz="4" w:space="0" w:color="auto"/>
              <w:right w:val="single" w:sz="4" w:space="0" w:color="auto"/>
            </w:tcBorders>
            <w:noWrap/>
            <w:vAlign w:val="center"/>
            <w:hideMark/>
          </w:tcPr>
          <w:p w14:paraId="1051EDA8" w14:textId="77777777" w:rsidR="006710C9" w:rsidRPr="003E5DFE" w:rsidRDefault="006710C9" w:rsidP="00E90AE7">
            <w:pPr>
              <w:spacing w:line="216" w:lineRule="auto"/>
              <w:jc w:val="center"/>
              <w:rPr>
                <w:color w:val="000000"/>
                <w:sz w:val="22"/>
                <w:szCs w:val="22"/>
              </w:rPr>
            </w:pPr>
            <w:r w:rsidRPr="003E5DFE">
              <w:rPr>
                <w:color w:val="000000"/>
                <w:sz w:val="22"/>
                <w:szCs w:val="22"/>
              </w:rPr>
              <w:t>Diğerleri</w:t>
            </w:r>
          </w:p>
        </w:tc>
        <w:tc>
          <w:tcPr>
            <w:tcW w:w="1249" w:type="pct"/>
            <w:tcBorders>
              <w:top w:val="nil"/>
              <w:left w:val="nil"/>
              <w:bottom w:val="single" w:sz="4" w:space="0" w:color="auto"/>
              <w:right w:val="single" w:sz="4" w:space="0" w:color="auto"/>
            </w:tcBorders>
            <w:noWrap/>
            <w:vAlign w:val="center"/>
            <w:hideMark/>
          </w:tcPr>
          <w:p w14:paraId="3216FBAE" w14:textId="77777777" w:rsidR="006710C9" w:rsidRPr="003E5DFE" w:rsidRDefault="006710C9" w:rsidP="00E90AE7">
            <w:pPr>
              <w:spacing w:line="216" w:lineRule="auto"/>
              <w:jc w:val="center"/>
              <w:rPr>
                <w:color w:val="000000"/>
                <w:sz w:val="22"/>
                <w:szCs w:val="22"/>
              </w:rPr>
            </w:pPr>
            <w:r w:rsidRPr="003E5DFE">
              <w:rPr>
                <w:color w:val="000000"/>
                <w:sz w:val="22"/>
                <w:szCs w:val="22"/>
              </w:rPr>
              <w:t>400</w:t>
            </w:r>
          </w:p>
        </w:tc>
      </w:tr>
      <w:tr w:rsidR="00621A3E" w:rsidRPr="00E02D23" w14:paraId="0FBB6753" w14:textId="77777777" w:rsidTr="003E5DFE">
        <w:trPr>
          <w:trHeight w:val="111"/>
        </w:trPr>
        <w:tc>
          <w:tcPr>
            <w:tcW w:w="544" w:type="pct"/>
            <w:vMerge/>
            <w:tcBorders>
              <w:top w:val="nil"/>
              <w:left w:val="single" w:sz="4" w:space="0" w:color="auto"/>
              <w:bottom w:val="single" w:sz="4" w:space="0" w:color="auto"/>
              <w:right w:val="single" w:sz="4" w:space="0" w:color="auto"/>
            </w:tcBorders>
            <w:vAlign w:val="center"/>
            <w:hideMark/>
          </w:tcPr>
          <w:p w14:paraId="500B6CC6" w14:textId="77777777" w:rsidR="006710C9" w:rsidRPr="003E5DFE" w:rsidRDefault="006710C9" w:rsidP="00E90AE7">
            <w:pPr>
              <w:spacing w:line="216" w:lineRule="auto"/>
              <w:rPr>
                <w:color w:val="000000"/>
                <w:sz w:val="22"/>
                <w:szCs w:val="22"/>
              </w:rPr>
            </w:pPr>
          </w:p>
        </w:tc>
        <w:tc>
          <w:tcPr>
            <w:tcW w:w="621" w:type="pct"/>
            <w:vMerge/>
            <w:tcBorders>
              <w:top w:val="nil"/>
              <w:left w:val="single" w:sz="4" w:space="0" w:color="auto"/>
              <w:bottom w:val="single" w:sz="4" w:space="0" w:color="auto"/>
              <w:right w:val="single" w:sz="4" w:space="0" w:color="auto"/>
            </w:tcBorders>
            <w:vAlign w:val="center"/>
            <w:hideMark/>
          </w:tcPr>
          <w:p w14:paraId="6158C105" w14:textId="77777777" w:rsidR="006710C9" w:rsidRPr="003E5DFE" w:rsidRDefault="006710C9" w:rsidP="00E90AE7">
            <w:pPr>
              <w:spacing w:line="216" w:lineRule="auto"/>
              <w:rPr>
                <w:color w:val="000000"/>
                <w:sz w:val="22"/>
                <w:szCs w:val="22"/>
              </w:rPr>
            </w:pPr>
          </w:p>
        </w:tc>
        <w:tc>
          <w:tcPr>
            <w:tcW w:w="1492" w:type="pct"/>
            <w:vMerge w:val="restart"/>
            <w:tcBorders>
              <w:top w:val="nil"/>
              <w:left w:val="single" w:sz="4" w:space="0" w:color="auto"/>
              <w:bottom w:val="single" w:sz="4" w:space="0" w:color="000000"/>
              <w:right w:val="single" w:sz="4" w:space="0" w:color="auto"/>
            </w:tcBorders>
            <w:noWrap/>
            <w:vAlign w:val="center"/>
            <w:hideMark/>
          </w:tcPr>
          <w:p w14:paraId="24F1B589" w14:textId="77777777" w:rsidR="006710C9" w:rsidRPr="003E5DFE" w:rsidRDefault="006710C9" w:rsidP="00E90AE7">
            <w:pPr>
              <w:spacing w:line="216" w:lineRule="auto"/>
              <w:jc w:val="center"/>
              <w:rPr>
                <w:color w:val="000000"/>
                <w:sz w:val="22"/>
                <w:szCs w:val="22"/>
              </w:rPr>
            </w:pPr>
            <w:r w:rsidRPr="003E5DFE">
              <w:rPr>
                <w:color w:val="000000"/>
                <w:sz w:val="22"/>
                <w:szCs w:val="22"/>
              </w:rPr>
              <w:t>Tayland Krallığı</w:t>
            </w:r>
          </w:p>
        </w:tc>
        <w:tc>
          <w:tcPr>
            <w:tcW w:w="1094" w:type="pct"/>
            <w:tcBorders>
              <w:top w:val="nil"/>
              <w:left w:val="nil"/>
              <w:bottom w:val="single" w:sz="4" w:space="0" w:color="auto"/>
              <w:right w:val="single" w:sz="4" w:space="0" w:color="auto"/>
            </w:tcBorders>
            <w:noWrap/>
            <w:vAlign w:val="center"/>
            <w:hideMark/>
          </w:tcPr>
          <w:p w14:paraId="67CDFEA4" w14:textId="77777777" w:rsidR="006710C9" w:rsidRPr="003E5DFE" w:rsidRDefault="006710C9" w:rsidP="00E90AE7">
            <w:pPr>
              <w:spacing w:line="216" w:lineRule="auto"/>
              <w:jc w:val="center"/>
              <w:rPr>
                <w:color w:val="000000"/>
                <w:sz w:val="22"/>
                <w:szCs w:val="22"/>
              </w:rPr>
            </w:pPr>
            <w:r w:rsidRPr="003E5DFE">
              <w:rPr>
                <w:color w:val="000000"/>
                <w:sz w:val="22"/>
                <w:szCs w:val="22"/>
              </w:rPr>
              <w:t xml:space="preserve">BIS </w:t>
            </w:r>
            <w:proofErr w:type="spellStart"/>
            <w:r w:rsidRPr="003E5DFE">
              <w:rPr>
                <w:color w:val="000000"/>
                <w:sz w:val="22"/>
                <w:szCs w:val="22"/>
              </w:rPr>
              <w:t>Pipe</w:t>
            </w:r>
            <w:proofErr w:type="spellEnd"/>
            <w:r w:rsidRPr="003E5DFE">
              <w:rPr>
                <w:color w:val="000000"/>
                <w:sz w:val="22"/>
                <w:szCs w:val="22"/>
              </w:rPr>
              <w:t xml:space="preserve"> </w:t>
            </w:r>
            <w:proofErr w:type="spellStart"/>
            <w:r w:rsidRPr="003E5DFE">
              <w:rPr>
                <w:color w:val="000000"/>
                <w:sz w:val="22"/>
                <w:szCs w:val="22"/>
              </w:rPr>
              <w:t>Fitting</w:t>
            </w:r>
            <w:proofErr w:type="spellEnd"/>
          </w:p>
          <w:p w14:paraId="64AECA6B" w14:textId="77777777" w:rsidR="006710C9" w:rsidRPr="003E5DFE" w:rsidRDefault="006710C9" w:rsidP="00E90AE7">
            <w:pPr>
              <w:spacing w:line="216" w:lineRule="auto"/>
              <w:jc w:val="center"/>
              <w:rPr>
                <w:color w:val="000000"/>
                <w:sz w:val="22"/>
                <w:szCs w:val="22"/>
              </w:rPr>
            </w:pPr>
            <w:r w:rsidRPr="003E5DFE">
              <w:rPr>
                <w:color w:val="000000"/>
                <w:sz w:val="22"/>
                <w:szCs w:val="22"/>
              </w:rPr>
              <w:t xml:space="preserve"> </w:t>
            </w:r>
            <w:proofErr w:type="spellStart"/>
            <w:r w:rsidRPr="003E5DFE">
              <w:rPr>
                <w:color w:val="000000"/>
                <w:sz w:val="22"/>
                <w:szCs w:val="22"/>
              </w:rPr>
              <w:t>Industry</w:t>
            </w:r>
            <w:proofErr w:type="spellEnd"/>
            <w:r w:rsidRPr="003E5DFE">
              <w:rPr>
                <w:color w:val="000000"/>
                <w:sz w:val="22"/>
                <w:szCs w:val="22"/>
              </w:rPr>
              <w:t xml:space="preserve"> </w:t>
            </w:r>
            <w:proofErr w:type="spellStart"/>
            <w:r w:rsidRPr="003E5DFE">
              <w:rPr>
                <w:color w:val="000000"/>
                <w:sz w:val="22"/>
                <w:szCs w:val="22"/>
              </w:rPr>
              <w:t>Company</w:t>
            </w:r>
            <w:proofErr w:type="spellEnd"/>
            <w:r w:rsidRPr="003E5DFE">
              <w:rPr>
                <w:color w:val="000000"/>
                <w:sz w:val="22"/>
                <w:szCs w:val="22"/>
              </w:rPr>
              <w:t xml:space="preserve"> Ltd.</w:t>
            </w:r>
          </w:p>
        </w:tc>
        <w:tc>
          <w:tcPr>
            <w:tcW w:w="1249" w:type="pct"/>
            <w:tcBorders>
              <w:top w:val="nil"/>
              <w:left w:val="nil"/>
              <w:bottom w:val="single" w:sz="4" w:space="0" w:color="auto"/>
              <w:right w:val="single" w:sz="4" w:space="0" w:color="auto"/>
            </w:tcBorders>
            <w:noWrap/>
            <w:vAlign w:val="center"/>
            <w:hideMark/>
          </w:tcPr>
          <w:p w14:paraId="209859D8" w14:textId="77777777" w:rsidR="006710C9" w:rsidRPr="003E5DFE" w:rsidRDefault="006710C9" w:rsidP="00E90AE7">
            <w:pPr>
              <w:spacing w:line="216" w:lineRule="auto"/>
              <w:jc w:val="center"/>
              <w:rPr>
                <w:color w:val="000000"/>
                <w:sz w:val="22"/>
                <w:szCs w:val="22"/>
              </w:rPr>
            </w:pPr>
            <w:r w:rsidRPr="003E5DFE">
              <w:rPr>
                <w:color w:val="000000"/>
                <w:sz w:val="22"/>
                <w:szCs w:val="22"/>
              </w:rPr>
              <w:t>147</w:t>
            </w:r>
          </w:p>
        </w:tc>
      </w:tr>
      <w:tr w:rsidR="00621A3E" w:rsidRPr="00E02D23" w14:paraId="33E676A7" w14:textId="77777777" w:rsidTr="003E5DFE">
        <w:trPr>
          <w:trHeight w:val="111"/>
        </w:trPr>
        <w:tc>
          <w:tcPr>
            <w:tcW w:w="544" w:type="pct"/>
            <w:vMerge/>
            <w:tcBorders>
              <w:top w:val="nil"/>
              <w:left w:val="single" w:sz="4" w:space="0" w:color="auto"/>
              <w:bottom w:val="single" w:sz="4" w:space="0" w:color="auto"/>
              <w:right w:val="single" w:sz="4" w:space="0" w:color="auto"/>
            </w:tcBorders>
            <w:vAlign w:val="center"/>
            <w:hideMark/>
          </w:tcPr>
          <w:p w14:paraId="237782F1" w14:textId="77777777" w:rsidR="006710C9" w:rsidRPr="003E5DFE" w:rsidRDefault="006710C9" w:rsidP="00E90AE7">
            <w:pPr>
              <w:spacing w:line="216" w:lineRule="auto"/>
              <w:rPr>
                <w:color w:val="000000"/>
                <w:sz w:val="22"/>
                <w:szCs w:val="22"/>
              </w:rPr>
            </w:pPr>
          </w:p>
        </w:tc>
        <w:tc>
          <w:tcPr>
            <w:tcW w:w="621" w:type="pct"/>
            <w:vMerge/>
            <w:tcBorders>
              <w:top w:val="nil"/>
              <w:left w:val="single" w:sz="4" w:space="0" w:color="auto"/>
              <w:bottom w:val="single" w:sz="4" w:space="0" w:color="auto"/>
              <w:right w:val="single" w:sz="4" w:space="0" w:color="auto"/>
            </w:tcBorders>
            <w:vAlign w:val="center"/>
            <w:hideMark/>
          </w:tcPr>
          <w:p w14:paraId="3AE71C56" w14:textId="77777777" w:rsidR="006710C9" w:rsidRPr="003E5DFE" w:rsidRDefault="006710C9" w:rsidP="00E90AE7">
            <w:pPr>
              <w:spacing w:line="216" w:lineRule="auto"/>
              <w:rPr>
                <w:color w:val="000000"/>
                <w:sz w:val="22"/>
                <w:szCs w:val="22"/>
              </w:rPr>
            </w:pPr>
          </w:p>
        </w:tc>
        <w:tc>
          <w:tcPr>
            <w:tcW w:w="1492" w:type="pct"/>
            <w:vMerge/>
            <w:tcBorders>
              <w:top w:val="nil"/>
              <w:left w:val="single" w:sz="4" w:space="0" w:color="auto"/>
              <w:bottom w:val="single" w:sz="4" w:space="0" w:color="000000"/>
              <w:right w:val="single" w:sz="4" w:space="0" w:color="auto"/>
            </w:tcBorders>
            <w:vAlign w:val="center"/>
            <w:hideMark/>
          </w:tcPr>
          <w:p w14:paraId="4F36DF57" w14:textId="77777777" w:rsidR="006710C9" w:rsidRPr="003E5DFE" w:rsidRDefault="006710C9" w:rsidP="00E90AE7">
            <w:pPr>
              <w:spacing w:line="216" w:lineRule="auto"/>
              <w:rPr>
                <w:color w:val="000000"/>
                <w:sz w:val="22"/>
                <w:szCs w:val="22"/>
              </w:rPr>
            </w:pPr>
          </w:p>
        </w:tc>
        <w:tc>
          <w:tcPr>
            <w:tcW w:w="1094" w:type="pct"/>
            <w:tcBorders>
              <w:top w:val="nil"/>
              <w:left w:val="nil"/>
              <w:bottom w:val="single" w:sz="4" w:space="0" w:color="auto"/>
              <w:right w:val="single" w:sz="4" w:space="0" w:color="auto"/>
            </w:tcBorders>
            <w:noWrap/>
            <w:vAlign w:val="center"/>
            <w:hideMark/>
          </w:tcPr>
          <w:p w14:paraId="0722ED1E" w14:textId="77777777" w:rsidR="006710C9" w:rsidRPr="003E5DFE" w:rsidRDefault="006710C9" w:rsidP="00E90AE7">
            <w:pPr>
              <w:spacing w:line="216" w:lineRule="auto"/>
              <w:jc w:val="center"/>
              <w:rPr>
                <w:color w:val="000000"/>
                <w:sz w:val="22"/>
                <w:szCs w:val="22"/>
              </w:rPr>
            </w:pPr>
            <w:r w:rsidRPr="003E5DFE">
              <w:rPr>
                <w:color w:val="000000"/>
                <w:sz w:val="22"/>
                <w:szCs w:val="22"/>
              </w:rPr>
              <w:t>Diğerleri</w:t>
            </w:r>
          </w:p>
        </w:tc>
        <w:tc>
          <w:tcPr>
            <w:tcW w:w="1249" w:type="pct"/>
            <w:tcBorders>
              <w:top w:val="nil"/>
              <w:left w:val="nil"/>
              <w:bottom w:val="single" w:sz="4" w:space="0" w:color="auto"/>
              <w:right w:val="single" w:sz="4" w:space="0" w:color="auto"/>
            </w:tcBorders>
            <w:noWrap/>
            <w:vAlign w:val="center"/>
            <w:hideMark/>
          </w:tcPr>
          <w:p w14:paraId="61EF4993" w14:textId="77777777" w:rsidR="006710C9" w:rsidRPr="003E5DFE" w:rsidRDefault="006710C9" w:rsidP="00E90AE7">
            <w:pPr>
              <w:spacing w:line="216" w:lineRule="auto"/>
              <w:jc w:val="center"/>
              <w:rPr>
                <w:color w:val="000000"/>
                <w:sz w:val="22"/>
                <w:szCs w:val="22"/>
              </w:rPr>
            </w:pPr>
            <w:r w:rsidRPr="003E5DFE">
              <w:rPr>
                <w:color w:val="000000"/>
                <w:sz w:val="22"/>
                <w:szCs w:val="22"/>
              </w:rPr>
              <w:t>400</w:t>
            </w:r>
          </w:p>
        </w:tc>
      </w:tr>
    </w:tbl>
    <w:p w14:paraId="2B62ADE0" w14:textId="77777777" w:rsidR="00EC3318" w:rsidRPr="00E90AE7" w:rsidRDefault="00EC3318" w:rsidP="00E90AE7">
      <w:pPr>
        <w:spacing w:line="216" w:lineRule="auto"/>
      </w:pPr>
    </w:p>
    <w:sectPr w:rsidR="00EC3318" w:rsidRPr="00E90AE7" w:rsidSect="002059AD">
      <w:headerReference w:type="even" r:id="rId7"/>
      <w:headerReference w:type="default" r:id="rId8"/>
      <w:footerReference w:type="even" r:id="rId9"/>
      <w:footerReference w:type="default" r:id="rId10"/>
      <w:headerReference w:type="first" r:id="rId11"/>
      <w:footerReference w:type="first" r:id="rId12"/>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AE4C02" w14:textId="77777777" w:rsidR="005315D5" w:rsidRDefault="005315D5">
      <w:r>
        <w:separator/>
      </w:r>
    </w:p>
  </w:endnote>
  <w:endnote w:type="continuationSeparator" w:id="0">
    <w:p w14:paraId="4221A1C4" w14:textId="77777777" w:rsidR="005315D5" w:rsidRDefault="00531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95105" w14:textId="77777777" w:rsidR="006D45C7" w:rsidRDefault="006D45C7">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F2F85A" w14:textId="77777777" w:rsidR="003A05F7" w:rsidRDefault="005315D5" w:rsidP="00F11906">
    <w:pPr>
      <w:pStyle w:val="Altbilgi"/>
    </w:pPr>
  </w:p>
  <w:p w14:paraId="4C2E7893" w14:textId="61BCD767" w:rsidR="003A05F7" w:rsidRPr="00573434" w:rsidRDefault="00DF7AB1" w:rsidP="00F11906">
    <w:pPr>
      <w:pStyle w:val="Altbilgi"/>
      <w:rPr>
        <w:sz w:val="20"/>
        <w:szCs w:val="20"/>
      </w:rPr>
    </w:pPr>
    <w:r>
      <w:rPr>
        <w:sz w:val="22"/>
      </w:rPr>
      <w:tab/>
    </w:r>
    <w:r w:rsidRPr="00F11906">
      <w:rPr>
        <w:sz w:val="22"/>
      </w:rPr>
      <w:tab/>
    </w:r>
    <w:sdt>
      <w:sdtPr>
        <w:rPr>
          <w:sz w:val="22"/>
        </w:rPr>
        <w:id w:val="-840690478"/>
        <w:docPartObj>
          <w:docPartGallery w:val="Page Numbers (Bottom of Page)"/>
          <w:docPartUnique/>
        </w:docPartObj>
      </w:sdtPr>
      <w:sdtEndPr>
        <w:rPr>
          <w:sz w:val="20"/>
          <w:szCs w:val="20"/>
        </w:rPr>
      </w:sdtEndPr>
      <w:sdtContent>
        <w:bookmarkStart w:id="35" w:name="_GoBack"/>
        <w:bookmarkEnd w:id="35"/>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534E43" w14:textId="77777777" w:rsidR="006D45C7" w:rsidRDefault="006D45C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BECE57" w14:textId="77777777" w:rsidR="005315D5" w:rsidRDefault="005315D5">
      <w:r>
        <w:separator/>
      </w:r>
    </w:p>
  </w:footnote>
  <w:footnote w:type="continuationSeparator" w:id="0">
    <w:p w14:paraId="2D682FBF" w14:textId="77777777" w:rsidR="005315D5" w:rsidRDefault="005315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A7B33" w14:textId="77777777" w:rsidR="006D45C7" w:rsidRDefault="006D45C7">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91666" w14:textId="77777777" w:rsidR="006D45C7" w:rsidRDefault="006D45C7">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E8203B" w14:textId="77777777" w:rsidR="006D45C7" w:rsidRDefault="006D45C7">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14288A"/>
    <w:multiLevelType w:val="hybridMultilevel"/>
    <w:tmpl w:val="EBF4ACDC"/>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14012A8E"/>
    <w:multiLevelType w:val="hybridMultilevel"/>
    <w:tmpl w:val="92B6E210"/>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6ED49B5"/>
    <w:multiLevelType w:val="hybridMultilevel"/>
    <w:tmpl w:val="24BA35EC"/>
    <w:lvl w:ilvl="0" w:tplc="8826BF7A">
      <w:start w:val="8"/>
      <w:numFmt w:val="decimal"/>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4" w15:restartNumberingAfterBreak="0">
    <w:nsid w:val="32454465"/>
    <w:multiLevelType w:val="multilevel"/>
    <w:tmpl w:val="566039F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4A255B3"/>
    <w:multiLevelType w:val="hybridMultilevel"/>
    <w:tmpl w:val="F9C468AC"/>
    <w:lvl w:ilvl="0" w:tplc="01D82FE4">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7EB5487"/>
    <w:multiLevelType w:val="hybridMultilevel"/>
    <w:tmpl w:val="510A5562"/>
    <w:lvl w:ilvl="0" w:tplc="15B4FE5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6"/>
  </w:num>
  <w:num w:numId="5">
    <w:abstractNumId w:val="4"/>
  </w:num>
  <w:num w:numId="6">
    <w:abstractNumId w:val="2"/>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9B2"/>
    <w:rsid w:val="000062EF"/>
    <w:rsid w:val="00023D23"/>
    <w:rsid w:val="00056AA1"/>
    <w:rsid w:val="000B33D5"/>
    <w:rsid w:val="000C4A66"/>
    <w:rsid w:val="000D334F"/>
    <w:rsid w:val="00116340"/>
    <w:rsid w:val="001578D4"/>
    <w:rsid w:val="00163598"/>
    <w:rsid w:val="00175476"/>
    <w:rsid w:val="001947DE"/>
    <w:rsid w:val="001A0B69"/>
    <w:rsid w:val="001B2116"/>
    <w:rsid w:val="001B4B3A"/>
    <w:rsid w:val="001E3ED4"/>
    <w:rsid w:val="001F70AA"/>
    <w:rsid w:val="002043C0"/>
    <w:rsid w:val="00204D79"/>
    <w:rsid w:val="00223EB1"/>
    <w:rsid w:val="00240901"/>
    <w:rsid w:val="002535B9"/>
    <w:rsid w:val="002D495F"/>
    <w:rsid w:val="002F642E"/>
    <w:rsid w:val="00344012"/>
    <w:rsid w:val="00351F6B"/>
    <w:rsid w:val="003558F4"/>
    <w:rsid w:val="00372C31"/>
    <w:rsid w:val="00372F7D"/>
    <w:rsid w:val="003A09D4"/>
    <w:rsid w:val="003B6DB3"/>
    <w:rsid w:val="003E5DFE"/>
    <w:rsid w:val="00413575"/>
    <w:rsid w:val="00434562"/>
    <w:rsid w:val="004614CD"/>
    <w:rsid w:val="00461B0E"/>
    <w:rsid w:val="00467CBC"/>
    <w:rsid w:val="0049076A"/>
    <w:rsid w:val="00493686"/>
    <w:rsid w:val="004B23DD"/>
    <w:rsid w:val="004B6FBB"/>
    <w:rsid w:val="004C18F7"/>
    <w:rsid w:val="004C6841"/>
    <w:rsid w:val="004D3344"/>
    <w:rsid w:val="004E7CC2"/>
    <w:rsid w:val="00513F45"/>
    <w:rsid w:val="005314B9"/>
    <w:rsid w:val="005315D5"/>
    <w:rsid w:val="00535561"/>
    <w:rsid w:val="00536E8D"/>
    <w:rsid w:val="00540322"/>
    <w:rsid w:val="0054096C"/>
    <w:rsid w:val="00546325"/>
    <w:rsid w:val="00546B8D"/>
    <w:rsid w:val="00576069"/>
    <w:rsid w:val="005769DE"/>
    <w:rsid w:val="00585166"/>
    <w:rsid w:val="00593CC8"/>
    <w:rsid w:val="00597EB7"/>
    <w:rsid w:val="005A7D3B"/>
    <w:rsid w:val="005C2EF7"/>
    <w:rsid w:val="005D4F70"/>
    <w:rsid w:val="005D5ACB"/>
    <w:rsid w:val="00621A3E"/>
    <w:rsid w:val="00625237"/>
    <w:rsid w:val="0063104F"/>
    <w:rsid w:val="0065215E"/>
    <w:rsid w:val="00665DB3"/>
    <w:rsid w:val="006710C9"/>
    <w:rsid w:val="0067624C"/>
    <w:rsid w:val="006B0F47"/>
    <w:rsid w:val="006B2A47"/>
    <w:rsid w:val="006D027D"/>
    <w:rsid w:val="006D1D93"/>
    <w:rsid w:val="006D45C7"/>
    <w:rsid w:val="006F639B"/>
    <w:rsid w:val="00745F2A"/>
    <w:rsid w:val="00752C53"/>
    <w:rsid w:val="00752DDC"/>
    <w:rsid w:val="00791D85"/>
    <w:rsid w:val="007950C9"/>
    <w:rsid w:val="007975A5"/>
    <w:rsid w:val="007B3F75"/>
    <w:rsid w:val="007B6448"/>
    <w:rsid w:val="00804630"/>
    <w:rsid w:val="008453A3"/>
    <w:rsid w:val="00857DC1"/>
    <w:rsid w:val="00870BD1"/>
    <w:rsid w:val="0087763F"/>
    <w:rsid w:val="008B77B7"/>
    <w:rsid w:val="008D0006"/>
    <w:rsid w:val="00910218"/>
    <w:rsid w:val="00921BF1"/>
    <w:rsid w:val="009276CB"/>
    <w:rsid w:val="00971DE0"/>
    <w:rsid w:val="00984B15"/>
    <w:rsid w:val="009B7A78"/>
    <w:rsid w:val="009E03CB"/>
    <w:rsid w:val="009E7C70"/>
    <w:rsid w:val="00A04D0F"/>
    <w:rsid w:val="00A16EC9"/>
    <w:rsid w:val="00A42668"/>
    <w:rsid w:val="00A44227"/>
    <w:rsid w:val="00A44A53"/>
    <w:rsid w:val="00A8185A"/>
    <w:rsid w:val="00A92DC6"/>
    <w:rsid w:val="00AC7E9A"/>
    <w:rsid w:val="00AD12DE"/>
    <w:rsid w:val="00B3120F"/>
    <w:rsid w:val="00B31F1B"/>
    <w:rsid w:val="00B4049F"/>
    <w:rsid w:val="00B43229"/>
    <w:rsid w:val="00B55A21"/>
    <w:rsid w:val="00B62BEF"/>
    <w:rsid w:val="00B74CA2"/>
    <w:rsid w:val="00B75AC0"/>
    <w:rsid w:val="00B8138E"/>
    <w:rsid w:val="00BC4293"/>
    <w:rsid w:val="00BC4CAA"/>
    <w:rsid w:val="00BC5463"/>
    <w:rsid w:val="00BD3B0A"/>
    <w:rsid w:val="00BE7CF0"/>
    <w:rsid w:val="00BF0CAD"/>
    <w:rsid w:val="00C00DF7"/>
    <w:rsid w:val="00C0700D"/>
    <w:rsid w:val="00C5193F"/>
    <w:rsid w:val="00C718D8"/>
    <w:rsid w:val="00C9658E"/>
    <w:rsid w:val="00CB420F"/>
    <w:rsid w:val="00CF0416"/>
    <w:rsid w:val="00D605F9"/>
    <w:rsid w:val="00DD4E63"/>
    <w:rsid w:val="00DD7668"/>
    <w:rsid w:val="00DF49B2"/>
    <w:rsid w:val="00DF690F"/>
    <w:rsid w:val="00DF7AB1"/>
    <w:rsid w:val="00E02D23"/>
    <w:rsid w:val="00E22746"/>
    <w:rsid w:val="00E22D27"/>
    <w:rsid w:val="00E24093"/>
    <w:rsid w:val="00E53D12"/>
    <w:rsid w:val="00E6318A"/>
    <w:rsid w:val="00E64625"/>
    <w:rsid w:val="00E7505A"/>
    <w:rsid w:val="00E90AE7"/>
    <w:rsid w:val="00E9535A"/>
    <w:rsid w:val="00EA32CA"/>
    <w:rsid w:val="00EB79A9"/>
    <w:rsid w:val="00EC3318"/>
    <w:rsid w:val="00EE55E8"/>
    <w:rsid w:val="00F27244"/>
    <w:rsid w:val="00F3156B"/>
    <w:rsid w:val="00F6336D"/>
    <w:rsid w:val="00F63CA9"/>
    <w:rsid w:val="00F861C2"/>
    <w:rsid w:val="00F876F5"/>
    <w:rsid w:val="00FA197C"/>
    <w:rsid w:val="00FB4078"/>
    <w:rsid w:val="00FB76BE"/>
    <w:rsid w:val="00FC5BA7"/>
    <w:rsid w:val="00FE248D"/>
    <w:rsid w:val="00FE61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66FD"/>
  <w15:chartTrackingRefBased/>
  <w15:docId w15:val="{95B680DE-E03E-45D9-8A7F-E28F065D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AB1"/>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DF7AB1"/>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DF7AB1"/>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DF7AB1"/>
    <w:pPr>
      <w:keepNext/>
      <w:keepLines/>
      <w:spacing w:before="200"/>
      <w:outlineLvl w:val="2"/>
    </w:pPr>
    <w:rPr>
      <w:rFonts w:asciiTheme="majorHAnsi" w:eastAsiaTheme="majorEastAsia" w:hAnsiTheme="majorHAnsi" w:cstheme="majorBidi"/>
      <w:b/>
      <w:b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F7AB1"/>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DF7AB1"/>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DF7AB1"/>
    <w:rPr>
      <w:rFonts w:asciiTheme="majorHAnsi" w:eastAsiaTheme="majorEastAsia" w:hAnsiTheme="majorHAnsi" w:cstheme="majorBidi"/>
      <w:b/>
      <w:bCs/>
      <w:color w:val="5B9BD5" w:themeColor="accent1"/>
      <w:sz w:val="24"/>
      <w:szCs w:val="24"/>
      <w:lang w:eastAsia="tr-TR"/>
    </w:rPr>
  </w:style>
  <w:style w:type="paragraph" w:styleId="NormalWeb">
    <w:name w:val="Normal (Web)"/>
    <w:basedOn w:val="Normal"/>
    <w:rsid w:val="00DF7AB1"/>
    <w:pPr>
      <w:spacing w:before="100" w:beforeAutospacing="1" w:after="100" w:afterAutospacing="1"/>
    </w:pPr>
    <w:rPr>
      <w:rFonts w:ascii="Arial Unicode MS" w:eastAsia="Arial Unicode MS" w:hAnsi="Arial Unicode MS" w:cs="Arial Unicode MS"/>
      <w:lang w:val="en-US" w:eastAsia="en-US"/>
    </w:rPr>
  </w:style>
  <w:style w:type="paragraph" w:styleId="GvdeMetni">
    <w:name w:val="Body Text"/>
    <w:basedOn w:val="Normal"/>
    <w:link w:val="GvdeMetniChar"/>
    <w:semiHidden/>
    <w:rsid w:val="00DF7AB1"/>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DF7AB1"/>
    <w:rPr>
      <w:rFonts w:ascii="Times New Roman" w:eastAsia="Times New Roman" w:hAnsi="Times New Roman" w:cs="Times New Roman"/>
      <w:color w:val="FF0000"/>
      <w:sz w:val="24"/>
      <w:szCs w:val="24"/>
      <w:shd w:val="clear" w:color="auto" w:fill="FFFFFF"/>
    </w:rPr>
  </w:style>
  <w:style w:type="paragraph" w:customStyle="1" w:styleId="Default">
    <w:name w:val="Default"/>
    <w:rsid w:val="00DF7AB1"/>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DF7AB1"/>
    <w:pPr>
      <w:ind w:left="708"/>
    </w:pPr>
    <w:rPr>
      <w:lang w:eastAsia="en-US"/>
    </w:rPr>
  </w:style>
  <w:style w:type="paragraph" w:styleId="Altbilgi">
    <w:name w:val="footer"/>
    <w:basedOn w:val="Normal"/>
    <w:link w:val="AltbilgiChar"/>
    <w:uiPriority w:val="99"/>
    <w:unhideWhenUsed/>
    <w:rsid w:val="00DF7AB1"/>
    <w:pPr>
      <w:tabs>
        <w:tab w:val="center" w:pos="4536"/>
        <w:tab w:val="right" w:pos="9072"/>
      </w:tabs>
    </w:pPr>
    <w:rPr>
      <w:lang w:eastAsia="en-US"/>
    </w:rPr>
  </w:style>
  <w:style w:type="character" w:customStyle="1" w:styleId="AltbilgiChar">
    <w:name w:val="Altbilgi Char"/>
    <w:basedOn w:val="VarsaylanParagrafYazTipi"/>
    <w:link w:val="Altbilgi"/>
    <w:uiPriority w:val="99"/>
    <w:rsid w:val="00DF7AB1"/>
    <w:rPr>
      <w:rFonts w:ascii="Times New Roman" w:eastAsia="Times New Roman" w:hAnsi="Times New Roman" w:cs="Times New Roman"/>
      <w:sz w:val="24"/>
      <w:szCs w:val="24"/>
    </w:rPr>
  </w:style>
  <w:style w:type="character" w:styleId="AklamaBavurusu">
    <w:name w:val="annotation reference"/>
    <w:basedOn w:val="VarsaylanParagrafYazTipi"/>
    <w:uiPriority w:val="99"/>
    <w:semiHidden/>
    <w:unhideWhenUsed/>
    <w:rsid w:val="00A04D0F"/>
    <w:rPr>
      <w:sz w:val="16"/>
      <w:szCs w:val="16"/>
    </w:rPr>
  </w:style>
  <w:style w:type="paragraph" w:styleId="AklamaMetni">
    <w:name w:val="annotation text"/>
    <w:basedOn w:val="Normal"/>
    <w:link w:val="AklamaMetniChar"/>
    <w:uiPriority w:val="99"/>
    <w:semiHidden/>
    <w:unhideWhenUsed/>
    <w:rsid w:val="00A04D0F"/>
    <w:rPr>
      <w:sz w:val="20"/>
      <w:szCs w:val="20"/>
    </w:rPr>
  </w:style>
  <w:style w:type="character" w:customStyle="1" w:styleId="AklamaMetniChar">
    <w:name w:val="Açıklama Metni Char"/>
    <w:basedOn w:val="VarsaylanParagrafYazTipi"/>
    <w:link w:val="AklamaMetni"/>
    <w:uiPriority w:val="99"/>
    <w:semiHidden/>
    <w:rsid w:val="00A04D0F"/>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A04D0F"/>
    <w:rPr>
      <w:b/>
      <w:bCs/>
    </w:rPr>
  </w:style>
  <w:style w:type="character" w:customStyle="1" w:styleId="AklamaKonusuChar">
    <w:name w:val="Açıklama Konusu Char"/>
    <w:basedOn w:val="AklamaMetniChar"/>
    <w:link w:val="AklamaKonusu"/>
    <w:uiPriority w:val="99"/>
    <w:semiHidden/>
    <w:rsid w:val="00A04D0F"/>
    <w:rPr>
      <w:rFonts w:ascii="Times New Roman" w:eastAsia="Times New Roman" w:hAnsi="Times New Roman" w:cs="Times New Roman"/>
      <w:b/>
      <w:bCs/>
      <w:sz w:val="20"/>
      <w:szCs w:val="20"/>
      <w:lang w:eastAsia="tr-TR"/>
    </w:rPr>
  </w:style>
  <w:style w:type="paragraph" w:styleId="BalonMetni">
    <w:name w:val="Balloon Text"/>
    <w:basedOn w:val="Normal"/>
    <w:link w:val="BalonMetniChar"/>
    <w:uiPriority w:val="99"/>
    <w:semiHidden/>
    <w:unhideWhenUsed/>
    <w:rsid w:val="00A04D0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4D0F"/>
    <w:rPr>
      <w:rFonts w:ascii="Segoe UI" w:eastAsia="Times New Roman" w:hAnsi="Segoe UI" w:cs="Segoe UI"/>
      <w:sz w:val="18"/>
      <w:szCs w:val="18"/>
      <w:lang w:eastAsia="tr-TR"/>
    </w:rPr>
  </w:style>
  <w:style w:type="paragraph" w:customStyle="1" w:styleId="Metin">
    <w:name w:val="Metin"/>
    <w:rsid w:val="00C5193F"/>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character" w:customStyle="1" w:styleId="2dzeyChar">
    <w:name w:val="2. düzey Char"/>
    <w:link w:val="2dzey"/>
    <w:locked/>
    <w:rsid w:val="00AC7E9A"/>
    <w:rPr>
      <w:b/>
      <w:sz w:val="24"/>
      <w:szCs w:val="24"/>
    </w:rPr>
  </w:style>
  <w:style w:type="paragraph" w:customStyle="1" w:styleId="2dzey">
    <w:name w:val="2. düzey"/>
    <w:basedOn w:val="Normal"/>
    <w:link w:val="2dzeyChar"/>
    <w:qFormat/>
    <w:rsid w:val="00AC7E9A"/>
    <w:pPr>
      <w:spacing w:line="216" w:lineRule="auto"/>
      <w:contextualSpacing/>
    </w:pPr>
    <w:rPr>
      <w:rFonts w:asciiTheme="minorHAnsi" w:eastAsiaTheme="minorHAnsi" w:hAnsiTheme="minorHAnsi" w:cstheme="minorBidi"/>
      <w:b/>
      <w:lang w:eastAsia="en-US"/>
    </w:rPr>
  </w:style>
  <w:style w:type="character" w:customStyle="1" w:styleId="3dzeyChar">
    <w:name w:val="3.düzey Char"/>
    <w:link w:val="3dzey"/>
    <w:locked/>
    <w:rsid w:val="00AC7E9A"/>
    <w:rPr>
      <w:b/>
      <w:sz w:val="24"/>
      <w:szCs w:val="24"/>
    </w:rPr>
  </w:style>
  <w:style w:type="paragraph" w:customStyle="1" w:styleId="3dzey">
    <w:name w:val="3.düzey"/>
    <w:basedOn w:val="Normal"/>
    <w:link w:val="3dzeyChar"/>
    <w:qFormat/>
    <w:rsid w:val="00AC7E9A"/>
    <w:pPr>
      <w:autoSpaceDE w:val="0"/>
      <w:autoSpaceDN w:val="0"/>
      <w:adjustRightInd w:val="0"/>
      <w:spacing w:line="216" w:lineRule="auto"/>
      <w:contextualSpacing/>
      <w:jc w:val="both"/>
    </w:pPr>
    <w:rPr>
      <w:rFonts w:asciiTheme="minorHAnsi" w:eastAsiaTheme="minorHAnsi" w:hAnsiTheme="minorHAnsi" w:cstheme="minorBidi"/>
      <w:b/>
      <w:lang w:eastAsia="en-US"/>
    </w:rPr>
  </w:style>
  <w:style w:type="character" w:customStyle="1" w:styleId="1dzeyChar">
    <w:name w:val="1.düzey Char"/>
    <w:link w:val="1dzey"/>
    <w:locked/>
    <w:rsid w:val="00AC7E9A"/>
    <w:rPr>
      <w:b/>
      <w:caps/>
      <w:sz w:val="24"/>
      <w:szCs w:val="24"/>
    </w:rPr>
  </w:style>
  <w:style w:type="paragraph" w:customStyle="1" w:styleId="1dzey">
    <w:name w:val="1.düzey"/>
    <w:basedOn w:val="Normal"/>
    <w:link w:val="1dzeyChar"/>
    <w:qFormat/>
    <w:rsid w:val="00AC7E9A"/>
    <w:pPr>
      <w:spacing w:line="216" w:lineRule="auto"/>
      <w:contextualSpacing/>
    </w:pPr>
    <w:rPr>
      <w:rFonts w:asciiTheme="minorHAnsi" w:eastAsiaTheme="minorHAnsi" w:hAnsiTheme="minorHAnsi" w:cstheme="minorBidi"/>
      <w:b/>
      <w:caps/>
      <w:lang w:eastAsia="en-US"/>
    </w:rPr>
  </w:style>
  <w:style w:type="paragraph" w:styleId="stbilgi">
    <w:name w:val="header"/>
    <w:basedOn w:val="Normal"/>
    <w:link w:val="stbilgiChar"/>
    <w:uiPriority w:val="99"/>
    <w:unhideWhenUsed/>
    <w:rsid w:val="006D45C7"/>
    <w:pPr>
      <w:tabs>
        <w:tab w:val="center" w:pos="4536"/>
        <w:tab w:val="right" w:pos="9072"/>
      </w:tabs>
    </w:pPr>
  </w:style>
  <w:style w:type="character" w:customStyle="1" w:styleId="stbilgiChar">
    <w:name w:val="Üstbilgi Char"/>
    <w:basedOn w:val="VarsaylanParagrafYazTipi"/>
    <w:link w:val="stbilgi"/>
    <w:uiPriority w:val="99"/>
    <w:rsid w:val="006D45C7"/>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13</Pages>
  <Words>6061</Words>
  <Characters>34553</Characters>
  <Application>Microsoft Office Word</Application>
  <DocSecurity>0</DocSecurity>
  <Lines>287</Lines>
  <Paragraphs>81</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40533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Niyazi EROL</dc:creator>
  <cp:keywords/>
  <dc:description/>
  <cp:lastModifiedBy>Efsun GÜNERİ</cp:lastModifiedBy>
  <cp:revision>6</cp:revision>
  <cp:lastPrinted>2024-01-29T08:07:00Z</cp:lastPrinted>
  <dcterms:created xsi:type="dcterms:W3CDTF">2024-04-02T14:36:00Z</dcterms:created>
  <dcterms:modified xsi:type="dcterms:W3CDTF">2024-04-05T07:15:00Z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user=55393300794</vt:lpwstr>
  </property>
  <property fmtid="{D5CDD505-2E9C-101B-9397-08002B2CF9AE}" pid="4" name="geodilabeltime">
    <vt:lpwstr>datetime=2024-03-04T10:21:32.998Z</vt:lpwstr>
  </property>
</Properties>
</file>