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829" w:rsidRPr="00F63A84" w:rsidRDefault="00AA6829" w:rsidP="00AA6829">
      <w:pPr>
        <w:spacing w:after="0" w:line="276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EK-1</w:t>
      </w:r>
    </w:p>
    <w:p w:rsidR="00AA6829" w:rsidRPr="00F63A84" w:rsidRDefault="00AA6829" w:rsidP="00AA6829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KONUKÇU BİTKİ LİSTESİ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 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(1) Köklü konukçu bitkiler: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Solanum lycopersicum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Solanum melongena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(2) Köklü diğer bitkiler: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Allium porrum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Asparagus officinalis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</w:t>
      </w: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 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Beta vulgaris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Brassica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spp.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Capsicum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spp.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Fragaria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878BF">
        <w:rPr>
          <w:rFonts w:ascii="Times New Roman" w:eastAsia="Times New Roman" w:hAnsi="Times New Roman" w:cs="Times New Roman"/>
          <w:sz w:val="24"/>
          <w:szCs w:val="24"/>
          <w:lang w:eastAsia="tr-TR"/>
        </w:rPr>
        <w:t>(3) EK-2’nin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 inci maddesinin (a) bendinde atıfta bulunulan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onaylanmış tedbirlere tabi olmayan, paketleme veya başka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kanıtlarla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profesyonel (ticari)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bitki ve kesme çiçek üretiminde yer almayan nihai tüketicilere satı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lanlar hariç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toprakta yetişen ve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yeniden dikim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amaçlı aşağıda listelenen bitkilerin soğan, yumru ve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köksapları (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rizomları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Allium ascalonicum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Allium cepa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Dahlia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spp.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Gladiolus Tourn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. Ex L.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Hyacinthus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spp.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Iris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spp.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 xml:space="preserve">Lilium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spp.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Narcissus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Tulipa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EK-2</w:t>
      </w:r>
    </w:p>
    <w:p w:rsidR="00AA6829" w:rsidRDefault="00AA6829" w:rsidP="00AA6829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bookmarkStart w:id="0" w:name="_Hlk119180578"/>
      <w:r w:rsidRPr="00F63A8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RESM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Î</w:t>
      </w:r>
      <w:r w:rsidRPr="00F63A8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TEDBİRLER</w:t>
      </w:r>
    </w:p>
    <w:p w:rsidR="00AA6829" w:rsidRPr="00F63A84" w:rsidRDefault="00AA6829" w:rsidP="00AA6829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bookmarkEnd w:id="0"/>
    <w:p w:rsidR="00AA6829" w:rsidRPr="00F63A84" w:rsidRDefault="00AA6829" w:rsidP="00AA6829">
      <w:pPr>
        <w:pStyle w:val="ListeParagraf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4 üncü maddenin üçüncü fıkrasının (c) bendi, 10 uncu maddenin birinci fıkrasının (b) ve (c) bentlerinde ve EK-1'in 3 üncü maddesinde atıfta bulunulan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tedbirler şunlardır:</w:t>
      </w:r>
    </w:p>
    <w:p w:rsidR="00AA6829" w:rsidRPr="00F63A84" w:rsidRDefault="00AA6829" w:rsidP="00AA6829">
      <w:pPr>
        <w:pStyle w:val="ListeParagraf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Zararlı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ları yay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acak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tanımlanabilir bir risk olmayacak şekilde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bitkilerin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uygun yöntemlerle ilaçla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ma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sı.</w:t>
      </w:r>
    </w:p>
    <w:p w:rsidR="00AA6829" w:rsidRPr="00F63A84" w:rsidRDefault="00AA6829" w:rsidP="00AA6829">
      <w:pPr>
        <w:pStyle w:val="ListeParagraf"/>
        <w:numPr>
          <w:ilvl w:val="0"/>
          <w:numId w:val="2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Zararlı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ları yay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acak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tanımlanabilir bir risk olmayacak şekilde, </w:t>
      </w:r>
      <w:r w:rsidRPr="00B955AC">
        <w:rPr>
          <w:rFonts w:ascii="Times New Roman" w:eastAsia="Times New Roman" w:hAnsi="Times New Roman" w:cs="Times New Roman"/>
          <w:sz w:val="24"/>
          <w:szCs w:val="24"/>
          <w:lang w:eastAsia="tr-TR"/>
        </w:rPr>
        <w:t>bitkiler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r w:rsidRPr="00B955AC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pratik olarak topraktan tamamen temizlenene kadar yıka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ma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sı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fırçala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ma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sı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zararlı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ları yayma riski olmadığı belirlenmiş bir prosedüre göre atık toprağın bertaraf edilmesi.</w:t>
      </w:r>
    </w:p>
    <w:p w:rsidR="00AA6829" w:rsidRPr="00F63A84" w:rsidRDefault="00AA6829" w:rsidP="00AA6829">
      <w:pPr>
        <w:pStyle w:val="ListeParagraf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9 uncu maddenin </w:t>
      </w:r>
      <w:r w:rsidRPr="0063397A">
        <w:rPr>
          <w:rFonts w:ascii="Times New Roman" w:eastAsia="Times New Roman" w:hAnsi="Times New Roman" w:cs="Times New Roman"/>
          <w:sz w:val="24"/>
          <w:szCs w:val="24"/>
          <w:lang w:eastAsia="tr-TR"/>
        </w:rPr>
        <w:t>birinci fıkrasının (b) bendinde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atıfta bulunulan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onaylanmış tedbirler, zararlı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ların yay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ıl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 riskinin bulunmadığı, atık toprak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için de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dahil olmak üzere, uygun ve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onaylanmış atık bertaraf prosedürlerine sahip bir işleme veya sınıflandırma tesisine teslim 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tmeyi kapsar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Default="00AA6829" w:rsidP="00AA6829">
      <w:pPr>
        <w:spacing w:after="0" w:line="276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EK-3</w:t>
      </w:r>
    </w:p>
    <w:p w:rsidR="00AA6829" w:rsidRDefault="00AA6829" w:rsidP="00AA6829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NUMUNE ALMA VE TEST ETME</w:t>
      </w:r>
    </w:p>
    <w:p w:rsidR="00AA6829" w:rsidRPr="00F63A84" w:rsidRDefault="00AA6829" w:rsidP="00AA6829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pStyle w:val="ListeParagraf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 inci maddenin birinci ve ikinci fıkralarında atıfta bulunulan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 sürvey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leri için numune alma ve analiz aşağıdaki şekilde gerçekleştirilir:</w:t>
      </w:r>
    </w:p>
    <w:p w:rsidR="00AA6829" w:rsidRPr="00F63A84" w:rsidRDefault="00AA6829" w:rsidP="00AA6829">
      <w:pPr>
        <w:pStyle w:val="ListeParagraf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Standart oran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toprak numunesi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alınmasını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içeren numune alma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işlemi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, tüm üretim alanı temsil ed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il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ecek şekilde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alan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tercihen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genişliği en az 5 m ve uzunluğu en fazla 20 m olan dikdörtgen ızgaralara bölün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erek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, 1 hektar alan için</w:t>
      </w:r>
      <w:r w:rsidRPr="00F63A84">
        <w:rPr>
          <w:rFonts w:ascii="Times New Roman" w:hAnsi="Times New Roman" w:cs="Times New Roman"/>
          <w:sz w:val="24"/>
          <w:szCs w:val="24"/>
        </w:rPr>
        <w:t xml:space="preserve">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en az 100 noktadan, asgari 1500 ml toprak numunesi al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masını kapsar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F63A84">
        <w:rPr>
          <w:rFonts w:ascii="Times New Roman" w:hAnsi="Times New Roman" w:cs="Times New Roman"/>
          <w:sz w:val="24"/>
          <w:szCs w:val="24"/>
        </w:rPr>
        <w:t xml:space="preserve">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Numunenin tamamı kistlerin ekstraksiyonu, tür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teşhisi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uygunsa patotip/virülans grubu tespiti gibi daha ileri incelemeler için kullanılır.</w:t>
      </w:r>
    </w:p>
    <w:p w:rsidR="00AA6829" w:rsidRPr="00F63A84" w:rsidRDefault="00AA6829" w:rsidP="00AA6829">
      <w:pPr>
        <w:pStyle w:val="ListeParagraf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Z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ararlı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ların ekstraksiyonu için, valide edilmiş ve uluslararası kabul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gören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teşhis protokollerinde açıklanan aşağıdaki yöntemler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kullanılır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AA6829" w:rsidRPr="00F63A84" w:rsidRDefault="00AA6829" w:rsidP="00AA6829">
      <w:pPr>
        <w:pStyle w:val="ListeParagraf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Ekstraksiyon ile ilgili olarak, Fenwick kutusuna, Schuiling santrifüjüne, Seinhorst veya Kort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yıkayıp ayırıcısına (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elutriatörüne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dayalı yöntemler,</w:t>
      </w:r>
    </w:p>
    <w:p w:rsidR="00AA6829" w:rsidRPr="00F63A84" w:rsidRDefault="00AA6829" w:rsidP="00AA6829">
      <w:pPr>
        <w:pStyle w:val="ListeParagraf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Tespit ve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teşhis amacıyla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, aşağıdakilerden biri kullanılır:</w:t>
      </w:r>
    </w:p>
    <w:p w:rsidR="00AA6829" w:rsidRPr="00F63A84" w:rsidRDefault="00AA6829" w:rsidP="00AA6829">
      <w:pPr>
        <w:pStyle w:val="ListeParagraf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Globodera kistlerinin kist morfolojisine göre </w:t>
      </w:r>
      <w:r w:rsidRPr="00B955AC">
        <w:rPr>
          <w:rFonts w:ascii="Times New Roman" w:eastAsia="Times New Roman" w:hAnsi="Times New Roman" w:cs="Times New Roman"/>
          <w:sz w:val="24"/>
          <w:szCs w:val="24"/>
          <w:lang w:eastAsia="tr-TR"/>
        </w:rPr>
        <w:t>artıklardan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izolasyonu,</w:t>
      </w:r>
      <w:r w:rsidRPr="00F63A84">
        <w:rPr>
          <w:rFonts w:ascii="Times New Roman" w:hAnsi="Times New Roman" w:cs="Times New Roman"/>
          <w:sz w:val="24"/>
          <w:szCs w:val="24"/>
        </w:rPr>
        <w:t xml:space="preserve">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ardından </w:t>
      </w:r>
      <w:r w:rsidRPr="00B955AC">
        <w:rPr>
          <w:rFonts w:ascii="Times New Roman" w:eastAsia="Times New Roman" w:hAnsi="Times New Roman" w:cs="Times New Roman"/>
          <w:sz w:val="24"/>
          <w:szCs w:val="24"/>
          <w:lang w:eastAsia="tr-TR"/>
        </w:rPr>
        <w:t>münferit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kistlerin ve larva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ların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morfolojisine dayalı tür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teşhisi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F63A84">
        <w:rPr>
          <w:rFonts w:ascii="Times New Roman" w:hAnsi="Times New Roman" w:cs="Times New Roman"/>
          <w:sz w:val="24"/>
          <w:szCs w:val="24"/>
        </w:rPr>
        <w:t xml:space="preserve">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Bulman &amp; Marshall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1997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63A8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(1)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bildirilen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geleneksel PCR testi (G. tabacum'un varlığı konusunda şüphe olması durumunda, Skantar ve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ark.(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2007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63A8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(2)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bildirilen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geleneksel PCR testi ek olarak yapılabilir),</w:t>
      </w:r>
    </w:p>
    <w:p w:rsidR="00AA6829" w:rsidRPr="00F63A84" w:rsidRDefault="00AA6829" w:rsidP="00AA6829">
      <w:pPr>
        <w:pStyle w:val="ListeParagraf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Globodera kistlerinin kist morfolojisine göre artıklardan izolasyonu, ardından münferit kistlerin ve larva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ların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morfolojisine dayalı tür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teşhisi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Gamel ve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ark.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2017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63A8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(3)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bildirilen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gerçek zamanlı PCR,</w:t>
      </w:r>
    </w:p>
    <w:p w:rsidR="00AA6829" w:rsidRPr="00F63A84" w:rsidRDefault="00AA6829" w:rsidP="00AA6829">
      <w:pPr>
        <w:pStyle w:val="ListeParagraf"/>
        <w:numPr>
          <w:ilvl w:val="0"/>
          <w:numId w:val="6"/>
        </w:numPr>
        <w:tabs>
          <w:tab w:val="left" w:pos="993"/>
        </w:tabs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Nematod kistlerinin artıklardan izolasyonu ardından Gamel ve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ark.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2017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63A8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>(3)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tarafından bildirilen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gerçek zamanlı PCR ile tür tespiti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(2)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a)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8 inci maddede atıfta bulunulan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izleme sürveyi için numune alma, aşağıdakilerden biri uyarınca gerçekleştirilir: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) 1 hektar alan için en az 400 ml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toprak numunesi alınacak şekilde, birinci fıkrada atıfta bulunulan numune alma yöntemi.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) Köklerin görsel muayenesinde kist belirtileri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gözlenmesi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halinde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daha sonra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topraktan en az 400 ml numune daha alınma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sı.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3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Patateslerin yetiştirildiği üretim yerinin izlenebilir olması koşuluyla, hasat sonrası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patatesle teması olan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en az 400 ml toprak numunesi alın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ması.</w:t>
      </w:r>
    </w:p>
    <w:p w:rsidR="00AA6829" w:rsidRDefault="00AA6829" w:rsidP="00AA6829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b)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8 inci maddede atıfta bulunulan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izleme sürveyi için testler,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birinci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fıkraya göre yapılır.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(3) Birinci fıkraya istisna olarak, aşağıdaki durumların her birinde toprak standart numune alma miktarı minimum 400 ml /ha'a düşürülebilir: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 sürveyi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nden önceki altı yıl içinde üretim yerinde, EK-1'in birinci fıkrasında listelenen hiçbir patates veya bitkinin yetiştirilmediğine ve bulunmadığına dair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bilgi varsa.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b) 1500 ml/ha toprak numunesi alınarak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yapılan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son iki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 tespit sürveyinde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patates kist nematodlarının bulunmadığı ve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ilk resmî tespit sürveyinden sonra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5 inci maddenin birinci fıkrasına göre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analizi istenenler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hariç, EK-1’in 1 inci maddesinde listelenen patates veya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bitkilerin yetiştiril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me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diği durumlarda,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c) En az 1500 ml/ha’lık toprak standart numunesi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alınan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 sürveyi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nde kist  nematodu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canlı kist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bulunmamışsa ve 5 inci maddenin birinci fıkrasına göre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 sürveyi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nin gerekli olduğu durumlar dışında, EK-1'in 1 inci maddesinde listelenen hiçbir patates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bitki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nin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son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 sürveyi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nden bu yana üretim yerinde yetiştirilmediği durumlarda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(4) Aşağıdaki durumların her birinde, sırasıyla 8 ha ve 4 ha'dan büyük alanlar için numune alma oranı düşürülebilir: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a) 1 inci maddede belirtilen standart oran durumunda, ilk 8 ha alandan burada belirtilen miktarda numune alınır, ancak her ek hektar alan için en az 400 ml/ha’a düşürülebilir.  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b) 3 üncü maddede belirtilen azaltma durumunda, ilk 4 ha için standart miktarda numune alınır, ancak her bir hektar alan için en az 200 ml/ha ml/ha’a düşürülebilir.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(5) 3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üncü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4 üncü maddelerde atıfta bulunulan azaltılmış numune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miktarlarının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kullanımı, 4 üncü maddenin birinci fıkrasında atıfta bulunulan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sonraki resmî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tespit sürvey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i sırasında, söz konusu üretim yerinde zararlı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lar bulunmadığı sürece devam ettirilebilir.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(6) Üretim yerinin zararlı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lar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n ari olarak beyan edilen bir alanda olması şartıyla, ilgili Uluslararası Bitki Sağlığı Önlemleri Standartlarına (ISPM No 4)</w:t>
      </w:r>
      <w:r w:rsidRPr="00F63A8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  <w:t xml:space="preserve">(4)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olarak belirlenmiş, korunmuş ve sürveyi yapılmış yerlerde toprak numune miktarı en az 200 ml/ha’a düşürülebilir. Bu tip alanlar Bakanlığa bildirilir.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(7) Her durumda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alınacak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toprak numunesi miktarı her üretim yeri için en az 200 ml olmalıdır.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----------</w:t>
      </w:r>
    </w:p>
    <w:p w:rsidR="00AA6829" w:rsidRPr="00BD1D1C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BD1D1C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( 1 ) Bulman, S.R. &amp; Marshall, J.W. (1997). Differentiation of Australasian potato cyst nematode (PCN) populations using the Polymerase Chain Reaction (PCR). New Zealand Journal of Crop and Horticultural Science 25, pp. 123–129. </w:t>
      </w:r>
    </w:p>
    <w:p w:rsidR="00AA6829" w:rsidRPr="00BD1D1C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BD1D1C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( 2 ) Skantar, A.M., Handoo, Z.A., Carta, L.K., Chitwood, D.J. (2007). Morphological and molecular identification of Globodera pallida associated with Potato in Idaho. Journal of Nematology 39(2), pp. 133–144. </w:t>
      </w:r>
    </w:p>
    <w:p w:rsidR="00AA6829" w:rsidRPr="00BD1D1C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BD1D1C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( 3 ) Gamel, S., Letort A., Fouville D., Folcher L., Grenier E. (2017). Development and validation of real-time PCR assays based on novel molecular markers for the simultaneous detection and identification of Globodera pallida, G. rostochiensis and Heterodera schachtii. Nematology 19 (7):789-804. </w:t>
      </w:r>
    </w:p>
    <w:p w:rsidR="00AA6829" w:rsidRPr="00BD1D1C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BD1D1C">
        <w:rPr>
          <w:rFonts w:ascii="Times New Roman" w:eastAsia="Times New Roman" w:hAnsi="Times New Roman" w:cs="Times New Roman"/>
          <w:sz w:val="16"/>
          <w:szCs w:val="16"/>
          <w:lang w:eastAsia="tr-TR"/>
        </w:rPr>
        <w:t>(4) ISPM 4. 1995.Requirements for the establishment of pest free areas. Rome, IPPC, FAO. https://www.ippc.int/en/publications/614/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  <w:sectPr w:rsidR="00AA6829" w:rsidRPr="00F63A84" w:rsidSect="00E011BE">
          <w:pgSz w:w="11906" w:h="16838"/>
          <w:pgMar w:top="1417" w:right="1417" w:bottom="1417" w:left="1417" w:header="708" w:footer="1363" w:gutter="0"/>
          <w:cols w:space="708"/>
          <w:docGrid w:linePitch="360"/>
        </w:sectPr>
      </w:pPr>
    </w:p>
    <w:p w:rsidR="00AA6829" w:rsidRPr="0063397A" w:rsidRDefault="00AA6829" w:rsidP="00AA6829">
      <w:pPr>
        <w:spacing w:after="0" w:line="276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339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EK-4</w:t>
      </w:r>
    </w:p>
    <w:p w:rsidR="00AA6829" w:rsidRDefault="00AA6829" w:rsidP="00AA6829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SÜRVEY ŞABLONU</w:t>
      </w:r>
    </w:p>
    <w:p w:rsidR="00AA6829" w:rsidRPr="00F63A84" w:rsidRDefault="00AA6829" w:rsidP="00AA6829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Bir önceki yılın patates hasadın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 ait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patates kist nematodu sürvey sonuçlarını sunmak için şablon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Lütfen bu tabloyu yalnızca ilinizde hasat edilen patatesler için kullanın.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46"/>
        <w:gridCol w:w="1763"/>
        <w:gridCol w:w="1372"/>
        <w:gridCol w:w="1610"/>
        <w:gridCol w:w="1146"/>
        <w:gridCol w:w="1263"/>
        <w:gridCol w:w="1134"/>
        <w:gridCol w:w="1701"/>
        <w:gridCol w:w="1286"/>
        <w:gridCol w:w="1371"/>
      </w:tblGrid>
      <w:tr w:rsidR="00AA6829" w:rsidRPr="00F63A84" w:rsidTr="00D75D37">
        <w:tc>
          <w:tcPr>
            <w:tcW w:w="1346" w:type="dxa"/>
            <w:vMerge w:val="restart"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İLİ</w:t>
            </w:r>
          </w:p>
        </w:tc>
        <w:tc>
          <w:tcPr>
            <w:tcW w:w="1763" w:type="dxa"/>
            <w:vMerge w:val="restart"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Sürvey tipi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Tespit</w:t>
            </w: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/İzleme)</w:t>
            </w:r>
          </w:p>
        </w:tc>
        <w:tc>
          <w:tcPr>
            <w:tcW w:w="1372" w:type="dxa"/>
            <w:vMerge w:val="restart"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Toplam üretim alanı (ha)</w:t>
            </w:r>
          </w:p>
        </w:tc>
        <w:tc>
          <w:tcPr>
            <w:tcW w:w="1610" w:type="dxa"/>
            <w:vMerge w:val="restart"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Numune alınan alan</w:t>
            </w: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tr-TR"/>
              </w:rPr>
              <w:t>(1)</w:t>
            </w:r>
          </w:p>
        </w:tc>
        <w:tc>
          <w:tcPr>
            <w:tcW w:w="1146" w:type="dxa"/>
            <w:vMerge w:val="restart"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Numune miktarı</w:t>
            </w:r>
          </w:p>
        </w:tc>
        <w:tc>
          <w:tcPr>
            <w:tcW w:w="5384" w:type="dxa"/>
            <w:gridSpan w:val="4"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Laboratuvar test sonuçlarına göre bulaşık alan</w:t>
            </w:r>
          </w:p>
        </w:tc>
        <w:tc>
          <w:tcPr>
            <w:tcW w:w="1371" w:type="dxa"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Diğer bilgiler</w:t>
            </w:r>
          </w:p>
        </w:tc>
      </w:tr>
      <w:tr w:rsidR="00AA6829" w:rsidRPr="00F63A84" w:rsidTr="00D75D37">
        <w:tc>
          <w:tcPr>
            <w:tcW w:w="1346" w:type="dxa"/>
            <w:vMerge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63" w:type="dxa"/>
            <w:vMerge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72" w:type="dxa"/>
            <w:vMerge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10" w:type="dxa"/>
            <w:vMerge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46" w:type="dxa"/>
            <w:vMerge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63" w:type="dxa"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Yalnızca G.p.</w:t>
            </w: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tr-TR"/>
              </w:rPr>
              <w:t>(2)</w:t>
            </w:r>
          </w:p>
        </w:tc>
        <w:tc>
          <w:tcPr>
            <w:tcW w:w="1134" w:type="dxa"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Yalnızca G.r.</w:t>
            </w: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tr-TR"/>
              </w:rPr>
              <w:t>(3)</w:t>
            </w:r>
          </w:p>
        </w:tc>
        <w:tc>
          <w:tcPr>
            <w:tcW w:w="1701" w:type="dxa"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Aynı üretim yerinde G.p.</w:t>
            </w: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tr-TR"/>
              </w:rPr>
              <w:t xml:space="preserve">(2) </w:t>
            </w: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ve</w:t>
            </w:r>
            <w:r w:rsidRPr="00F63A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G.r.</w:t>
            </w: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tr-TR"/>
              </w:rPr>
              <w:t xml:space="preserve">(3) </w:t>
            </w: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birlikte</w:t>
            </w:r>
          </w:p>
        </w:tc>
        <w:tc>
          <w:tcPr>
            <w:tcW w:w="1286" w:type="dxa"/>
          </w:tcPr>
          <w:p w:rsidR="00AA6829" w:rsidRPr="00F63A84" w:rsidRDefault="00AA6829" w:rsidP="00D75D3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Toplam bulaşık alan</w:t>
            </w:r>
          </w:p>
        </w:tc>
        <w:tc>
          <w:tcPr>
            <w:tcW w:w="1371" w:type="dxa"/>
          </w:tcPr>
          <w:p w:rsidR="00AA6829" w:rsidRPr="00F63A84" w:rsidRDefault="00AA6829" w:rsidP="00D75D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AA6829" w:rsidRPr="00F63A84" w:rsidTr="00D75D37">
        <w:tc>
          <w:tcPr>
            <w:tcW w:w="1346" w:type="dxa"/>
          </w:tcPr>
          <w:p w:rsidR="00AA6829" w:rsidRPr="00F63A84" w:rsidRDefault="00AA6829" w:rsidP="00D75D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63" w:type="dxa"/>
          </w:tcPr>
          <w:p w:rsidR="00AA6829" w:rsidRPr="00F63A84" w:rsidRDefault="00AA6829" w:rsidP="00D75D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72" w:type="dxa"/>
          </w:tcPr>
          <w:p w:rsidR="00AA6829" w:rsidRPr="00F63A84" w:rsidRDefault="00AA6829" w:rsidP="00D75D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610" w:type="dxa"/>
          </w:tcPr>
          <w:p w:rsidR="00AA6829" w:rsidRPr="00F63A84" w:rsidRDefault="00AA6829" w:rsidP="00D75D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46" w:type="dxa"/>
          </w:tcPr>
          <w:p w:rsidR="00AA6829" w:rsidRPr="00F63A84" w:rsidRDefault="00AA6829" w:rsidP="00D75D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63" w:type="dxa"/>
          </w:tcPr>
          <w:p w:rsidR="00AA6829" w:rsidRPr="00F63A84" w:rsidRDefault="00AA6829" w:rsidP="00D75D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34" w:type="dxa"/>
          </w:tcPr>
          <w:p w:rsidR="00AA6829" w:rsidRPr="00F63A84" w:rsidRDefault="00AA6829" w:rsidP="00D75D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01" w:type="dxa"/>
          </w:tcPr>
          <w:p w:rsidR="00AA6829" w:rsidRPr="00F63A84" w:rsidRDefault="00AA6829" w:rsidP="00D75D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86" w:type="dxa"/>
          </w:tcPr>
          <w:p w:rsidR="00AA6829" w:rsidRPr="00F63A84" w:rsidRDefault="00AA6829" w:rsidP="00D75D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371" w:type="dxa"/>
          </w:tcPr>
          <w:p w:rsidR="00AA6829" w:rsidRPr="00F63A84" w:rsidRDefault="00AA6829" w:rsidP="00D75D3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(1) Sadece izleme sürveyi yapılması durumunda doldurulacak.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(2)</w:t>
      </w:r>
      <w:r w:rsidRPr="00F63A84">
        <w:rPr>
          <w:rFonts w:ascii="Times New Roman" w:hAnsi="Times New Roman" w:cs="Times New Roman"/>
          <w:sz w:val="24"/>
          <w:szCs w:val="24"/>
        </w:rPr>
        <w:t xml:space="preserve">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G.p.= </w:t>
      </w:r>
      <w:r w:rsidRPr="00F63A8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Globodera pallida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(3)</w:t>
      </w:r>
      <w:r w:rsidRPr="00F63A84">
        <w:rPr>
          <w:rFonts w:ascii="Times New Roman" w:hAnsi="Times New Roman" w:cs="Times New Roman"/>
          <w:sz w:val="24"/>
          <w:szCs w:val="24"/>
        </w:rPr>
        <w:t xml:space="preserve">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G.r.= </w:t>
      </w:r>
      <w:r w:rsidRPr="00F63A8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Globodera rostochiensis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trike/>
          <w:sz w:val="24"/>
          <w:szCs w:val="24"/>
          <w:lang w:eastAsia="tr-TR"/>
        </w:rPr>
        <w:sectPr w:rsidR="00AA6829" w:rsidRPr="00F63A84" w:rsidSect="00432ECC">
          <w:pgSz w:w="16838" w:h="11906" w:orient="landscape"/>
          <w:pgMar w:top="1418" w:right="1418" w:bottom="1418" w:left="1418" w:header="709" w:footer="1361" w:gutter="0"/>
          <w:cols w:space="708"/>
          <w:docGrid w:linePitch="360"/>
        </w:sectPr>
      </w:pPr>
    </w:p>
    <w:p w:rsidR="00AA6829" w:rsidRPr="00F63A84" w:rsidRDefault="00AA6829" w:rsidP="00AA6829">
      <w:pPr>
        <w:spacing w:after="0" w:line="276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EK-5</w:t>
      </w:r>
    </w:p>
    <w:p w:rsidR="00AA6829" w:rsidRPr="00F63A84" w:rsidRDefault="00AA6829" w:rsidP="00AA6829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PATATES ÇEŞİTLERİNİN DAYANIKLILIK DERECESİNİN ÖLÇÜLMESİ VE DAYANIKLILIK TESTİ PROTOKOLÜ</w:t>
      </w:r>
    </w:p>
    <w:p w:rsidR="00AA6829" w:rsidRPr="00F63A84" w:rsidRDefault="00AA6829" w:rsidP="00AA682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AA6829" w:rsidRPr="00F63A84" w:rsidRDefault="00AA6829" w:rsidP="00AA6829">
      <w:pPr>
        <w:pStyle w:val="ListeParagraf"/>
        <w:numPr>
          <w:ilvl w:val="0"/>
          <w:numId w:val="7"/>
        </w:numPr>
        <w:tabs>
          <w:tab w:val="left" w:pos="1134"/>
        </w:tabs>
        <w:spacing w:after="0" w:line="276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Dayanıklılık derecesi: Belirli bir patates çeşidinin göreceli duyarlılığı, tabloda belirtilen puanlara ve (m) bendinde belirtilen formüle göre hesaplanır. Puan 9, en yüksek dayanıklılık seviyesine karşılık gelir.</w:t>
      </w:r>
    </w:p>
    <w:p w:rsidR="00AA6829" w:rsidRPr="00F63A84" w:rsidRDefault="00AA6829" w:rsidP="00AA6829">
      <w:pP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Zararlı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lar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için patates çeşitlerinin nispi duyarlılığı ile ilgili standart puanlama notasyonu</w:t>
      </w:r>
    </w:p>
    <w:tbl>
      <w:tblPr>
        <w:tblW w:w="4541" w:type="pct"/>
        <w:tblInd w:w="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4"/>
        <w:gridCol w:w="1279"/>
      </w:tblGrid>
      <w:tr w:rsidR="00AA6829" w:rsidRPr="00F63A84" w:rsidTr="00D75D37">
        <w:tc>
          <w:tcPr>
            <w:tcW w:w="4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ind w:right="19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Oransal duyarlılık (%) (OD)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ind w:right="19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Değer</w:t>
            </w:r>
          </w:p>
        </w:tc>
      </w:tr>
      <w:tr w:rsidR="00AA6829" w:rsidRPr="00F63A84" w:rsidTr="00D75D37">
        <w:tc>
          <w:tcPr>
            <w:tcW w:w="4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≤ 1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ind w:right="1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</w:tr>
      <w:tr w:rsidR="00AA6829" w:rsidRPr="00F63A84" w:rsidTr="00D75D37">
        <w:tc>
          <w:tcPr>
            <w:tcW w:w="4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 &lt; OD ≤ 3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ind w:right="1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</w:tr>
      <w:tr w:rsidR="00AA6829" w:rsidRPr="00F63A84" w:rsidTr="00D75D37">
        <w:tc>
          <w:tcPr>
            <w:tcW w:w="4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 &lt; OD ≤ 5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ind w:right="1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</w:tr>
      <w:tr w:rsidR="00AA6829" w:rsidRPr="00F63A84" w:rsidTr="00D75D37">
        <w:tc>
          <w:tcPr>
            <w:tcW w:w="4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 &lt; OD ≤ 10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ind w:right="1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</w:tr>
      <w:tr w:rsidR="00AA6829" w:rsidRPr="00F63A84" w:rsidTr="00D75D37">
        <w:tc>
          <w:tcPr>
            <w:tcW w:w="4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 &lt; OD ≤ 15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ind w:right="1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AA6829" w:rsidRPr="00F63A84" w:rsidTr="00D75D37">
        <w:tc>
          <w:tcPr>
            <w:tcW w:w="4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 &lt; OD ≤ 25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ind w:right="1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</w:tr>
      <w:tr w:rsidR="00AA6829" w:rsidRPr="00F63A84" w:rsidTr="00D75D37">
        <w:tc>
          <w:tcPr>
            <w:tcW w:w="4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 &lt; OD ≤ 50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ind w:right="1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</w:tr>
      <w:tr w:rsidR="00AA6829" w:rsidRPr="00F63A84" w:rsidTr="00D75D37">
        <w:tc>
          <w:tcPr>
            <w:tcW w:w="4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 &lt; OD</w:t>
            </w: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≤ 100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ind w:right="1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</w:tr>
      <w:tr w:rsidR="00AA6829" w:rsidRPr="00F63A84" w:rsidTr="00D75D37">
        <w:tc>
          <w:tcPr>
            <w:tcW w:w="4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&gt; 100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AA6829" w:rsidRPr="00F63A84" w:rsidRDefault="00AA6829" w:rsidP="00D75D37">
            <w:pPr>
              <w:spacing w:after="0" w:line="276" w:lineRule="auto"/>
              <w:ind w:right="1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3A8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</w:tbl>
    <w:p w:rsidR="00AA6829" w:rsidRPr="00F63A84" w:rsidRDefault="00AA6829" w:rsidP="00AA6829">
      <w:p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AA6829" w:rsidRPr="00F63A84" w:rsidRDefault="00AA6829" w:rsidP="00AA6829">
      <w:pPr>
        <w:pStyle w:val="ListeParagraf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Dayanıklılık testi için protokol aşağıdakileri içerir: </w:t>
      </w:r>
    </w:p>
    <w:p w:rsidR="00AA6829" w:rsidRPr="00F63A84" w:rsidRDefault="00AA6829" w:rsidP="00AA6829">
      <w:pPr>
        <w:pStyle w:val="ListeParagraf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Test karantina şartlarında açık alanda, seralarda veya iklim odalarında yapılır.</w:t>
      </w:r>
    </w:p>
    <w:p w:rsidR="00AA6829" w:rsidRPr="00F63A84" w:rsidRDefault="00AA6829" w:rsidP="00AA6829">
      <w:pPr>
        <w:pStyle w:val="ListeParagraf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Test, her biri en az bir litre toprak veya diğer uygun uygun yetiştirme ortamı içeren kaplarda yapılır.</w:t>
      </w:r>
    </w:p>
    <w:p w:rsidR="00AA6829" w:rsidRPr="00F63A84" w:rsidRDefault="00AA6829" w:rsidP="00AA6829">
      <w:pPr>
        <w:pStyle w:val="ListeParagraf"/>
        <w:numPr>
          <w:ilvl w:val="0"/>
          <w:numId w:val="8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Deney süresince deney kaplarındaki toprak sıcaklığı 25 °C’yi geçmez ve yeterli sulama yapılır.</w:t>
      </w:r>
    </w:p>
    <w:p w:rsidR="00AA6829" w:rsidRPr="00F63A84" w:rsidRDefault="00AA6829" w:rsidP="00AA6829">
      <w:pPr>
        <w:pStyle w:val="ListeParagra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ç) Test veya kontrol çeşidi dikilirken, her bir test veya kontrol çeşidinden bir adet patates gözü kullanılmalıdır.</w:t>
      </w:r>
    </w:p>
    <w:p w:rsidR="00AA6829" w:rsidRPr="00F63A84" w:rsidRDefault="00AA6829" w:rsidP="00AA6829">
      <w:pPr>
        <w:pStyle w:val="ListeParagra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d) ‘Desiree’</w:t>
      </w:r>
      <w:r w:rsidRPr="004F30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adlı patates çeşidi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her testte standart duyarlı kontrol çeşidi olarak kullanılır.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Önem arz eden ve tamamen duyarlı y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erel çeşitler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kontrol çeşi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eklenebilir. </w:t>
      </w:r>
    </w:p>
    <w:p w:rsidR="00AA6829" w:rsidRPr="00F63A84" w:rsidRDefault="00AA6829" w:rsidP="00AA6829">
      <w:pPr>
        <w:pStyle w:val="ListeParagraf"/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e) </w:t>
      </w:r>
      <w:r w:rsidRPr="00F63A8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Globodera rostochiensis’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in Ro1, Ro5 patotiplerine ve </w:t>
      </w:r>
      <w:r w:rsidRPr="00F63A84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Globodera pallida’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nın Pa1 ve Pa3 patotiplerine karşı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dayanıklılık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testlerinde, zararlı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ların aşağıdaki standart popülasyonları kullanılacaktır: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Ro1: Ecosse popülasyonu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Ro5: Harmerz popülasyonu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Pa1: İskoç popülasyonu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Pa3: Chavornay popülasyonu</w:t>
      </w:r>
    </w:p>
    <w:p w:rsidR="00AA6829" w:rsidRPr="00F63A84" w:rsidRDefault="00AA6829" w:rsidP="00AA6829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Patotiplerin nasıl belirlendiğine ilişkin kayıtların mevcut olması halinde diğer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yerel patates kist nematodu popü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lasyonları da eklenebilir. Bu tür popülasyonların henüz stabil olmayabileceği ve patotiplerin henüz belirlenmediği durumlarda yeni virülent popülasyonlar eklenebilir.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f) Standart popülasyonun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tür teşhisi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için uygun yöntemler kullanılır. Testlerde en az iki dayanıklı çeşit veya dayanıklılık kapasitesi bilinen iki farklı standart klonun kullanılması önerilir.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g) Patates kist nematodu inokulumu (Pi), her 1 ml toprakta beş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enfektif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yumurta ve larva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içermelidir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Patates kist nematodları kist olarak veya larva yumurta karışımı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süspansiyon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olarak inokule edilebilir.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ğ) İnokulum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içeriğindeki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patates kist nematodlarının canlılık oranı en az % 70 olmalıdır. Kistler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6-24 aylık olma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ı ve kullanım öncesine kadar en az 4 ay boyunca 4°C de saklanm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ış olması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önerilir.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h) Test edilecek patates kist nematodu popülâsyonu ve patates çeşi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di kombinasyonunun her biri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 az dört tekrarlı (saksılar) olarak denenmelidir. 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ı) Testin süresi en az 3 ay olmalıdır. Denemeler sökülmeden önce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gelişmekte olan dişilerin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olgunluğu kontrol edilmelidir.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i) Dört tekerrürlü denemede yer alan kistler, her saksı için ayrı ayrı sayılır.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j) Dayanıklılık testi sonunda, standart duyarlı kontrol çeşidindeki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nihai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popülasyon (Pf), en az dört tekerrürden elde edilen yumurta ve larva sayıları ile tüm tekerrürlerden elde edilen kistler sayılarak belirlenir.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k)Standart duyarlı kontrol çeşidinde üreme oranı en az 20 x (Pf / Pi) olmalıdır.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l) Standart duyarlı kontrol çeşidinde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değişim katsayısıs (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CV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değeri % 35’i geçemez.</w:t>
      </w:r>
      <w:r w:rsidRPr="00F63A84">
        <w:rPr>
          <w:rFonts w:ascii="Times New Roman" w:hAnsi="Times New Roman" w:cs="Times New Roman"/>
          <w:sz w:val="24"/>
          <w:szCs w:val="24"/>
        </w:rPr>
        <w:t xml:space="preserve">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Bu testlerin sonuçlarının kesinliğini artıracağına dair kanıt varsa, diğer istatistiksel testler daha sonraki bir aşamada uygulanabilir.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m) Test edilmiş patates çeşidinin standart duyarlı kontrol çeşidi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ne nisbi duyarlılığı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aşağıdaki formüle göre yüzde olarak belirlenir ve ifade edilir: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Pf test çeşidi / Pf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standart duyarlı kontrol çeşidi x 100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n) Eğer test edilmiş patates çeşidi % 3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daha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fazla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nisbi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duyarlılığa sahipse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yapılan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kist sayımı yeterlidir.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Nisbi d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uyarlılığın % 3’ten az olduğu durumlarda,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yapılan kist sayımına ek olarak 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yumurta ve larvalar sayılabilir.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o) İlk yılda test sonuçları bir çeşidin bir patotipe tamamen duyarlı olduğunu gösterirse (değer &lt; 3 olduğunda) bu testleri ikinci yılda tekrarlamak gerekmez.</w:t>
      </w:r>
    </w:p>
    <w:p w:rsidR="00AA6829" w:rsidRPr="00F63A84" w:rsidRDefault="00AA6829" w:rsidP="00AA6829">
      <w:pPr>
        <w:spacing w:after="0" w:line="276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ö) Test edilen çeşit bir patotipe tam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amen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duyarlı değilse (puan ≥ 3 olduğunda),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ayanıklılık testinin sonuçları başka bir yıl içinde yapılan bir diğer deneme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ile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onaylanır. Çeşidin iki yıllık denemede ortaya çıkan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duyarlılığının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aritmetik ortalaması, standart değerler tablosuna bakılarak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puanın belirlenmesi için kullanılır</w:t>
      </w:r>
      <w:r w:rsidRPr="00F63A8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AA6829" w:rsidRPr="00F63A84" w:rsidRDefault="00AA6829" w:rsidP="00AA682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92C74" w:rsidRDefault="00792C74">
      <w:bookmarkStart w:id="1" w:name="_GoBack"/>
      <w:bookmarkEnd w:id="1"/>
    </w:p>
    <w:sectPr w:rsidR="00792C74" w:rsidSect="00F74E21">
      <w:pgSz w:w="11906" w:h="16838"/>
      <w:pgMar w:top="1418" w:right="1418" w:bottom="1418" w:left="1418" w:header="709" w:footer="136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C7E32"/>
    <w:multiLevelType w:val="hybridMultilevel"/>
    <w:tmpl w:val="C09EEFCC"/>
    <w:lvl w:ilvl="0" w:tplc="14E4CE0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40" w:hanging="360"/>
      </w:pPr>
    </w:lvl>
    <w:lvl w:ilvl="2" w:tplc="041F001B" w:tentative="1">
      <w:start w:val="1"/>
      <w:numFmt w:val="lowerRoman"/>
      <w:lvlText w:val="%3."/>
      <w:lvlJc w:val="right"/>
      <w:pPr>
        <w:ind w:left="2760" w:hanging="180"/>
      </w:pPr>
    </w:lvl>
    <w:lvl w:ilvl="3" w:tplc="041F000F" w:tentative="1">
      <w:start w:val="1"/>
      <w:numFmt w:val="decimal"/>
      <w:lvlText w:val="%4."/>
      <w:lvlJc w:val="left"/>
      <w:pPr>
        <w:ind w:left="3480" w:hanging="360"/>
      </w:pPr>
    </w:lvl>
    <w:lvl w:ilvl="4" w:tplc="041F0019" w:tentative="1">
      <w:start w:val="1"/>
      <w:numFmt w:val="lowerLetter"/>
      <w:lvlText w:val="%5."/>
      <w:lvlJc w:val="left"/>
      <w:pPr>
        <w:ind w:left="4200" w:hanging="360"/>
      </w:pPr>
    </w:lvl>
    <w:lvl w:ilvl="5" w:tplc="041F001B" w:tentative="1">
      <w:start w:val="1"/>
      <w:numFmt w:val="lowerRoman"/>
      <w:lvlText w:val="%6."/>
      <w:lvlJc w:val="right"/>
      <w:pPr>
        <w:ind w:left="4920" w:hanging="180"/>
      </w:pPr>
    </w:lvl>
    <w:lvl w:ilvl="6" w:tplc="041F000F" w:tentative="1">
      <w:start w:val="1"/>
      <w:numFmt w:val="decimal"/>
      <w:lvlText w:val="%7."/>
      <w:lvlJc w:val="left"/>
      <w:pPr>
        <w:ind w:left="5640" w:hanging="360"/>
      </w:pPr>
    </w:lvl>
    <w:lvl w:ilvl="7" w:tplc="041F0019" w:tentative="1">
      <w:start w:val="1"/>
      <w:numFmt w:val="lowerLetter"/>
      <w:lvlText w:val="%8."/>
      <w:lvlJc w:val="left"/>
      <w:pPr>
        <w:ind w:left="6360" w:hanging="360"/>
      </w:pPr>
    </w:lvl>
    <w:lvl w:ilvl="8" w:tplc="041F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0C5E356B"/>
    <w:multiLevelType w:val="hybridMultilevel"/>
    <w:tmpl w:val="58FAE79C"/>
    <w:lvl w:ilvl="0" w:tplc="F3B632BE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2F121B"/>
    <w:multiLevelType w:val="hybridMultilevel"/>
    <w:tmpl w:val="D1E00444"/>
    <w:lvl w:ilvl="0" w:tplc="6932FF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8D538D"/>
    <w:multiLevelType w:val="hybridMultilevel"/>
    <w:tmpl w:val="E4B8EADE"/>
    <w:lvl w:ilvl="0" w:tplc="BF2EBBD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4E4000B"/>
    <w:multiLevelType w:val="hybridMultilevel"/>
    <w:tmpl w:val="D676FEF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9274B"/>
    <w:multiLevelType w:val="hybridMultilevel"/>
    <w:tmpl w:val="665072E8"/>
    <w:lvl w:ilvl="0" w:tplc="3D821A6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1B2A40"/>
    <w:multiLevelType w:val="hybridMultilevel"/>
    <w:tmpl w:val="40B6F17C"/>
    <w:lvl w:ilvl="0" w:tplc="3D821A6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89541F2"/>
    <w:multiLevelType w:val="hybridMultilevel"/>
    <w:tmpl w:val="5D9E0D3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520"/>
    <w:rsid w:val="004F210A"/>
    <w:rsid w:val="00792C74"/>
    <w:rsid w:val="009520EF"/>
    <w:rsid w:val="009B0CAE"/>
    <w:rsid w:val="00AA6829"/>
    <w:rsid w:val="00B65CAF"/>
    <w:rsid w:val="00D4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20F1F-9718-4FA1-859E-D62E302B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82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A6829"/>
    <w:pPr>
      <w:ind w:left="720"/>
      <w:contextualSpacing/>
    </w:pPr>
  </w:style>
  <w:style w:type="table" w:styleId="TabloKlavuzu">
    <w:name w:val="Table Grid"/>
    <w:basedOn w:val="NormalTablo"/>
    <w:uiPriority w:val="39"/>
    <w:rsid w:val="00AA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1771</Words>
  <Characters>10097</Characters>
  <Application>Microsoft Office Word</Application>
  <DocSecurity>0</DocSecurity>
  <Lines>84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2</cp:revision>
  <dcterms:created xsi:type="dcterms:W3CDTF">2023-12-04T08:20:00Z</dcterms:created>
  <dcterms:modified xsi:type="dcterms:W3CDTF">2023-12-04T08:20:00Z</dcterms:modified>
</cp:coreProperties>
</file>