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1768" w:rsidRDefault="00621768" w:rsidP="00621768">
      <w:pPr>
        <w:keepNext/>
        <w:outlineLvl w:val="0"/>
        <w:rPr>
          <w:b/>
          <w:color w:val="0D0D0D"/>
        </w:rPr>
      </w:pPr>
      <w:bookmarkStart w:id="0" w:name="_Toc98149740"/>
      <w:r>
        <w:rPr>
          <w:b/>
          <w:color w:val="0D0D0D"/>
        </w:rPr>
        <w:t>EK:</w:t>
      </w:r>
    </w:p>
    <w:p w:rsidR="00621768" w:rsidRDefault="00621768" w:rsidP="00621768">
      <w:pPr>
        <w:pStyle w:val="stBilgi"/>
        <w:jc w:val="center"/>
        <w:rPr>
          <w:b/>
          <w:color w:val="0D0D0D"/>
        </w:rPr>
      </w:pPr>
    </w:p>
    <w:p w:rsidR="0097719E" w:rsidRDefault="00621768" w:rsidP="00621768">
      <w:pPr>
        <w:pStyle w:val="stBilgi"/>
        <w:jc w:val="center"/>
        <w:rPr>
          <w:b/>
          <w:color w:val="0D0D0D"/>
        </w:rPr>
      </w:pPr>
      <w:r w:rsidRPr="00C26FDD">
        <w:rPr>
          <w:b/>
          <w:color w:val="0D0D0D"/>
        </w:rPr>
        <w:t>İTHALATTA HAKSIZ REKABETİN ÖNLENMESİNE İLİŞKİN TEBLİĞ</w:t>
      </w:r>
    </w:p>
    <w:p w:rsidR="00621768" w:rsidRDefault="00887978" w:rsidP="00621768">
      <w:pPr>
        <w:pStyle w:val="stBilgi"/>
        <w:jc w:val="center"/>
      </w:pPr>
      <w:bookmarkStart w:id="1" w:name="_GoBack"/>
      <w:bookmarkEnd w:id="1"/>
      <w:r>
        <w:rPr>
          <w:b/>
          <w:color w:val="0D0D0D"/>
        </w:rPr>
        <w:t xml:space="preserve"> (TEBLİĞ </w:t>
      </w:r>
      <w:r w:rsidR="00C572BA">
        <w:rPr>
          <w:b/>
          <w:color w:val="0D0D0D"/>
        </w:rPr>
        <w:t>NO:2023/9) HAKKINDA</w:t>
      </w:r>
      <w:r w:rsidR="00621768" w:rsidRPr="00C26FDD">
        <w:rPr>
          <w:b/>
          <w:color w:val="0D0D0D"/>
        </w:rPr>
        <w:t xml:space="preserve"> BİLGİLENDİRME RAPORU</w:t>
      </w:r>
    </w:p>
    <w:p w:rsidR="00621768" w:rsidRDefault="00621768" w:rsidP="00CC4F92">
      <w:pPr>
        <w:ind w:left="360" w:hanging="360"/>
      </w:pPr>
    </w:p>
    <w:p w:rsidR="009053B4" w:rsidRPr="00A836B6" w:rsidRDefault="005252E5" w:rsidP="00047414">
      <w:pPr>
        <w:pStyle w:val="Balk1"/>
        <w:numPr>
          <w:ilvl w:val="0"/>
          <w:numId w:val="3"/>
        </w:numPr>
        <w:spacing w:before="120" w:after="120"/>
        <w:rPr>
          <w:rFonts w:ascii="Times New Roman" w:hAnsi="Times New Roman" w:cs="Times New Roman"/>
          <w:sz w:val="24"/>
          <w:szCs w:val="24"/>
        </w:rPr>
      </w:pPr>
      <w:r w:rsidRPr="00A836B6">
        <w:rPr>
          <w:rFonts w:ascii="Times New Roman" w:hAnsi="Times New Roman" w:cs="Times New Roman"/>
          <w:sz w:val="24"/>
          <w:szCs w:val="24"/>
        </w:rPr>
        <w:t>Genel Bilgi ve İşlemler</w:t>
      </w:r>
      <w:bookmarkEnd w:id="0"/>
    </w:p>
    <w:p w:rsidR="009053B4" w:rsidRPr="00CC4F92" w:rsidRDefault="00EB7884" w:rsidP="00047414">
      <w:pPr>
        <w:pStyle w:val="Balk2"/>
        <w:numPr>
          <w:ilvl w:val="1"/>
          <w:numId w:val="3"/>
        </w:numPr>
        <w:spacing w:before="120" w:after="120"/>
        <w:ind w:left="426"/>
      </w:pPr>
      <w:bookmarkStart w:id="2" w:name="_Toc98149741"/>
      <w:r w:rsidRPr="00CC4F92">
        <w:t xml:space="preserve">Kapsam ve </w:t>
      </w:r>
      <w:r w:rsidR="009C6A07" w:rsidRPr="00CC4F92">
        <w:t>yasal dayanak</w:t>
      </w:r>
      <w:bookmarkEnd w:id="2"/>
    </w:p>
    <w:p w:rsidR="00D35A91" w:rsidRPr="00CC4F92" w:rsidRDefault="009053B4" w:rsidP="00047414">
      <w:pPr>
        <w:pStyle w:val="GvdeMetni"/>
        <w:shd w:val="clear" w:color="auto" w:fill="auto"/>
        <w:spacing w:before="120" w:after="120"/>
        <w:rPr>
          <w:color w:val="auto"/>
        </w:rPr>
      </w:pPr>
      <w:r w:rsidRPr="00CC4F92">
        <w:rPr>
          <w:bCs/>
          <w:color w:val="auto"/>
        </w:rPr>
        <w:t>(1)</w:t>
      </w:r>
      <w:r w:rsidRPr="00CC4F92">
        <w:rPr>
          <w:b/>
          <w:color w:val="auto"/>
        </w:rPr>
        <w:t xml:space="preserve"> </w:t>
      </w:r>
      <w:r w:rsidRPr="00CC4F92">
        <w:rPr>
          <w:color w:val="auto"/>
        </w:rPr>
        <w:t xml:space="preserve">Bu </w:t>
      </w:r>
      <w:r w:rsidR="00BD39DF" w:rsidRPr="00CC4F92">
        <w:rPr>
          <w:color w:val="auto"/>
        </w:rPr>
        <w:t>rapor</w:t>
      </w:r>
      <w:r w:rsidR="00D62C85" w:rsidRPr="00CC4F92">
        <w:rPr>
          <w:color w:val="auto"/>
        </w:rPr>
        <w:t>,</w:t>
      </w:r>
      <w:r w:rsidR="005F047B" w:rsidRPr="00CC4F92">
        <w:rPr>
          <w:color w:val="auto"/>
        </w:rPr>
        <w:t xml:space="preserve"> </w:t>
      </w:r>
      <w:r w:rsidR="00D62C85" w:rsidRPr="00CC4F92">
        <w:rPr>
          <w:color w:val="auto"/>
        </w:rPr>
        <w:t xml:space="preserve">14/6/1989 tarihli ve </w:t>
      </w:r>
      <w:r w:rsidRPr="00CC4F92">
        <w:rPr>
          <w:color w:val="auto"/>
        </w:rPr>
        <w:t xml:space="preserve">3577 sayılı İthalatta Haksız Rekabetin Önlenmesi Hakkında Kanun, 20/10/1999 tarihli ve 99/13482 sayılı Bakanlar Kurulu Kararı ile yürürlüğe konulan İthalatta Haksız Rekabetin Önlenmesi Hakkında Karar ve 30/10/1999 tarihli ve 23861 sayılı Resmî </w:t>
      </w:r>
      <w:proofErr w:type="spellStart"/>
      <w:r w:rsidRPr="00CC4F92">
        <w:rPr>
          <w:color w:val="auto"/>
        </w:rPr>
        <w:t>Gazete’de</w:t>
      </w:r>
      <w:proofErr w:type="spellEnd"/>
      <w:r w:rsidRPr="00CC4F92">
        <w:rPr>
          <w:color w:val="auto"/>
        </w:rPr>
        <w:t xml:space="preserve"> yayımlanan İthalatta Haksız Rekabetin Önlenmesi Hakkında Yönetmelik</w:t>
      </w:r>
      <w:r w:rsidR="001E74CA" w:rsidRPr="00CC4F92">
        <w:rPr>
          <w:color w:val="auto"/>
        </w:rPr>
        <w:t xml:space="preserve"> </w:t>
      </w:r>
      <w:r w:rsidRPr="00CC4F92">
        <w:rPr>
          <w:color w:val="auto"/>
        </w:rPr>
        <w:t>(Yönetmelik)</w:t>
      </w:r>
      <w:r w:rsidR="00B17BB4" w:rsidRPr="00CC4F92">
        <w:rPr>
          <w:color w:val="auto"/>
        </w:rPr>
        <w:t xml:space="preserve"> </w:t>
      </w:r>
      <w:r w:rsidR="00C40FE6" w:rsidRPr="00CC4F92">
        <w:rPr>
          <w:color w:val="auto"/>
        </w:rPr>
        <w:t xml:space="preserve">hükümleri </w:t>
      </w:r>
      <w:r w:rsidR="00810A4D" w:rsidRPr="00CC4F92">
        <w:rPr>
          <w:color w:val="auto"/>
        </w:rPr>
        <w:t xml:space="preserve">çerçevesinde yürütülen </w:t>
      </w:r>
      <w:r w:rsidR="00CF2D1D" w:rsidRPr="00CC4F92">
        <w:rPr>
          <w:color w:val="auto"/>
        </w:rPr>
        <w:t xml:space="preserve">nihai gözden geçirme soruşturması (NGGS) </w:t>
      </w:r>
      <w:r w:rsidRPr="00CC4F92">
        <w:rPr>
          <w:color w:val="auto"/>
        </w:rPr>
        <w:t>sonu</w:t>
      </w:r>
      <w:r w:rsidR="003204EB" w:rsidRPr="00CC4F92">
        <w:rPr>
          <w:color w:val="auto"/>
        </w:rPr>
        <w:t>cunda alınacak karara esas teşkil edecek bilgi ve bulguları içermektedir.</w:t>
      </w:r>
    </w:p>
    <w:p w:rsidR="00D35A91" w:rsidRPr="00CC4F92" w:rsidRDefault="00117424" w:rsidP="0005108C">
      <w:pPr>
        <w:pStyle w:val="Balk2"/>
        <w:numPr>
          <w:ilvl w:val="1"/>
          <w:numId w:val="3"/>
        </w:numPr>
        <w:spacing w:before="120" w:after="120"/>
        <w:ind w:left="426"/>
      </w:pPr>
      <w:bookmarkStart w:id="3" w:name="_Toc98149742"/>
      <w:r w:rsidRPr="00CC4F92">
        <w:t xml:space="preserve">Mevcut önlem ve </w:t>
      </w:r>
      <w:r w:rsidR="004A19B7" w:rsidRPr="00CC4F92">
        <w:t>geçmişi</w:t>
      </w:r>
      <w:bookmarkEnd w:id="3"/>
    </w:p>
    <w:p w:rsidR="00B956FD" w:rsidRPr="00B956FD" w:rsidRDefault="003C632E" w:rsidP="0005108C">
      <w:pPr>
        <w:spacing w:before="120" w:after="120"/>
        <w:jc w:val="both"/>
        <w:rPr>
          <w:bCs/>
        </w:rPr>
      </w:pPr>
      <w:r w:rsidRPr="00CC4F92">
        <w:rPr>
          <w:bCs/>
        </w:rPr>
        <w:t xml:space="preserve">(1) </w:t>
      </w:r>
      <w:r w:rsidR="00B956FD" w:rsidRPr="00B956FD">
        <w:rPr>
          <w:bCs/>
        </w:rPr>
        <w:t xml:space="preserve">Çin Halk Cumhuriyeti (ÇHC) menşeli 8311.20.00.00.00 gümrük tarife istatistik pozisyonu (GTİP) altında yer alan “adi metallerden içi doldurulmuş teller (elektrikli ark kaynağı yapmak için)” ürününe yönelik 28/7/2011 tarihli ve 28008 sayılı Resmî </w:t>
      </w:r>
      <w:proofErr w:type="spellStart"/>
      <w:r w:rsidR="00B956FD" w:rsidRPr="00B956FD">
        <w:rPr>
          <w:bCs/>
        </w:rPr>
        <w:t>Gazete’de</w:t>
      </w:r>
      <w:proofErr w:type="spellEnd"/>
      <w:r w:rsidR="00B956FD" w:rsidRPr="00B956FD">
        <w:rPr>
          <w:bCs/>
        </w:rPr>
        <w:t xml:space="preserve"> yayımlanan İthalatta Haksız Rekabetin Önlenmesine İlişkin Tebliğ (Tebliğ No: 2011/16) uyarınca CIF bedelin %21,12’si ve %28,87’si oranında firma bazında dampinge karşı önlem yürürlüğe konulmuştur. </w:t>
      </w:r>
    </w:p>
    <w:p w:rsidR="00684BDD" w:rsidRDefault="00B956FD" w:rsidP="0005108C">
      <w:pPr>
        <w:spacing w:before="120" w:after="120"/>
        <w:jc w:val="both"/>
        <w:rPr>
          <w:bCs/>
        </w:rPr>
      </w:pPr>
      <w:r w:rsidRPr="00B956FD">
        <w:rPr>
          <w:bCs/>
        </w:rPr>
        <w:t xml:space="preserve">(2) </w:t>
      </w:r>
      <w:proofErr w:type="spellStart"/>
      <w:r w:rsidRPr="00B956FD">
        <w:rPr>
          <w:bCs/>
        </w:rPr>
        <w:t>ÇHC’ye</w:t>
      </w:r>
      <w:proofErr w:type="spellEnd"/>
      <w:r w:rsidRPr="00B956FD">
        <w:rPr>
          <w:bCs/>
        </w:rPr>
        <w:t xml:space="preserve"> yönelik bahse konu önlemin yürürlükten kalkması halinde önleme tabi üründe dampingin ve zararın devam edebileceği veya yeniden meydana gelebileceği iddiasıyla </w:t>
      </w:r>
      <w:proofErr w:type="spellStart"/>
      <w:r w:rsidRPr="00B956FD">
        <w:rPr>
          <w:bCs/>
        </w:rPr>
        <w:t>Oerlikon</w:t>
      </w:r>
      <w:proofErr w:type="spellEnd"/>
      <w:r w:rsidRPr="00B956FD">
        <w:rPr>
          <w:bCs/>
        </w:rPr>
        <w:t xml:space="preserve"> Kaynak </w:t>
      </w:r>
      <w:proofErr w:type="spellStart"/>
      <w:r w:rsidRPr="00B956FD">
        <w:rPr>
          <w:bCs/>
        </w:rPr>
        <w:t>Elektrodları</w:t>
      </w:r>
      <w:proofErr w:type="spellEnd"/>
      <w:r w:rsidRPr="00B956FD">
        <w:rPr>
          <w:bCs/>
        </w:rPr>
        <w:t xml:space="preserve"> ve Sanayi A.Ş. (</w:t>
      </w:r>
      <w:proofErr w:type="spellStart"/>
      <w:r w:rsidRPr="00B956FD">
        <w:rPr>
          <w:bCs/>
        </w:rPr>
        <w:t>Oerlikon</w:t>
      </w:r>
      <w:proofErr w:type="spellEnd"/>
      <w:r w:rsidRPr="00B956FD">
        <w:rPr>
          <w:bCs/>
        </w:rPr>
        <w:t xml:space="preserve">) firması tarafından gerçekleştirilen başvuru üzerine, 14/7/2016 tarihli ve 29770 sayılı Resmî </w:t>
      </w:r>
      <w:proofErr w:type="spellStart"/>
      <w:r w:rsidRPr="00B956FD">
        <w:rPr>
          <w:bCs/>
        </w:rPr>
        <w:t>Gazete’de</w:t>
      </w:r>
      <w:proofErr w:type="spellEnd"/>
      <w:r w:rsidRPr="00B956FD">
        <w:rPr>
          <w:bCs/>
        </w:rPr>
        <w:t xml:space="preserve"> yayımlanan İthalatta Haksız Rekabetin Önlenmesine İlişkin Tebliğ (Tebliğ No: 2016/23) ile başlatılan NGGS, 23/2/2017 tarihli ve 29988 sayılı Resmî </w:t>
      </w:r>
      <w:proofErr w:type="spellStart"/>
      <w:r w:rsidRPr="00B956FD">
        <w:rPr>
          <w:bCs/>
        </w:rPr>
        <w:t>Gazete’de</w:t>
      </w:r>
      <w:proofErr w:type="spellEnd"/>
      <w:r w:rsidRPr="00B956FD">
        <w:rPr>
          <w:bCs/>
        </w:rPr>
        <w:t xml:space="preserve"> yayımlanan İthalatta Haksız Rekabetin Önlenmesine İlişkin Tebliğ (Tebliğ No:2017/3) vasıtasıyla tamamlanmıştır. 2017/3 sayılı Tebliğ ile mevcut önlemin yürürlükte bulunduğu kapsam ve seviyede uygulanmaya devam edilmesine karar verilmiştir.</w:t>
      </w:r>
    </w:p>
    <w:p w:rsidR="004A19B7" w:rsidRPr="00CC4F92" w:rsidRDefault="004A19B7" w:rsidP="00CC4F92">
      <w:pPr>
        <w:pStyle w:val="Balk2"/>
        <w:numPr>
          <w:ilvl w:val="1"/>
          <w:numId w:val="3"/>
        </w:numPr>
        <w:ind w:left="426"/>
      </w:pPr>
      <w:bookmarkStart w:id="4" w:name="_Toc98149743"/>
      <w:r w:rsidRPr="00CC4F92">
        <w:t>Soruşturma</w:t>
      </w:r>
      <w:bookmarkEnd w:id="4"/>
    </w:p>
    <w:p w:rsidR="0005108C" w:rsidRPr="0005108C" w:rsidRDefault="003C632E" w:rsidP="0005108C">
      <w:pPr>
        <w:pStyle w:val="Default"/>
        <w:spacing w:before="120" w:after="120"/>
        <w:jc w:val="both"/>
        <w:rPr>
          <w:color w:val="0D0D0D"/>
        </w:rPr>
      </w:pPr>
      <w:r w:rsidRPr="00CC4F92">
        <w:rPr>
          <w:color w:val="0D0D0D"/>
        </w:rPr>
        <w:t xml:space="preserve">(1) </w:t>
      </w:r>
      <w:r w:rsidR="0005108C" w:rsidRPr="0005108C">
        <w:rPr>
          <w:color w:val="0D0D0D"/>
        </w:rPr>
        <w:t xml:space="preserve">Yönetmeliğin 35 inci maddesinin ikinci fıkrası hükmünce, 10/7/2021 tarihli ve 31537 sayılı Resmî </w:t>
      </w:r>
      <w:proofErr w:type="spellStart"/>
      <w:r w:rsidR="0005108C" w:rsidRPr="0005108C">
        <w:rPr>
          <w:color w:val="0D0D0D"/>
        </w:rPr>
        <w:t>Gazete’de</w:t>
      </w:r>
      <w:proofErr w:type="spellEnd"/>
      <w:r w:rsidR="0005108C" w:rsidRPr="0005108C">
        <w:rPr>
          <w:color w:val="0D0D0D"/>
        </w:rPr>
        <w:t xml:space="preserve"> yayımlanan İthalatta Haksız Rekabetin Önlenmesine İlişkin Tebliğ (Tebliğ:2021/39) ile mevcut önlemin yürürlükte kalma süresinin sona ereceği ilan edilmiştir. İlgili ürünün yerli üreticileri tarafından mevzuatta öngörülen süreler içinde, önlemin sona ermesinin damping ve zararın devam etmesine veya yeniden meydana gelmesine yol açacağı iddiasını içeren yeterli delillerle desteklenmiş bir başvuru ile NGGS açılması talebinde bulunabilecekleri duyurulmuştur.</w:t>
      </w:r>
    </w:p>
    <w:p w:rsidR="0005108C" w:rsidRPr="0005108C" w:rsidRDefault="0005108C" w:rsidP="0005108C">
      <w:pPr>
        <w:pStyle w:val="Default"/>
        <w:spacing w:before="120" w:after="120"/>
        <w:jc w:val="both"/>
        <w:rPr>
          <w:color w:val="0D0D0D"/>
        </w:rPr>
      </w:pPr>
      <w:r w:rsidRPr="0005108C">
        <w:rPr>
          <w:color w:val="0D0D0D"/>
        </w:rPr>
        <w:t xml:space="preserve">(2) Bu çerçevede, </w:t>
      </w:r>
      <w:proofErr w:type="spellStart"/>
      <w:r w:rsidRPr="0005108C">
        <w:rPr>
          <w:color w:val="0D0D0D"/>
        </w:rPr>
        <w:t>Oerlikon</w:t>
      </w:r>
      <w:proofErr w:type="spellEnd"/>
      <w:r w:rsidRPr="0005108C">
        <w:rPr>
          <w:color w:val="0D0D0D"/>
        </w:rPr>
        <w:t xml:space="preserve"> firması, İthalatta Haksız Rekabetin Önlenmesi Hakkında Mevzuatın ilgili hükümlerine uygun olarak taleplerini ileterek mevcut önlemin sona erme tarihinden önce ÇHC menşeli 8311.20.00.00.00 </w:t>
      </w:r>
      <w:proofErr w:type="spellStart"/>
      <w:r w:rsidRPr="0005108C">
        <w:rPr>
          <w:color w:val="0D0D0D"/>
        </w:rPr>
        <w:t>GTİP’i</w:t>
      </w:r>
      <w:proofErr w:type="spellEnd"/>
      <w:r w:rsidRPr="0005108C">
        <w:rPr>
          <w:color w:val="0D0D0D"/>
        </w:rPr>
        <w:t xml:space="preserve"> altında yer alan “adi metallerden içi doldurulmuş teller (elektrikli ark kaynağı yapmak için)” ürünü ithalatına yönelik olarak bir NGGS açılması için başvuruda bulunmuş olup söz konusu başvuru Gedik Kaynak Sanayi ve Ticaret A.Ş., </w:t>
      </w:r>
      <w:proofErr w:type="spellStart"/>
      <w:r w:rsidRPr="0005108C">
        <w:rPr>
          <w:color w:val="0D0D0D"/>
        </w:rPr>
        <w:t>Kladex</w:t>
      </w:r>
      <w:proofErr w:type="spellEnd"/>
      <w:r w:rsidRPr="0005108C">
        <w:rPr>
          <w:color w:val="0D0D0D"/>
        </w:rPr>
        <w:t xml:space="preserve"> Tel Üretim Sanayi ve Ticaret A.Ş. ve </w:t>
      </w:r>
      <w:proofErr w:type="spellStart"/>
      <w:r w:rsidRPr="0005108C">
        <w:rPr>
          <w:color w:val="0D0D0D"/>
        </w:rPr>
        <w:t>Meksan</w:t>
      </w:r>
      <w:proofErr w:type="spellEnd"/>
      <w:r w:rsidRPr="0005108C">
        <w:rPr>
          <w:color w:val="0D0D0D"/>
        </w:rPr>
        <w:t xml:space="preserve"> </w:t>
      </w:r>
      <w:proofErr w:type="spellStart"/>
      <w:r w:rsidRPr="0005108C">
        <w:rPr>
          <w:color w:val="0D0D0D"/>
        </w:rPr>
        <w:t>Elektrod</w:t>
      </w:r>
      <w:proofErr w:type="spellEnd"/>
      <w:r w:rsidRPr="0005108C">
        <w:rPr>
          <w:color w:val="0D0D0D"/>
        </w:rPr>
        <w:t xml:space="preserve"> Kaynak Tel Metal Makine Elektrik San. ve Dış Tic. Ltd. Şti. firmaları tarafından desteklenmiştir.</w:t>
      </w:r>
    </w:p>
    <w:p w:rsidR="0005108C" w:rsidRPr="0005108C" w:rsidRDefault="0005108C" w:rsidP="0005108C">
      <w:pPr>
        <w:pStyle w:val="Default"/>
        <w:spacing w:before="120" w:after="120"/>
        <w:jc w:val="both"/>
        <w:rPr>
          <w:color w:val="0D0D0D"/>
        </w:rPr>
      </w:pPr>
      <w:r w:rsidRPr="0005108C">
        <w:rPr>
          <w:color w:val="0D0D0D"/>
        </w:rPr>
        <w:t xml:space="preserve">(3) Başvuru kapsamında sunulan bilgi ve belgeler, İthalatta Haksız Rekabeti Değerlendirme Kurulu (Kurul) tarafından değerlendirilmiş ve bir NGGS açılmasını haklı kılacak yeterlilikte delillerin mevcudiyetine kanaat getirilmiştir. Bu çerçevede, 11/2/2022 tarihli ve 31747 sayılı </w:t>
      </w:r>
      <w:r w:rsidRPr="0005108C">
        <w:rPr>
          <w:color w:val="0D0D0D"/>
        </w:rPr>
        <w:lastRenderedPageBreak/>
        <w:t xml:space="preserve">Resmî </w:t>
      </w:r>
      <w:proofErr w:type="spellStart"/>
      <w:r w:rsidRPr="0005108C">
        <w:rPr>
          <w:color w:val="0D0D0D"/>
        </w:rPr>
        <w:t>Gazete’de</w:t>
      </w:r>
      <w:proofErr w:type="spellEnd"/>
      <w:r w:rsidRPr="0005108C">
        <w:rPr>
          <w:color w:val="0D0D0D"/>
        </w:rPr>
        <w:t xml:space="preserve"> yayımlanan İthalatta Haksız Rekabetin Önlenmesine İlişkin Tebliğ (Tebliğ No: 2022/6) ile ÇHC menşeli 8311.20.00.00.00 </w:t>
      </w:r>
      <w:proofErr w:type="spellStart"/>
      <w:r w:rsidRPr="0005108C">
        <w:rPr>
          <w:color w:val="0D0D0D"/>
        </w:rPr>
        <w:t>GTİP’i</w:t>
      </w:r>
      <w:proofErr w:type="spellEnd"/>
      <w:r w:rsidRPr="0005108C">
        <w:rPr>
          <w:color w:val="0D0D0D"/>
        </w:rPr>
        <w:t xml:space="preserve"> altında kayıtlı “adi metallerden içi doldurulmuş teller (elektrikli ark kaynağı yapmak için)” ürünü ithalatına yönelik bir NGGS açılmıştır.</w:t>
      </w:r>
    </w:p>
    <w:p w:rsidR="00C33823" w:rsidRPr="00711470" w:rsidRDefault="0005108C" w:rsidP="0005108C">
      <w:pPr>
        <w:pStyle w:val="Default"/>
        <w:spacing w:before="120" w:after="120"/>
        <w:jc w:val="both"/>
        <w:rPr>
          <w:color w:val="0D0D0D" w:themeColor="text1" w:themeTint="F2"/>
        </w:rPr>
      </w:pPr>
      <w:r w:rsidRPr="0005108C">
        <w:rPr>
          <w:color w:val="0D0D0D"/>
        </w:rPr>
        <w:t>(4) T.C. Ticaret Bakanlığı (Bakanlık) İthalat Genel Müdürlüğü (Genel Müdürlük) tarafından yürütülen NGGS tamamlanmıştır</w:t>
      </w:r>
      <w:r w:rsidR="00C33823" w:rsidRPr="00711470">
        <w:rPr>
          <w:color w:val="0D0D0D"/>
        </w:rPr>
        <w:t>.</w:t>
      </w:r>
    </w:p>
    <w:p w:rsidR="00BD39DF" w:rsidRPr="0005108C" w:rsidRDefault="00BD39DF" w:rsidP="0005108C">
      <w:pPr>
        <w:pStyle w:val="Balk2"/>
        <w:numPr>
          <w:ilvl w:val="1"/>
          <w:numId w:val="3"/>
        </w:numPr>
        <w:spacing w:before="120" w:after="120"/>
        <w:ind w:left="426"/>
        <w:rPr>
          <w:rFonts w:eastAsia="Times New Roman" w:cs="Times New Roman"/>
          <w:color w:val="0D0D0D"/>
          <w:szCs w:val="24"/>
          <w:lang w:eastAsia="tr-TR"/>
        </w:rPr>
      </w:pPr>
      <w:bookmarkStart w:id="5" w:name="_Toc98149744"/>
      <w:r w:rsidRPr="0005108C">
        <w:rPr>
          <w:rFonts w:eastAsia="Times New Roman" w:cs="Times New Roman"/>
          <w:color w:val="0D0D0D"/>
          <w:szCs w:val="24"/>
          <w:lang w:eastAsia="tr-TR"/>
        </w:rPr>
        <w:t>Yerli üretim dalının temsil niteliği</w:t>
      </w:r>
      <w:bookmarkEnd w:id="5"/>
    </w:p>
    <w:p w:rsidR="00005D2F" w:rsidRPr="0005108C" w:rsidRDefault="0005108C" w:rsidP="0005108C">
      <w:pPr>
        <w:pStyle w:val="Default"/>
        <w:numPr>
          <w:ilvl w:val="0"/>
          <w:numId w:val="5"/>
        </w:numPr>
        <w:spacing w:before="120" w:after="120"/>
        <w:ind w:firstLine="0"/>
        <w:jc w:val="both"/>
        <w:rPr>
          <w:color w:val="0D0D0D"/>
        </w:rPr>
      </w:pPr>
      <w:r w:rsidRPr="0005108C">
        <w:rPr>
          <w:color w:val="0D0D0D"/>
        </w:rPr>
        <w:t xml:space="preserve">Yönetmeliğin 18 inci maddesi uyarınca yerli üretim dalını temsil etme niteliğine sahip olan yerli üretici </w:t>
      </w:r>
      <w:proofErr w:type="spellStart"/>
      <w:r w:rsidRPr="0005108C">
        <w:rPr>
          <w:color w:val="0D0D0D"/>
        </w:rPr>
        <w:t>Oerlikon</w:t>
      </w:r>
      <w:proofErr w:type="spellEnd"/>
      <w:r w:rsidRPr="0005108C">
        <w:rPr>
          <w:color w:val="0D0D0D"/>
        </w:rPr>
        <w:t xml:space="preserve"> firması tarafından yapılan başvurunun, Yönetmeliğin 20 </w:t>
      </w:r>
      <w:proofErr w:type="spellStart"/>
      <w:r w:rsidRPr="0005108C">
        <w:rPr>
          <w:color w:val="0D0D0D"/>
        </w:rPr>
        <w:t>nci</w:t>
      </w:r>
      <w:proofErr w:type="spellEnd"/>
      <w:r w:rsidRPr="0005108C">
        <w:rPr>
          <w:color w:val="0D0D0D"/>
        </w:rPr>
        <w:t xml:space="preserve"> maddesi uyarınca yerli üretim dalı adına yapıldığı anlaşılmıştır. Anılan firma, bu raporun ilgili bölümlerinde “yerli üretim dalı” olarak anılacaktır</w:t>
      </w:r>
      <w:r w:rsidR="00005D2F" w:rsidRPr="0005108C">
        <w:rPr>
          <w:color w:val="0D0D0D"/>
        </w:rPr>
        <w:t>.</w:t>
      </w:r>
    </w:p>
    <w:p w:rsidR="00E8795C" w:rsidRPr="00CC4F92" w:rsidRDefault="002D533C" w:rsidP="0005108C">
      <w:pPr>
        <w:pStyle w:val="Balk2"/>
        <w:numPr>
          <w:ilvl w:val="1"/>
          <w:numId w:val="3"/>
        </w:numPr>
        <w:spacing w:before="120" w:after="120"/>
        <w:ind w:left="426"/>
      </w:pPr>
      <w:bookmarkStart w:id="6" w:name="_Toc98149745"/>
      <w:r w:rsidRPr="00CC4F92">
        <w:t>Soruşturma ve g</w:t>
      </w:r>
      <w:r w:rsidR="00AD0FB0" w:rsidRPr="00CC4F92">
        <w:t xml:space="preserve">özden </w:t>
      </w:r>
      <w:r w:rsidR="00272E1D" w:rsidRPr="00CC4F92">
        <w:t>geçirme</w:t>
      </w:r>
      <w:r w:rsidR="00E8795C" w:rsidRPr="00CC4F92">
        <w:t xml:space="preserve"> dönemi</w:t>
      </w:r>
      <w:bookmarkEnd w:id="6"/>
      <w:r w:rsidR="00E8795C" w:rsidRPr="00CC4F92">
        <w:t xml:space="preserve"> </w:t>
      </w:r>
    </w:p>
    <w:p w:rsidR="00087117" w:rsidRPr="0005108C" w:rsidRDefault="00272E1D" w:rsidP="00CC4F92">
      <w:pPr>
        <w:pStyle w:val="Default"/>
        <w:numPr>
          <w:ilvl w:val="0"/>
          <w:numId w:val="6"/>
        </w:numPr>
        <w:ind w:firstLine="0"/>
        <w:jc w:val="both"/>
        <w:rPr>
          <w:color w:val="auto"/>
        </w:rPr>
      </w:pPr>
      <w:bookmarkStart w:id="7" w:name="_Toc317854276"/>
      <w:r w:rsidRPr="0005108C">
        <w:rPr>
          <w:color w:val="auto"/>
        </w:rPr>
        <w:t>M</w:t>
      </w:r>
      <w:r w:rsidR="0005108C" w:rsidRPr="0005108C">
        <w:rPr>
          <w:color w:val="auto"/>
        </w:rPr>
        <w:t>evcut önlemlerin yürürlükten kalkması durumunda, dampingin ve zararın devam etmesinin veya yeniden meydana gelmesinin muhtemel olup olmadığının tespiti için 1/1/2018-31/12/2021 arasındaki dönem gözden geçirme dönemi olarak alınmıştır</w:t>
      </w:r>
      <w:r w:rsidR="00C069B1" w:rsidRPr="0005108C">
        <w:rPr>
          <w:color w:val="auto"/>
        </w:rPr>
        <w:t>.</w:t>
      </w:r>
    </w:p>
    <w:p w:rsidR="00E8795C" w:rsidRPr="00CC4F92" w:rsidRDefault="00E8795C" w:rsidP="00CC4F92">
      <w:pPr>
        <w:pStyle w:val="Balk2"/>
        <w:numPr>
          <w:ilvl w:val="1"/>
          <w:numId w:val="3"/>
        </w:numPr>
        <w:ind w:left="426"/>
      </w:pPr>
      <w:bookmarkStart w:id="8" w:name="_Toc317854277"/>
      <w:bookmarkStart w:id="9" w:name="_Toc98149746"/>
      <w:bookmarkEnd w:id="7"/>
      <w:r w:rsidRPr="00CC4F92">
        <w:t>İlgili tarafların bilgilendirilmesi, dinlenmesi ve bilgilerin değerlendirilmesi</w:t>
      </w:r>
      <w:bookmarkEnd w:id="8"/>
      <w:bookmarkEnd w:id="9"/>
    </w:p>
    <w:p w:rsidR="0005108C" w:rsidRPr="0005108C" w:rsidRDefault="00E8795C" w:rsidP="0005108C">
      <w:pPr>
        <w:pStyle w:val="Default"/>
        <w:numPr>
          <w:ilvl w:val="0"/>
          <w:numId w:val="7"/>
        </w:numPr>
        <w:spacing w:before="120" w:after="120"/>
        <w:ind w:firstLine="0"/>
        <w:jc w:val="both"/>
        <w:rPr>
          <w:color w:val="auto"/>
        </w:rPr>
      </w:pPr>
      <w:r w:rsidRPr="0005108C">
        <w:rPr>
          <w:color w:val="auto"/>
        </w:rPr>
        <w:t>S</w:t>
      </w:r>
      <w:r w:rsidR="0005108C" w:rsidRPr="0005108C">
        <w:rPr>
          <w:color w:val="auto"/>
        </w:rPr>
        <w:t xml:space="preserve">oruşturma açılmasını müteakip, soruşturma konusu ürünün Bakanlık tarafından tespit edilen </w:t>
      </w:r>
      <w:proofErr w:type="spellStart"/>
      <w:r w:rsidR="0005108C" w:rsidRPr="0005108C">
        <w:rPr>
          <w:color w:val="auto"/>
        </w:rPr>
        <w:t>ÇHC’de</w:t>
      </w:r>
      <w:proofErr w:type="spellEnd"/>
      <w:r w:rsidR="0005108C" w:rsidRPr="0005108C">
        <w:rPr>
          <w:color w:val="auto"/>
        </w:rPr>
        <w:t xml:space="preserve"> yerleşik üreticilerine/ihracatçılarına, </w:t>
      </w:r>
      <w:r w:rsidR="0005108C" w:rsidRPr="0005108C">
        <w:rPr>
          <w:color w:val="auto"/>
          <w:szCs w:val="20"/>
        </w:rPr>
        <w:t xml:space="preserve">Türkiye’de yerleşik </w:t>
      </w:r>
      <w:r w:rsidR="0005108C" w:rsidRPr="0005108C">
        <w:rPr>
          <w:color w:val="auto"/>
        </w:rPr>
        <w:t>ithalatçılarına</w:t>
      </w:r>
      <w:r w:rsidR="0005108C" w:rsidRPr="0005108C">
        <w:rPr>
          <w:color w:val="auto"/>
          <w:szCs w:val="20"/>
        </w:rPr>
        <w:t xml:space="preserve"> ve ayrıca </w:t>
      </w:r>
      <w:proofErr w:type="spellStart"/>
      <w:r w:rsidR="0005108C" w:rsidRPr="0005108C">
        <w:rPr>
          <w:color w:val="auto"/>
          <w:szCs w:val="20"/>
        </w:rPr>
        <w:t>ÇHC’de</w:t>
      </w:r>
      <w:proofErr w:type="spellEnd"/>
      <w:r w:rsidR="0005108C" w:rsidRPr="0005108C">
        <w:rPr>
          <w:color w:val="auto"/>
          <w:szCs w:val="20"/>
        </w:rPr>
        <w:t xml:space="preserve"> yerleşik diğer üreticilere/ihracatçılara iletilebilmesini </w:t>
      </w:r>
      <w:proofErr w:type="spellStart"/>
      <w:r w:rsidR="0005108C" w:rsidRPr="0005108C">
        <w:rPr>
          <w:color w:val="auto"/>
          <w:szCs w:val="20"/>
        </w:rPr>
        <w:t>teminen</w:t>
      </w:r>
      <w:proofErr w:type="spellEnd"/>
      <w:r w:rsidR="0005108C" w:rsidRPr="0005108C">
        <w:rPr>
          <w:color w:val="auto"/>
          <w:szCs w:val="20"/>
        </w:rPr>
        <w:t xml:space="preserve"> </w:t>
      </w:r>
      <w:r w:rsidR="0005108C" w:rsidRPr="0005108C">
        <w:rPr>
          <w:color w:val="auto"/>
        </w:rPr>
        <w:t xml:space="preserve">anılan ülkenin </w:t>
      </w:r>
      <w:r w:rsidR="0005108C" w:rsidRPr="0005108C">
        <w:rPr>
          <w:color w:val="auto"/>
          <w:szCs w:val="20"/>
        </w:rPr>
        <w:t>Ankara Büyükelçiliği’ne soruşturmanın açılışına ilişkin bildirimde bulunulmuştur.</w:t>
      </w:r>
    </w:p>
    <w:p w:rsidR="0005108C" w:rsidRPr="0005108C" w:rsidRDefault="0005108C" w:rsidP="0005108C">
      <w:pPr>
        <w:pStyle w:val="Default"/>
        <w:numPr>
          <w:ilvl w:val="0"/>
          <w:numId w:val="7"/>
        </w:numPr>
        <w:spacing w:before="120" w:after="120"/>
        <w:ind w:firstLine="0"/>
        <w:jc w:val="both"/>
        <w:rPr>
          <w:color w:val="auto"/>
          <w:szCs w:val="20"/>
        </w:rPr>
      </w:pPr>
      <w:r w:rsidRPr="0005108C">
        <w:rPr>
          <w:color w:val="auto"/>
        </w:rPr>
        <w:t>Bildirimde</w:t>
      </w:r>
      <w:r w:rsidRPr="0005108C">
        <w:rPr>
          <w:color w:val="auto"/>
          <w:szCs w:val="20"/>
        </w:rPr>
        <w:t>, soruşturma açılış Tebliğine, başvurunun gizli olmayan özetine ve soru formlarına nereden erişilebileceği hususunda bilgi verilmiştir.</w:t>
      </w:r>
    </w:p>
    <w:p w:rsidR="0005108C" w:rsidRPr="0005108C" w:rsidRDefault="0005108C" w:rsidP="0005108C">
      <w:pPr>
        <w:pStyle w:val="Default"/>
        <w:numPr>
          <w:ilvl w:val="0"/>
          <w:numId w:val="7"/>
        </w:numPr>
        <w:spacing w:before="120" w:after="120"/>
        <w:ind w:firstLine="0"/>
        <w:jc w:val="both"/>
        <w:rPr>
          <w:color w:val="auto"/>
          <w:szCs w:val="20"/>
        </w:rPr>
      </w:pPr>
      <w:r w:rsidRPr="0005108C">
        <w:rPr>
          <w:color w:val="auto"/>
          <w:szCs w:val="20"/>
        </w:rPr>
        <w:t xml:space="preserve">Taraflara görüş bildirme ve soru formlarını yanıtlamaları için posta süresi dâhil 37 gün süre </w:t>
      </w:r>
      <w:r w:rsidRPr="0005108C">
        <w:rPr>
          <w:color w:val="auto"/>
        </w:rPr>
        <w:t>tanınmıştır</w:t>
      </w:r>
      <w:r w:rsidRPr="0005108C">
        <w:rPr>
          <w:color w:val="auto"/>
          <w:szCs w:val="20"/>
        </w:rPr>
        <w:t>.</w:t>
      </w:r>
    </w:p>
    <w:p w:rsidR="0005108C" w:rsidRPr="0005108C" w:rsidRDefault="0005108C" w:rsidP="0005108C">
      <w:pPr>
        <w:pStyle w:val="Default"/>
        <w:numPr>
          <w:ilvl w:val="0"/>
          <w:numId w:val="7"/>
        </w:numPr>
        <w:spacing w:before="120" w:after="120"/>
        <w:ind w:firstLine="0"/>
        <w:jc w:val="both"/>
        <w:rPr>
          <w:color w:val="auto"/>
          <w:szCs w:val="20"/>
        </w:rPr>
      </w:pPr>
      <w:r w:rsidRPr="0005108C">
        <w:rPr>
          <w:color w:val="auto"/>
          <w:szCs w:val="20"/>
        </w:rPr>
        <w:t xml:space="preserve">Yerli üretim dalı, soruşturma süresi boyunca Bakanlık ile işbirliği içinde olmuş ve gerektiğinde talep edilen ilave bilgileri temin etmiştir. </w:t>
      </w:r>
    </w:p>
    <w:p w:rsidR="0005108C" w:rsidRPr="0005108C" w:rsidRDefault="0005108C" w:rsidP="0005108C">
      <w:pPr>
        <w:pStyle w:val="Default"/>
        <w:numPr>
          <w:ilvl w:val="0"/>
          <w:numId w:val="7"/>
        </w:numPr>
        <w:spacing w:before="120" w:after="120"/>
        <w:ind w:firstLine="0"/>
        <w:jc w:val="both"/>
        <w:rPr>
          <w:color w:val="auto"/>
          <w:szCs w:val="20"/>
        </w:rPr>
      </w:pPr>
      <w:r w:rsidRPr="0005108C">
        <w:rPr>
          <w:color w:val="auto"/>
        </w:rPr>
        <w:t xml:space="preserve">Soruşturma konusu ürününün </w:t>
      </w:r>
      <w:proofErr w:type="spellStart"/>
      <w:r w:rsidRPr="0005108C">
        <w:rPr>
          <w:color w:val="auto"/>
        </w:rPr>
        <w:t>ÇHC’den</w:t>
      </w:r>
      <w:proofErr w:type="spellEnd"/>
      <w:r w:rsidRPr="0005108C">
        <w:rPr>
          <w:color w:val="auto"/>
        </w:rPr>
        <w:t xml:space="preserve"> ithalatını gerçekleştirdiği tespit edilen ithalatçı firmalara soruşturma açılışına ilişkin bildirimde bulunulmuş olup, ilgili soru formunu yanıtlayan ithalatçı olmamıştır.</w:t>
      </w:r>
    </w:p>
    <w:p w:rsidR="0005108C" w:rsidRPr="0005108C" w:rsidRDefault="0005108C" w:rsidP="0005108C">
      <w:pPr>
        <w:pStyle w:val="ListeParagraf"/>
        <w:numPr>
          <w:ilvl w:val="0"/>
          <w:numId w:val="7"/>
        </w:numPr>
        <w:spacing w:before="120" w:after="120"/>
        <w:ind w:firstLine="0"/>
        <w:jc w:val="both"/>
      </w:pPr>
      <w:r w:rsidRPr="0005108C">
        <w:rPr>
          <w:szCs w:val="20"/>
        </w:rPr>
        <w:t xml:space="preserve">Türkiye’ye ÇHC menşeli soruşturma konusu ürünün ihracatını gerçekleştirdiği tespit edilen üretici/ihracatçı firmalara soruşturma açılışına ilişkin bildirim gönderilmiş olup; ilgili </w:t>
      </w:r>
      <w:r w:rsidRPr="0005108C">
        <w:t xml:space="preserve">soru formunu yanıtlayan üretici/ihracatçı firma olmamıştır. </w:t>
      </w:r>
    </w:p>
    <w:p w:rsidR="0005108C" w:rsidRPr="0005108C" w:rsidRDefault="0005108C" w:rsidP="0005108C">
      <w:pPr>
        <w:pStyle w:val="ListeParagraf"/>
        <w:numPr>
          <w:ilvl w:val="0"/>
          <w:numId w:val="7"/>
        </w:numPr>
        <w:spacing w:before="120" w:after="120"/>
        <w:ind w:firstLine="0"/>
        <w:jc w:val="both"/>
      </w:pPr>
      <w:r w:rsidRPr="0005108C">
        <w:t>Nihai bildirim sonrasında, ilgili tarafların nihai bildirime ilişkin görüşlerini sözlü olarak da sunmalarına imkân tanımak amacıyla bir kamu dinleme toplantısı yapılması planlanmış olup; talep eden firma olmaması sebebiyle toplantı yapılmamıştır.</w:t>
      </w:r>
    </w:p>
    <w:p w:rsidR="00A0541E" w:rsidRPr="0005108C" w:rsidRDefault="0005108C" w:rsidP="0005108C">
      <w:pPr>
        <w:pStyle w:val="Default"/>
        <w:numPr>
          <w:ilvl w:val="0"/>
          <w:numId w:val="7"/>
        </w:numPr>
        <w:spacing w:before="120" w:after="120"/>
        <w:ind w:firstLine="0"/>
        <w:jc w:val="both"/>
        <w:rPr>
          <w:color w:val="auto"/>
        </w:rPr>
      </w:pPr>
      <w:r w:rsidRPr="0005108C">
        <w:rPr>
          <w:color w:val="auto"/>
          <w:szCs w:val="20"/>
        </w:rPr>
        <w:t xml:space="preserve"> Tarafların işbu soruşturma boyunca ortaya koyduğu tüm bilgi, belge ve görüşler incelenmiş, mezkûr görüşlerden mevzuat kapsamında değerlendirilebilecek olanlara bu raporun ilgili bölümlerinde yer verilmiştir</w:t>
      </w:r>
      <w:r w:rsidR="00A0541E" w:rsidRPr="0005108C">
        <w:rPr>
          <w:color w:val="auto"/>
          <w:szCs w:val="20"/>
        </w:rPr>
        <w:t>.</w:t>
      </w:r>
    </w:p>
    <w:p w:rsidR="009D4B01" w:rsidRPr="006B276C" w:rsidRDefault="000337B5" w:rsidP="0005108C">
      <w:pPr>
        <w:pStyle w:val="Balk2"/>
        <w:numPr>
          <w:ilvl w:val="1"/>
          <w:numId w:val="3"/>
        </w:numPr>
        <w:spacing w:before="120" w:after="120"/>
        <w:ind w:left="426"/>
      </w:pPr>
      <w:bookmarkStart w:id="10" w:name="_Toc317854278"/>
      <w:bookmarkStart w:id="11" w:name="_Toc98149747"/>
      <w:r w:rsidRPr="006B276C">
        <w:t>Yerinde</w:t>
      </w:r>
      <w:r w:rsidR="009D4B01" w:rsidRPr="006B276C">
        <w:t xml:space="preserve"> doğrulama </w:t>
      </w:r>
      <w:bookmarkEnd w:id="10"/>
      <w:r w:rsidR="00283B09" w:rsidRPr="006B276C">
        <w:t>incelemesi</w:t>
      </w:r>
      <w:bookmarkEnd w:id="11"/>
    </w:p>
    <w:p w:rsidR="00160749" w:rsidRPr="0005108C" w:rsidRDefault="009D4B01" w:rsidP="0005108C">
      <w:pPr>
        <w:pStyle w:val="Default"/>
        <w:numPr>
          <w:ilvl w:val="0"/>
          <w:numId w:val="8"/>
        </w:numPr>
        <w:spacing w:before="120" w:after="120"/>
        <w:ind w:firstLine="0"/>
        <w:jc w:val="both"/>
        <w:rPr>
          <w:color w:val="auto"/>
        </w:rPr>
      </w:pPr>
      <w:r w:rsidRPr="0005108C">
        <w:rPr>
          <w:color w:val="auto"/>
        </w:rPr>
        <w:t>Y</w:t>
      </w:r>
      <w:r w:rsidR="0005108C" w:rsidRPr="0005108C">
        <w:rPr>
          <w:color w:val="auto"/>
        </w:rPr>
        <w:t xml:space="preserve">önetmeliğin 21 inci maddesi çerçevesinde, başvuru sahibi yerli üretici </w:t>
      </w:r>
      <w:proofErr w:type="spellStart"/>
      <w:r w:rsidR="0005108C" w:rsidRPr="0005108C">
        <w:rPr>
          <w:color w:val="auto"/>
        </w:rPr>
        <w:t>Oerlikon</w:t>
      </w:r>
      <w:proofErr w:type="spellEnd"/>
      <w:r w:rsidR="0005108C" w:rsidRPr="0005108C">
        <w:rPr>
          <w:color w:val="auto"/>
        </w:rPr>
        <w:t xml:space="preserve"> firması nezdinde 17-18 Kasım 2022 tarihlerinde yerinde, 25 Kasım 2022 tarihinde ise çevrim içi doğrulama incelemesi gerçekleştirilmiştir</w:t>
      </w:r>
      <w:r w:rsidR="00160749" w:rsidRPr="0005108C">
        <w:rPr>
          <w:color w:val="auto"/>
        </w:rPr>
        <w:t xml:space="preserve">. </w:t>
      </w:r>
      <w:r w:rsidR="0046238C" w:rsidRPr="0005108C">
        <w:rPr>
          <w:color w:val="auto"/>
        </w:rPr>
        <w:t xml:space="preserve"> </w:t>
      </w:r>
    </w:p>
    <w:p w:rsidR="009053B4" w:rsidRPr="00047414" w:rsidRDefault="009053B4" w:rsidP="00490F89">
      <w:pPr>
        <w:pStyle w:val="Balk1"/>
        <w:numPr>
          <w:ilvl w:val="0"/>
          <w:numId w:val="3"/>
        </w:numPr>
        <w:spacing w:before="120" w:after="120"/>
        <w:rPr>
          <w:rFonts w:ascii="Times New Roman" w:hAnsi="Times New Roman" w:cs="Times New Roman"/>
          <w:sz w:val="24"/>
        </w:rPr>
      </w:pPr>
      <w:bookmarkStart w:id="12" w:name="_Toc98149748"/>
      <w:r w:rsidRPr="00047414">
        <w:rPr>
          <w:rFonts w:ascii="Times New Roman" w:hAnsi="Times New Roman" w:cs="Times New Roman"/>
          <w:sz w:val="24"/>
        </w:rPr>
        <w:t>Soruşturma Konusu Ürün ve Benzer Ürün</w:t>
      </w:r>
      <w:bookmarkEnd w:id="12"/>
    </w:p>
    <w:p w:rsidR="009053B4" w:rsidRPr="00CC4F92" w:rsidRDefault="009148B5" w:rsidP="00490F89">
      <w:pPr>
        <w:pStyle w:val="Balk2"/>
        <w:numPr>
          <w:ilvl w:val="1"/>
          <w:numId w:val="3"/>
        </w:numPr>
        <w:spacing w:before="120" w:after="120"/>
        <w:ind w:left="426"/>
      </w:pPr>
      <w:bookmarkStart w:id="13" w:name="_Toc98149749"/>
      <w:r w:rsidRPr="00CC4F92">
        <w:t xml:space="preserve">Soruşturma </w:t>
      </w:r>
      <w:r w:rsidR="009C6A07" w:rsidRPr="00CC4F92">
        <w:t xml:space="preserve">konusu ürün </w:t>
      </w:r>
      <w:r w:rsidR="002C4BD9" w:rsidRPr="00CC4F92">
        <w:t>ve benzer ürün</w:t>
      </w:r>
      <w:bookmarkEnd w:id="13"/>
    </w:p>
    <w:p w:rsidR="00536E9E" w:rsidRPr="00490F89" w:rsidRDefault="00536E9E" w:rsidP="00490F89">
      <w:pPr>
        <w:spacing w:before="120" w:after="120"/>
        <w:jc w:val="both"/>
      </w:pPr>
      <w:r w:rsidRPr="00490F89">
        <w:t xml:space="preserve">(1) </w:t>
      </w:r>
      <w:r w:rsidR="00B30F9B" w:rsidRPr="00490F89">
        <w:t>S</w:t>
      </w:r>
      <w:r w:rsidR="0005108C" w:rsidRPr="00490F89">
        <w:rPr>
          <w:bCs/>
        </w:rPr>
        <w:t xml:space="preserve">oruşturma konusu ürün, 8311.20.00.00.00 </w:t>
      </w:r>
      <w:proofErr w:type="spellStart"/>
      <w:r w:rsidR="0005108C" w:rsidRPr="00490F89">
        <w:rPr>
          <w:bCs/>
        </w:rPr>
        <w:t>GTİP’i</w:t>
      </w:r>
      <w:proofErr w:type="spellEnd"/>
      <w:r w:rsidR="0005108C" w:rsidRPr="00490F89">
        <w:rPr>
          <w:bCs/>
        </w:rPr>
        <w:t xml:space="preserve"> altında kayıtlı “adi metallerden içi doldurulmuş teller (elektrikli ark kaynağı yapmak için)”</w:t>
      </w:r>
      <w:proofErr w:type="spellStart"/>
      <w:r w:rsidR="0005108C" w:rsidRPr="00490F89">
        <w:rPr>
          <w:bCs/>
        </w:rPr>
        <w:t>dir</w:t>
      </w:r>
      <w:proofErr w:type="spellEnd"/>
      <w:r w:rsidR="0005108C" w:rsidRPr="00490F89">
        <w:rPr>
          <w:bCs/>
        </w:rPr>
        <w:t>. Söz konusu ürün özlü kaynak telleri olarak adlandırılmaktadır</w:t>
      </w:r>
      <w:r w:rsidRPr="00490F89">
        <w:t>.</w:t>
      </w:r>
    </w:p>
    <w:p w:rsidR="00490F89" w:rsidRPr="00490F89" w:rsidRDefault="00536E9E" w:rsidP="00490F89">
      <w:pPr>
        <w:spacing w:before="120" w:after="120"/>
        <w:jc w:val="both"/>
      </w:pPr>
      <w:r w:rsidRPr="00490F89">
        <w:t xml:space="preserve">(2) </w:t>
      </w:r>
      <w:r w:rsidR="00490F89" w:rsidRPr="00490F89">
        <w:t xml:space="preserve">Özlü kaynak telleri diğer sarf malzemeleri gibi temel olarak kaynak yapmak amacıyla kullanılır. Kenetli ve </w:t>
      </w:r>
      <w:proofErr w:type="spellStart"/>
      <w:r w:rsidR="00490F89" w:rsidRPr="00490F89">
        <w:t>kenetsiz</w:t>
      </w:r>
      <w:proofErr w:type="spellEnd"/>
      <w:r w:rsidR="00490F89" w:rsidRPr="00490F89">
        <w:t xml:space="preserve"> olmak üzere iki ayrı üretim teknolojisiyle üretilen özlü kaynak telleri; hammadde bileşimine göre metal, bazik, </w:t>
      </w:r>
      <w:proofErr w:type="spellStart"/>
      <w:r w:rsidR="00490F89" w:rsidRPr="00490F89">
        <w:t>rutil</w:t>
      </w:r>
      <w:proofErr w:type="spellEnd"/>
      <w:r w:rsidR="00490F89" w:rsidRPr="00490F89">
        <w:t xml:space="preserve"> ve sert dolgu tipi olarak ayrıştırılabilmektedirler. Üretimin ilk aşamasında temel hammadde olan rulo halindeki sac malzemesi temizlenip dilimlenmektedir. Dilimlenen çelik levhaların uzun kenarları birbirine yaklaştırılarak bükülmekte, içlerine metal ve mineral esaslı kaynak tozu bileşimi (öz) doldurulmaktadır. Öz, başta </w:t>
      </w:r>
      <w:proofErr w:type="spellStart"/>
      <w:r w:rsidR="00490F89" w:rsidRPr="00490F89">
        <w:t>rutil</w:t>
      </w:r>
      <w:proofErr w:type="spellEnd"/>
      <w:r w:rsidR="00490F89" w:rsidRPr="00490F89">
        <w:t xml:space="preserve"> olmak üzere çeşitli hammaddelerin harmanlanarak homojen hale getirilmesiyle oluşturulan bir bileşim olup özün tellerin içerisine eşit ve homojen biçimde dağılımı, kaynak telinin kalitesini etkileyen başlıca unsurlardan biridir. Teller içlerine özün yerleştirilmesinin akabinde silindir haline getirilmekte, "çekme" yöntemiyle de inceltilmeye başlanmaktadır. Nihai inceliği tüketicinin tercihine göre 1,2 mm veya 1,6 mm olan özlü kaynak telleri, her biri 15 kilogram ağırlığında olacak şekilde bobinlere sarılarak paketlemeye alınmaktadır. Ürünün paketlenmesi de üretim süreci kadar ehemmiyete sahip olup, nihai kullanıcıya ulaşmasına kadar geçen sürede hava, nem gibi dış faktörlerden korunması gerekmektedir. Bu nedenle, bobinler hava geçirmez özel paketlere konularak vakumlanmakta, sonrasında üzerinde marka ve özelliklerin yazdığı kutulara yerleştirilmektedir.</w:t>
      </w:r>
    </w:p>
    <w:p w:rsidR="00490F89" w:rsidRPr="00490F89" w:rsidRDefault="00490F89" w:rsidP="00490F89">
      <w:pPr>
        <w:spacing w:before="120" w:after="120"/>
        <w:jc w:val="both"/>
      </w:pPr>
      <w:r w:rsidRPr="00490F89">
        <w:t>(3) Gemilerde, çelik konstrüksiyon, kap ve kazan, depolama tankları ve basınçlı boruların birleştirme kaynaklarında ve çimento, demiryolları, demir çelik fabrikaları gibi işletmelerde tamir bakım kaynaklarında kullanılmaktadır.</w:t>
      </w:r>
    </w:p>
    <w:p w:rsidR="00490F89" w:rsidRPr="00490F89" w:rsidRDefault="00490F89" w:rsidP="00490F89">
      <w:pPr>
        <w:spacing w:before="120" w:after="120"/>
        <w:jc w:val="both"/>
      </w:pPr>
      <w:r w:rsidRPr="00490F89">
        <w:t>(4) 2011/16 ve 2017/3 sayılı Tebliğler ile sonuçlandırılan soruşturmalarda yerli üretim dalı tarafından üretilen ürün ile önleme konu ülke menşeli ürün arasında fiziksel özellikler, ürün çeşitliliği ve kullanım alanları olarak “benzer ürün” tanımı açısından ayrım yaratan herhangi bir farklılık bulunmadığı tespit edilmiştir. Bu defa da ilgili başvuru kapsamında yapılan değerlendirmede, İthalatta Haksız Rekabetin Önlenmesi Hakkında Yönetmeliğin 4 üncü maddesi çerçevesinde benzer ürüne yönelik tespiti değiştirecek herhangi bir bulguya rastlanılmamıştır.</w:t>
      </w:r>
    </w:p>
    <w:p w:rsidR="000A0FD7" w:rsidRPr="00490F89" w:rsidRDefault="00490F89" w:rsidP="00490F89">
      <w:pPr>
        <w:pStyle w:val="metin"/>
        <w:spacing w:before="120" w:beforeAutospacing="0" w:after="120" w:afterAutospacing="0"/>
        <w:jc w:val="both"/>
      </w:pPr>
      <w:r w:rsidRPr="00490F89">
        <w:t>(5) Soruşturma konusu ürün ve benzer ürün ile ilgili açıklamalar bağlayıcı nitelikte olmayıp genel içerikli ve bilgi amaçlıdır</w:t>
      </w:r>
      <w:r w:rsidR="001A3D1F" w:rsidRPr="00490F89">
        <w:t>.</w:t>
      </w:r>
    </w:p>
    <w:p w:rsidR="00581F60" w:rsidRPr="00490F89" w:rsidRDefault="00581F60" w:rsidP="00490F89">
      <w:pPr>
        <w:pStyle w:val="Balk2"/>
        <w:numPr>
          <w:ilvl w:val="1"/>
          <w:numId w:val="3"/>
        </w:numPr>
        <w:spacing w:before="120" w:after="120"/>
        <w:ind w:left="426"/>
      </w:pPr>
      <w:bookmarkStart w:id="14" w:name="_Toc519505558"/>
      <w:bookmarkStart w:id="15" w:name="_Toc98149750"/>
      <w:r w:rsidRPr="00490F89">
        <w:t xml:space="preserve">Ürünün </w:t>
      </w:r>
      <w:r w:rsidR="003D5FA7" w:rsidRPr="00490F89">
        <w:t xml:space="preserve">ithalinde uygulanan </w:t>
      </w:r>
      <w:bookmarkEnd w:id="14"/>
      <w:r w:rsidR="003D5FA7" w:rsidRPr="00490F89">
        <w:t>vergi oranları ve diğer yükümlülükler</w:t>
      </w:r>
      <w:bookmarkEnd w:id="15"/>
    </w:p>
    <w:p w:rsidR="00536E9E" w:rsidRPr="00490F89" w:rsidRDefault="00B30F9B" w:rsidP="00490F89">
      <w:pPr>
        <w:numPr>
          <w:ilvl w:val="0"/>
          <w:numId w:val="32"/>
        </w:numPr>
        <w:tabs>
          <w:tab w:val="left" w:pos="426"/>
        </w:tabs>
        <w:spacing w:before="120" w:after="120"/>
        <w:ind w:left="0" w:firstLine="0"/>
        <w:jc w:val="both"/>
      </w:pPr>
      <w:r w:rsidRPr="00490F89">
        <w:rPr>
          <w:lang w:eastAsia="en-US"/>
        </w:rPr>
        <w:t>S</w:t>
      </w:r>
      <w:r w:rsidR="00490F89" w:rsidRPr="00490F89">
        <w:rPr>
          <w:lang w:eastAsia="en-US"/>
        </w:rPr>
        <w:t>oruşturma konusu ürün için meri İthalat Rejimi Kararı çerçevesinde belirlenen gümrük vergileri aşağıda yer almaktadır. Buna göre, soruşturma konusu ürünün ÇHC menşeli olanlarının ithalinde %2,7 gümrük vergisi, %18 katma değer vergisi (KDV) uygulanmaktadır. İnceleme dönemi boyunca da aynı oranlarda gümrük vergisi ve KDV uygulanmıştır</w:t>
      </w:r>
      <w:r w:rsidR="00536E9E" w:rsidRPr="00490F89">
        <w:t>.</w:t>
      </w:r>
    </w:p>
    <w:tbl>
      <w:tblPr>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74"/>
        <w:gridCol w:w="709"/>
        <w:gridCol w:w="709"/>
        <w:gridCol w:w="611"/>
        <w:gridCol w:w="709"/>
        <w:gridCol w:w="850"/>
        <w:gridCol w:w="851"/>
        <w:gridCol w:w="850"/>
        <w:gridCol w:w="1510"/>
      </w:tblGrid>
      <w:tr w:rsidR="00490F89" w:rsidRPr="00490F89" w:rsidTr="00A13F71">
        <w:trPr>
          <w:trHeight w:val="315"/>
          <w:jc w:val="center"/>
        </w:trPr>
        <w:tc>
          <w:tcPr>
            <w:tcW w:w="2274" w:type="dxa"/>
            <w:shd w:val="clear" w:color="auto" w:fill="auto"/>
            <w:noWrap/>
            <w:vAlign w:val="center"/>
          </w:tcPr>
          <w:p w:rsidR="00490F89" w:rsidRPr="00490F89" w:rsidRDefault="00490F89" w:rsidP="00A13F71">
            <w:pPr>
              <w:rPr>
                <w:sz w:val="22"/>
                <w:szCs w:val="22"/>
              </w:rPr>
            </w:pPr>
          </w:p>
        </w:tc>
        <w:tc>
          <w:tcPr>
            <w:tcW w:w="6799" w:type="dxa"/>
            <w:gridSpan w:val="8"/>
            <w:vAlign w:val="center"/>
          </w:tcPr>
          <w:p w:rsidR="00490F89" w:rsidRPr="00490F89" w:rsidRDefault="00490F89" w:rsidP="00A13F71">
            <w:pPr>
              <w:jc w:val="center"/>
              <w:rPr>
                <w:b/>
                <w:bCs/>
                <w:sz w:val="22"/>
                <w:szCs w:val="22"/>
              </w:rPr>
            </w:pPr>
            <w:r w:rsidRPr="00490F89">
              <w:rPr>
                <w:b/>
                <w:bCs/>
                <w:sz w:val="22"/>
                <w:szCs w:val="22"/>
              </w:rPr>
              <w:t>GÜMRÜK VERGİSİ ORANI (%)</w:t>
            </w:r>
          </w:p>
        </w:tc>
      </w:tr>
      <w:tr w:rsidR="00490F89" w:rsidRPr="00490F89" w:rsidTr="00A13F71">
        <w:trPr>
          <w:trHeight w:val="315"/>
          <w:jc w:val="center"/>
        </w:trPr>
        <w:tc>
          <w:tcPr>
            <w:tcW w:w="2274" w:type="dxa"/>
            <w:vMerge w:val="restart"/>
            <w:shd w:val="clear" w:color="auto" w:fill="auto"/>
            <w:noWrap/>
            <w:vAlign w:val="center"/>
          </w:tcPr>
          <w:p w:rsidR="00490F89" w:rsidRPr="00490F89" w:rsidRDefault="00490F89" w:rsidP="00A13F71">
            <w:pPr>
              <w:rPr>
                <w:sz w:val="22"/>
                <w:szCs w:val="22"/>
              </w:rPr>
            </w:pPr>
            <w:r w:rsidRPr="00490F89">
              <w:rPr>
                <w:b/>
                <w:bCs/>
                <w:sz w:val="22"/>
                <w:szCs w:val="22"/>
              </w:rPr>
              <w:t xml:space="preserve">             G.T.İ.P.</w:t>
            </w:r>
          </w:p>
        </w:tc>
        <w:tc>
          <w:tcPr>
            <w:tcW w:w="709" w:type="dxa"/>
            <w:vMerge w:val="restart"/>
            <w:shd w:val="clear" w:color="auto" w:fill="auto"/>
            <w:noWrap/>
            <w:vAlign w:val="center"/>
            <w:hideMark/>
          </w:tcPr>
          <w:p w:rsidR="00490F89" w:rsidRPr="00490F89" w:rsidRDefault="00490F89" w:rsidP="00A13F71">
            <w:pPr>
              <w:jc w:val="center"/>
              <w:rPr>
                <w:b/>
                <w:bCs/>
                <w:sz w:val="22"/>
                <w:szCs w:val="22"/>
              </w:rPr>
            </w:pPr>
            <w:r w:rsidRPr="00490F89">
              <w:rPr>
                <w:b/>
                <w:bCs/>
                <w:sz w:val="22"/>
                <w:szCs w:val="22"/>
              </w:rPr>
              <w:t>1</w:t>
            </w:r>
          </w:p>
        </w:tc>
        <w:tc>
          <w:tcPr>
            <w:tcW w:w="709" w:type="dxa"/>
            <w:vMerge w:val="restart"/>
            <w:shd w:val="clear" w:color="auto" w:fill="auto"/>
            <w:noWrap/>
            <w:vAlign w:val="center"/>
            <w:hideMark/>
          </w:tcPr>
          <w:p w:rsidR="00490F89" w:rsidRPr="00490F89" w:rsidRDefault="00490F89" w:rsidP="00A13F71">
            <w:pPr>
              <w:jc w:val="center"/>
              <w:rPr>
                <w:b/>
                <w:bCs/>
                <w:sz w:val="22"/>
                <w:szCs w:val="22"/>
              </w:rPr>
            </w:pPr>
            <w:r w:rsidRPr="00490F89">
              <w:rPr>
                <w:b/>
                <w:bCs/>
                <w:sz w:val="22"/>
                <w:szCs w:val="22"/>
              </w:rPr>
              <w:t>2</w:t>
            </w:r>
          </w:p>
        </w:tc>
        <w:tc>
          <w:tcPr>
            <w:tcW w:w="611" w:type="dxa"/>
            <w:vMerge w:val="restart"/>
            <w:vAlign w:val="center"/>
          </w:tcPr>
          <w:p w:rsidR="00490F89" w:rsidRPr="00490F89" w:rsidRDefault="00490F89" w:rsidP="00A13F71">
            <w:pPr>
              <w:jc w:val="center"/>
              <w:rPr>
                <w:b/>
                <w:bCs/>
                <w:sz w:val="22"/>
                <w:szCs w:val="22"/>
              </w:rPr>
            </w:pPr>
            <w:r w:rsidRPr="00490F89">
              <w:rPr>
                <w:b/>
                <w:bCs/>
                <w:sz w:val="22"/>
                <w:szCs w:val="22"/>
              </w:rPr>
              <w:t>3</w:t>
            </w:r>
          </w:p>
        </w:tc>
        <w:tc>
          <w:tcPr>
            <w:tcW w:w="709" w:type="dxa"/>
            <w:vMerge w:val="restart"/>
            <w:shd w:val="clear" w:color="auto" w:fill="auto"/>
            <w:noWrap/>
            <w:vAlign w:val="center"/>
            <w:hideMark/>
          </w:tcPr>
          <w:p w:rsidR="00490F89" w:rsidRPr="00490F89" w:rsidRDefault="00490F89" w:rsidP="00A13F71">
            <w:pPr>
              <w:jc w:val="center"/>
              <w:rPr>
                <w:b/>
                <w:bCs/>
                <w:sz w:val="22"/>
                <w:szCs w:val="22"/>
              </w:rPr>
            </w:pPr>
            <w:r w:rsidRPr="00490F89">
              <w:rPr>
                <w:b/>
                <w:bCs/>
                <w:sz w:val="22"/>
                <w:szCs w:val="22"/>
              </w:rPr>
              <w:t>4</w:t>
            </w:r>
          </w:p>
        </w:tc>
        <w:tc>
          <w:tcPr>
            <w:tcW w:w="2551" w:type="dxa"/>
            <w:gridSpan w:val="3"/>
            <w:shd w:val="clear" w:color="auto" w:fill="auto"/>
            <w:noWrap/>
            <w:vAlign w:val="center"/>
            <w:hideMark/>
          </w:tcPr>
          <w:p w:rsidR="00490F89" w:rsidRPr="00490F89" w:rsidRDefault="00490F89" w:rsidP="00A13F71">
            <w:pPr>
              <w:jc w:val="center"/>
              <w:rPr>
                <w:b/>
                <w:bCs/>
                <w:sz w:val="22"/>
                <w:szCs w:val="22"/>
              </w:rPr>
            </w:pPr>
            <w:r w:rsidRPr="00490F89">
              <w:rPr>
                <w:b/>
                <w:bCs/>
                <w:sz w:val="22"/>
                <w:szCs w:val="22"/>
              </w:rPr>
              <w:t>GTS ÜLKELERİ</w:t>
            </w:r>
          </w:p>
        </w:tc>
        <w:tc>
          <w:tcPr>
            <w:tcW w:w="1510" w:type="dxa"/>
            <w:vMerge w:val="restart"/>
            <w:shd w:val="clear" w:color="auto" w:fill="auto"/>
            <w:noWrap/>
            <w:vAlign w:val="center"/>
            <w:hideMark/>
          </w:tcPr>
          <w:p w:rsidR="00490F89" w:rsidRPr="00490F89" w:rsidRDefault="00490F89" w:rsidP="00A13F71">
            <w:pPr>
              <w:jc w:val="center"/>
              <w:rPr>
                <w:b/>
                <w:bCs/>
                <w:sz w:val="22"/>
                <w:szCs w:val="22"/>
              </w:rPr>
            </w:pPr>
            <w:r w:rsidRPr="00490F89">
              <w:rPr>
                <w:b/>
                <w:bCs/>
                <w:sz w:val="22"/>
                <w:szCs w:val="22"/>
              </w:rPr>
              <w:t>8</w:t>
            </w:r>
          </w:p>
        </w:tc>
      </w:tr>
      <w:tr w:rsidR="00490F89" w:rsidRPr="00490F89" w:rsidTr="00A13F71">
        <w:trPr>
          <w:trHeight w:val="315"/>
          <w:jc w:val="center"/>
        </w:trPr>
        <w:tc>
          <w:tcPr>
            <w:tcW w:w="2274" w:type="dxa"/>
            <w:vMerge/>
            <w:shd w:val="clear" w:color="auto" w:fill="auto"/>
            <w:vAlign w:val="center"/>
            <w:hideMark/>
          </w:tcPr>
          <w:p w:rsidR="00490F89" w:rsidRPr="00490F89" w:rsidRDefault="00490F89" w:rsidP="00A13F71">
            <w:pPr>
              <w:rPr>
                <w:b/>
                <w:bCs/>
                <w:sz w:val="22"/>
                <w:szCs w:val="22"/>
              </w:rPr>
            </w:pPr>
          </w:p>
        </w:tc>
        <w:tc>
          <w:tcPr>
            <w:tcW w:w="709" w:type="dxa"/>
            <w:vMerge/>
            <w:vAlign w:val="center"/>
            <w:hideMark/>
          </w:tcPr>
          <w:p w:rsidR="00490F89" w:rsidRPr="00490F89" w:rsidRDefault="00490F89" w:rsidP="00A13F71">
            <w:pPr>
              <w:jc w:val="center"/>
              <w:rPr>
                <w:b/>
                <w:bCs/>
                <w:sz w:val="22"/>
                <w:szCs w:val="22"/>
              </w:rPr>
            </w:pPr>
          </w:p>
        </w:tc>
        <w:tc>
          <w:tcPr>
            <w:tcW w:w="709" w:type="dxa"/>
            <w:vMerge/>
            <w:vAlign w:val="center"/>
            <w:hideMark/>
          </w:tcPr>
          <w:p w:rsidR="00490F89" w:rsidRPr="00490F89" w:rsidRDefault="00490F89" w:rsidP="00A13F71">
            <w:pPr>
              <w:jc w:val="center"/>
              <w:rPr>
                <w:b/>
                <w:bCs/>
                <w:sz w:val="22"/>
                <w:szCs w:val="22"/>
              </w:rPr>
            </w:pPr>
          </w:p>
        </w:tc>
        <w:tc>
          <w:tcPr>
            <w:tcW w:w="611" w:type="dxa"/>
            <w:vMerge/>
            <w:vAlign w:val="center"/>
          </w:tcPr>
          <w:p w:rsidR="00490F89" w:rsidRPr="00490F89" w:rsidRDefault="00490F89" w:rsidP="00A13F71">
            <w:pPr>
              <w:jc w:val="center"/>
              <w:rPr>
                <w:b/>
                <w:bCs/>
                <w:sz w:val="22"/>
                <w:szCs w:val="22"/>
              </w:rPr>
            </w:pPr>
          </w:p>
        </w:tc>
        <w:tc>
          <w:tcPr>
            <w:tcW w:w="709" w:type="dxa"/>
            <w:vMerge/>
            <w:vAlign w:val="center"/>
            <w:hideMark/>
          </w:tcPr>
          <w:p w:rsidR="00490F89" w:rsidRPr="00490F89" w:rsidRDefault="00490F89" w:rsidP="00A13F71">
            <w:pPr>
              <w:jc w:val="center"/>
              <w:rPr>
                <w:b/>
                <w:bCs/>
                <w:sz w:val="22"/>
                <w:szCs w:val="22"/>
              </w:rPr>
            </w:pPr>
          </w:p>
        </w:tc>
        <w:tc>
          <w:tcPr>
            <w:tcW w:w="850" w:type="dxa"/>
            <w:shd w:val="clear" w:color="auto" w:fill="auto"/>
            <w:vAlign w:val="center"/>
            <w:hideMark/>
          </w:tcPr>
          <w:p w:rsidR="00490F89" w:rsidRPr="00490F89" w:rsidRDefault="00490F89" w:rsidP="00A13F71">
            <w:pPr>
              <w:jc w:val="center"/>
              <w:rPr>
                <w:b/>
                <w:bCs/>
                <w:sz w:val="22"/>
                <w:szCs w:val="22"/>
              </w:rPr>
            </w:pPr>
            <w:r w:rsidRPr="00490F89">
              <w:rPr>
                <w:b/>
                <w:bCs/>
                <w:sz w:val="22"/>
                <w:szCs w:val="22"/>
              </w:rPr>
              <w:t>5</w:t>
            </w:r>
          </w:p>
        </w:tc>
        <w:tc>
          <w:tcPr>
            <w:tcW w:w="851" w:type="dxa"/>
            <w:shd w:val="clear" w:color="auto" w:fill="auto"/>
            <w:vAlign w:val="center"/>
            <w:hideMark/>
          </w:tcPr>
          <w:p w:rsidR="00490F89" w:rsidRPr="00490F89" w:rsidRDefault="00490F89" w:rsidP="00A13F71">
            <w:pPr>
              <w:jc w:val="center"/>
              <w:rPr>
                <w:b/>
                <w:bCs/>
                <w:sz w:val="22"/>
                <w:szCs w:val="22"/>
              </w:rPr>
            </w:pPr>
            <w:r w:rsidRPr="00490F89">
              <w:rPr>
                <w:b/>
                <w:bCs/>
                <w:sz w:val="22"/>
                <w:szCs w:val="22"/>
              </w:rPr>
              <w:t>6</w:t>
            </w:r>
          </w:p>
        </w:tc>
        <w:tc>
          <w:tcPr>
            <w:tcW w:w="850" w:type="dxa"/>
            <w:shd w:val="clear" w:color="auto" w:fill="auto"/>
            <w:vAlign w:val="center"/>
            <w:hideMark/>
          </w:tcPr>
          <w:p w:rsidR="00490F89" w:rsidRPr="00490F89" w:rsidRDefault="00490F89" w:rsidP="00A13F71">
            <w:pPr>
              <w:jc w:val="center"/>
              <w:rPr>
                <w:b/>
                <w:bCs/>
                <w:sz w:val="22"/>
                <w:szCs w:val="22"/>
              </w:rPr>
            </w:pPr>
            <w:r w:rsidRPr="00490F89">
              <w:rPr>
                <w:b/>
                <w:bCs/>
                <w:sz w:val="22"/>
                <w:szCs w:val="22"/>
              </w:rPr>
              <w:t>7</w:t>
            </w:r>
          </w:p>
        </w:tc>
        <w:tc>
          <w:tcPr>
            <w:tcW w:w="1510" w:type="dxa"/>
            <w:vMerge/>
            <w:vAlign w:val="center"/>
            <w:hideMark/>
          </w:tcPr>
          <w:p w:rsidR="00490F89" w:rsidRPr="00490F89" w:rsidRDefault="00490F89" w:rsidP="00A13F71">
            <w:pPr>
              <w:jc w:val="center"/>
              <w:rPr>
                <w:b/>
                <w:bCs/>
                <w:sz w:val="22"/>
                <w:szCs w:val="22"/>
              </w:rPr>
            </w:pPr>
          </w:p>
        </w:tc>
      </w:tr>
      <w:tr w:rsidR="00490F89" w:rsidRPr="00490F89" w:rsidTr="00A13F71">
        <w:trPr>
          <w:trHeight w:val="354"/>
          <w:jc w:val="center"/>
        </w:trPr>
        <w:tc>
          <w:tcPr>
            <w:tcW w:w="2274" w:type="dxa"/>
            <w:shd w:val="clear" w:color="auto" w:fill="auto"/>
            <w:noWrap/>
            <w:vAlign w:val="center"/>
            <w:hideMark/>
          </w:tcPr>
          <w:p w:rsidR="00490F89" w:rsidRPr="00490F89" w:rsidRDefault="00490F89" w:rsidP="00A13F71">
            <w:pPr>
              <w:jc w:val="center"/>
              <w:rPr>
                <w:sz w:val="22"/>
                <w:szCs w:val="22"/>
              </w:rPr>
            </w:pPr>
            <w:r w:rsidRPr="00490F89">
              <w:rPr>
                <w:bCs/>
                <w:sz w:val="22"/>
                <w:szCs w:val="22"/>
              </w:rPr>
              <w:t>8311.20.00.00.00</w:t>
            </w:r>
          </w:p>
        </w:tc>
        <w:tc>
          <w:tcPr>
            <w:tcW w:w="709" w:type="dxa"/>
            <w:shd w:val="clear" w:color="auto" w:fill="auto"/>
            <w:noWrap/>
            <w:vAlign w:val="center"/>
            <w:hideMark/>
          </w:tcPr>
          <w:p w:rsidR="00490F89" w:rsidRPr="00490F89" w:rsidRDefault="00490F89" w:rsidP="00A13F71">
            <w:pPr>
              <w:jc w:val="center"/>
              <w:rPr>
                <w:sz w:val="22"/>
                <w:szCs w:val="22"/>
              </w:rPr>
            </w:pPr>
            <w:r w:rsidRPr="00490F89">
              <w:rPr>
                <w:sz w:val="22"/>
                <w:szCs w:val="22"/>
              </w:rPr>
              <w:t>0</w:t>
            </w:r>
          </w:p>
          <w:p w:rsidR="00490F89" w:rsidRPr="00490F89" w:rsidRDefault="00490F89" w:rsidP="00A13F71">
            <w:pPr>
              <w:jc w:val="center"/>
              <w:rPr>
                <w:sz w:val="22"/>
                <w:szCs w:val="22"/>
              </w:rPr>
            </w:pPr>
          </w:p>
        </w:tc>
        <w:tc>
          <w:tcPr>
            <w:tcW w:w="709" w:type="dxa"/>
            <w:shd w:val="clear" w:color="auto" w:fill="auto"/>
            <w:noWrap/>
            <w:vAlign w:val="center"/>
            <w:hideMark/>
          </w:tcPr>
          <w:p w:rsidR="00490F89" w:rsidRPr="00490F89" w:rsidRDefault="00490F89" w:rsidP="00A13F71">
            <w:pPr>
              <w:jc w:val="center"/>
              <w:rPr>
                <w:sz w:val="22"/>
                <w:szCs w:val="22"/>
              </w:rPr>
            </w:pPr>
          </w:p>
          <w:p w:rsidR="00490F89" w:rsidRPr="00490F89" w:rsidRDefault="00490F89" w:rsidP="00A13F71">
            <w:pPr>
              <w:jc w:val="center"/>
              <w:rPr>
                <w:sz w:val="22"/>
                <w:szCs w:val="22"/>
              </w:rPr>
            </w:pPr>
            <w:r w:rsidRPr="00490F89">
              <w:rPr>
                <w:sz w:val="22"/>
                <w:szCs w:val="22"/>
              </w:rPr>
              <w:t>0</w:t>
            </w:r>
          </w:p>
          <w:p w:rsidR="00490F89" w:rsidRPr="00490F89" w:rsidRDefault="00490F89" w:rsidP="00A13F71">
            <w:pPr>
              <w:jc w:val="center"/>
              <w:rPr>
                <w:sz w:val="22"/>
                <w:szCs w:val="22"/>
              </w:rPr>
            </w:pPr>
          </w:p>
          <w:p w:rsidR="00490F89" w:rsidRPr="00490F89" w:rsidRDefault="00490F89" w:rsidP="00A13F71">
            <w:pPr>
              <w:jc w:val="center"/>
              <w:rPr>
                <w:sz w:val="22"/>
                <w:szCs w:val="22"/>
              </w:rPr>
            </w:pPr>
          </w:p>
        </w:tc>
        <w:tc>
          <w:tcPr>
            <w:tcW w:w="611" w:type="dxa"/>
            <w:vAlign w:val="center"/>
          </w:tcPr>
          <w:p w:rsidR="00490F89" w:rsidRPr="00490F89" w:rsidRDefault="00490F89" w:rsidP="00A13F71">
            <w:pPr>
              <w:jc w:val="center"/>
              <w:rPr>
                <w:sz w:val="22"/>
                <w:szCs w:val="22"/>
              </w:rPr>
            </w:pPr>
          </w:p>
          <w:p w:rsidR="00490F89" w:rsidRPr="00490F89" w:rsidRDefault="00490F89" w:rsidP="00A13F71">
            <w:pPr>
              <w:jc w:val="center"/>
              <w:rPr>
                <w:sz w:val="22"/>
                <w:szCs w:val="22"/>
              </w:rPr>
            </w:pPr>
            <w:r w:rsidRPr="00490F89">
              <w:rPr>
                <w:sz w:val="22"/>
                <w:szCs w:val="22"/>
              </w:rPr>
              <w:t>0</w:t>
            </w:r>
          </w:p>
          <w:p w:rsidR="00490F89" w:rsidRPr="00490F89" w:rsidRDefault="00490F89" w:rsidP="00A13F71">
            <w:pPr>
              <w:jc w:val="center"/>
              <w:rPr>
                <w:sz w:val="22"/>
                <w:szCs w:val="22"/>
              </w:rPr>
            </w:pPr>
          </w:p>
        </w:tc>
        <w:tc>
          <w:tcPr>
            <w:tcW w:w="709" w:type="dxa"/>
            <w:shd w:val="clear" w:color="auto" w:fill="auto"/>
            <w:noWrap/>
            <w:vAlign w:val="center"/>
            <w:hideMark/>
          </w:tcPr>
          <w:p w:rsidR="00490F89" w:rsidRPr="00490F89" w:rsidRDefault="00490F89" w:rsidP="00A13F71">
            <w:pPr>
              <w:jc w:val="center"/>
              <w:rPr>
                <w:sz w:val="22"/>
                <w:szCs w:val="22"/>
              </w:rPr>
            </w:pPr>
            <w:r w:rsidRPr="00490F89">
              <w:rPr>
                <w:sz w:val="22"/>
                <w:szCs w:val="22"/>
              </w:rPr>
              <w:t>2,7</w:t>
            </w:r>
          </w:p>
          <w:p w:rsidR="00490F89" w:rsidRPr="00490F89" w:rsidRDefault="00490F89" w:rsidP="00A13F71">
            <w:pPr>
              <w:jc w:val="center"/>
              <w:rPr>
                <w:sz w:val="22"/>
                <w:szCs w:val="22"/>
              </w:rPr>
            </w:pPr>
          </w:p>
        </w:tc>
        <w:tc>
          <w:tcPr>
            <w:tcW w:w="850" w:type="dxa"/>
            <w:shd w:val="clear" w:color="auto" w:fill="auto"/>
            <w:noWrap/>
            <w:vAlign w:val="center"/>
            <w:hideMark/>
          </w:tcPr>
          <w:p w:rsidR="00490F89" w:rsidRPr="00490F89" w:rsidRDefault="00490F89" w:rsidP="00A13F71">
            <w:pPr>
              <w:jc w:val="center"/>
              <w:rPr>
                <w:sz w:val="22"/>
                <w:szCs w:val="22"/>
              </w:rPr>
            </w:pPr>
            <w:r w:rsidRPr="00490F89">
              <w:rPr>
                <w:sz w:val="22"/>
                <w:szCs w:val="22"/>
              </w:rPr>
              <w:t>0</w:t>
            </w:r>
          </w:p>
          <w:p w:rsidR="00490F89" w:rsidRPr="00490F89" w:rsidRDefault="00490F89" w:rsidP="00A13F71">
            <w:pPr>
              <w:jc w:val="center"/>
              <w:rPr>
                <w:sz w:val="22"/>
                <w:szCs w:val="22"/>
              </w:rPr>
            </w:pPr>
          </w:p>
        </w:tc>
        <w:tc>
          <w:tcPr>
            <w:tcW w:w="851" w:type="dxa"/>
            <w:shd w:val="clear" w:color="auto" w:fill="auto"/>
            <w:noWrap/>
            <w:vAlign w:val="center"/>
            <w:hideMark/>
          </w:tcPr>
          <w:p w:rsidR="00490F89" w:rsidRPr="00490F89" w:rsidRDefault="00490F89" w:rsidP="00A13F71">
            <w:pPr>
              <w:jc w:val="center"/>
              <w:rPr>
                <w:sz w:val="22"/>
                <w:szCs w:val="22"/>
              </w:rPr>
            </w:pPr>
            <w:r w:rsidRPr="00490F89">
              <w:rPr>
                <w:sz w:val="22"/>
                <w:szCs w:val="22"/>
              </w:rPr>
              <w:t>0</w:t>
            </w:r>
          </w:p>
          <w:p w:rsidR="00490F89" w:rsidRPr="00490F89" w:rsidRDefault="00490F89" w:rsidP="00A13F71">
            <w:pPr>
              <w:jc w:val="center"/>
              <w:rPr>
                <w:sz w:val="22"/>
                <w:szCs w:val="22"/>
              </w:rPr>
            </w:pPr>
          </w:p>
        </w:tc>
        <w:tc>
          <w:tcPr>
            <w:tcW w:w="850" w:type="dxa"/>
            <w:shd w:val="clear" w:color="auto" w:fill="auto"/>
            <w:noWrap/>
            <w:vAlign w:val="center"/>
            <w:hideMark/>
          </w:tcPr>
          <w:p w:rsidR="00490F89" w:rsidRPr="00490F89" w:rsidRDefault="00490F89" w:rsidP="00A13F71">
            <w:pPr>
              <w:jc w:val="center"/>
              <w:rPr>
                <w:sz w:val="22"/>
                <w:szCs w:val="22"/>
              </w:rPr>
            </w:pPr>
            <w:r w:rsidRPr="00490F89">
              <w:rPr>
                <w:sz w:val="22"/>
                <w:szCs w:val="22"/>
              </w:rPr>
              <w:t>0</w:t>
            </w:r>
          </w:p>
          <w:p w:rsidR="00490F89" w:rsidRPr="00490F89" w:rsidRDefault="00490F89" w:rsidP="00A13F71">
            <w:pPr>
              <w:jc w:val="center"/>
              <w:rPr>
                <w:sz w:val="22"/>
                <w:szCs w:val="22"/>
              </w:rPr>
            </w:pPr>
          </w:p>
        </w:tc>
        <w:tc>
          <w:tcPr>
            <w:tcW w:w="1510" w:type="dxa"/>
            <w:shd w:val="clear" w:color="auto" w:fill="auto"/>
            <w:noWrap/>
            <w:vAlign w:val="center"/>
            <w:hideMark/>
          </w:tcPr>
          <w:p w:rsidR="00490F89" w:rsidRPr="00490F89" w:rsidRDefault="00490F89" w:rsidP="00A13F71">
            <w:pPr>
              <w:jc w:val="center"/>
              <w:rPr>
                <w:sz w:val="22"/>
                <w:szCs w:val="22"/>
              </w:rPr>
            </w:pPr>
            <w:r w:rsidRPr="00490F89">
              <w:rPr>
                <w:sz w:val="22"/>
                <w:szCs w:val="22"/>
              </w:rPr>
              <w:t>2,7</w:t>
            </w:r>
          </w:p>
          <w:p w:rsidR="00490F89" w:rsidRPr="00490F89" w:rsidRDefault="00490F89" w:rsidP="00A13F71">
            <w:pPr>
              <w:jc w:val="center"/>
              <w:rPr>
                <w:sz w:val="22"/>
                <w:szCs w:val="22"/>
              </w:rPr>
            </w:pPr>
          </w:p>
        </w:tc>
      </w:tr>
    </w:tbl>
    <w:p w:rsidR="00490F89" w:rsidRPr="00047414" w:rsidRDefault="00490F89" w:rsidP="00490F89">
      <w:pPr>
        <w:autoSpaceDE w:val="0"/>
        <w:autoSpaceDN w:val="0"/>
        <w:adjustRightInd w:val="0"/>
        <w:spacing w:before="120" w:after="120"/>
        <w:jc w:val="both"/>
        <w:rPr>
          <w:rFonts w:eastAsiaTheme="minorHAnsi"/>
          <w:sz w:val="18"/>
          <w:szCs w:val="18"/>
          <w:lang w:eastAsia="en-US"/>
        </w:rPr>
      </w:pPr>
      <w:r w:rsidRPr="00047414">
        <w:rPr>
          <w:rFonts w:eastAsiaTheme="minorHAnsi"/>
          <w:b/>
          <w:bCs/>
          <w:sz w:val="18"/>
          <w:szCs w:val="18"/>
          <w:lang w:eastAsia="en-US"/>
        </w:rPr>
        <w:t xml:space="preserve">Kaynak: </w:t>
      </w:r>
      <w:r w:rsidRPr="00047414">
        <w:rPr>
          <w:rFonts w:eastAsiaTheme="minorHAnsi"/>
          <w:sz w:val="18"/>
          <w:szCs w:val="18"/>
          <w:lang w:eastAsia="en-US"/>
        </w:rPr>
        <w:t xml:space="preserve">İthalat Rejimi 2023 </w:t>
      </w:r>
    </w:p>
    <w:p w:rsidR="00490F89" w:rsidRPr="00047414" w:rsidRDefault="00490F89" w:rsidP="008A283C">
      <w:pPr>
        <w:autoSpaceDE w:val="0"/>
        <w:autoSpaceDN w:val="0"/>
        <w:adjustRightInd w:val="0"/>
        <w:spacing w:before="120" w:after="120"/>
        <w:jc w:val="both"/>
        <w:rPr>
          <w:sz w:val="16"/>
          <w:szCs w:val="18"/>
        </w:rPr>
      </w:pPr>
      <w:r w:rsidRPr="00047414">
        <w:rPr>
          <w:sz w:val="16"/>
          <w:szCs w:val="18"/>
        </w:rPr>
        <w:t xml:space="preserve">1: AB Üyesi Ülkeler, EFTA Üyesi Ülkeler, Serbest Ticaret Anlaşması Ülkeleri: Arnavutluk, Büyük Britanya ve Kuzey İrlanda Birleşik Krallığı, Bosna-Hersek, Fas, Faroe Adaları, Filistin, Gürcistan, Güney Kore, İsrail, Karadağ, Kosova, Kuzey Makedonya Cumhuriyeti, Malezya, Mısır Arap Cumhuriyeti, </w:t>
      </w:r>
      <w:proofErr w:type="spellStart"/>
      <w:r w:rsidRPr="00047414">
        <w:rPr>
          <w:sz w:val="16"/>
          <w:szCs w:val="18"/>
        </w:rPr>
        <w:t>Morityus</w:t>
      </w:r>
      <w:proofErr w:type="spellEnd"/>
      <w:r w:rsidRPr="00047414">
        <w:rPr>
          <w:sz w:val="16"/>
          <w:szCs w:val="18"/>
        </w:rPr>
        <w:t xml:space="preserve">, Moldova, Sırbistan, Şili, Tunus. 2: Singapur Cumhuriyeti, 3: </w:t>
      </w:r>
      <w:proofErr w:type="spellStart"/>
      <w:r w:rsidRPr="00047414">
        <w:rPr>
          <w:sz w:val="16"/>
          <w:szCs w:val="18"/>
        </w:rPr>
        <w:t>Bolivarcı</w:t>
      </w:r>
      <w:proofErr w:type="spellEnd"/>
      <w:r w:rsidRPr="00047414">
        <w:rPr>
          <w:sz w:val="16"/>
          <w:szCs w:val="18"/>
        </w:rPr>
        <w:t xml:space="preserve"> Venezuela Cumhuriyeti, 4: TPS-OIC İslam Konferansı Teşkilatı Üyesi Devletler Arasında Tercihli Ticaret Sistemi Çerçeve Anlaşması ve Tercihli Tarife Düzenlemesi Protokolü (PRETAS) kapsamındaki ülkeler (Bahreyn Krallığı, Bangladeş Halk Cumhuriyeti, Birleşik Arap Emirlikleri, Fas Krallığı, İran İslam Cumhuriyeti, Katar Devleti, Kuveyt Devleti, Malezya, Pakistan İslam Cumhuriyeti, Suudi Arabistan Krallığı, Umman Sultanlığı ve Ürdün </w:t>
      </w:r>
      <w:proofErr w:type="spellStart"/>
      <w:r w:rsidRPr="00047414">
        <w:rPr>
          <w:sz w:val="16"/>
          <w:szCs w:val="18"/>
        </w:rPr>
        <w:t>Haşimi</w:t>
      </w:r>
      <w:proofErr w:type="spellEnd"/>
      <w:r w:rsidRPr="00047414">
        <w:rPr>
          <w:sz w:val="16"/>
          <w:szCs w:val="18"/>
        </w:rPr>
        <w:t xml:space="preserve"> Krallığı) 5: En Az Gelişmiş Ülkeler, 6: Özel Teşvik Düzenlemelerinden Yararlanacak Ülkeler, 7: Gelişme Yolundaki Ülkeler, 8: Diğer Ülkeler</w:t>
      </w:r>
    </w:p>
    <w:p w:rsidR="00490F89" w:rsidRPr="00490F89" w:rsidRDefault="00536E9E" w:rsidP="008A283C">
      <w:pPr>
        <w:pStyle w:val="NormalWeb"/>
        <w:tabs>
          <w:tab w:val="left" w:pos="540"/>
        </w:tabs>
        <w:spacing w:before="120" w:beforeAutospacing="0" w:after="120" w:afterAutospacing="0"/>
        <w:jc w:val="both"/>
        <w:rPr>
          <w:rFonts w:ascii="Times New Roman" w:eastAsia="Times New Roman" w:hAnsi="Times New Roman" w:cs="Times New Roman"/>
          <w:lang w:val="tr-TR"/>
        </w:rPr>
      </w:pPr>
      <w:r>
        <w:rPr>
          <w:rFonts w:ascii="Times New Roman" w:eastAsia="Times New Roman" w:hAnsi="Times New Roman" w:cs="Times New Roman"/>
          <w:lang w:val="tr-TR"/>
        </w:rPr>
        <w:t xml:space="preserve">(2) </w:t>
      </w:r>
      <w:r w:rsidR="00490F89">
        <w:rPr>
          <w:rFonts w:ascii="Times New Roman" w:eastAsia="Times New Roman" w:hAnsi="Times New Roman" w:cs="Times New Roman"/>
          <w:lang w:val="tr-TR"/>
        </w:rPr>
        <w:t>B</w:t>
      </w:r>
      <w:r w:rsidR="00490F89" w:rsidRPr="00490F89">
        <w:rPr>
          <w:rFonts w:ascii="Times New Roman" w:eastAsia="Times New Roman" w:hAnsi="Times New Roman" w:cs="Times New Roman"/>
          <w:lang w:val="tr-TR"/>
        </w:rPr>
        <w:t xml:space="preserve">ununla birlikte, 31/12/2020 tarihli ve 31351 üçüncü mükerrer sayılı Resmî </w:t>
      </w:r>
      <w:proofErr w:type="spellStart"/>
      <w:r w:rsidR="00490F89" w:rsidRPr="00490F89">
        <w:rPr>
          <w:rFonts w:ascii="Times New Roman" w:eastAsia="Times New Roman" w:hAnsi="Times New Roman" w:cs="Times New Roman"/>
          <w:lang w:val="tr-TR"/>
        </w:rPr>
        <w:t>Gazete’de</w:t>
      </w:r>
      <w:proofErr w:type="spellEnd"/>
      <w:r w:rsidR="00490F89" w:rsidRPr="00490F89">
        <w:rPr>
          <w:rFonts w:ascii="Times New Roman" w:eastAsia="Times New Roman" w:hAnsi="Times New Roman" w:cs="Times New Roman"/>
          <w:lang w:val="tr-TR"/>
        </w:rPr>
        <w:t xml:space="preserve"> yayımlanan 3351 sayılı “İthalatta İlave Gümrük Vergisi Uygulanmasına İlişkin Karar” ile yürürlükten kaldırılan 18/4/2020 tarihli ve 31103 sayılı Resmî </w:t>
      </w:r>
      <w:proofErr w:type="spellStart"/>
      <w:r w:rsidR="00490F89" w:rsidRPr="00490F89">
        <w:rPr>
          <w:rFonts w:ascii="Times New Roman" w:eastAsia="Times New Roman" w:hAnsi="Times New Roman" w:cs="Times New Roman"/>
          <w:lang w:val="tr-TR"/>
        </w:rPr>
        <w:t>Gazete’de</w:t>
      </w:r>
      <w:proofErr w:type="spellEnd"/>
      <w:r w:rsidR="00490F89" w:rsidRPr="00490F89">
        <w:rPr>
          <w:rFonts w:ascii="Times New Roman" w:eastAsia="Times New Roman" w:hAnsi="Times New Roman" w:cs="Times New Roman"/>
          <w:lang w:val="tr-TR"/>
        </w:rPr>
        <w:t xml:space="preserve"> yayımlanan 2424 sayılı “İthalat Rejimi Kararına Ek Karar” çerçevesinde şikâyet konusu ürünün ithalinde 31/12/2020 tarihine kadar %47 oranında ilave gümrük vergisi uygulanmıştır.</w:t>
      </w:r>
    </w:p>
    <w:p w:rsidR="00490F89" w:rsidRPr="00490F89" w:rsidRDefault="00490F89" w:rsidP="008A283C">
      <w:pPr>
        <w:pStyle w:val="NormalWeb"/>
        <w:tabs>
          <w:tab w:val="left" w:pos="540"/>
        </w:tabs>
        <w:spacing w:before="120" w:beforeAutospacing="0" w:after="120" w:afterAutospacing="0"/>
        <w:jc w:val="both"/>
        <w:rPr>
          <w:rFonts w:ascii="Times New Roman" w:eastAsia="Times New Roman" w:hAnsi="Times New Roman" w:cs="Times New Roman"/>
          <w:lang w:val="tr-TR"/>
        </w:rPr>
      </w:pPr>
      <w:r w:rsidRPr="00490F89">
        <w:rPr>
          <w:rFonts w:ascii="Times New Roman" w:eastAsia="Times New Roman" w:hAnsi="Times New Roman" w:cs="Times New Roman"/>
          <w:lang w:val="tr-TR"/>
        </w:rPr>
        <w:t>(3) 3351 sayılı “İthalat Rejimi Kararına Ek Karar” çerçevesinde başvuru konusu ürün ithalinde 1/1/2021 tarihinden itibaren %10 oranında ilave gümrük vergisi uygulanmaya devam etmektedir.</w:t>
      </w:r>
    </w:p>
    <w:p w:rsidR="00EF3B60" w:rsidRPr="00047414" w:rsidRDefault="00490F89" w:rsidP="008A283C">
      <w:pPr>
        <w:pStyle w:val="NormalWeb"/>
        <w:tabs>
          <w:tab w:val="left" w:pos="540"/>
        </w:tabs>
        <w:spacing w:before="120" w:beforeAutospacing="0" w:after="120" w:afterAutospacing="0"/>
        <w:jc w:val="both"/>
        <w:rPr>
          <w:noProof/>
          <w:color w:val="0D0D0D" w:themeColor="text1" w:themeTint="F2"/>
          <w:lang w:val="tr-TR"/>
        </w:rPr>
      </w:pPr>
      <w:r w:rsidRPr="00490F89">
        <w:rPr>
          <w:rFonts w:ascii="Times New Roman" w:eastAsia="Times New Roman" w:hAnsi="Times New Roman" w:cs="Times New Roman"/>
          <w:lang w:val="tr-TR"/>
        </w:rPr>
        <w:t xml:space="preserve">(4) Öte yandan, soruşturma konusu ürünün Vietnam Sosyalist Cumhuriyeti menşeli olanlarında, 27/10/2018 tarihli ve 30578 sayılı Resmî </w:t>
      </w:r>
      <w:proofErr w:type="spellStart"/>
      <w:r w:rsidRPr="00490F89">
        <w:rPr>
          <w:rFonts w:ascii="Times New Roman" w:eastAsia="Times New Roman" w:hAnsi="Times New Roman" w:cs="Times New Roman"/>
          <w:lang w:val="tr-TR"/>
        </w:rPr>
        <w:t>Gazete’de</w:t>
      </w:r>
      <w:proofErr w:type="spellEnd"/>
      <w:r w:rsidRPr="00490F89">
        <w:rPr>
          <w:rFonts w:ascii="Times New Roman" w:eastAsia="Times New Roman" w:hAnsi="Times New Roman" w:cs="Times New Roman"/>
          <w:lang w:val="tr-TR"/>
        </w:rPr>
        <w:t xml:space="preserve"> yayımlanan İthalatta Haksız Rekabetin Önlenmesine İlişkin Tebliğ (Tebliğ No: 2018/39) uyarınca CIF bedelin %21,15’i ila %29,65’i </w:t>
      </w:r>
      <w:r w:rsidRPr="00047414">
        <w:rPr>
          <w:rFonts w:ascii="Times New Roman" w:eastAsia="Times New Roman" w:hAnsi="Times New Roman" w:cs="Times New Roman"/>
          <w:lang w:val="tr-TR"/>
        </w:rPr>
        <w:t>arasında firma bazında değişen oranlarda dampinge karşı önlem yürürlüktedir</w:t>
      </w:r>
      <w:r w:rsidR="00EF3B60" w:rsidRPr="00047414">
        <w:rPr>
          <w:lang w:val="tr-TR"/>
        </w:rPr>
        <w:t>.</w:t>
      </w:r>
    </w:p>
    <w:p w:rsidR="00A1068B" w:rsidRPr="00047414" w:rsidRDefault="00983D60" w:rsidP="008A283C">
      <w:pPr>
        <w:pStyle w:val="Balk1"/>
        <w:numPr>
          <w:ilvl w:val="0"/>
          <w:numId w:val="3"/>
        </w:numPr>
        <w:spacing w:before="120" w:after="120"/>
        <w:jc w:val="both"/>
        <w:rPr>
          <w:rFonts w:ascii="Times New Roman" w:hAnsi="Times New Roman" w:cs="Times New Roman"/>
          <w:sz w:val="24"/>
          <w:szCs w:val="24"/>
        </w:rPr>
      </w:pPr>
      <w:bookmarkStart w:id="16" w:name="_Toc98149751"/>
      <w:r w:rsidRPr="00047414">
        <w:rPr>
          <w:rFonts w:ascii="Times New Roman" w:hAnsi="Times New Roman" w:cs="Times New Roman"/>
          <w:sz w:val="24"/>
          <w:szCs w:val="24"/>
        </w:rPr>
        <w:t>Dampingin Devamı veya Yeniden Meydana Gelmesi İhtimali</w:t>
      </w:r>
      <w:bookmarkStart w:id="17" w:name="_Toc317854285"/>
      <w:bookmarkEnd w:id="16"/>
    </w:p>
    <w:p w:rsidR="00A1068B" w:rsidRPr="00CC4F92" w:rsidRDefault="00A1068B" w:rsidP="008A283C">
      <w:pPr>
        <w:pStyle w:val="Balk2"/>
        <w:numPr>
          <w:ilvl w:val="1"/>
          <w:numId w:val="3"/>
        </w:numPr>
        <w:spacing w:before="120" w:after="120"/>
        <w:ind w:left="426"/>
      </w:pPr>
      <w:bookmarkStart w:id="18" w:name="_Toc98149752"/>
      <w:r w:rsidRPr="00CC4F92">
        <w:t>Genel</w:t>
      </w:r>
      <w:r w:rsidR="00983D60" w:rsidRPr="00CC4F92">
        <w:t xml:space="preserve"> açıklamalar</w:t>
      </w:r>
      <w:bookmarkEnd w:id="18"/>
    </w:p>
    <w:p w:rsidR="00AE633B" w:rsidRPr="00CC4F92" w:rsidRDefault="00983D60" w:rsidP="008A283C">
      <w:pPr>
        <w:pStyle w:val="Default"/>
        <w:numPr>
          <w:ilvl w:val="0"/>
          <w:numId w:val="10"/>
        </w:numPr>
        <w:spacing w:before="120" w:after="120"/>
        <w:ind w:firstLine="0"/>
        <w:jc w:val="both"/>
        <w:rPr>
          <w:bCs/>
          <w:color w:val="auto"/>
        </w:rPr>
      </w:pPr>
      <w:r w:rsidRPr="00CC4F92">
        <w:rPr>
          <w:bCs/>
          <w:color w:val="auto"/>
        </w:rPr>
        <w:t>Y</w:t>
      </w:r>
      <w:r w:rsidR="008A283C" w:rsidRPr="008A283C">
        <w:rPr>
          <w:bCs/>
          <w:color w:val="auto"/>
        </w:rPr>
        <w:t>önetmeliğin 35 inci maddesi çerçevesinde, önlemin yürürlükten kalkması halinde soruşturma konusu ülke kaynaklı dampingin devam etmesinin veya yeniden meydana gelmesinin muhtemel olup olmadığı incelenmiştir</w:t>
      </w:r>
      <w:r w:rsidR="00AE633B" w:rsidRPr="00CC4F92">
        <w:rPr>
          <w:bCs/>
          <w:color w:val="auto"/>
        </w:rPr>
        <w:t>.</w:t>
      </w:r>
    </w:p>
    <w:p w:rsidR="00157921" w:rsidRPr="008A283C" w:rsidRDefault="00157921" w:rsidP="008A283C">
      <w:pPr>
        <w:pStyle w:val="Balk2"/>
        <w:numPr>
          <w:ilvl w:val="1"/>
          <w:numId w:val="3"/>
        </w:numPr>
        <w:spacing w:before="120" w:after="120"/>
        <w:ind w:left="426"/>
        <w:rPr>
          <w:rFonts w:eastAsia="Times New Roman" w:cs="Times New Roman"/>
          <w:bCs/>
          <w:szCs w:val="24"/>
          <w:lang w:eastAsia="tr-TR"/>
        </w:rPr>
      </w:pPr>
      <w:bookmarkStart w:id="19" w:name="_Toc98149753"/>
      <w:r w:rsidRPr="008A283C">
        <w:rPr>
          <w:rFonts w:eastAsia="Times New Roman" w:cs="Times New Roman"/>
          <w:bCs/>
          <w:szCs w:val="24"/>
          <w:lang w:eastAsia="tr-TR"/>
        </w:rPr>
        <w:t>Damping</w:t>
      </w:r>
      <w:r w:rsidR="00F7559B" w:rsidRPr="008A283C">
        <w:rPr>
          <w:rFonts w:eastAsia="Times New Roman" w:cs="Times New Roman"/>
          <w:bCs/>
          <w:szCs w:val="24"/>
          <w:lang w:eastAsia="tr-TR"/>
        </w:rPr>
        <w:t>in devam etme ihtimali</w:t>
      </w:r>
      <w:bookmarkEnd w:id="19"/>
    </w:p>
    <w:p w:rsidR="00265031" w:rsidRPr="008A283C" w:rsidRDefault="00265031" w:rsidP="008A283C">
      <w:pPr>
        <w:pStyle w:val="Default"/>
        <w:spacing w:before="120" w:after="120"/>
        <w:jc w:val="both"/>
        <w:rPr>
          <w:bCs/>
          <w:color w:val="auto"/>
        </w:rPr>
      </w:pPr>
      <w:r w:rsidRPr="008A283C">
        <w:rPr>
          <w:bCs/>
          <w:color w:val="auto"/>
        </w:rPr>
        <w:t xml:space="preserve">(1) </w:t>
      </w:r>
      <w:r w:rsidR="000106D8" w:rsidRPr="008A283C">
        <w:rPr>
          <w:bCs/>
          <w:color w:val="auto"/>
        </w:rPr>
        <w:t>Y</w:t>
      </w:r>
      <w:r w:rsidR="008A283C" w:rsidRPr="008A283C">
        <w:rPr>
          <w:color w:val="auto"/>
        </w:rPr>
        <w:t xml:space="preserve">önetmeliğin 40 </w:t>
      </w:r>
      <w:proofErr w:type="spellStart"/>
      <w:r w:rsidR="008A283C" w:rsidRPr="008A283C">
        <w:rPr>
          <w:color w:val="auto"/>
        </w:rPr>
        <w:t>ıncı</w:t>
      </w:r>
      <w:proofErr w:type="spellEnd"/>
      <w:r w:rsidR="008A283C" w:rsidRPr="008A283C">
        <w:rPr>
          <w:color w:val="auto"/>
        </w:rPr>
        <w:t xml:space="preserve"> ve 41 inci maddeleri çerçevesinde, soruşturma sırasında yeniden bir damping marjı hesaplanmamış, esas soruşturmada hesaplanmış olan damping marjları gösterge olarak dikkate alınmıştır</w:t>
      </w:r>
      <w:r w:rsidRPr="008A283C">
        <w:rPr>
          <w:bCs/>
          <w:color w:val="auto"/>
        </w:rPr>
        <w:t>.</w:t>
      </w:r>
    </w:p>
    <w:p w:rsidR="009D3BE7" w:rsidRPr="008A283C" w:rsidRDefault="00011A30" w:rsidP="008A283C">
      <w:pPr>
        <w:pStyle w:val="Default"/>
        <w:spacing w:before="120" w:after="120"/>
        <w:jc w:val="both"/>
        <w:rPr>
          <w:bCs/>
          <w:color w:val="auto"/>
        </w:rPr>
      </w:pPr>
      <w:r w:rsidRPr="008A283C">
        <w:rPr>
          <w:bCs/>
          <w:color w:val="auto"/>
        </w:rPr>
        <w:t xml:space="preserve">(2) </w:t>
      </w:r>
      <w:r w:rsidR="00536E9E" w:rsidRPr="008A283C">
        <w:rPr>
          <w:color w:val="auto"/>
        </w:rPr>
        <w:t>B</w:t>
      </w:r>
      <w:r w:rsidR="008A283C" w:rsidRPr="008A283C">
        <w:rPr>
          <w:bCs/>
          <w:color w:val="auto"/>
        </w:rPr>
        <w:t xml:space="preserve">una göre, 2011/16 sayılı Tebliğ uyarınca, inceleme konusu ürün için damping marjları </w:t>
      </w:r>
      <w:proofErr w:type="spellStart"/>
      <w:r w:rsidR="008A283C" w:rsidRPr="008A283C">
        <w:rPr>
          <w:bCs/>
          <w:color w:val="auto"/>
        </w:rPr>
        <w:t>ÇHC’de</w:t>
      </w:r>
      <w:proofErr w:type="spellEnd"/>
      <w:r w:rsidR="008A283C" w:rsidRPr="008A283C">
        <w:rPr>
          <w:bCs/>
          <w:color w:val="auto"/>
        </w:rPr>
        <w:t xml:space="preserve"> yerleşik firmalar için CIF ithalat bedelinin %21,12’si ve %28,87’si oranlarında tespit edilmiştir</w:t>
      </w:r>
      <w:r w:rsidR="00536E9E" w:rsidRPr="008A283C">
        <w:rPr>
          <w:color w:val="auto"/>
        </w:rPr>
        <w:t xml:space="preserve">. </w:t>
      </w:r>
      <w:r w:rsidR="009D3BE7" w:rsidRPr="008A283C">
        <w:rPr>
          <w:bCs/>
          <w:color w:val="auto"/>
        </w:rPr>
        <w:t xml:space="preserve"> </w:t>
      </w:r>
    </w:p>
    <w:p w:rsidR="00265031" w:rsidRPr="008A283C" w:rsidRDefault="00536E9E" w:rsidP="008A283C">
      <w:pPr>
        <w:pStyle w:val="Default"/>
        <w:spacing w:before="120" w:after="120"/>
        <w:jc w:val="both"/>
        <w:rPr>
          <w:bCs/>
          <w:color w:val="auto"/>
        </w:rPr>
      </w:pPr>
      <w:r w:rsidRPr="008A283C">
        <w:rPr>
          <w:bCs/>
          <w:color w:val="auto"/>
        </w:rPr>
        <w:t>(3</w:t>
      </w:r>
      <w:r w:rsidR="00FD7809" w:rsidRPr="008A283C">
        <w:rPr>
          <w:bCs/>
          <w:color w:val="auto"/>
        </w:rPr>
        <w:t xml:space="preserve">) </w:t>
      </w:r>
      <w:r w:rsidR="00265031" w:rsidRPr="008A283C">
        <w:rPr>
          <w:bCs/>
          <w:color w:val="auto"/>
        </w:rPr>
        <w:t>M</w:t>
      </w:r>
      <w:r w:rsidR="008A283C" w:rsidRPr="008A283C">
        <w:rPr>
          <w:color w:val="auto"/>
        </w:rPr>
        <w:t>evcut dampinge karşı önlemlerin hukuki ve idari alt yapısını teşkil eden esas soruşturma esnasında tespit edilen damping marjlarının, firmaların önlemin yürürlükten kalkması halindeki muhtemel davranışlarını yansıtacak önemli bir gösterge niteliği taşıdığı değerlendirilmektedir</w:t>
      </w:r>
      <w:r w:rsidR="00265031" w:rsidRPr="008A283C">
        <w:rPr>
          <w:bCs/>
          <w:color w:val="auto"/>
        </w:rPr>
        <w:t>.</w:t>
      </w:r>
    </w:p>
    <w:p w:rsidR="002772A7" w:rsidRPr="00CC4F92" w:rsidRDefault="002772A7" w:rsidP="008A283C">
      <w:pPr>
        <w:pStyle w:val="Balk2"/>
        <w:numPr>
          <w:ilvl w:val="1"/>
          <w:numId w:val="3"/>
        </w:numPr>
        <w:spacing w:before="120" w:after="120"/>
        <w:ind w:left="426" w:hanging="426"/>
        <w:rPr>
          <w:rFonts w:eastAsia="Times New Roman" w:cs="Times New Roman"/>
          <w:bCs/>
          <w:szCs w:val="24"/>
          <w:lang w:eastAsia="tr-TR"/>
        </w:rPr>
      </w:pPr>
      <w:bookmarkStart w:id="20" w:name="_Toc98149754"/>
      <w:r w:rsidRPr="00CC4F92">
        <w:rPr>
          <w:rFonts w:eastAsia="Times New Roman" w:cs="Times New Roman"/>
          <w:bCs/>
          <w:szCs w:val="24"/>
          <w:lang w:eastAsia="tr-TR"/>
        </w:rPr>
        <w:t>Dampingin yeniden meydana gelmesi ihtimali</w:t>
      </w:r>
      <w:bookmarkEnd w:id="20"/>
    </w:p>
    <w:p w:rsidR="008C2F60" w:rsidRPr="008A283C" w:rsidRDefault="00D72864" w:rsidP="008A283C">
      <w:pPr>
        <w:spacing w:before="120" w:after="120"/>
        <w:jc w:val="both"/>
        <w:rPr>
          <w:bCs/>
        </w:rPr>
      </w:pPr>
      <w:r w:rsidRPr="008A283C">
        <w:t xml:space="preserve">(1) </w:t>
      </w:r>
      <w:r w:rsidRPr="008A283C">
        <w:rPr>
          <w:bCs/>
        </w:rPr>
        <w:t>İ</w:t>
      </w:r>
      <w:r w:rsidR="008A283C" w:rsidRPr="008A283C">
        <w:t xml:space="preserve">hracatçı firmaların davranışlarını ve yeniden meydana gelmesi muhtemel olan dampingi göstermesi açısından soruşturma konusu ülkenin Türkiye’ye yönlendirebilecek üretim ve ihracat kapasitesi ile fiyatları ve </w:t>
      </w:r>
      <w:r w:rsidR="008A283C" w:rsidRPr="008A283C">
        <w:rPr>
          <w:bCs/>
        </w:rPr>
        <w:t xml:space="preserve">esas soruşturmada hesaplanan damping marjları </w:t>
      </w:r>
      <w:r w:rsidR="008A283C" w:rsidRPr="008A283C">
        <w:t>önem arz etmektedir</w:t>
      </w:r>
      <w:r w:rsidRPr="008A283C">
        <w:rPr>
          <w:bCs/>
        </w:rPr>
        <w:t>.</w:t>
      </w:r>
    </w:p>
    <w:p w:rsidR="009F1715" w:rsidRPr="00BB0D26" w:rsidRDefault="003677EB" w:rsidP="00CC4F92">
      <w:pPr>
        <w:pStyle w:val="Default"/>
        <w:spacing w:line="276" w:lineRule="auto"/>
        <w:jc w:val="both"/>
        <w:outlineLvl w:val="2"/>
        <w:rPr>
          <w:b/>
          <w:bCs/>
          <w:color w:val="auto"/>
        </w:rPr>
      </w:pPr>
      <w:bookmarkStart w:id="21" w:name="_Toc98149755"/>
      <w:r w:rsidRPr="00BB0D26">
        <w:rPr>
          <w:b/>
          <w:bCs/>
          <w:color w:val="auto"/>
        </w:rPr>
        <w:t xml:space="preserve">3.3.1. </w:t>
      </w:r>
      <w:r w:rsidR="000A085F" w:rsidRPr="00BB0D26">
        <w:rPr>
          <w:b/>
          <w:bCs/>
          <w:color w:val="auto"/>
        </w:rPr>
        <w:t xml:space="preserve">Soruşturma konusu </w:t>
      </w:r>
      <w:bookmarkEnd w:id="21"/>
      <w:r w:rsidR="008A283C" w:rsidRPr="00BB0D26">
        <w:rPr>
          <w:b/>
          <w:color w:val="auto"/>
        </w:rPr>
        <w:t>ülkedeki ihracat kabiliyeti ve ihraç fiyatlarının seyri</w:t>
      </w:r>
    </w:p>
    <w:p w:rsidR="00BB0D26" w:rsidRPr="00BB0D26" w:rsidRDefault="000A085F" w:rsidP="00BB0D26">
      <w:pPr>
        <w:tabs>
          <w:tab w:val="left" w:pos="360"/>
          <w:tab w:val="left" w:pos="540"/>
        </w:tabs>
        <w:spacing w:before="120" w:after="120"/>
        <w:jc w:val="both"/>
      </w:pPr>
      <w:r w:rsidRPr="00BB0D26">
        <w:t xml:space="preserve">(1) </w:t>
      </w:r>
      <w:r w:rsidR="00B30F9B" w:rsidRPr="00BB0D26">
        <w:rPr>
          <w:lang w:eastAsia="en-US"/>
        </w:rPr>
        <w:t>S</w:t>
      </w:r>
      <w:r w:rsidR="00BB0D26" w:rsidRPr="00BB0D26">
        <w:rPr>
          <w:bCs/>
        </w:rPr>
        <w:t xml:space="preserve">oruşturma konusu ülkenin üretim ve ihracat kabiliyetlerine ilişkin değerlendirmede, Uluslararası Ticaret Merkezi’nin (International </w:t>
      </w:r>
      <w:proofErr w:type="spellStart"/>
      <w:r w:rsidR="00BB0D26" w:rsidRPr="00BB0D26">
        <w:rPr>
          <w:bCs/>
        </w:rPr>
        <w:t>Trade</w:t>
      </w:r>
      <w:proofErr w:type="spellEnd"/>
      <w:r w:rsidR="00BB0D26" w:rsidRPr="00BB0D26">
        <w:rPr>
          <w:bCs/>
        </w:rPr>
        <w:t xml:space="preserve"> Center, ITC) 8311.20 gümrük tarife pozisyonuna ilişkin 2018-2021 yılları ihracat verileri kullanılmıştır. </w:t>
      </w:r>
    </w:p>
    <w:p w:rsidR="00BB0D26" w:rsidRPr="00BB0D26" w:rsidRDefault="00BB0D26" w:rsidP="00BB0D26">
      <w:pPr>
        <w:tabs>
          <w:tab w:val="left" w:pos="360"/>
          <w:tab w:val="left" w:pos="540"/>
        </w:tabs>
        <w:spacing w:before="120" w:after="120"/>
        <w:jc w:val="both"/>
        <w:rPr>
          <w:bCs/>
        </w:rPr>
      </w:pPr>
      <w:r w:rsidRPr="00BB0D26">
        <w:rPr>
          <w:bCs/>
        </w:rPr>
        <w:t>(2) ITC verileri çerçevesinde, 2018 yılında dünya ihracatı 304.321 ton (</w:t>
      </w:r>
      <w:r w:rsidRPr="00BB0D26">
        <w:t>950 milyon</w:t>
      </w:r>
      <w:r w:rsidRPr="00BB0D26">
        <w:rPr>
          <w:sz w:val="23"/>
          <w:szCs w:val="23"/>
        </w:rPr>
        <w:t xml:space="preserve"> </w:t>
      </w:r>
      <w:r w:rsidRPr="00BB0D26">
        <w:rPr>
          <w:bCs/>
        </w:rPr>
        <w:t>ABD doları) iken, 2019 yılında miktar bazında %6,3 oranında artarak 323.446 tona yükselmiş (983 milyon ABD doları), 2020 yılında ise bir önceki yıla göre miktar bazında %15 oranında azalarak 275.825 ton (826 milyon ABD doları) seviyesinde gerçekleşmiştir. 2021 yılında ise dünya ihracatı, bir önceki yıla göre miktar bazında %11 oranında artarak 306.716 ton (1,03 milyar ABD doları) seviyesinde gerçekleşmiştir.</w:t>
      </w:r>
    </w:p>
    <w:p w:rsidR="00BB0D26" w:rsidRPr="00BB0D26" w:rsidRDefault="00BB0D26" w:rsidP="00BB0D26">
      <w:pPr>
        <w:spacing w:before="120" w:after="120"/>
        <w:jc w:val="both"/>
        <w:rPr>
          <w:bCs/>
        </w:rPr>
      </w:pPr>
      <w:r w:rsidRPr="00BB0D26">
        <w:rPr>
          <w:bCs/>
        </w:rPr>
        <w:t xml:space="preserve">(3) </w:t>
      </w:r>
      <w:proofErr w:type="spellStart"/>
      <w:r w:rsidRPr="00BB0D26">
        <w:rPr>
          <w:bCs/>
        </w:rPr>
        <w:t>ÇHC’nin</w:t>
      </w:r>
      <w:proofErr w:type="spellEnd"/>
      <w:r w:rsidRPr="00BB0D26">
        <w:rPr>
          <w:bCs/>
        </w:rPr>
        <w:t xml:space="preserve"> soruşturma konusu ürün toplam ihracatı, 2018 yılında 70.481 ton (111 milyon ABD doları), 2019 yılında 84.435 ton (125 milyon ABD doları) ve 2020 yılında 77.668 ton (119 milyon ABD doları) seviyesinde gerçekleşmiştir. 2021 yılında ise </w:t>
      </w:r>
      <w:proofErr w:type="spellStart"/>
      <w:r w:rsidRPr="00BB0D26">
        <w:rPr>
          <w:bCs/>
        </w:rPr>
        <w:t>ÇHC’nin</w:t>
      </w:r>
      <w:proofErr w:type="spellEnd"/>
      <w:r w:rsidRPr="00BB0D26">
        <w:rPr>
          <w:bCs/>
        </w:rPr>
        <w:t xml:space="preserve"> soruşturma konusu ürün ihracatı 95.449 ton (175 milyon ABD doları) olarak gerçekleşmiştir. </w:t>
      </w:r>
    </w:p>
    <w:p w:rsidR="00BB0D26" w:rsidRPr="00BB0D26" w:rsidRDefault="00BB0D26" w:rsidP="00BB0D26">
      <w:pPr>
        <w:spacing w:before="120" w:after="120"/>
        <w:jc w:val="both"/>
        <w:rPr>
          <w:bCs/>
        </w:rPr>
      </w:pPr>
      <w:r w:rsidRPr="00BB0D26">
        <w:rPr>
          <w:bCs/>
        </w:rPr>
        <w:t xml:space="preserve">(4) Bu kapsamda, soruşturma konusu ürünün dünya ihracatında ilk sırada yer alan </w:t>
      </w:r>
      <w:proofErr w:type="spellStart"/>
      <w:r w:rsidRPr="00BB0D26">
        <w:rPr>
          <w:bCs/>
        </w:rPr>
        <w:t>ÇHC’nin</w:t>
      </w:r>
      <w:proofErr w:type="spellEnd"/>
      <w:r w:rsidRPr="00BB0D26">
        <w:rPr>
          <w:bCs/>
        </w:rPr>
        <w:t xml:space="preserve"> 2018 yılında dünya ihracat miktarında %23 olan payını 2021 yılında %31’e yükselttiği tespit edilmiştir.</w:t>
      </w:r>
    </w:p>
    <w:p w:rsidR="00BB0D26" w:rsidRPr="00BB0D26" w:rsidRDefault="00BB0D26" w:rsidP="00BB0D26">
      <w:pPr>
        <w:spacing w:before="120" w:after="120"/>
        <w:jc w:val="both"/>
        <w:rPr>
          <w:bCs/>
        </w:rPr>
      </w:pPr>
      <w:r w:rsidRPr="00BB0D26">
        <w:rPr>
          <w:bCs/>
        </w:rPr>
        <w:t xml:space="preserve">(5) Diğer taraftan, anılan ülke ihracatının birim fiyatları 2018-2021 yılları arasında sırasıyla 1.573 ABD doları/ton, 1.484 ABD doları/ton, 1.530 ABD doları/ton ve 1.834 ABD doları/ton olarak gerçekleşmiştir. </w:t>
      </w:r>
    </w:p>
    <w:p w:rsidR="00536E9E" w:rsidRPr="00BB0D26" w:rsidRDefault="00BB0D26" w:rsidP="00BB0D26">
      <w:pPr>
        <w:tabs>
          <w:tab w:val="left" w:pos="360"/>
          <w:tab w:val="left" w:pos="540"/>
        </w:tabs>
        <w:spacing w:before="120" w:after="120"/>
        <w:jc w:val="both"/>
        <w:rPr>
          <w:bCs/>
        </w:rPr>
      </w:pPr>
      <w:r w:rsidRPr="00BB0D26">
        <w:rPr>
          <w:bCs/>
        </w:rPr>
        <w:t xml:space="preserve">(6) Dünya ortalama ihracat birim fiyatları ise, 2018-2021 yılları arasında 3.121 ABD doları/ton, 3.039 ABD doları/ton, 2.994 ABD doları/ton ve 3.347 ABD doları/ton seviyelerinde gerçekleşmiştir. Bu kapsamda, </w:t>
      </w:r>
      <w:proofErr w:type="spellStart"/>
      <w:r w:rsidRPr="00BB0D26">
        <w:rPr>
          <w:bCs/>
        </w:rPr>
        <w:t>ÇHC’nin</w:t>
      </w:r>
      <w:proofErr w:type="spellEnd"/>
      <w:r w:rsidRPr="00BB0D26">
        <w:rPr>
          <w:bCs/>
        </w:rPr>
        <w:t xml:space="preserve"> ortalama ihraç birim fiyatının incelenen tüm yıllar içerisinde soruşturma konusu ürünün dünya ortalama ihraç birim fiyatının altında kaldığı görülmüştür</w:t>
      </w:r>
      <w:r w:rsidR="00536E9E" w:rsidRPr="00BB0D26">
        <w:rPr>
          <w:bCs/>
        </w:rPr>
        <w:t>.</w:t>
      </w:r>
    </w:p>
    <w:p w:rsidR="00A63C38" w:rsidRPr="00BB0D26" w:rsidRDefault="00751D73" w:rsidP="00BB0D26">
      <w:pPr>
        <w:pStyle w:val="Balk2"/>
        <w:numPr>
          <w:ilvl w:val="1"/>
          <w:numId w:val="3"/>
        </w:numPr>
        <w:spacing w:before="120" w:after="120"/>
        <w:ind w:left="426"/>
        <w:jc w:val="both"/>
        <w:rPr>
          <w:bCs/>
        </w:rPr>
      </w:pPr>
      <w:bookmarkStart w:id="22" w:name="_Toc98149756"/>
      <w:r w:rsidRPr="00BB0D26">
        <w:rPr>
          <w:rFonts w:eastAsia="Times New Roman" w:cs="Times New Roman"/>
          <w:bCs/>
          <w:szCs w:val="24"/>
          <w:lang w:eastAsia="tr-TR"/>
        </w:rPr>
        <w:t>Sonuç</w:t>
      </w:r>
      <w:bookmarkEnd w:id="22"/>
    </w:p>
    <w:p w:rsidR="00A63C38" w:rsidRPr="00BB0D26" w:rsidRDefault="00A63C38" w:rsidP="00BB0D26">
      <w:pPr>
        <w:spacing w:before="120" w:after="120"/>
        <w:jc w:val="both"/>
        <w:rPr>
          <w:bCs/>
        </w:rPr>
      </w:pPr>
      <w:r w:rsidRPr="00BB0D26">
        <w:rPr>
          <w:bCs/>
        </w:rPr>
        <w:t>(</w:t>
      </w:r>
      <w:r w:rsidR="00751D73" w:rsidRPr="00BB0D26">
        <w:rPr>
          <w:bCs/>
        </w:rPr>
        <w:t>1</w:t>
      </w:r>
      <w:r w:rsidRPr="00BB0D26">
        <w:rPr>
          <w:bCs/>
        </w:rPr>
        <w:t>) B</w:t>
      </w:r>
      <w:r w:rsidR="00BB0D26" w:rsidRPr="00BB0D26">
        <w:t>u bölümde incelenen hususların bir bütün olarak değerlendirilmesi neticesinde, meri önlemin yürürlükten kalkması halinde dampingin devam etmesinin veya yeniden meydana gelmesinin muhtemel olduğu değerlendirilmektedir</w:t>
      </w:r>
      <w:r w:rsidRPr="00BB0D26">
        <w:rPr>
          <w:bCs/>
        </w:rPr>
        <w:t>.</w:t>
      </w:r>
    </w:p>
    <w:p w:rsidR="00E63906" w:rsidRPr="00047414" w:rsidRDefault="00101D28" w:rsidP="00BB0D26">
      <w:pPr>
        <w:pStyle w:val="Balk1"/>
        <w:numPr>
          <w:ilvl w:val="0"/>
          <w:numId w:val="3"/>
        </w:numPr>
        <w:spacing w:before="120" w:after="120"/>
        <w:jc w:val="both"/>
        <w:rPr>
          <w:rFonts w:ascii="Times New Roman" w:hAnsi="Times New Roman" w:cs="Times New Roman"/>
          <w:sz w:val="24"/>
        </w:rPr>
      </w:pPr>
      <w:bookmarkStart w:id="23" w:name="_Toc98149757"/>
      <w:bookmarkEnd w:id="17"/>
      <w:r w:rsidRPr="00047414">
        <w:rPr>
          <w:rFonts w:ascii="Times New Roman" w:hAnsi="Times New Roman" w:cs="Times New Roman"/>
          <w:sz w:val="24"/>
        </w:rPr>
        <w:t>Zararın Devamı veya Yeniden Meydana Gelmesi İhtimali</w:t>
      </w:r>
      <w:bookmarkEnd w:id="23"/>
    </w:p>
    <w:p w:rsidR="00E63906" w:rsidRPr="00CC4F92" w:rsidRDefault="00416783" w:rsidP="0006726E">
      <w:pPr>
        <w:pStyle w:val="Balk2"/>
        <w:numPr>
          <w:ilvl w:val="1"/>
          <w:numId w:val="3"/>
        </w:numPr>
        <w:spacing w:before="120" w:after="120"/>
        <w:ind w:left="426"/>
      </w:pPr>
      <w:bookmarkStart w:id="24" w:name="_Toc317854287"/>
      <w:bookmarkStart w:id="25" w:name="_Toc98149758"/>
      <w:r w:rsidRPr="00CC4F92">
        <w:t>Genel açıklamalar</w:t>
      </w:r>
      <w:bookmarkEnd w:id="24"/>
      <w:bookmarkEnd w:id="25"/>
    </w:p>
    <w:p w:rsidR="00BB0D26" w:rsidRPr="0006726E" w:rsidRDefault="00E81482" w:rsidP="0006726E">
      <w:pPr>
        <w:pStyle w:val="Default"/>
        <w:numPr>
          <w:ilvl w:val="0"/>
          <w:numId w:val="11"/>
        </w:numPr>
        <w:spacing w:before="120" w:after="120"/>
        <w:ind w:firstLine="0"/>
        <w:jc w:val="both"/>
        <w:rPr>
          <w:color w:val="auto"/>
        </w:rPr>
      </w:pPr>
      <w:r w:rsidRPr="0006726E">
        <w:rPr>
          <w:color w:val="auto"/>
        </w:rPr>
        <w:t>Y</w:t>
      </w:r>
      <w:r w:rsidR="00BB0D26" w:rsidRPr="0006726E">
        <w:rPr>
          <w:color w:val="auto"/>
        </w:rPr>
        <w:t xml:space="preserve">önetmeliğin 35 inci maddesi çerçevesinde, gözden geçirme döneminde yerli üretim dalının ekonomik göstergeleri ve önlemin yürürlükten kalkması halinde zararın devam etmesinin veya yeniden meydana gelmesinin muhtemel olup olmadığı incelenmiştir. Bu kapsamda, ithalatın mutlak ve nispi olarak gelişimi, ithalat fiyatlarının gelişimi ile yerli üretim dalının ekonomik göstergeleri değerlendirilmiştir.  </w:t>
      </w:r>
    </w:p>
    <w:p w:rsidR="00D254FF" w:rsidRPr="0006726E" w:rsidRDefault="00BB0D26" w:rsidP="0006726E">
      <w:pPr>
        <w:pStyle w:val="Default"/>
        <w:numPr>
          <w:ilvl w:val="0"/>
          <w:numId w:val="11"/>
        </w:numPr>
        <w:spacing w:before="120" w:after="120"/>
        <w:ind w:firstLine="0"/>
        <w:jc w:val="both"/>
        <w:rPr>
          <w:color w:val="auto"/>
        </w:rPr>
      </w:pPr>
      <w:r w:rsidRPr="0006726E">
        <w:rPr>
          <w:color w:val="auto"/>
        </w:rPr>
        <w:t xml:space="preserve">Soruşturma konusu ürünün genel ithalatı ve soruşturma konusu ülkeden yapılan ithalatının incelenmesinde Bakanlık </w:t>
      </w:r>
      <w:proofErr w:type="spellStart"/>
      <w:r w:rsidRPr="0006726E">
        <w:rPr>
          <w:color w:val="auto"/>
        </w:rPr>
        <w:t>veritabanı</w:t>
      </w:r>
      <w:proofErr w:type="spellEnd"/>
      <w:r w:rsidRPr="0006726E">
        <w:rPr>
          <w:color w:val="auto"/>
        </w:rPr>
        <w:t xml:space="preserve"> KÜBİS ÖTS verileri kullanılmıştır</w:t>
      </w:r>
      <w:r w:rsidR="00D254FF" w:rsidRPr="0006726E">
        <w:rPr>
          <w:color w:val="auto"/>
        </w:rPr>
        <w:t>.</w:t>
      </w:r>
    </w:p>
    <w:p w:rsidR="00C5448E" w:rsidRPr="0006726E" w:rsidRDefault="00E01E13" w:rsidP="0006726E">
      <w:pPr>
        <w:pStyle w:val="Balk2"/>
        <w:numPr>
          <w:ilvl w:val="1"/>
          <w:numId w:val="3"/>
        </w:numPr>
        <w:spacing w:before="120" w:after="120"/>
        <w:ind w:left="426"/>
      </w:pPr>
      <w:bookmarkStart w:id="26" w:name="_Toc98149759"/>
      <w:r w:rsidRPr="0006726E">
        <w:t>Ürünün genel ithalatının mutlak gelişimi ve fiyatları</w:t>
      </w:r>
      <w:r w:rsidR="001A0DF1" w:rsidRPr="0006726E">
        <w:t xml:space="preserve"> </w:t>
      </w:r>
      <w:bookmarkEnd w:id="26"/>
    </w:p>
    <w:p w:rsidR="0006726E" w:rsidRPr="0006726E" w:rsidRDefault="00536E9E" w:rsidP="0006726E">
      <w:pPr>
        <w:spacing w:before="120" w:after="120"/>
        <w:jc w:val="both"/>
        <w:rPr>
          <w:bCs/>
        </w:rPr>
      </w:pPr>
      <w:bookmarkStart w:id="27" w:name="_Toc98149760"/>
      <w:r w:rsidRPr="0006726E">
        <w:rPr>
          <w:bCs/>
        </w:rPr>
        <w:t xml:space="preserve">(1) </w:t>
      </w:r>
      <w:r w:rsidR="00A27165" w:rsidRPr="0006726E">
        <w:rPr>
          <w:bCs/>
        </w:rPr>
        <w:t>S</w:t>
      </w:r>
      <w:r w:rsidR="0006726E" w:rsidRPr="0006726E">
        <w:rPr>
          <w:bCs/>
        </w:rPr>
        <w:t>oruşturma konusu ürüne ilişkin genel ithalat istatistiklerine bakıldığında, ürünün 2018 yılında 6.409 ton (13,7 milyon ABD doları) olan ithalat miktarının, 2019 yılında 5.717 ton (12,5 milyon ABD doları) ve 2020 yılında ise 5.477 ton (12,6 milyon ABD doları) seviyesinde gerçekleştiği görülmektedir. Soruşturma konusu ürünün 2021 yılına ilişkin genel ithalat istatistiklerine bakıldığında, ithalat miktarının bir önceki yıla göre %3,5 oranında artarak 5.672 ton (14,8 milyon ABD doları) olarak gerçekleştiği kaydedilmiştir.</w:t>
      </w:r>
    </w:p>
    <w:p w:rsidR="00536E9E" w:rsidRPr="0006726E" w:rsidRDefault="0006726E" w:rsidP="0006726E">
      <w:pPr>
        <w:spacing w:before="120" w:after="120"/>
        <w:jc w:val="both"/>
      </w:pPr>
      <w:r w:rsidRPr="0006726E">
        <w:rPr>
          <w:bCs/>
        </w:rPr>
        <w:t>(2) Söz konusu ithalatın ortalama birim fiyatları, 2018-2020 yıllarında sırasıyla 2.136 ABD doları/ton, 2.182 ABD doları/ton ve 2.296 ABD doları/ton olarak gerçekleşmiştir. İthalatın ortalama birim fiyatı 2021 yılında ise 2.612 ABD doları/ton olarak gerçekleşmiştir</w:t>
      </w:r>
      <w:r w:rsidR="00536E9E" w:rsidRPr="0006726E">
        <w:rPr>
          <w:bCs/>
        </w:rPr>
        <w:t>.</w:t>
      </w:r>
      <w:r w:rsidR="00536E9E" w:rsidRPr="0006726E">
        <w:t xml:space="preserve"> </w:t>
      </w:r>
    </w:p>
    <w:p w:rsidR="00E813F2" w:rsidRPr="0006726E" w:rsidRDefault="00E81482" w:rsidP="0006726E">
      <w:pPr>
        <w:pStyle w:val="Balk2"/>
        <w:numPr>
          <w:ilvl w:val="1"/>
          <w:numId w:val="3"/>
        </w:numPr>
        <w:spacing w:before="120" w:after="120"/>
        <w:ind w:left="426"/>
      </w:pPr>
      <w:r w:rsidRPr="0006726E">
        <w:t>Soruşturma konusu ülkeden ithalatın mutlak gelişimi ve fiyatları</w:t>
      </w:r>
      <w:r w:rsidR="001A0DF1" w:rsidRPr="0006726E">
        <w:t xml:space="preserve"> </w:t>
      </w:r>
      <w:bookmarkEnd w:id="27"/>
    </w:p>
    <w:p w:rsidR="0006726E" w:rsidRPr="0006726E" w:rsidRDefault="00536E9E" w:rsidP="0006726E">
      <w:pPr>
        <w:pStyle w:val="Default"/>
        <w:spacing w:before="120" w:after="120"/>
        <w:jc w:val="both"/>
        <w:rPr>
          <w:bCs/>
          <w:color w:val="auto"/>
          <w:spacing w:val="-2"/>
        </w:rPr>
      </w:pPr>
      <w:r w:rsidRPr="0006726E">
        <w:rPr>
          <w:bCs/>
          <w:color w:val="auto"/>
          <w:spacing w:val="-2"/>
        </w:rPr>
        <w:t xml:space="preserve">(1) </w:t>
      </w:r>
      <w:r w:rsidRPr="0006726E">
        <w:rPr>
          <w:color w:val="auto"/>
          <w:spacing w:val="-2"/>
        </w:rPr>
        <w:t>Ç</w:t>
      </w:r>
      <w:r w:rsidR="0006726E" w:rsidRPr="0006726E">
        <w:rPr>
          <w:bCs/>
          <w:color w:val="auto"/>
          <w:spacing w:val="-2"/>
        </w:rPr>
        <w:t>HC</w:t>
      </w:r>
      <w:r w:rsidR="0006726E" w:rsidRPr="0006726E">
        <w:rPr>
          <w:color w:val="auto"/>
          <w:spacing w:val="-2"/>
        </w:rPr>
        <w:t xml:space="preserve"> menşeli</w:t>
      </w:r>
      <w:r w:rsidR="0006726E" w:rsidRPr="0006726E">
        <w:rPr>
          <w:b/>
          <w:bCs/>
          <w:color w:val="auto"/>
          <w:spacing w:val="-2"/>
        </w:rPr>
        <w:t xml:space="preserve"> </w:t>
      </w:r>
      <w:r w:rsidR="0006726E" w:rsidRPr="0006726E">
        <w:rPr>
          <w:bCs/>
          <w:color w:val="auto"/>
          <w:spacing w:val="-2"/>
        </w:rPr>
        <w:t>soruşturma konusu ürün ithalatının, 2018 yılında 2 tondan (27 bin ABD doları), 2019 yılında 202 ton (324 bin ABD doları) seviyesine yükseldiği, 2020 yılında ise 8 ton (75 bin ABD doları) seviyesinde gerçekleştiği tespit edilmiştir. Söz konusu ithalatın 2021 yılında ise 10 ton (42 bin ABD doları) olarak gerçekleştiği görülmüştür.</w:t>
      </w:r>
    </w:p>
    <w:p w:rsidR="0006726E" w:rsidRPr="0006726E" w:rsidRDefault="0006726E" w:rsidP="0006726E">
      <w:pPr>
        <w:spacing w:before="120" w:after="120"/>
        <w:jc w:val="both"/>
        <w:rPr>
          <w:bCs/>
          <w:spacing w:val="-2"/>
        </w:rPr>
      </w:pPr>
      <w:r w:rsidRPr="0006726E">
        <w:rPr>
          <w:bCs/>
          <w:spacing w:val="-2"/>
        </w:rPr>
        <w:t>(2) Söz konusu ithalatın birim fiyatları 2018-2020 yıllarında sırasıyla 11.313 ABD doları/ton, 1.603 ABD doları/ton ve 9.656 ABD doları/ton olarak gerçekleşmiştir. Söz konusu ithalatın ortalama birim fiyatı 2021 yılında ise 4.059 ABD doları/ton olarak gerçekleşmiştir.</w:t>
      </w:r>
    </w:p>
    <w:p w:rsidR="00536E9E" w:rsidRPr="0006726E" w:rsidRDefault="0006726E" w:rsidP="0006726E">
      <w:pPr>
        <w:spacing w:before="120" w:after="120"/>
        <w:jc w:val="both"/>
        <w:rPr>
          <w:bCs/>
          <w:spacing w:val="-2"/>
        </w:rPr>
      </w:pPr>
      <w:r w:rsidRPr="0006726E">
        <w:rPr>
          <w:szCs w:val="23"/>
        </w:rPr>
        <w:t>(3) ÇHC menşeli ürün ithalat miktarının toplam ithalat miktarı içindeki payı ise 2018 yılında %0,04 iken ve 2019 ve 2020 yıllarında sırasıyla %3,53 ve %0,14 olarak gerçekleşmiştir. Anılan ülke menşeli ithalatın toplam ithalat içindeki payı 2021 yılında ise %0,18 olarak gerçekleşmiştir</w:t>
      </w:r>
      <w:r w:rsidR="00536E9E" w:rsidRPr="0006726E">
        <w:rPr>
          <w:bCs/>
          <w:spacing w:val="-2"/>
        </w:rPr>
        <w:t>.</w:t>
      </w:r>
    </w:p>
    <w:p w:rsidR="00CD7A77" w:rsidRPr="0006726E" w:rsidRDefault="00E81482" w:rsidP="0006726E">
      <w:pPr>
        <w:pStyle w:val="Balk2"/>
        <w:numPr>
          <w:ilvl w:val="1"/>
          <w:numId w:val="3"/>
        </w:numPr>
        <w:spacing w:before="120" w:after="120"/>
        <w:ind w:left="426"/>
      </w:pPr>
      <w:bookmarkStart w:id="28" w:name="_Toc98149761"/>
      <w:r w:rsidRPr="0006726E">
        <w:t>Diğer ülkelerden ithalatın mutlak gelişimi ve fiyatları</w:t>
      </w:r>
      <w:bookmarkEnd w:id="28"/>
    </w:p>
    <w:p w:rsidR="0006726E" w:rsidRPr="0006726E" w:rsidRDefault="00536E9E" w:rsidP="0006726E">
      <w:pPr>
        <w:autoSpaceDE w:val="0"/>
        <w:autoSpaceDN w:val="0"/>
        <w:adjustRightInd w:val="0"/>
        <w:spacing w:before="120" w:after="120"/>
        <w:jc w:val="both"/>
        <w:rPr>
          <w:rFonts w:eastAsiaTheme="minorHAnsi"/>
          <w:szCs w:val="23"/>
          <w:lang w:eastAsia="en-US"/>
        </w:rPr>
      </w:pPr>
      <w:r w:rsidRPr="0006726E">
        <w:rPr>
          <w:bCs/>
        </w:rPr>
        <w:t xml:space="preserve">(1) </w:t>
      </w:r>
      <w:bookmarkStart w:id="29" w:name="_Hlk39942775"/>
      <w:r w:rsidR="00B30F9B" w:rsidRPr="0006726E">
        <w:rPr>
          <w:lang w:eastAsia="en-US"/>
        </w:rPr>
        <w:t>S</w:t>
      </w:r>
      <w:bookmarkEnd w:id="29"/>
      <w:r w:rsidR="0006726E" w:rsidRPr="0006726E">
        <w:rPr>
          <w:rFonts w:eastAsiaTheme="minorHAnsi"/>
          <w:szCs w:val="23"/>
          <w:lang w:eastAsia="en-US"/>
        </w:rPr>
        <w:t xml:space="preserve">oruşturma konusu ürünün diğer ülkeler menşeli ithalatı, 2018 yılında </w:t>
      </w:r>
      <w:r w:rsidR="0006726E" w:rsidRPr="0006726E">
        <w:rPr>
          <w:bCs/>
        </w:rPr>
        <w:t>6.406 ton (13,7 milyon ABD doları)</w:t>
      </w:r>
      <w:r w:rsidR="0006726E" w:rsidRPr="0006726E">
        <w:rPr>
          <w:rFonts w:eastAsiaTheme="minorHAnsi"/>
          <w:szCs w:val="23"/>
          <w:lang w:eastAsia="en-US"/>
        </w:rPr>
        <w:t xml:space="preserve">, 2019 yılında </w:t>
      </w:r>
      <w:r w:rsidR="0006726E" w:rsidRPr="0006726E">
        <w:rPr>
          <w:bCs/>
        </w:rPr>
        <w:t>5.515 ton (12,1 milyon ABD doları)</w:t>
      </w:r>
      <w:r w:rsidR="0006726E" w:rsidRPr="0006726E">
        <w:rPr>
          <w:rFonts w:eastAsiaTheme="minorHAnsi"/>
          <w:szCs w:val="23"/>
          <w:lang w:eastAsia="en-US"/>
        </w:rPr>
        <w:t xml:space="preserve">, 2020 yılında ise </w:t>
      </w:r>
      <w:r w:rsidR="0006726E" w:rsidRPr="0006726E">
        <w:rPr>
          <w:bCs/>
        </w:rPr>
        <w:t>5.470 ton (12,5 milyon ABD doları)</w:t>
      </w:r>
      <w:r w:rsidR="0006726E" w:rsidRPr="0006726E">
        <w:rPr>
          <w:rFonts w:eastAsiaTheme="minorHAnsi"/>
          <w:szCs w:val="23"/>
          <w:lang w:eastAsia="en-US"/>
        </w:rPr>
        <w:t xml:space="preserve"> seviyesinde gerçekleşmiştir. Bahse konu ithalat 2021 yılında ise 5.661 ton (14,8 milyon ABD doları) olarak gerçekleşmiştir.</w:t>
      </w:r>
    </w:p>
    <w:p w:rsidR="0006726E" w:rsidRPr="009568E2" w:rsidRDefault="0006726E" w:rsidP="0006726E">
      <w:pPr>
        <w:autoSpaceDE w:val="0"/>
        <w:autoSpaceDN w:val="0"/>
        <w:adjustRightInd w:val="0"/>
        <w:spacing w:before="120" w:after="120"/>
        <w:jc w:val="both"/>
        <w:rPr>
          <w:rFonts w:eastAsiaTheme="minorHAnsi"/>
          <w:szCs w:val="23"/>
          <w:lang w:eastAsia="en-US"/>
        </w:rPr>
      </w:pPr>
      <w:r w:rsidRPr="0006726E">
        <w:rPr>
          <w:rFonts w:eastAsiaTheme="minorHAnsi"/>
          <w:szCs w:val="23"/>
          <w:lang w:eastAsia="en-US"/>
        </w:rPr>
        <w:t xml:space="preserve">(2) Söz konusu ithalatın ortalama birim fiyatları, </w:t>
      </w:r>
      <w:r w:rsidRPr="0006726E">
        <w:rPr>
          <w:bCs/>
        </w:rPr>
        <w:t>2018-2020 yılları itibarıyla</w:t>
      </w:r>
      <w:r w:rsidRPr="0006726E">
        <w:rPr>
          <w:rFonts w:eastAsiaTheme="minorHAnsi"/>
          <w:szCs w:val="23"/>
          <w:lang w:eastAsia="en-US"/>
        </w:rPr>
        <w:t xml:space="preserve"> sırasıyla </w:t>
      </w:r>
      <w:r w:rsidRPr="0006726E">
        <w:rPr>
          <w:bCs/>
        </w:rPr>
        <w:t xml:space="preserve">2.132 </w:t>
      </w:r>
      <w:r w:rsidRPr="009568E2">
        <w:rPr>
          <w:bCs/>
        </w:rPr>
        <w:t>ABD doları/ton, 2.203 ABD doları/ton ve 2.286 ABD doları/ton</w:t>
      </w:r>
      <w:r w:rsidRPr="009568E2">
        <w:rPr>
          <w:rFonts w:eastAsiaTheme="minorHAnsi"/>
          <w:szCs w:val="23"/>
          <w:lang w:eastAsia="en-US"/>
        </w:rPr>
        <w:t xml:space="preserve"> olarak gerçekleşmiştir. Bahse konu ithalatın 2021 yılı ortalama birim fiyatı ise 2.609 ABD doları/kg olarak gerçekleşmiştir.</w:t>
      </w:r>
    </w:p>
    <w:p w:rsidR="00536E9E" w:rsidRPr="009568E2" w:rsidRDefault="0006726E" w:rsidP="009568E2">
      <w:pPr>
        <w:spacing w:before="120" w:after="120"/>
        <w:jc w:val="both"/>
      </w:pPr>
      <w:r w:rsidRPr="009568E2">
        <w:rPr>
          <w:rFonts w:eastAsiaTheme="minorHAnsi"/>
          <w:szCs w:val="23"/>
          <w:lang w:eastAsia="en-US"/>
        </w:rPr>
        <w:t>(3) Söz konusu ithalatın toplam ithalat içindeki payı 2018-2020 yıllarında sırasıyla %99,96, %96,47 ve %99,86 seviyelerinde iken 2021 yılında %99,82 olarak gerçekleşmiştir</w:t>
      </w:r>
      <w:r w:rsidR="00536E9E" w:rsidRPr="009568E2">
        <w:rPr>
          <w:bCs/>
          <w:spacing w:val="-2"/>
        </w:rPr>
        <w:t>.</w:t>
      </w:r>
    </w:p>
    <w:p w:rsidR="00F50C7E" w:rsidRPr="009568E2" w:rsidRDefault="00D677B8" w:rsidP="009568E2">
      <w:pPr>
        <w:pStyle w:val="Balk2"/>
        <w:numPr>
          <w:ilvl w:val="1"/>
          <w:numId w:val="3"/>
        </w:numPr>
        <w:spacing w:before="120" w:after="120"/>
        <w:ind w:left="426"/>
      </w:pPr>
      <w:bookmarkStart w:id="30" w:name="_Toc98149762"/>
      <w:r w:rsidRPr="009568E2">
        <w:t>İthalatın nispi gelişimi</w:t>
      </w:r>
      <w:r w:rsidR="00A97D4A" w:rsidRPr="009568E2">
        <w:t xml:space="preserve"> </w:t>
      </w:r>
      <w:bookmarkEnd w:id="30"/>
    </w:p>
    <w:p w:rsidR="0006726E" w:rsidRPr="009568E2" w:rsidRDefault="00536E9E" w:rsidP="009568E2">
      <w:pPr>
        <w:pStyle w:val="Default"/>
        <w:spacing w:before="120" w:after="120"/>
        <w:jc w:val="both"/>
        <w:rPr>
          <w:color w:val="auto"/>
        </w:rPr>
      </w:pPr>
      <w:r w:rsidRPr="009568E2">
        <w:rPr>
          <w:color w:val="auto"/>
        </w:rPr>
        <w:t>(1) Ö</w:t>
      </w:r>
      <w:r w:rsidR="0006726E" w:rsidRPr="009568E2">
        <w:rPr>
          <w:color w:val="auto"/>
        </w:rPr>
        <w:t xml:space="preserve">nlem konusu ithalatın nispi olarak gelişimini görebilmek için, söz konusu ithalatın toplam Türkiye benzer mal tüketimi içerisindeki payı 2018-2021 yılları itibarıyla incelenmiştir. Önlem konusu ürünün Türkiye toplam benzer mal tüketimi hesaplanırken, yerli üretim dalının ve </w:t>
      </w:r>
      <w:r w:rsidR="0006726E" w:rsidRPr="009568E2">
        <w:rPr>
          <w:bCs/>
          <w:color w:val="auto"/>
        </w:rPr>
        <w:t>başvuruyu destekleyen diğer yerli üreticilerin</w:t>
      </w:r>
      <w:r w:rsidR="0006726E" w:rsidRPr="009568E2">
        <w:rPr>
          <w:color w:val="auto"/>
        </w:rPr>
        <w:t xml:space="preserve"> yurt içi satışları genel ithalat miktarı ile toplanmıştır. Yerli üretim dalının yurt içi satışlarının ve önlem konusu ülkeden gerçekleştirilen ithalatın toplam tüketime oranlanmasıyla pazar payları hesaplanmıştır. İncelenen veriler 2018 yılı=100 olacak şekilde endekslenmiştir.</w:t>
      </w:r>
    </w:p>
    <w:p w:rsidR="0006726E" w:rsidRPr="009568E2" w:rsidRDefault="0006726E" w:rsidP="009568E2">
      <w:pPr>
        <w:tabs>
          <w:tab w:val="left" w:pos="360"/>
          <w:tab w:val="left" w:pos="720"/>
        </w:tabs>
        <w:spacing w:before="120" w:after="120"/>
        <w:jc w:val="both"/>
      </w:pPr>
      <w:r w:rsidRPr="009568E2">
        <w:t>(2)</w:t>
      </w:r>
      <w:r w:rsidRPr="009568E2">
        <w:tab/>
        <w:t xml:space="preserve"> Bu çerçevede, yurt içi tüketim endeksi 2018-2021 yıllarında sırasıyla 100, 104, 105 ve 113 birim olarak gerçekleşmiştir. </w:t>
      </w:r>
    </w:p>
    <w:p w:rsidR="0006726E" w:rsidRPr="009568E2" w:rsidRDefault="0006726E" w:rsidP="009568E2">
      <w:pPr>
        <w:tabs>
          <w:tab w:val="left" w:pos="360"/>
          <w:tab w:val="left" w:pos="720"/>
        </w:tabs>
        <w:spacing w:before="120" w:after="120"/>
        <w:jc w:val="both"/>
      </w:pPr>
      <w:r w:rsidRPr="009568E2">
        <w:t>(3) ÇHC menşeli ithalatın 2018 yılında 100 birim olan pazar payı endeksi 2019 yılında 8.234 birime yükselmiş, 2020 yılında ise 313 birim olarak gerçekleşmiştir. Söz konusu endeks 2021 yılında ise 387 birim olarak gerçekleşmiştir.</w:t>
      </w:r>
    </w:p>
    <w:p w:rsidR="0006726E" w:rsidRPr="009568E2" w:rsidRDefault="0006726E" w:rsidP="009568E2">
      <w:pPr>
        <w:tabs>
          <w:tab w:val="left" w:pos="360"/>
          <w:tab w:val="left" w:pos="720"/>
        </w:tabs>
        <w:spacing w:before="120" w:after="120"/>
        <w:jc w:val="both"/>
      </w:pPr>
      <w:r w:rsidRPr="009568E2">
        <w:t>(4) Diğer ülkeler menşeli ithalatın 2018 yılında 100 birim olan pazar payı endeksi 2019 ve 2020 yıllarında 83 ve 81 birim olarak gerçekleşmiştir. Söz konusu endeks 2021 yılında ise 78 birim olarak gerçekleşmiştir.</w:t>
      </w:r>
    </w:p>
    <w:p w:rsidR="0006726E" w:rsidRPr="009568E2" w:rsidRDefault="0006726E" w:rsidP="009568E2">
      <w:pPr>
        <w:pStyle w:val="ListeParagraf"/>
        <w:tabs>
          <w:tab w:val="left" w:pos="360"/>
          <w:tab w:val="left" w:pos="720"/>
        </w:tabs>
        <w:spacing w:before="120" w:after="120"/>
        <w:ind w:left="0"/>
        <w:jc w:val="both"/>
      </w:pPr>
      <w:r w:rsidRPr="009568E2">
        <w:t>(5) Yerli üretim dalının pazar payı endeksi 2018-2020 yıllarında sırasıyla 100, 180 ve 216 birim olarak gerçekleşmiştir. Söz konusu endeks 2021 yılında 200 birim olarak gerçekleşmiştir.</w:t>
      </w:r>
    </w:p>
    <w:p w:rsidR="000337B5" w:rsidRPr="009568E2" w:rsidRDefault="0006726E" w:rsidP="009568E2">
      <w:pPr>
        <w:tabs>
          <w:tab w:val="left" w:pos="360"/>
          <w:tab w:val="left" w:pos="720"/>
        </w:tabs>
        <w:spacing w:before="120" w:after="120"/>
        <w:jc w:val="both"/>
      </w:pPr>
      <w:r w:rsidRPr="009568E2">
        <w:t>(6) Yerli üretimin pazar payı endeksi 2018-2020 yıllarında sırasıyla 100, 131 ve 140 birim olarak gerçekleşmiştir. Söz konusu endeks 2021 yılında ise 147 birim olarak gerçekleşmiştir</w:t>
      </w:r>
      <w:r w:rsidR="00536E9E" w:rsidRPr="009568E2">
        <w:t>.</w:t>
      </w:r>
    </w:p>
    <w:p w:rsidR="00CC0006" w:rsidRPr="009568E2" w:rsidRDefault="00BB161C" w:rsidP="009568E2">
      <w:pPr>
        <w:pStyle w:val="Balk2"/>
        <w:numPr>
          <w:ilvl w:val="1"/>
          <w:numId w:val="3"/>
        </w:numPr>
        <w:spacing w:before="120" w:after="120"/>
        <w:ind w:left="426"/>
      </w:pPr>
      <w:bookmarkStart w:id="31" w:name="_Toc98149763"/>
      <w:r w:rsidRPr="009568E2">
        <w:t xml:space="preserve">Fiyat </w:t>
      </w:r>
      <w:r w:rsidR="001318E0" w:rsidRPr="009568E2">
        <w:t>kırılması</w:t>
      </w:r>
      <w:r w:rsidR="00A97D4A" w:rsidRPr="009568E2">
        <w:t xml:space="preserve"> </w:t>
      </w:r>
      <w:r w:rsidR="00431A36" w:rsidRPr="009568E2">
        <w:t>ve baskısı</w:t>
      </w:r>
      <w:bookmarkEnd w:id="31"/>
    </w:p>
    <w:p w:rsidR="0006726E" w:rsidRPr="009568E2" w:rsidRDefault="000337B5" w:rsidP="009568E2">
      <w:pPr>
        <w:spacing w:before="120" w:after="120"/>
        <w:jc w:val="both"/>
        <w:rPr>
          <w:lang w:eastAsia="en-US"/>
        </w:rPr>
      </w:pPr>
      <w:r w:rsidRPr="009568E2">
        <w:t xml:space="preserve">(1) </w:t>
      </w:r>
      <w:r w:rsidR="0006726E" w:rsidRPr="009568E2">
        <w:t xml:space="preserve">İthalatta Haksız Rekabetin Önlenmesi Hakkında Yönetmeliğin 17 </w:t>
      </w:r>
      <w:proofErr w:type="spellStart"/>
      <w:r w:rsidR="0006726E" w:rsidRPr="009568E2">
        <w:t>nci</w:t>
      </w:r>
      <w:proofErr w:type="spellEnd"/>
      <w:r w:rsidR="0006726E" w:rsidRPr="009568E2">
        <w:t xml:space="preserve"> maddesinin ilgili hükümleri çerçevesinde, </w:t>
      </w:r>
      <w:proofErr w:type="gramStart"/>
      <w:r w:rsidR="0006726E" w:rsidRPr="009568E2">
        <w:t>dampingli</w:t>
      </w:r>
      <w:proofErr w:type="gramEnd"/>
      <w:r w:rsidR="0006726E" w:rsidRPr="009568E2">
        <w:t xml:space="preserve"> olduğu iddia edilen ithalatın yerli üretim dalının satış fiyatları üzerindeki etkisi değerlendirilirken başvuru konusu ülkeden gerçekleştirilen ithalatın yerli üretim dalının fiyatlarını kırıp kırmadığı incelenmiştir. Fiyat kırılması, ithal ürünün ortalama pazara giriş fiyatının Türkiye piyasasında yerli üretim dalının ortalama yurt içi birim satış fiyatının yüzde olarak ne kadar altında kaldığını göstermektedir.</w:t>
      </w:r>
    </w:p>
    <w:p w:rsidR="0006726E" w:rsidRPr="009568E2" w:rsidRDefault="0006726E" w:rsidP="009568E2">
      <w:pPr>
        <w:pStyle w:val="Default"/>
        <w:spacing w:before="120" w:after="120"/>
        <w:jc w:val="both"/>
        <w:rPr>
          <w:color w:val="auto"/>
        </w:rPr>
      </w:pPr>
      <w:r w:rsidRPr="009568E2">
        <w:rPr>
          <w:color w:val="auto"/>
        </w:rPr>
        <w:t xml:space="preserve">(2) Fiyat kırılması hesaplanırken, </w:t>
      </w:r>
      <w:proofErr w:type="spellStart"/>
      <w:r w:rsidRPr="009568E2">
        <w:rPr>
          <w:color w:val="auto"/>
        </w:rPr>
        <w:t>ÇHC’den</w:t>
      </w:r>
      <w:proofErr w:type="spellEnd"/>
      <w:r w:rsidRPr="009568E2">
        <w:rPr>
          <w:color w:val="auto"/>
        </w:rPr>
        <w:t xml:space="preserve"> gerçekleştirilen ithalatın ortalama CIF birim fiyatının üzerine anılan ülkeye yönelik uygulanan gümrük vergisi (%2,7) ve ilave gümrük vergisi (2018 ve 2019 yılları için ilave gümrük vergisi bulunmazken, 2020 yılı için %47 oranında ve 2021 yılı için %10 oranında ilave gümrük vergisi kullanılmıştır) ile CIF kıymetin %2’si tutarındaki diğer ithalat masrafları eklenerek anılan ülke menşeli ürünün Türkiye piyasasına giriş fiyatı bulunmuştur. </w:t>
      </w:r>
      <w:r w:rsidRPr="009568E2">
        <w:rPr>
          <w:color w:val="auto"/>
          <w:szCs w:val="23"/>
        </w:rPr>
        <w:t>Dampinge karşı önlemlerin söz konusu olmadığı bir ortamda fiyatların hangi düzeyde oluşacağına ilişkin değerlendirmeyi mümkün kılmak amacıyla, anılan fiyatlara dampinge karşı önlemler eklenmemiştir.</w:t>
      </w:r>
      <w:r w:rsidRPr="009568E2">
        <w:rPr>
          <w:color w:val="auto"/>
          <w:sz w:val="28"/>
        </w:rPr>
        <w:t xml:space="preserve"> </w:t>
      </w:r>
      <w:r w:rsidRPr="009568E2">
        <w:rPr>
          <w:color w:val="auto"/>
        </w:rPr>
        <w:t>Bulunan değerler ile yerli üretim dalının ortalama yurt içi satış fiyatları karşılaştırılmıştır.</w:t>
      </w:r>
    </w:p>
    <w:p w:rsidR="0006726E" w:rsidRPr="009568E2" w:rsidRDefault="0006726E" w:rsidP="009568E2">
      <w:pPr>
        <w:pStyle w:val="Default"/>
        <w:spacing w:before="120" w:after="120"/>
        <w:jc w:val="both"/>
        <w:rPr>
          <w:color w:val="auto"/>
        </w:rPr>
      </w:pPr>
      <w:r w:rsidRPr="009568E2">
        <w:rPr>
          <w:color w:val="auto"/>
        </w:rPr>
        <w:t xml:space="preserve">(3) İthalatta Haksız Rekabetin Önlenmesi Hakkında Yönetmeliğin 17 </w:t>
      </w:r>
      <w:proofErr w:type="spellStart"/>
      <w:r w:rsidRPr="009568E2">
        <w:rPr>
          <w:color w:val="auto"/>
        </w:rPr>
        <w:t>nci</w:t>
      </w:r>
      <w:proofErr w:type="spellEnd"/>
      <w:r w:rsidRPr="009568E2">
        <w:rPr>
          <w:color w:val="auto"/>
        </w:rPr>
        <w:t xml:space="preserve"> maddesinin ilgili hükümleri çerçevesinde, </w:t>
      </w:r>
      <w:proofErr w:type="gramStart"/>
      <w:r w:rsidRPr="009568E2">
        <w:rPr>
          <w:color w:val="auto"/>
        </w:rPr>
        <w:t>dampingli</w:t>
      </w:r>
      <w:proofErr w:type="gramEnd"/>
      <w:r w:rsidRPr="009568E2">
        <w:rPr>
          <w:color w:val="auto"/>
        </w:rPr>
        <w:t xml:space="preserve"> olduğu iddia edilen ithalatın yerli üretim dalının satış fiyatları üzerindeki etkisi değerlendirilirken başvuru konusu ülkeden gerçekleştirilen ithalatın yerli üretim dalının fiyatlarına baskı yapıp yapmadığı incelenmiştir. Fiyat baskısı ise, ithal ürün fiyatlarının Türkiye piyasasında yerli üretim dalının benzer üründeki ticari maliyeti ve makul kâr oranı dikkate alınarak tespit edilen olması gereken yurt içi satış fiyatının yüzde olarak ne kadar altında kaldığını göstermektedir.</w:t>
      </w:r>
    </w:p>
    <w:p w:rsidR="0006726E" w:rsidRPr="009568E2" w:rsidRDefault="0006726E" w:rsidP="009568E2">
      <w:pPr>
        <w:pStyle w:val="Default"/>
        <w:spacing w:before="120" w:after="120"/>
        <w:jc w:val="both"/>
        <w:rPr>
          <w:color w:val="auto"/>
        </w:rPr>
      </w:pPr>
      <w:r w:rsidRPr="009568E2">
        <w:rPr>
          <w:color w:val="auto"/>
        </w:rPr>
        <w:t>(4) Fiyat baskısı hesaplanırken, fiyat kırılması hesabında olduğu gibi ithal ürün için Türkiye piyasasına giriş fiyatı bulunarak, bu değer yerli üretim dalının ortalama ticari maliyetine makul bir kâr oranı eklenerek bulunan olması gereken yurt içi satış fiyatı ile karşılaştırılmıştır. Dampinge karşı önlemlerin söz konusu olmadığı bir ortamda fiyatların hangi düzeyde oluşacağına ilişkin değerlendirmeyi mümkün kılmak amacıyla, anılan fiyatlara dampinge karşı önlemler eklenmemiştir.</w:t>
      </w:r>
    </w:p>
    <w:p w:rsidR="000337B5" w:rsidRPr="009568E2" w:rsidRDefault="0006726E" w:rsidP="009568E2">
      <w:pPr>
        <w:shd w:val="clear" w:color="auto" w:fill="FFFFFF"/>
        <w:spacing w:before="120" w:after="120"/>
        <w:jc w:val="both"/>
        <w:rPr>
          <w:bCs/>
          <w:spacing w:val="-2"/>
        </w:rPr>
      </w:pPr>
      <w:r w:rsidRPr="009568E2">
        <w:t xml:space="preserve">(5) Bu kapsamda, soruşturma konusu ülke menşeli ithalatın yerli üretim dalının yurt içi satış fiyatını 2018-2021 döneminde, 2019 yılı hariç olmak üzere, kırmadığı ve baskılamadığı tespit edilmiştir. Bu çerçevede; ÇHC menşeli ithalatın 2019 yılında yerli üretim dalının iç piyasa fiyatlarını CIF </w:t>
      </w:r>
      <w:r w:rsidRPr="003347ED">
        <w:t>değerin %</w:t>
      </w:r>
      <w:r w:rsidR="003347ED" w:rsidRPr="003347ED">
        <w:t xml:space="preserve"> 0&lt;X&lt;10’u</w:t>
      </w:r>
      <w:r w:rsidRPr="003347ED">
        <w:t xml:space="preserve"> oranında kırdığı, %</w:t>
      </w:r>
      <w:r w:rsidR="003347ED" w:rsidRPr="003347ED">
        <w:t xml:space="preserve"> 5&lt;X</w:t>
      </w:r>
      <w:r w:rsidR="003347ED">
        <w:t xml:space="preserve">&lt;15’i </w:t>
      </w:r>
      <w:r w:rsidRPr="009568E2">
        <w:t>oranında baskıladığı belirlenmiştir</w:t>
      </w:r>
      <w:r w:rsidR="000337B5" w:rsidRPr="009568E2">
        <w:rPr>
          <w:bCs/>
          <w:spacing w:val="-2"/>
        </w:rPr>
        <w:t>.</w:t>
      </w:r>
    </w:p>
    <w:p w:rsidR="00C95747" w:rsidRPr="009568E2" w:rsidRDefault="00C95747" w:rsidP="009568E2">
      <w:pPr>
        <w:pStyle w:val="Balk2"/>
        <w:numPr>
          <w:ilvl w:val="1"/>
          <w:numId w:val="3"/>
        </w:numPr>
        <w:spacing w:before="120" w:after="120"/>
        <w:ind w:left="426"/>
      </w:pPr>
      <w:bookmarkStart w:id="32" w:name="_Toc98149764"/>
      <w:r w:rsidRPr="009568E2">
        <w:t xml:space="preserve">Yerli </w:t>
      </w:r>
      <w:r w:rsidR="00A151EA" w:rsidRPr="009568E2">
        <w:t>üretim dalının ekonomik göstergeleri</w:t>
      </w:r>
      <w:bookmarkEnd w:id="32"/>
    </w:p>
    <w:p w:rsidR="009568E2" w:rsidRPr="009568E2" w:rsidRDefault="007E3CA1" w:rsidP="009568E2">
      <w:pPr>
        <w:tabs>
          <w:tab w:val="left" w:pos="360"/>
        </w:tabs>
        <w:spacing w:before="120" w:after="120"/>
        <w:jc w:val="both"/>
        <w:rPr>
          <w:bCs/>
        </w:rPr>
      </w:pPr>
      <w:bookmarkStart w:id="33" w:name="_Toc239072708"/>
      <w:bookmarkStart w:id="34" w:name="_Toc239072760"/>
      <w:r w:rsidRPr="009568E2">
        <w:t xml:space="preserve">(1) </w:t>
      </w:r>
      <w:r w:rsidR="00462755" w:rsidRPr="009568E2">
        <w:rPr>
          <w:noProof/>
        </w:rPr>
        <w:t>Y</w:t>
      </w:r>
      <w:r w:rsidR="009568E2" w:rsidRPr="009568E2">
        <w:rPr>
          <w:noProof/>
        </w:rPr>
        <w:t>erli üretim dalının</w:t>
      </w:r>
      <w:r w:rsidR="009568E2" w:rsidRPr="009568E2">
        <w:rPr>
          <w:bCs/>
          <w:spacing w:val="-2"/>
        </w:rPr>
        <w:t xml:space="preserve"> ekonomik göstergeleri, </w:t>
      </w:r>
      <w:proofErr w:type="spellStart"/>
      <w:r w:rsidR="009568E2" w:rsidRPr="009568E2">
        <w:rPr>
          <w:bCs/>
          <w:spacing w:val="-2"/>
        </w:rPr>
        <w:t>Oerlikon</w:t>
      </w:r>
      <w:proofErr w:type="spellEnd"/>
      <w:r w:rsidR="009568E2" w:rsidRPr="009568E2">
        <w:rPr>
          <w:bCs/>
          <w:spacing w:val="-2"/>
        </w:rPr>
        <w:t xml:space="preserve"> firmasının 2018-2021 yıllarına ait verileri esas alınarak incelenmiştir. </w:t>
      </w:r>
      <w:r w:rsidR="009568E2" w:rsidRPr="009568E2">
        <w:rPr>
          <w:bCs/>
        </w:rPr>
        <w:t>Eğilimin sağlıklı bir şekilde analiz edilebilmesi amacıyla, Türk lirası bazındaki veriler yıllık ortalama Üretici Fiyat Endeksi (ÜFE) kullanılması suretiyle enflasyondan arındırılarak endekslenmiştir.</w:t>
      </w:r>
    </w:p>
    <w:p w:rsidR="00462755" w:rsidRPr="009568E2" w:rsidRDefault="009568E2" w:rsidP="002A0A0C">
      <w:pPr>
        <w:tabs>
          <w:tab w:val="left" w:pos="360"/>
        </w:tabs>
        <w:spacing w:before="120" w:after="120"/>
        <w:jc w:val="both"/>
        <w:rPr>
          <w:bCs/>
        </w:rPr>
      </w:pPr>
      <w:r w:rsidRPr="009568E2">
        <w:rPr>
          <w:bCs/>
        </w:rPr>
        <w:t xml:space="preserve">(2) Ekonomik göstergelerin değerlendirilmesinde, </w:t>
      </w:r>
      <w:r w:rsidRPr="009568E2">
        <w:rPr>
          <w:bCs/>
          <w:spacing w:val="-2"/>
        </w:rPr>
        <w:t>soruşturma</w:t>
      </w:r>
      <w:r w:rsidRPr="009568E2">
        <w:rPr>
          <w:bCs/>
        </w:rPr>
        <w:t xml:space="preserve"> konusu ürüne ait miktar incelemesinde kilogram ölçü birimi kullanılmıştır</w:t>
      </w:r>
      <w:r w:rsidR="00462755" w:rsidRPr="009568E2">
        <w:rPr>
          <w:bCs/>
        </w:rPr>
        <w:t xml:space="preserve">. </w:t>
      </w:r>
    </w:p>
    <w:p w:rsidR="00316A8C" w:rsidRPr="006D025D" w:rsidRDefault="000F5A52" w:rsidP="002A0A0C">
      <w:pPr>
        <w:pStyle w:val="Default"/>
        <w:spacing w:before="120" w:after="120"/>
        <w:jc w:val="both"/>
        <w:rPr>
          <w:b/>
        </w:rPr>
      </w:pPr>
      <w:r w:rsidRPr="006D025D">
        <w:rPr>
          <w:b/>
        </w:rPr>
        <w:t>a) Üretim, kapasite ve kapasite kullanım oranı (KKO)</w:t>
      </w:r>
    </w:p>
    <w:p w:rsidR="002119D2" w:rsidRPr="002A0A0C" w:rsidRDefault="000F5A52" w:rsidP="002A0A0C">
      <w:pPr>
        <w:shd w:val="clear" w:color="auto" w:fill="FFFFFF"/>
        <w:spacing w:before="120" w:after="120"/>
        <w:jc w:val="both"/>
        <w:rPr>
          <w:bCs/>
        </w:rPr>
      </w:pPr>
      <w:r w:rsidRPr="002A0A0C">
        <w:t>(1) Y</w:t>
      </w:r>
      <w:bookmarkEnd w:id="33"/>
      <w:bookmarkEnd w:id="34"/>
      <w:r w:rsidR="002119D2" w:rsidRPr="002A0A0C">
        <w:rPr>
          <w:noProof/>
        </w:rPr>
        <w:t>erli üretim dalının</w:t>
      </w:r>
      <w:r w:rsidR="002119D2" w:rsidRPr="002A0A0C">
        <w:rPr>
          <w:bCs/>
        </w:rPr>
        <w:t xml:space="preserve"> </w:t>
      </w:r>
      <w:r w:rsidR="002119D2" w:rsidRPr="002A0A0C">
        <w:rPr>
          <w:bCs/>
          <w:spacing w:val="-2"/>
        </w:rPr>
        <w:t>soruşturma</w:t>
      </w:r>
      <w:r w:rsidR="002119D2" w:rsidRPr="002A0A0C">
        <w:rPr>
          <w:bCs/>
        </w:rPr>
        <w:t xml:space="preserve"> konusu ürün için 2018 yılında 100 birim olan üretim miktar endeksi, 2019 yılında 142 birim, 2020 yılında ise 186 birim seviyesinde gerçekleşmiştir. Söz konusu endeks 2021 yılında ise 174 birim olarak gerçekleşmiştir.</w:t>
      </w:r>
    </w:p>
    <w:p w:rsidR="00462755" w:rsidRPr="002A0A0C" w:rsidRDefault="002119D2" w:rsidP="002A0A0C">
      <w:pPr>
        <w:pStyle w:val="Default"/>
        <w:spacing w:before="120" w:after="120"/>
        <w:jc w:val="both"/>
        <w:rPr>
          <w:bCs/>
          <w:color w:val="auto"/>
        </w:rPr>
      </w:pPr>
      <w:r w:rsidRPr="002A0A0C">
        <w:rPr>
          <w:bCs/>
          <w:color w:val="auto"/>
        </w:rPr>
        <w:t xml:space="preserve">(2) </w:t>
      </w:r>
      <w:r w:rsidRPr="002A0A0C">
        <w:rPr>
          <w:noProof/>
          <w:color w:val="auto"/>
        </w:rPr>
        <w:t>Yerli üretim dalının</w:t>
      </w:r>
      <w:r w:rsidRPr="002A0A0C">
        <w:rPr>
          <w:bCs/>
          <w:color w:val="auto"/>
        </w:rPr>
        <w:t xml:space="preserve"> </w:t>
      </w:r>
      <w:r w:rsidRPr="002A0A0C">
        <w:rPr>
          <w:bCs/>
          <w:color w:val="auto"/>
          <w:spacing w:val="-2"/>
        </w:rPr>
        <w:t>soruşturma</w:t>
      </w:r>
      <w:r w:rsidRPr="002A0A0C">
        <w:rPr>
          <w:bCs/>
          <w:color w:val="auto"/>
        </w:rPr>
        <w:t xml:space="preserve"> konusu ürün için 2018 yılında 100 birim olan kapasite endeksi, 2019-2020 yıllarında değişmemiş; 2021 yılında ise 140 birim olarak gerçekleşmiştir. KKO endeksi ise sırasıyla 100 birim, 142 birim, 186 birim ve 124 birim olarak gerçekleşmiştir</w:t>
      </w:r>
      <w:r w:rsidR="00547E46" w:rsidRPr="002A0A0C">
        <w:rPr>
          <w:bCs/>
          <w:color w:val="auto"/>
        </w:rPr>
        <w:t>.</w:t>
      </w:r>
    </w:p>
    <w:p w:rsidR="00462755" w:rsidRPr="002A0A0C" w:rsidRDefault="00462755" w:rsidP="002A0A0C">
      <w:pPr>
        <w:tabs>
          <w:tab w:val="left" w:pos="360"/>
        </w:tabs>
        <w:spacing w:before="120" w:after="120"/>
        <w:jc w:val="both"/>
        <w:rPr>
          <w:bCs/>
          <w:spacing w:val="-2"/>
        </w:rPr>
      </w:pPr>
      <w:r w:rsidRPr="002A0A0C">
        <w:rPr>
          <w:b/>
          <w:bCs/>
          <w:spacing w:val="-2"/>
        </w:rPr>
        <w:t>b) Yurt içi ve yurt dışı satışlar</w:t>
      </w:r>
    </w:p>
    <w:p w:rsidR="002119D2" w:rsidRPr="002A0A0C" w:rsidRDefault="00462755" w:rsidP="002A0A0C">
      <w:pPr>
        <w:tabs>
          <w:tab w:val="left" w:pos="360"/>
        </w:tabs>
        <w:spacing w:before="120" w:after="120"/>
        <w:jc w:val="both"/>
        <w:rPr>
          <w:noProof/>
        </w:rPr>
      </w:pPr>
      <w:r w:rsidRPr="002A0A0C">
        <w:rPr>
          <w:bCs/>
          <w:spacing w:val="-2"/>
        </w:rPr>
        <w:t xml:space="preserve">(1) </w:t>
      </w:r>
      <w:r w:rsidRPr="002A0A0C">
        <w:rPr>
          <w:noProof/>
        </w:rPr>
        <w:t>Y</w:t>
      </w:r>
      <w:r w:rsidR="002119D2" w:rsidRPr="002A0A0C">
        <w:rPr>
          <w:noProof/>
        </w:rPr>
        <w:t>erli üretim dalının</w:t>
      </w:r>
      <w:r w:rsidR="002119D2" w:rsidRPr="002A0A0C">
        <w:rPr>
          <w:bCs/>
          <w:spacing w:val="-2"/>
        </w:rPr>
        <w:t xml:space="preserve"> soruşturma konusu ürün için 2018 yılında 100 birim olarak kabul edilen yurt içi satış miktarı endeksi 2019 yılında 187 birim, 2020 yılında ise 226 birim </w:t>
      </w:r>
      <w:r w:rsidR="002119D2" w:rsidRPr="002A0A0C">
        <w:rPr>
          <w:bCs/>
        </w:rPr>
        <w:t xml:space="preserve">seviyesinde </w:t>
      </w:r>
      <w:r w:rsidR="002119D2" w:rsidRPr="002A0A0C">
        <w:rPr>
          <w:noProof/>
        </w:rPr>
        <w:t>gerçekleşmiştir. Söz konusu endeks 2021 yılında da değişmeyerek 226 birim olarak gerçekleşmiştir.</w:t>
      </w:r>
    </w:p>
    <w:p w:rsidR="002119D2" w:rsidRPr="002A0A0C" w:rsidRDefault="002119D2" w:rsidP="002A0A0C">
      <w:pPr>
        <w:tabs>
          <w:tab w:val="left" w:pos="360"/>
        </w:tabs>
        <w:spacing w:before="120" w:after="120"/>
        <w:jc w:val="both"/>
        <w:rPr>
          <w:bCs/>
          <w:spacing w:val="-2"/>
        </w:rPr>
      </w:pPr>
      <w:r w:rsidRPr="002A0A0C">
        <w:rPr>
          <w:bCs/>
          <w:spacing w:val="-2"/>
        </w:rPr>
        <w:t xml:space="preserve">(2) </w:t>
      </w:r>
      <w:r w:rsidRPr="002A0A0C">
        <w:rPr>
          <w:noProof/>
        </w:rPr>
        <w:t>Yerli üretim dalının</w:t>
      </w:r>
      <w:r w:rsidRPr="002A0A0C">
        <w:rPr>
          <w:bCs/>
          <w:spacing w:val="-2"/>
        </w:rPr>
        <w:t xml:space="preserve"> soruşturma konusu ürün için yurt içi satış değeri endeksi ise sırasıyla 100 birim, 170 birim ve 213 birim olarak gerçekleşmiştir. </w:t>
      </w:r>
      <w:r w:rsidRPr="002A0A0C">
        <w:rPr>
          <w:noProof/>
        </w:rPr>
        <w:t>Söz konusu endeks 2021 yılında ise 247 birim seviyesinde gerçekleşmiştir.</w:t>
      </w:r>
    </w:p>
    <w:p w:rsidR="002119D2" w:rsidRPr="002A0A0C" w:rsidRDefault="002119D2" w:rsidP="002A0A0C">
      <w:pPr>
        <w:tabs>
          <w:tab w:val="left" w:pos="360"/>
        </w:tabs>
        <w:spacing w:before="120" w:after="120"/>
        <w:jc w:val="both"/>
        <w:rPr>
          <w:bCs/>
          <w:spacing w:val="-2"/>
        </w:rPr>
      </w:pPr>
      <w:r w:rsidRPr="002A0A0C">
        <w:rPr>
          <w:noProof/>
        </w:rPr>
        <w:t xml:space="preserve">(3) Yerli üretim dalının </w:t>
      </w:r>
      <w:r w:rsidRPr="002A0A0C">
        <w:rPr>
          <w:bCs/>
          <w:spacing w:val="-2"/>
        </w:rPr>
        <w:t>soruşturma konusu ürün için yurt dışı satış miktar endeksi 2018 yılında 100 birim, 2019 yılında 88 birim ve 2020 yılında 81 birim olmuştur.</w:t>
      </w:r>
      <w:r w:rsidRPr="002A0A0C">
        <w:rPr>
          <w:noProof/>
        </w:rPr>
        <w:t xml:space="preserve"> Söz konusu endeks 2021 yılında ise 53 birim seviyesinde gerçekleşmiştir.</w:t>
      </w:r>
    </w:p>
    <w:p w:rsidR="004C4535" w:rsidRPr="002A0A0C" w:rsidRDefault="002119D2" w:rsidP="002A0A0C">
      <w:pPr>
        <w:tabs>
          <w:tab w:val="left" w:pos="360"/>
        </w:tabs>
        <w:spacing w:before="120" w:after="120"/>
        <w:jc w:val="both"/>
        <w:rPr>
          <w:bCs/>
          <w:spacing w:val="-2"/>
        </w:rPr>
      </w:pPr>
      <w:r w:rsidRPr="002A0A0C">
        <w:rPr>
          <w:bCs/>
          <w:spacing w:val="-2"/>
        </w:rPr>
        <w:t xml:space="preserve">(4) </w:t>
      </w:r>
      <w:r w:rsidRPr="002A0A0C">
        <w:rPr>
          <w:sz w:val="23"/>
          <w:szCs w:val="23"/>
        </w:rPr>
        <w:t xml:space="preserve">Yerli üretim dalının </w:t>
      </w:r>
      <w:r w:rsidRPr="002A0A0C">
        <w:rPr>
          <w:bCs/>
          <w:spacing w:val="-2"/>
        </w:rPr>
        <w:t>soruşturma konusu ürün için</w:t>
      </w:r>
      <w:r w:rsidRPr="002A0A0C">
        <w:rPr>
          <w:sz w:val="23"/>
          <w:szCs w:val="23"/>
        </w:rPr>
        <w:t xml:space="preserve"> yurt dışı satış değer endeksi ise </w:t>
      </w:r>
      <w:r w:rsidRPr="002A0A0C">
        <w:rPr>
          <w:bCs/>
          <w:spacing w:val="-2"/>
        </w:rPr>
        <w:t xml:space="preserve">sırasıyla 100 birim, 83 birim ve 82 birim olarak gerçekleşmiştir. </w:t>
      </w:r>
      <w:r w:rsidRPr="002A0A0C">
        <w:rPr>
          <w:noProof/>
        </w:rPr>
        <w:t>Söz konusu endeks 2021 yılında ise 64 birim seviyesinde gerçekleşmiştir</w:t>
      </w:r>
      <w:r w:rsidR="004C4535" w:rsidRPr="002A0A0C">
        <w:rPr>
          <w:bCs/>
          <w:spacing w:val="-2"/>
        </w:rPr>
        <w:t>.</w:t>
      </w:r>
    </w:p>
    <w:p w:rsidR="00462755" w:rsidRPr="002A0A0C" w:rsidRDefault="00462755" w:rsidP="002A0A0C">
      <w:pPr>
        <w:tabs>
          <w:tab w:val="left" w:pos="360"/>
        </w:tabs>
        <w:spacing w:before="120" w:after="120"/>
        <w:jc w:val="both"/>
        <w:rPr>
          <w:bCs/>
          <w:spacing w:val="-2"/>
        </w:rPr>
      </w:pPr>
      <w:r w:rsidRPr="002A0A0C">
        <w:rPr>
          <w:b/>
          <w:bCs/>
          <w:spacing w:val="-2"/>
        </w:rPr>
        <w:t>c) Yurt içi fiyatlar</w:t>
      </w:r>
    </w:p>
    <w:p w:rsidR="00E55C9B" w:rsidRPr="002A0A0C" w:rsidRDefault="00462755" w:rsidP="002A0A0C">
      <w:pPr>
        <w:tabs>
          <w:tab w:val="left" w:pos="360"/>
        </w:tabs>
        <w:spacing w:before="120" w:after="120"/>
        <w:jc w:val="both"/>
        <w:rPr>
          <w:bCs/>
          <w:spacing w:val="-2"/>
        </w:rPr>
      </w:pPr>
      <w:r w:rsidRPr="002A0A0C">
        <w:rPr>
          <w:bCs/>
          <w:spacing w:val="-2"/>
        </w:rPr>
        <w:t xml:space="preserve">(1) </w:t>
      </w:r>
      <w:r w:rsidRPr="002A0A0C">
        <w:rPr>
          <w:noProof/>
        </w:rPr>
        <w:t>Y</w:t>
      </w:r>
      <w:r w:rsidR="002119D2" w:rsidRPr="002A0A0C">
        <w:rPr>
          <w:noProof/>
        </w:rPr>
        <w:t>erli üretim dalının</w:t>
      </w:r>
      <w:r w:rsidR="002119D2" w:rsidRPr="002A0A0C">
        <w:rPr>
          <w:bCs/>
          <w:spacing w:val="-2"/>
        </w:rPr>
        <w:t xml:space="preserve"> soruşturma konusu ürün için yurt içi birim satış fiyatı endeksi 2018 yılında 100 birim, 2019 yılında 91 birim ve 2020 yılında 94 birim seviyesinde gerçekleşmiştir.</w:t>
      </w:r>
      <w:r w:rsidR="002119D2" w:rsidRPr="002A0A0C">
        <w:rPr>
          <w:noProof/>
        </w:rPr>
        <w:t xml:space="preserve"> Söz konusu endeks 2021 yılında ise 109 birim seviyesinde gerçekleşmiştir</w:t>
      </w:r>
      <w:r w:rsidRPr="002A0A0C">
        <w:rPr>
          <w:bCs/>
          <w:spacing w:val="-2"/>
        </w:rPr>
        <w:t xml:space="preserve">. </w:t>
      </w:r>
    </w:p>
    <w:p w:rsidR="00462755" w:rsidRPr="002A0A0C" w:rsidRDefault="00462755" w:rsidP="002A0A0C">
      <w:pPr>
        <w:tabs>
          <w:tab w:val="left" w:pos="360"/>
        </w:tabs>
        <w:spacing w:before="120" w:after="120"/>
        <w:jc w:val="both"/>
        <w:rPr>
          <w:b/>
          <w:bCs/>
          <w:spacing w:val="-2"/>
          <w:u w:val="single"/>
        </w:rPr>
      </w:pPr>
      <w:r w:rsidRPr="002A0A0C">
        <w:rPr>
          <w:b/>
          <w:bCs/>
          <w:spacing w:val="-2"/>
        </w:rPr>
        <w:t>ç) Pazar payı</w:t>
      </w:r>
    </w:p>
    <w:p w:rsidR="00462755" w:rsidRPr="002A0A0C" w:rsidRDefault="00462755" w:rsidP="002A0A0C">
      <w:pPr>
        <w:tabs>
          <w:tab w:val="left" w:pos="360"/>
        </w:tabs>
        <w:spacing w:before="120" w:after="120"/>
        <w:jc w:val="both"/>
      </w:pPr>
      <w:r w:rsidRPr="002A0A0C">
        <w:rPr>
          <w:bCs/>
          <w:spacing w:val="-2"/>
        </w:rPr>
        <w:t xml:space="preserve">(1) </w:t>
      </w:r>
      <w:r w:rsidRPr="002A0A0C">
        <w:t>Y</w:t>
      </w:r>
      <w:r w:rsidR="002119D2" w:rsidRPr="002A0A0C">
        <w:t>erli üretim dalının pazar payı endeksi 2018-2021 yıllarında sırasıyla 100 birim, 180 birim ve 216 birim olarak gerçekleşmiştir.</w:t>
      </w:r>
      <w:r w:rsidR="002119D2" w:rsidRPr="002A0A0C">
        <w:rPr>
          <w:noProof/>
        </w:rPr>
        <w:t xml:space="preserve"> Söz konusu endeks 2021 yılında ise 200 birim seviyesinde gerçekleşmiştir</w:t>
      </w:r>
      <w:r w:rsidRPr="002A0A0C">
        <w:t xml:space="preserve">. </w:t>
      </w:r>
    </w:p>
    <w:p w:rsidR="00462755" w:rsidRPr="002A0A0C" w:rsidRDefault="00462755" w:rsidP="002A0A0C">
      <w:pPr>
        <w:tabs>
          <w:tab w:val="left" w:pos="360"/>
        </w:tabs>
        <w:spacing w:before="120" w:after="120"/>
        <w:jc w:val="both"/>
        <w:rPr>
          <w:bCs/>
          <w:spacing w:val="-2"/>
        </w:rPr>
      </w:pPr>
      <w:r w:rsidRPr="002A0A0C">
        <w:rPr>
          <w:b/>
          <w:bCs/>
          <w:spacing w:val="-2"/>
        </w:rPr>
        <w:t>d) Maliyetler ve kârlılık</w:t>
      </w:r>
      <w:r w:rsidRPr="002A0A0C">
        <w:rPr>
          <w:bCs/>
          <w:spacing w:val="-2"/>
        </w:rPr>
        <w:tab/>
      </w:r>
    </w:p>
    <w:p w:rsidR="002119D2" w:rsidRPr="002A0A0C" w:rsidRDefault="00462755" w:rsidP="002A0A0C">
      <w:pPr>
        <w:tabs>
          <w:tab w:val="left" w:pos="360"/>
        </w:tabs>
        <w:spacing w:before="120" w:after="120"/>
        <w:jc w:val="both"/>
        <w:rPr>
          <w:bCs/>
          <w:spacing w:val="-2"/>
        </w:rPr>
      </w:pPr>
      <w:r w:rsidRPr="002A0A0C">
        <w:rPr>
          <w:bCs/>
          <w:spacing w:val="-2"/>
        </w:rPr>
        <w:t xml:space="preserve">(1) </w:t>
      </w:r>
      <w:r w:rsidRPr="002A0A0C">
        <w:rPr>
          <w:noProof/>
        </w:rPr>
        <w:t>Y</w:t>
      </w:r>
      <w:r w:rsidR="002119D2" w:rsidRPr="002A0A0C">
        <w:rPr>
          <w:noProof/>
        </w:rPr>
        <w:t>erli üretim dalının</w:t>
      </w:r>
      <w:r w:rsidR="002119D2" w:rsidRPr="002A0A0C">
        <w:rPr>
          <w:bCs/>
          <w:spacing w:val="-2"/>
        </w:rPr>
        <w:t xml:space="preserve"> soruşturma konusu ürün için 2018 yılında 100 birim olan birim sınai maliyet endeksi, 2019 yılında 92 birim ve 2020 yılında 94 birim olurken, 2021 yılında 108 olarak gerçekleşmiştir.</w:t>
      </w:r>
    </w:p>
    <w:p w:rsidR="002119D2" w:rsidRPr="002A0A0C" w:rsidRDefault="002119D2" w:rsidP="002A0A0C">
      <w:pPr>
        <w:tabs>
          <w:tab w:val="left" w:pos="360"/>
        </w:tabs>
        <w:spacing w:before="120" w:after="120"/>
        <w:jc w:val="both"/>
        <w:rPr>
          <w:bCs/>
          <w:spacing w:val="-2"/>
        </w:rPr>
      </w:pPr>
      <w:r w:rsidRPr="002A0A0C">
        <w:rPr>
          <w:bCs/>
          <w:spacing w:val="-2"/>
        </w:rPr>
        <w:t xml:space="preserve">(2) Yerli üretim dalının soruşturma konusu ürün için gerçekleşen ticari maliyetleri ve yurt içi satış fiyatları dikkate alınarak hesaplanan yurt içi satışlardan birim kârlılık endeksi, 2018 yılında 100 birim, 2019 yılında 42 birim ve 2020 yılında 94 birim olarak gerçekleşmiştir. </w:t>
      </w:r>
      <w:r w:rsidRPr="002A0A0C">
        <w:rPr>
          <w:noProof/>
        </w:rPr>
        <w:t>Söz konusu endeks 2021 yılında ise 159 birim seviyesinde gerçekleşmiştir.</w:t>
      </w:r>
    </w:p>
    <w:p w:rsidR="00462755" w:rsidRPr="002A0A0C" w:rsidRDefault="002119D2" w:rsidP="002A0A0C">
      <w:pPr>
        <w:tabs>
          <w:tab w:val="left" w:pos="360"/>
        </w:tabs>
        <w:spacing w:before="120" w:after="120"/>
        <w:jc w:val="both"/>
        <w:rPr>
          <w:bCs/>
          <w:spacing w:val="-2"/>
        </w:rPr>
      </w:pPr>
      <w:r w:rsidRPr="002A0A0C">
        <w:rPr>
          <w:bCs/>
          <w:spacing w:val="-2"/>
        </w:rPr>
        <w:t>(3) Yerli üretim dalının</w:t>
      </w:r>
      <w:r w:rsidRPr="002A0A0C">
        <w:rPr>
          <w:sz w:val="23"/>
          <w:szCs w:val="23"/>
        </w:rPr>
        <w:t xml:space="preserve"> soruşturma konusu ürün için gerçekleşen </w:t>
      </w:r>
      <w:r w:rsidRPr="002A0A0C">
        <w:rPr>
          <w:bCs/>
          <w:spacing w:val="-2"/>
        </w:rPr>
        <w:t>toplam birim kârlılık endeksi ise, 2018 yılında -100 birim, 2019 yılında -21 birim ve 2020 yılında 1.447 birim seviyesindedir.</w:t>
      </w:r>
      <w:r w:rsidRPr="002A0A0C">
        <w:rPr>
          <w:noProof/>
        </w:rPr>
        <w:t xml:space="preserve"> Söz konusu endeks 2021 yılında ise 3.064 birim seviyesinde gerçekleşmiştir</w:t>
      </w:r>
      <w:r w:rsidR="00514915" w:rsidRPr="002A0A0C">
        <w:rPr>
          <w:bCs/>
          <w:spacing w:val="-2"/>
        </w:rPr>
        <w:t>.</w:t>
      </w:r>
    </w:p>
    <w:p w:rsidR="00462755" w:rsidRPr="002A0A0C" w:rsidRDefault="00462755" w:rsidP="002A0A0C">
      <w:pPr>
        <w:tabs>
          <w:tab w:val="left" w:pos="360"/>
        </w:tabs>
        <w:spacing w:before="120" w:after="120"/>
        <w:jc w:val="both"/>
        <w:rPr>
          <w:bCs/>
          <w:spacing w:val="-2"/>
        </w:rPr>
      </w:pPr>
      <w:r w:rsidRPr="002A0A0C">
        <w:rPr>
          <w:b/>
          <w:bCs/>
          <w:spacing w:val="-2"/>
        </w:rPr>
        <w:t>e) Stoklar</w:t>
      </w:r>
      <w:r w:rsidRPr="002A0A0C">
        <w:rPr>
          <w:bCs/>
          <w:spacing w:val="-2"/>
        </w:rPr>
        <w:tab/>
      </w:r>
    </w:p>
    <w:p w:rsidR="00462755" w:rsidRPr="002A0A0C" w:rsidRDefault="00462755" w:rsidP="002A0A0C">
      <w:pPr>
        <w:tabs>
          <w:tab w:val="left" w:pos="360"/>
        </w:tabs>
        <w:spacing w:before="120" w:after="120"/>
        <w:jc w:val="both"/>
        <w:rPr>
          <w:bCs/>
          <w:spacing w:val="-2"/>
        </w:rPr>
      </w:pPr>
      <w:r w:rsidRPr="002A0A0C">
        <w:rPr>
          <w:bCs/>
          <w:spacing w:val="-2"/>
        </w:rPr>
        <w:t xml:space="preserve">(1) </w:t>
      </w:r>
      <w:r w:rsidRPr="002A0A0C">
        <w:rPr>
          <w:noProof/>
        </w:rPr>
        <w:t>Y</w:t>
      </w:r>
      <w:r w:rsidR="002119D2" w:rsidRPr="002A0A0C">
        <w:rPr>
          <w:noProof/>
        </w:rPr>
        <w:t>erli üretim dalının</w:t>
      </w:r>
      <w:r w:rsidR="002119D2" w:rsidRPr="002A0A0C">
        <w:rPr>
          <w:bCs/>
          <w:spacing w:val="-2"/>
        </w:rPr>
        <w:t xml:space="preserve"> soruşturma konusu ürünün dönem sonu stok miktarının endeksi </w:t>
      </w:r>
      <w:r w:rsidR="002119D2" w:rsidRPr="002A0A0C">
        <w:t xml:space="preserve">2018-2021 yıllarında sırasıyla 100 birim, 107 birim, </w:t>
      </w:r>
      <w:r w:rsidR="002119D2" w:rsidRPr="002A0A0C">
        <w:rPr>
          <w:bCs/>
          <w:spacing w:val="-2"/>
        </w:rPr>
        <w:t>111 birim ve 114 birim olarak gerçekleşmiştir</w:t>
      </w:r>
      <w:r w:rsidRPr="002A0A0C">
        <w:rPr>
          <w:bCs/>
          <w:spacing w:val="-2"/>
        </w:rPr>
        <w:t xml:space="preserve">. </w:t>
      </w:r>
    </w:p>
    <w:p w:rsidR="00462755" w:rsidRPr="002A0A0C" w:rsidRDefault="00462755" w:rsidP="002A0A0C">
      <w:pPr>
        <w:tabs>
          <w:tab w:val="left" w:pos="360"/>
        </w:tabs>
        <w:spacing w:before="120" w:after="120"/>
        <w:jc w:val="both"/>
        <w:rPr>
          <w:b/>
          <w:bCs/>
          <w:spacing w:val="-2"/>
        </w:rPr>
      </w:pPr>
      <w:r w:rsidRPr="002A0A0C">
        <w:rPr>
          <w:b/>
          <w:bCs/>
          <w:spacing w:val="-2"/>
        </w:rPr>
        <w:t>f) İstihdam</w:t>
      </w:r>
    </w:p>
    <w:p w:rsidR="00462755" w:rsidRPr="002A0A0C" w:rsidRDefault="00462755" w:rsidP="002A0A0C">
      <w:pPr>
        <w:tabs>
          <w:tab w:val="left" w:pos="360"/>
        </w:tabs>
        <w:spacing w:before="120" w:after="120"/>
        <w:jc w:val="both"/>
        <w:rPr>
          <w:bCs/>
          <w:spacing w:val="-2"/>
        </w:rPr>
      </w:pPr>
      <w:r w:rsidRPr="002A0A0C">
        <w:rPr>
          <w:bCs/>
          <w:spacing w:val="-2"/>
        </w:rPr>
        <w:t xml:space="preserve">(1) </w:t>
      </w:r>
      <w:r w:rsidRPr="002A0A0C">
        <w:rPr>
          <w:noProof/>
        </w:rPr>
        <w:t>Y</w:t>
      </w:r>
      <w:r w:rsidR="002119D2" w:rsidRPr="002A0A0C">
        <w:rPr>
          <w:noProof/>
        </w:rPr>
        <w:t>erli üretim dalının</w:t>
      </w:r>
      <w:r w:rsidR="002119D2" w:rsidRPr="002A0A0C">
        <w:rPr>
          <w:bCs/>
          <w:spacing w:val="-2"/>
        </w:rPr>
        <w:t xml:space="preserve"> soruşturma konusu ürün üretiminde çalışan işçi sayısı endeksi aynı dönemde sırasıyla 100 birim, 110 birim, 135 birim ve 195 birim olarak gerçekleşmiştir</w:t>
      </w:r>
      <w:r w:rsidRPr="002A0A0C">
        <w:rPr>
          <w:bCs/>
          <w:spacing w:val="-2"/>
        </w:rPr>
        <w:t>.</w:t>
      </w:r>
    </w:p>
    <w:p w:rsidR="00462755" w:rsidRPr="002A0A0C" w:rsidRDefault="00462755" w:rsidP="002A0A0C">
      <w:pPr>
        <w:tabs>
          <w:tab w:val="left" w:pos="360"/>
        </w:tabs>
        <w:spacing w:before="120" w:after="120"/>
        <w:jc w:val="both"/>
        <w:rPr>
          <w:bCs/>
          <w:spacing w:val="-2"/>
        </w:rPr>
      </w:pPr>
      <w:r w:rsidRPr="002A0A0C">
        <w:rPr>
          <w:b/>
          <w:bCs/>
          <w:spacing w:val="-2"/>
        </w:rPr>
        <w:t>g) Ücretler</w:t>
      </w:r>
      <w:r w:rsidRPr="002A0A0C">
        <w:rPr>
          <w:bCs/>
          <w:spacing w:val="-2"/>
        </w:rPr>
        <w:tab/>
      </w:r>
    </w:p>
    <w:p w:rsidR="00F953C8" w:rsidRPr="002A0A0C" w:rsidRDefault="00462755" w:rsidP="002A0A0C">
      <w:pPr>
        <w:tabs>
          <w:tab w:val="left" w:pos="360"/>
        </w:tabs>
        <w:spacing w:before="120" w:after="120"/>
        <w:jc w:val="both"/>
        <w:rPr>
          <w:bCs/>
          <w:spacing w:val="-2"/>
        </w:rPr>
      </w:pPr>
      <w:r w:rsidRPr="002A0A0C">
        <w:rPr>
          <w:bCs/>
          <w:spacing w:val="-2"/>
        </w:rPr>
        <w:t xml:space="preserve">(1) </w:t>
      </w:r>
      <w:r w:rsidR="000A0FD7" w:rsidRPr="002A0A0C">
        <w:t>S</w:t>
      </w:r>
      <w:r w:rsidR="002119D2" w:rsidRPr="002A0A0C">
        <w:rPr>
          <w:bCs/>
          <w:spacing w:val="-2"/>
        </w:rPr>
        <w:t>oruşturma konusu ürün üretiminde çalışan bir işçinin aylık brüt ücretinin endeksi 2018 yılında 100 birim olarak kabul edildiğinde, 2019, 2020 ve 2021 yıllarında sırasıyla 108 birim, 102 birim ve 98 birim seviyesinde gerçekleşmiştir</w:t>
      </w:r>
      <w:r w:rsidRPr="002A0A0C">
        <w:rPr>
          <w:bCs/>
          <w:spacing w:val="-2"/>
        </w:rPr>
        <w:t xml:space="preserve">. </w:t>
      </w:r>
    </w:p>
    <w:p w:rsidR="00462755" w:rsidRPr="002A0A0C" w:rsidRDefault="00462755" w:rsidP="002A0A0C">
      <w:pPr>
        <w:tabs>
          <w:tab w:val="left" w:pos="360"/>
        </w:tabs>
        <w:spacing w:before="120" w:after="120"/>
        <w:jc w:val="both"/>
        <w:rPr>
          <w:bCs/>
          <w:spacing w:val="-2"/>
        </w:rPr>
      </w:pPr>
      <w:r w:rsidRPr="002A0A0C">
        <w:rPr>
          <w:b/>
          <w:bCs/>
          <w:spacing w:val="-2"/>
        </w:rPr>
        <w:t>ğ) Verimlilik</w:t>
      </w:r>
      <w:r w:rsidRPr="002A0A0C">
        <w:rPr>
          <w:bCs/>
          <w:spacing w:val="-2"/>
        </w:rPr>
        <w:tab/>
      </w:r>
    </w:p>
    <w:p w:rsidR="00462755" w:rsidRPr="002A0A0C" w:rsidRDefault="00462755" w:rsidP="002A0A0C">
      <w:pPr>
        <w:tabs>
          <w:tab w:val="left" w:pos="360"/>
        </w:tabs>
        <w:spacing w:before="120" w:after="120"/>
        <w:jc w:val="both"/>
        <w:rPr>
          <w:bCs/>
          <w:spacing w:val="-2"/>
        </w:rPr>
      </w:pPr>
      <w:r w:rsidRPr="002A0A0C">
        <w:rPr>
          <w:bCs/>
          <w:spacing w:val="-2"/>
        </w:rPr>
        <w:t xml:space="preserve">(1) </w:t>
      </w:r>
      <w:r w:rsidR="000A0FD7" w:rsidRPr="002A0A0C">
        <w:t>S</w:t>
      </w:r>
      <w:r w:rsidR="002119D2" w:rsidRPr="002A0A0C">
        <w:rPr>
          <w:bCs/>
          <w:spacing w:val="-2"/>
        </w:rPr>
        <w:t>oruşturma konusu ürün üretiminde çalışan işçi başına düşen üretim miktarını gösteren verimlilik endeksi 2018 yılında 100 birim, 2019 yılında 129 birim, 2020 yılında 138 birim ve 2021 yılında 89 birim seviyesinde gerçekleşmiştir</w:t>
      </w:r>
      <w:r w:rsidRPr="002A0A0C">
        <w:rPr>
          <w:bCs/>
          <w:spacing w:val="-2"/>
        </w:rPr>
        <w:t xml:space="preserve">. </w:t>
      </w:r>
    </w:p>
    <w:p w:rsidR="00462755" w:rsidRPr="002A0A0C" w:rsidRDefault="000A0FD7" w:rsidP="002A0A0C">
      <w:pPr>
        <w:tabs>
          <w:tab w:val="left" w:pos="360"/>
        </w:tabs>
        <w:spacing w:before="120" w:after="120"/>
        <w:jc w:val="both"/>
        <w:rPr>
          <w:bCs/>
          <w:spacing w:val="-2"/>
        </w:rPr>
      </w:pPr>
      <w:r w:rsidRPr="002A0A0C">
        <w:rPr>
          <w:b/>
          <w:bCs/>
          <w:spacing w:val="-2"/>
        </w:rPr>
        <w:t>h) Nakit a</w:t>
      </w:r>
      <w:r w:rsidR="00462755" w:rsidRPr="002A0A0C">
        <w:rPr>
          <w:b/>
          <w:bCs/>
          <w:spacing w:val="-2"/>
        </w:rPr>
        <w:t xml:space="preserve">kışı </w:t>
      </w:r>
    </w:p>
    <w:p w:rsidR="00684E63" w:rsidRPr="002A0A0C" w:rsidRDefault="00462755" w:rsidP="002A0A0C">
      <w:pPr>
        <w:tabs>
          <w:tab w:val="left" w:pos="360"/>
        </w:tabs>
        <w:spacing w:before="120" w:after="120"/>
        <w:jc w:val="both"/>
        <w:rPr>
          <w:bCs/>
          <w:spacing w:val="-2"/>
        </w:rPr>
      </w:pPr>
      <w:r w:rsidRPr="002A0A0C">
        <w:rPr>
          <w:bCs/>
          <w:spacing w:val="-2"/>
        </w:rPr>
        <w:t xml:space="preserve">(1) </w:t>
      </w:r>
      <w:r w:rsidRPr="002A0A0C">
        <w:rPr>
          <w:noProof/>
        </w:rPr>
        <w:t>Y</w:t>
      </w:r>
      <w:r w:rsidR="002119D2" w:rsidRPr="002A0A0C">
        <w:rPr>
          <w:noProof/>
        </w:rPr>
        <w:t>erli üretim dalının</w:t>
      </w:r>
      <w:r w:rsidR="002119D2" w:rsidRPr="002A0A0C">
        <w:rPr>
          <w:bCs/>
          <w:spacing w:val="-2"/>
        </w:rPr>
        <w:t xml:space="preserve"> soruşturma konusu ürüne ilişkin amortisman ve karlılık değerleri dikkate alınarak hesaplanan nakit akışı endeksi 2018 yılında 100 birim, 2019 yılında 147 birim, 2020 yılında 841 birim ve 2021 yılında 1.637 birim </w:t>
      </w:r>
      <w:r w:rsidR="002119D2" w:rsidRPr="002A0A0C">
        <w:rPr>
          <w:bCs/>
        </w:rPr>
        <w:t>olarak</w:t>
      </w:r>
      <w:r w:rsidR="002119D2" w:rsidRPr="002A0A0C">
        <w:rPr>
          <w:bCs/>
          <w:spacing w:val="-2"/>
        </w:rPr>
        <w:t xml:space="preserve"> gerçekleşmiştir</w:t>
      </w:r>
      <w:r w:rsidRPr="002A0A0C">
        <w:rPr>
          <w:bCs/>
          <w:spacing w:val="-2"/>
        </w:rPr>
        <w:t xml:space="preserve">. </w:t>
      </w:r>
    </w:p>
    <w:p w:rsidR="00462755" w:rsidRPr="002A0A0C" w:rsidRDefault="00462755" w:rsidP="002A0A0C">
      <w:pPr>
        <w:tabs>
          <w:tab w:val="left" w:pos="360"/>
        </w:tabs>
        <w:spacing w:before="120" w:after="120"/>
        <w:jc w:val="both"/>
        <w:rPr>
          <w:bCs/>
          <w:spacing w:val="-2"/>
        </w:rPr>
      </w:pPr>
      <w:r w:rsidRPr="002A0A0C">
        <w:rPr>
          <w:b/>
          <w:bCs/>
          <w:spacing w:val="-2"/>
        </w:rPr>
        <w:t>ı) Büyüme</w:t>
      </w:r>
    </w:p>
    <w:p w:rsidR="00181017" w:rsidRPr="002A0A0C" w:rsidRDefault="00462755" w:rsidP="002A0A0C">
      <w:pPr>
        <w:tabs>
          <w:tab w:val="left" w:pos="360"/>
        </w:tabs>
        <w:spacing w:before="120" w:after="120"/>
        <w:jc w:val="both"/>
        <w:rPr>
          <w:bCs/>
          <w:spacing w:val="-2"/>
        </w:rPr>
      </w:pPr>
      <w:r w:rsidRPr="002A0A0C">
        <w:rPr>
          <w:bCs/>
          <w:spacing w:val="-2"/>
        </w:rPr>
        <w:t xml:space="preserve">(1) </w:t>
      </w:r>
      <w:r w:rsidRPr="002A0A0C">
        <w:rPr>
          <w:noProof/>
        </w:rPr>
        <w:t>Y</w:t>
      </w:r>
      <w:r w:rsidR="002119D2" w:rsidRPr="002A0A0C">
        <w:rPr>
          <w:noProof/>
        </w:rPr>
        <w:t>erli üretim dalının</w:t>
      </w:r>
      <w:r w:rsidR="002119D2" w:rsidRPr="002A0A0C">
        <w:rPr>
          <w:bCs/>
          <w:spacing w:val="-2"/>
        </w:rPr>
        <w:t xml:space="preserve"> bütün faaliyetlerini kapsayan aktif büyüklüğü 2018 yılında 100 birim, 2019 yılında 85 birim, 2020 yılında 93 birim ve 2021 yılında 119 birim olmuştur</w:t>
      </w:r>
      <w:r w:rsidRPr="002A0A0C">
        <w:rPr>
          <w:bCs/>
          <w:spacing w:val="-2"/>
        </w:rPr>
        <w:t xml:space="preserve">. </w:t>
      </w:r>
    </w:p>
    <w:p w:rsidR="00462755" w:rsidRPr="002A0A0C" w:rsidRDefault="00462755" w:rsidP="002A0A0C">
      <w:pPr>
        <w:tabs>
          <w:tab w:val="left" w:pos="360"/>
        </w:tabs>
        <w:spacing w:before="120" w:after="120"/>
        <w:jc w:val="both"/>
        <w:rPr>
          <w:b/>
          <w:bCs/>
          <w:spacing w:val="-2"/>
        </w:rPr>
      </w:pPr>
      <w:r w:rsidRPr="002A0A0C">
        <w:rPr>
          <w:b/>
          <w:bCs/>
          <w:spacing w:val="-2"/>
        </w:rPr>
        <w:t>i) Sermaye arttırma yeteneği</w:t>
      </w:r>
    </w:p>
    <w:p w:rsidR="00462755" w:rsidRPr="002A0A0C" w:rsidRDefault="00462755" w:rsidP="002A0A0C">
      <w:pPr>
        <w:tabs>
          <w:tab w:val="left" w:pos="360"/>
        </w:tabs>
        <w:spacing w:before="120" w:after="120"/>
        <w:jc w:val="both"/>
        <w:rPr>
          <w:bCs/>
          <w:spacing w:val="-2"/>
        </w:rPr>
      </w:pPr>
      <w:r w:rsidRPr="002A0A0C">
        <w:rPr>
          <w:bCs/>
          <w:spacing w:val="-2"/>
        </w:rPr>
        <w:t xml:space="preserve">(1) </w:t>
      </w:r>
      <w:r w:rsidRPr="002A0A0C">
        <w:rPr>
          <w:noProof/>
        </w:rPr>
        <w:t>Y</w:t>
      </w:r>
      <w:r w:rsidR="002119D2" w:rsidRPr="002A0A0C">
        <w:rPr>
          <w:noProof/>
        </w:rPr>
        <w:t>erli üretim dalının</w:t>
      </w:r>
      <w:r w:rsidR="002119D2" w:rsidRPr="002A0A0C">
        <w:rPr>
          <w:bCs/>
          <w:spacing w:val="-2"/>
        </w:rPr>
        <w:t xml:space="preserve"> öz sermaye endeksi aynı dönemde sırasıyla 100 birim, 99 birim, 100 birim ve 92 birim olarak gerçekleşmiştir</w:t>
      </w:r>
      <w:r w:rsidR="00181017" w:rsidRPr="002A0A0C">
        <w:rPr>
          <w:bCs/>
          <w:spacing w:val="-2"/>
        </w:rPr>
        <w:t>.</w:t>
      </w:r>
    </w:p>
    <w:p w:rsidR="00462755" w:rsidRPr="002A0A0C" w:rsidRDefault="00462755" w:rsidP="002A0A0C">
      <w:pPr>
        <w:tabs>
          <w:tab w:val="left" w:pos="360"/>
        </w:tabs>
        <w:spacing w:before="120" w:after="120"/>
        <w:jc w:val="both"/>
        <w:rPr>
          <w:bCs/>
          <w:spacing w:val="-2"/>
        </w:rPr>
      </w:pPr>
      <w:r w:rsidRPr="002A0A0C">
        <w:rPr>
          <w:b/>
          <w:bCs/>
          <w:spacing w:val="-2"/>
        </w:rPr>
        <w:t>j) Yatırımları arttırma yeteneği</w:t>
      </w:r>
    </w:p>
    <w:p w:rsidR="002119D2" w:rsidRPr="002A0A0C" w:rsidRDefault="00462755" w:rsidP="002A0A0C">
      <w:pPr>
        <w:tabs>
          <w:tab w:val="left" w:pos="360"/>
        </w:tabs>
        <w:spacing w:before="120" w:after="120"/>
        <w:jc w:val="both"/>
        <w:rPr>
          <w:bCs/>
          <w:spacing w:val="-2"/>
        </w:rPr>
      </w:pPr>
      <w:r w:rsidRPr="002A0A0C">
        <w:rPr>
          <w:bCs/>
          <w:spacing w:val="-2"/>
        </w:rPr>
        <w:t xml:space="preserve">(1) </w:t>
      </w:r>
      <w:r w:rsidRPr="002A0A0C">
        <w:rPr>
          <w:noProof/>
        </w:rPr>
        <w:t>Y</w:t>
      </w:r>
      <w:r w:rsidR="002119D2" w:rsidRPr="002A0A0C">
        <w:rPr>
          <w:noProof/>
        </w:rPr>
        <w:t>erli üretim dalının 2018-2021 yıllarında</w:t>
      </w:r>
      <w:r w:rsidR="002119D2" w:rsidRPr="002A0A0C">
        <w:rPr>
          <w:bCs/>
          <w:spacing w:val="-2"/>
        </w:rPr>
        <w:t xml:space="preserve"> kapasite artışı için tevsi yatırımları endeksi sırasıyla 100, 0, 128 ve 569 birim olarak gerçekleşmiştir. </w:t>
      </w:r>
      <w:r w:rsidR="002119D2" w:rsidRPr="002A0A0C">
        <w:rPr>
          <w:szCs w:val="23"/>
        </w:rPr>
        <w:t>Söz konusu yatırımların 2021 yılından önce gerçekleşenleri özlü kaynak teli üretimine yönelik değildir.</w:t>
      </w:r>
      <w:r w:rsidR="002119D2" w:rsidRPr="002A0A0C">
        <w:rPr>
          <w:bCs/>
          <w:spacing w:val="-2"/>
          <w:sz w:val="28"/>
        </w:rPr>
        <w:t xml:space="preserve"> </w:t>
      </w:r>
      <w:r w:rsidR="002119D2" w:rsidRPr="002A0A0C">
        <w:rPr>
          <w:bCs/>
          <w:spacing w:val="-2"/>
        </w:rPr>
        <w:t>Aynı dönemde</w:t>
      </w:r>
      <w:r w:rsidR="002119D2" w:rsidRPr="002A0A0C">
        <w:rPr>
          <w:bCs/>
          <w:spacing w:val="-2"/>
          <w:sz w:val="28"/>
        </w:rPr>
        <w:t xml:space="preserve"> </w:t>
      </w:r>
      <w:r w:rsidR="002119D2" w:rsidRPr="002A0A0C">
        <w:rPr>
          <w:bCs/>
          <w:spacing w:val="-2"/>
        </w:rPr>
        <w:t>yenileme yatırımları endeksi sırasıyla 100, 54, 46 ve 157 birim olarak gerçekleşmiştir.</w:t>
      </w:r>
    </w:p>
    <w:p w:rsidR="00462755" w:rsidRPr="002A0A0C" w:rsidRDefault="002119D2" w:rsidP="002A0A0C">
      <w:pPr>
        <w:tabs>
          <w:tab w:val="left" w:pos="360"/>
        </w:tabs>
        <w:spacing w:before="120" w:after="120"/>
        <w:jc w:val="both"/>
        <w:rPr>
          <w:bCs/>
          <w:spacing w:val="-2"/>
        </w:rPr>
      </w:pPr>
      <w:r w:rsidRPr="002A0A0C">
        <w:rPr>
          <w:bCs/>
          <w:spacing w:val="-2"/>
        </w:rPr>
        <w:t xml:space="preserve"> (2) </w:t>
      </w:r>
      <w:r w:rsidRPr="002A0A0C">
        <w:rPr>
          <w:noProof/>
        </w:rPr>
        <w:t>Yerli üretim dalının</w:t>
      </w:r>
      <w:r w:rsidRPr="002A0A0C">
        <w:rPr>
          <w:bCs/>
          <w:spacing w:val="-2"/>
        </w:rPr>
        <w:t xml:space="preserve"> yatırımlarının geri dönüş oranı (dönem karı/öz sermaye) endeksi aynı dönemde sırasıyla 100 birim, 166 birim, 127 birim ve 115 birim olmuştur</w:t>
      </w:r>
      <w:r w:rsidR="00462755" w:rsidRPr="002A0A0C">
        <w:rPr>
          <w:bCs/>
          <w:spacing w:val="-2"/>
        </w:rPr>
        <w:t>.</w:t>
      </w:r>
    </w:p>
    <w:p w:rsidR="003A5437" w:rsidRPr="002A0A0C" w:rsidRDefault="003A5437" w:rsidP="002A0A0C">
      <w:pPr>
        <w:pStyle w:val="Balk2"/>
        <w:numPr>
          <w:ilvl w:val="1"/>
          <w:numId w:val="3"/>
        </w:numPr>
        <w:spacing w:before="120" w:after="120"/>
        <w:ind w:left="426"/>
      </w:pPr>
      <w:bookmarkStart w:id="35" w:name="_Toc98149765"/>
      <w:r w:rsidRPr="002A0A0C">
        <w:t xml:space="preserve">Yerli </w:t>
      </w:r>
      <w:r w:rsidR="00A151EA" w:rsidRPr="002A0A0C">
        <w:t>üretim dalının ekonomik göstergelerinin değerlendirilmesi</w:t>
      </w:r>
      <w:bookmarkEnd w:id="35"/>
    </w:p>
    <w:p w:rsidR="002A0A0C" w:rsidRPr="002A0A0C" w:rsidRDefault="004B35AB" w:rsidP="002A0A0C">
      <w:pPr>
        <w:pStyle w:val="Default"/>
        <w:spacing w:before="120" w:after="120"/>
        <w:jc w:val="both"/>
        <w:rPr>
          <w:color w:val="auto"/>
        </w:rPr>
      </w:pPr>
      <w:r w:rsidRPr="002A0A0C">
        <w:rPr>
          <w:color w:val="auto"/>
        </w:rPr>
        <w:t>(1) Y</w:t>
      </w:r>
      <w:r w:rsidR="002A0A0C" w:rsidRPr="002A0A0C">
        <w:rPr>
          <w:color w:val="auto"/>
        </w:rPr>
        <w:t xml:space="preserve">erli üretim dalının ekonomik göstergeleri incelendiğinde, 2018-2021 döneminde önlemin de etkisiyle genel olarak firma ekonomik göstergelerinde düzelme olduğu gözlemlenmiştir. Bununla birlikte, 2018 ve 2019 yıllarında mevcut önleme rağmen yerli üretim dalının zarar ettiği; öte yandan 2020 yılında kârlılığın pozitife döndüğü tespit edilmiştir. </w:t>
      </w:r>
    </w:p>
    <w:p w:rsidR="004B35AB" w:rsidRPr="002A0A0C" w:rsidRDefault="002A0A0C" w:rsidP="002A0A0C">
      <w:pPr>
        <w:spacing w:before="120" w:after="120"/>
        <w:jc w:val="both"/>
        <w:rPr>
          <w:bCs/>
          <w:spacing w:val="-2"/>
        </w:rPr>
      </w:pPr>
      <w:r w:rsidRPr="002A0A0C">
        <w:t>(2) Diğer taraftan, 2021 yılında bir önceki yıla göre yurtdışı satış miktarı, dönem sonu stok miktarı, stok çevrim hızı, verimlilik ve aylık brüt işçi ücreti gibi bazı göstergelerinde bir miktar bozulma yaşandığı tespit edilmiştir</w:t>
      </w:r>
      <w:r w:rsidR="00C049DD" w:rsidRPr="002A0A0C">
        <w:rPr>
          <w:bCs/>
          <w:spacing w:val="-2"/>
        </w:rPr>
        <w:t>.</w:t>
      </w:r>
    </w:p>
    <w:p w:rsidR="00004B44" w:rsidRPr="002A0A0C" w:rsidRDefault="00F2535B" w:rsidP="002A0A0C">
      <w:pPr>
        <w:pStyle w:val="Balk2"/>
        <w:numPr>
          <w:ilvl w:val="1"/>
          <w:numId w:val="3"/>
        </w:numPr>
        <w:spacing w:before="120" w:after="120"/>
        <w:ind w:left="426"/>
      </w:pPr>
      <w:bookmarkStart w:id="36" w:name="_Toc98149766"/>
      <w:r w:rsidRPr="002A0A0C">
        <w:t>Zararın devamı veya yeniden meydana gelmesi ihtimali</w:t>
      </w:r>
      <w:bookmarkEnd w:id="36"/>
    </w:p>
    <w:p w:rsidR="002A0A0C" w:rsidRPr="002A0A0C" w:rsidRDefault="00536E9E" w:rsidP="002A0A0C">
      <w:pPr>
        <w:spacing w:before="120" w:after="120"/>
        <w:jc w:val="both"/>
        <w:rPr>
          <w:sz w:val="28"/>
        </w:rPr>
      </w:pPr>
      <w:r w:rsidRPr="002A0A0C">
        <w:t xml:space="preserve">(1) </w:t>
      </w:r>
      <w:proofErr w:type="spellStart"/>
      <w:r w:rsidRPr="002A0A0C">
        <w:rPr>
          <w:bCs/>
        </w:rPr>
        <w:t>Ç</w:t>
      </w:r>
      <w:r w:rsidR="002A0A0C" w:rsidRPr="002A0A0C">
        <w:rPr>
          <w:szCs w:val="23"/>
        </w:rPr>
        <w:t>HC’li</w:t>
      </w:r>
      <w:proofErr w:type="spellEnd"/>
      <w:r w:rsidR="002A0A0C" w:rsidRPr="002A0A0C">
        <w:rPr>
          <w:szCs w:val="23"/>
        </w:rPr>
        <w:t xml:space="preserve"> üretici/ihracatçıların Türkiye pazarına erişim konusunda bir sıkıntı yaşamadıkları bilinmekte olup özlü kaynak tellerinin temel kullanım alanları arasında gemi sanayi, demir çelik fabrikaları, çelik konstrüksiyon fabrikaları ile petrol boru hattı yapımının yer aldığı da dikkate alındığında, Türkiye pazarının </w:t>
      </w:r>
      <w:proofErr w:type="spellStart"/>
      <w:r w:rsidR="002A0A0C" w:rsidRPr="002A0A0C">
        <w:rPr>
          <w:szCs w:val="23"/>
        </w:rPr>
        <w:t>ÇHC’li</w:t>
      </w:r>
      <w:proofErr w:type="spellEnd"/>
      <w:r w:rsidR="002A0A0C" w:rsidRPr="002A0A0C">
        <w:rPr>
          <w:szCs w:val="23"/>
        </w:rPr>
        <w:t xml:space="preserve"> üreticiler için önem arz ettiği değerlendirilmektedir.</w:t>
      </w:r>
    </w:p>
    <w:p w:rsidR="002A0A0C" w:rsidRPr="002A0A0C" w:rsidRDefault="002A0A0C" w:rsidP="002A0A0C">
      <w:pPr>
        <w:spacing w:before="120" w:after="120"/>
        <w:jc w:val="both"/>
        <w:rPr>
          <w:szCs w:val="23"/>
        </w:rPr>
      </w:pPr>
      <w:r w:rsidRPr="002A0A0C">
        <w:rPr>
          <w:szCs w:val="23"/>
        </w:rPr>
        <w:t xml:space="preserve">(2) Mevcut önlemin etkisiyle ÇHC menşeli ithalatın incelenen dönemde dalgalanmakla birlikte, genel olarak düşük miktarlarda seyrettiği tespit edilmiştir. ÇHC menşeli ithalatın ortalama birim fiyatları 2018-2021 dönemi boyunca dalgalı bir seyir izlemiş ve 2019 yılı hariç genel ithalatın ortalama birim fiyatlarının üzerinde seyretmiştir. Bu çerçevede, </w:t>
      </w:r>
      <w:proofErr w:type="spellStart"/>
      <w:r w:rsidRPr="002A0A0C">
        <w:rPr>
          <w:szCs w:val="23"/>
        </w:rPr>
        <w:t>ÇHC’den</w:t>
      </w:r>
      <w:proofErr w:type="spellEnd"/>
      <w:r w:rsidRPr="002A0A0C">
        <w:rPr>
          <w:szCs w:val="23"/>
        </w:rPr>
        <w:t xml:space="preserve"> yapılan başvuru konusu ürün ithalatının, önlemin etkisiyle azaldığı ve yüksek fiyatlı farklı nitelikteki tiplere talep kayması yaşanmış olabileceği değerlendirilmiştir.</w:t>
      </w:r>
    </w:p>
    <w:p w:rsidR="002A0A0C" w:rsidRPr="002A0A0C" w:rsidRDefault="002A0A0C" w:rsidP="002A0A0C">
      <w:pPr>
        <w:spacing w:before="120" w:after="120"/>
        <w:jc w:val="both"/>
      </w:pPr>
      <w:r w:rsidRPr="002A0A0C">
        <w:t xml:space="preserve">(3) Soruşturma konusu ülke menşeli özlü kaynak teli ithalatının, 2019 yılı hariç olmak üzere, yerli üretim dalının yurt içi satış fiyatları üzerinde fiyat kırılması ve fiyat baskısı etkisine neden olmadığı; ancak, söz konusu durumun, </w:t>
      </w:r>
      <w:r w:rsidRPr="002A0A0C">
        <w:rPr>
          <w:bCs/>
        </w:rPr>
        <w:t xml:space="preserve">yürürlükteki dampinge karşı önlemin etkisiyle </w:t>
      </w:r>
      <w:proofErr w:type="spellStart"/>
      <w:r w:rsidRPr="002A0A0C">
        <w:rPr>
          <w:bCs/>
        </w:rPr>
        <w:t>ÇHC’den</w:t>
      </w:r>
      <w:proofErr w:type="spellEnd"/>
      <w:r w:rsidRPr="002A0A0C">
        <w:rPr>
          <w:bCs/>
        </w:rPr>
        <w:t xml:space="preserve"> gerçekleştirilen özlü kaynak teli </w:t>
      </w:r>
      <w:r w:rsidRPr="002A0A0C">
        <w:t>ithalatının ürün kompozisyonunun görece yüksek birim fiyatlı farklı nitelikli tiplere doğru kaymasından kaynaklandığı</w:t>
      </w:r>
      <w:r w:rsidRPr="002A0A0C">
        <w:rPr>
          <w:bCs/>
        </w:rPr>
        <w:t xml:space="preserve"> değerlendirilmiştir. </w:t>
      </w:r>
    </w:p>
    <w:p w:rsidR="002A0A0C" w:rsidRPr="002A0A0C" w:rsidRDefault="002A0A0C" w:rsidP="002A0A0C">
      <w:pPr>
        <w:spacing w:before="120" w:after="120"/>
        <w:jc w:val="both"/>
      </w:pPr>
      <w:r w:rsidRPr="002A0A0C">
        <w:t xml:space="preserve">(4) </w:t>
      </w:r>
      <w:proofErr w:type="spellStart"/>
      <w:r w:rsidRPr="002A0A0C">
        <w:t>ÇHC’nin</w:t>
      </w:r>
      <w:proofErr w:type="spellEnd"/>
      <w:r w:rsidRPr="002A0A0C">
        <w:t xml:space="preserve"> üretim ve ihracat kabiliyeti bakımından dünyada önemli bir yere sahip olduğu, ihracatçı firmaların pazara erişim konusunda herhangi bir sorunla karşılaşmadığı, </w:t>
      </w:r>
      <w:proofErr w:type="spellStart"/>
      <w:r w:rsidRPr="002A0A0C">
        <w:t>ÇHC’nin</w:t>
      </w:r>
      <w:proofErr w:type="spellEnd"/>
      <w:r w:rsidRPr="002A0A0C">
        <w:t xml:space="preserve"> söz konusu üründe ortalama ihraç birim fiyatlarının dünya ortalama ihraç birim fiyatlarının altında olduğu, Türkiye pazarının büyüklüğü ve ithalatçı ile ihracatçıların birbirlerini tanımaları hususları dikkate alındığında, önlemin yokluğunda başvuru konusu ürün ihracatını önemli bir pazar olan Türkiye’ye kolaylıkla yönlendirebileceği düşünülmektedir. </w:t>
      </w:r>
    </w:p>
    <w:p w:rsidR="00536E9E" w:rsidRPr="002A0A0C" w:rsidRDefault="002A0A0C" w:rsidP="002A0A0C">
      <w:pPr>
        <w:spacing w:before="120" w:after="120"/>
        <w:jc w:val="both"/>
      </w:pPr>
      <w:r w:rsidRPr="002A0A0C">
        <w:t>(5) Yerli üretim dalının ekonomik göstergeleri bir bütün olarak incelendiğinde, 2018-2021 döneminde önlemin de etkisiyle genel olarak firma ekonomik göstergelerinde düzelme olmakla birlikte, birim karlılığının ancak 2020 yılında pozitife döndüğü görülmüştür. 2021 yılında ise, önleme rağmen bir önceki yıla göre yerli üretim dalının yurtdışı satış miktarı, dönem sonu stok miktarı, stok çevrim hızı, verimlilik ve aylık brüt işçi ücreti gibi bazı göstergelerinde bir miktar bozulma yaşandığı tespit edilmiştir</w:t>
      </w:r>
      <w:r w:rsidR="00536E9E" w:rsidRPr="002A0A0C">
        <w:t xml:space="preserve">. </w:t>
      </w:r>
    </w:p>
    <w:p w:rsidR="00E0695D" w:rsidRPr="00047414" w:rsidRDefault="00730F0E" w:rsidP="002A0A0C">
      <w:pPr>
        <w:pStyle w:val="Balk1"/>
        <w:numPr>
          <w:ilvl w:val="0"/>
          <w:numId w:val="3"/>
        </w:numPr>
        <w:spacing w:before="120" w:after="120"/>
        <w:rPr>
          <w:rFonts w:ascii="Times New Roman" w:hAnsi="Times New Roman" w:cs="Times New Roman"/>
          <w:sz w:val="24"/>
        </w:rPr>
      </w:pPr>
      <w:bookmarkStart w:id="37" w:name="_Toc98149767"/>
      <w:r w:rsidRPr="00047414">
        <w:rPr>
          <w:rFonts w:ascii="Times New Roman" w:hAnsi="Times New Roman" w:cs="Times New Roman"/>
          <w:sz w:val="24"/>
        </w:rPr>
        <w:t>Sonuç</w:t>
      </w:r>
      <w:bookmarkEnd w:id="37"/>
    </w:p>
    <w:p w:rsidR="00A27165" w:rsidRPr="002A0A0C" w:rsidRDefault="00A27165" w:rsidP="002A0A0C">
      <w:pPr>
        <w:pStyle w:val="Default"/>
        <w:spacing w:before="120" w:after="120"/>
        <w:jc w:val="both"/>
        <w:rPr>
          <w:color w:val="auto"/>
        </w:rPr>
      </w:pPr>
      <w:r w:rsidRPr="002A0A0C">
        <w:rPr>
          <w:color w:val="auto"/>
        </w:rPr>
        <w:t>(1) Y</w:t>
      </w:r>
      <w:r w:rsidR="002A0A0C" w:rsidRPr="002A0A0C">
        <w:rPr>
          <w:bCs/>
          <w:color w:val="auto"/>
          <w:lang w:eastAsia="en-US"/>
        </w:rPr>
        <w:t>ürütülen soruşturma esnasında elde edilen bilgi ve bulgular çerçevesinde, önlemin ortadan kalkması durumunda dampingin ve zararın devam etmesinin veya yeniden meydana gelmesinin muhtemel olduğu değerlendirilmiştir</w:t>
      </w:r>
      <w:r w:rsidRPr="002A0A0C">
        <w:rPr>
          <w:color w:val="auto"/>
        </w:rPr>
        <w:t>.</w:t>
      </w:r>
    </w:p>
    <w:p w:rsidR="00A836B6" w:rsidRDefault="00A27165" w:rsidP="002A0A0C">
      <w:pPr>
        <w:spacing w:before="120" w:after="120"/>
        <w:jc w:val="both"/>
      </w:pPr>
      <w:r w:rsidRPr="00A836B6">
        <w:t>(</w:t>
      </w:r>
      <w:r w:rsidRPr="00A836B6">
        <w:rPr>
          <w:bCs/>
          <w:color w:val="0D0D0D" w:themeColor="text1" w:themeTint="F2"/>
          <w:lang w:eastAsia="en-US"/>
        </w:rPr>
        <w:t xml:space="preserve">2) </w:t>
      </w:r>
      <w:r w:rsidRPr="00A836B6">
        <w:t>Bu çerçevede</w:t>
      </w:r>
      <w:r w:rsidR="00A836B6">
        <w:t>,</w:t>
      </w:r>
      <w:r w:rsidRPr="00A836B6">
        <w:t xml:space="preserve"> </w:t>
      </w:r>
      <w:r w:rsidR="00A836B6" w:rsidRPr="00A836B6">
        <w:t>soruşturma neticesinde ulaşılan tespitleri değerlendiren Kurulun kararı ile</w:t>
      </w:r>
      <w:r w:rsidR="00CA0DF5">
        <w:t>,</w:t>
      </w:r>
      <w:r w:rsidR="00A836B6" w:rsidRPr="00A836B6">
        <w:t xml:space="preserve"> </w:t>
      </w:r>
      <w:r w:rsidR="002A0A0C" w:rsidRPr="002A0A0C">
        <w:t>23</w:t>
      </w:r>
      <w:r w:rsidR="00A836B6" w:rsidRPr="002A0A0C">
        <w:t>/</w:t>
      </w:r>
      <w:r w:rsidR="002A0A0C" w:rsidRPr="002A0A0C">
        <w:t>2</w:t>
      </w:r>
      <w:r w:rsidR="00A836B6" w:rsidRPr="002A0A0C">
        <w:t>/201</w:t>
      </w:r>
      <w:r w:rsidR="002A0A0C" w:rsidRPr="002A0A0C">
        <w:t>7</w:t>
      </w:r>
      <w:r w:rsidR="00A836B6" w:rsidRPr="002A0A0C">
        <w:t xml:space="preserve"> tarihli ve </w:t>
      </w:r>
      <w:r w:rsidR="002A0A0C" w:rsidRPr="002A0A0C">
        <w:rPr>
          <w:bCs/>
        </w:rPr>
        <w:t>29988</w:t>
      </w:r>
      <w:r w:rsidR="00A836B6" w:rsidRPr="002A0A0C">
        <w:t xml:space="preserve"> sayılı Resmî </w:t>
      </w:r>
      <w:proofErr w:type="spellStart"/>
      <w:r w:rsidR="00A836B6" w:rsidRPr="002A0A0C">
        <w:t>Gazete’de</w:t>
      </w:r>
      <w:proofErr w:type="spellEnd"/>
      <w:r w:rsidR="00A836B6" w:rsidRPr="002A0A0C">
        <w:t xml:space="preserve"> yayımlanan İthalatta Haksız Rekabetin Önlenmesine İlişkin Tebliğ (Tebliğ No: 201</w:t>
      </w:r>
      <w:r w:rsidR="002A0A0C" w:rsidRPr="002A0A0C">
        <w:t>7</w:t>
      </w:r>
      <w:r w:rsidR="00A836B6" w:rsidRPr="002A0A0C">
        <w:t>/</w:t>
      </w:r>
      <w:r w:rsidR="002A0A0C" w:rsidRPr="002A0A0C">
        <w:t>3</w:t>
      </w:r>
      <w:r w:rsidR="00A836B6" w:rsidRPr="002A0A0C">
        <w:t xml:space="preserve">) ile </w:t>
      </w:r>
      <w:r w:rsidR="000D44EF" w:rsidRPr="007D6705">
        <w:t xml:space="preserve">yürürlükte olan dampinge karşı önlemin, Yönetmeliğin 42 </w:t>
      </w:r>
      <w:proofErr w:type="spellStart"/>
      <w:r w:rsidR="000D44EF" w:rsidRPr="007D6705">
        <w:t>nci</w:t>
      </w:r>
      <w:proofErr w:type="spellEnd"/>
      <w:r w:rsidR="000D44EF" w:rsidRPr="007D6705">
        <w:t xml:space="preserve"> maddesi çerçevesinde aşağıdaki tabloda gösterilen biçimde uygulanmaya devam edilmesine karar verilmiştir.</w:t>
      </w:r>
    </w:p>
    <w:p w:rsidR="002A0A0C" w:rsidRDefault="002A0A0C" w:rsidP="00A836B6">
      <w:pPr>
        <w:jc w:val="both"/>
      </w:pP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20"/>
        <w:gridCol w:w="2286"/>
        <w:gridCol w:w="1418"/>
        <w:gridCol w:w="1984"/>
        <w:gridCol w:w="1492"/>
      </w:tblGrid>
      <w:tr w:rsidR="002A0A0C" w:rsidRPr="00E94200" w:rsidTr="002A0A0C">
        <w:trPr>
          <w:trHeight w:val="197"/>
          <w:jc w:val="center"/>
        </w:trPr>
        <w:tc>
          <w:tcPr>
            <w:tcW w:w="1820" w:type="dxa"/>
            <w:shd w:val="clear" w:color="auto" w:fill="auto"/>
            <w:vAlign w:val="center"/>
            <w:hideMark/>
          </w:tcPr>
          <w:p w:rsidR="002A0A0C" w:rsidRPr="002A0A0C" w:rsidRDefault="002A0A0C" w:rsidP="00A13F71">
            <w:pPr>
              <w:jc w:val="center"/>
              <w:rPr>
                <w:b/>
                <w:bCs/>
              </w:rPr>
            </w:pPr>
            <w:r w:rsidRPr="002A0A0C">
              <w:rPr>
                <w:b/>
                <w:bCs/>
              </w:rPr>
              <w:t>GTİP</w:t>
            </w:r>
          </w:p>
        </w:tc>
        <w:tc>
          <w:tcPr>
            <w:tcW w:w="2286" w:type="dxa"/>
            <w:shd w:val="clear" w:color="auto" w:fill="auto"/>
            <w:vAlign w:val="center"/>
            <w:hideMark/>
          </w:tcPr>
          <w:p w:rsidR="002A0A0C" w:rsidRPr="002A0A0C" w:rsidRDefault="002A0A0C" w:rsidP="00A13F71">
            <w:pPr>
              <w:jc w:val="center"/>
              <w:rPr>
                <w:b/>
                <w:bCs/>
              </w:rPr>
            </w:pPr>
            <w:r w:rsidRPr="002A0A0C">
              <w:rPr>
                <w:b/>
                <w:bCs/>
              </w:rPr>
              <w:t>Eşyanın Tanımı</w:t>
            </w:r>
          </w:p>
        </w:tc>
        <w:tc>
          <w:tcPr>
            <w:tcW w:w="1418" w:type="dxa"/>
            <w:shd w:val="clear" w:color="auto" w:fill="auto"/>
            <w:vAlign w:val="center"/>
            <w:hideMark/>
          </w:tcPr>
          <w:p w:rsidR="002A0A0C" w:rsidRPr="002A0A0C" w:rsidRDefault="002A0A0C" w:rsidP="00A13F71">
            <w:pPr>
              <w:jc w:val="center"/>
              <w:rPr>
                <w:b/>
                <w:bCs/>
              </w:rPr>
            </w:pPr>
            <w:r w:rsidRPr="002A0A0C">
              <w:rPr>
                <w:b/>
                <w:bCs/>
              </w:rPr>
              <w:t>Menşe Ülke</w:t>
            </w:r>
          </w:p>
        </w:tc>
        <w:tc>
          <w:tcPr>
            <w:tcW w:w="1984" w:type="dxa"/>
            <w:vAlign w:val="center"/>
          </w:tcPr>
          <w:p w:rsidR="002A0A0C" w:rsidRPr="002A0A0C" w:rsidRDefault="002A0A0C" w:rsidP="00A13F71">
            <w:pPr>
              <w:jc w:val="center"/>
              <w:rPr>
                <w:b/>
                <w:bCs/>
              </w:rPr>
            </w:pPr>
            <w:r w:rsidRPr="002A0A0C">
              <w:rPr>
                <w:b/>
                <w:bCs/>
              </w:rPr>
              <w:t>Firma</w:t>
            </w:r>
          </w:p>
        </w:tc>
        <w:tc>
          <w:tcPr>
            <w:tcW w:w="1492" w:type="dxa"/>
            <w:shd w:val="clear" w:color="auto" w:fill="auto"/>
            <w:vAlign w:val="center"/>
            <w:hideMark/>
          </w:tcPr>
          <w:p w:rsidR="002A0A0C" w:rsidRDefault="002A0A0C" w:rsidP="00A13F71">
            <w:pPr>
              <w:jc w:val="center"/>
              <w:rPr>
                <w:b/>
                <w:bCs/>
              </w:rPr>
            </w:pPr>
            <w:r w:rsidRPr="002A0A0C">
              <w:rPr>
                <w:b/>
                <w:bCs/>
              </w:rPr>
              <w:t>Dampin</w:t>
            </w:r>
            <w:r w:rsidR="0007243E">
              <w:rPr>
                <w:b/>
                <w:bCs/>
              </w:rPr>
              <w:t>ge Karşı Önlem</w:t>
            </w:r>
            <w:r w:rsidRPr="002A0A0C">
              <w:rPr>
                <w:b/>
                <w:bCs/>
              </w:rPr>
              <w:t xml:space="preserve"> </w:t>
            </w:r>
          </w:p>
          <w:p w:rsidR="002A0A0C" w:rsidRPr="002A0A0C" w:rsidRDefault="002A0A0C" w:rsidP="00A13F71">
            <w:pPr>
              <w:jc w:val="center"/>
              <w:rPr>
                <w:b/>
                <w:bCs/>
              </w:rPr>
            </w:pPr>
            <w:r w:rsidRPr="002A0A0C">
              <w:rPr>
                <w:b/>
                <w:bCs/>
              </w:rPr>
              <w:t>(CIF Bedelin Yüzdesi)</w:t>
            </w:r>
          </w:p>
        </w:tc>
      </w:tr>
      <w:tr w:rsidR="002A0A0C" w:rsidRPr="00E94200" w:rsidTr="002A0A0C">
        <w:trPr>
          <w:trHeight w:hRule="exact" w:val="893"/>
          <w:jc w:val="center"/>
        </w:trPr>
        <w:tc>
          <w:tcPr>
            <w:tcW w:w="1820" w:type="dxa"/>
            <w:vMerge w:val="restart"/>
            <w:shd w:val="clear" w:color="auto" w:fill="auto"/>
            <w:noWrap/>
            <w:vAlign w:val="center"/>
          </w:tcPr>
          <w:p w:rsidR="002A0A0C" w:rsidRPr="002A0A0C" w:rsidRDefault="002A0A0C" w:rsidP="00A13F71">
            <w:pPr>
              <w:jc w:val="center"/>
            </w:pPr>
            <w:r w:rsidRPr="002A0A0C">
              <w:rPr>
                <w:rFonts w:eastAsia="Calibri"/>
                <w:szCs w:val="18"/>
              </w:rPr>
              <w:t>8311.20.00.00.00</w:t>
            </w:r>
          </w:p>
        </w:tc>
        <w:tc>
          <w:tcPr>
            <w:tcW w:w="2286" w:type="dxa"/>
            <w:vMerge w:val="restart"/>
            <w:shd w:val="clear" w:color="auto" w:fill="auto"/>
            <w:noWrap/>
            <w:vAlign w:val="center"/>
          </w:tcPr>
          <w:p w:rsidR="002A0A0C" w:rsidRPr="002A0A0C" w:rsidRDefault="002A0A0C" w:rsidP="00A13F71">
            <w:pPr>
              <w:jc w:val="center"/>
            </w:pPr>
            <w:r w:rsidRPr="002A0A0C">
              <w:rPr>
                <w:rFonts w:eastAsia="Calibri"/>
                <w:szCs w:val="18"/>
              </w:rPr>
              <w:t>Adi metallerden içi doldurulmuş teller (elektrikli ark kaynağı yapmak için)</w:t>
            </w:r>
          </w:p>
        </w:tc>
        <w:tc>
          <w:tcPr>
            <w:tcW w:w="1418" w:type="dxa"/>
            <w:vMerge w:val="restart"/>
            <w:shd w:val="clear" w:color="auto" w:fill="auto"/>
            <w:noWrap/>
            <w:vAlign w:val="center"/>
            <w:hideMark/>
          </w:tcPr>
          <w:p w:rsidR="002A0A0C" w:rsidRPr="002A0A0C" w:rsidRDefault="002A0A0C" w:rsidP="00A13F71">
            <w:pPr>
              <w:jc w:val="center"/>
            </w:pPr>
            <w:r w:rsidRPr="002A0A0C">
              <w:t>Çin Halk Cumhuriyeti</w:t>
            </w:r>
          </w:p>
        </w:tc>
        <w:tc>
          <w:tcPr>
            <w:tcW w:w="1984" w:type="dxa"/>
            <w:vAlign w:val="center"/>
          </w:tcPr>
          <w:p w:rsidR="002A0A0C" w:rsidRPr="002A0A0C" w:rsidRDefault="002A0A0C" w:rsidP="00A13F71">
            <w:pPr>
              <w:jc w:val="center"/>
            </w:pPr>
            <w:proofErr w:type="spellStart"/>
            <w:r w:rsidRPr="002A0A0C">
              <w:t>The</w:t>
            </w:r>
            <w:proofErr w:type="spellEnd"/>
            <w:r w:rsidRPr="002A0A0C">
              <w:t xml:space="preserve"> </w:t>
            </w:r>
            <w:proofErr w:type="spellStart"/>
            <w:r w:rsidRPr="002A0A0C">
              <w:t>Shanghai</w:t>
            </w:r>
            <w:proofErr w:type="spellEnd"/>
            <w:r w:rsidRPr="002A0A0C">
              <w:t xml:space="preserve"> Lincoln </w:t>
            </w:r>
            <w:proofErr w:type="spellStart"/>
            <w:r w:rsidRPr="002A0A0C">
              <w:t>Electric</w:t>
            </w:r>
            <w:proofErr w:type="spellEnd"/>
            <w:r w:rsidRPr="002A0A0C">
              <w:t xml:space="preserve"> </w:t>
            </w:r>
            <w:proofErr w:type="spellStart"/>
            <w:r w:rsidRPr="002A0A0C">
              <w:t>Co</w:t>
            </w:r>
            <w:proofErr w:type="spellEnd"/>
            <w:r w:rsidRPr="002A0A0C">
              <w:t>., Ltd.</w:t>
            </w:r>
          </w:p>
        </w:tc>
        <w:tc>
          <w:tcPr>
            <w:tcW w:w="1492" w:type="dxa"/>
            <w:shd w:val="clear" w:color="auto" w:fill="auto"/>
            <w:noWrap/>
            <w:vAlign w:val="center"/>
            <w:hideMark/>
          </w:tcPr>
          <w:p w:rsidR="002A0A0C" w:rsidRPr="002A0A0C" w:rsidRDefault="002A0A0C" w:rsidP="00A13F71">
            <w:pPr>
              <w:jc w:val="center"/>
            </w:pPr>
            <w:r w:rsidRPr="002A0A0C">
              <w:t>%21,12</w:t>
            </w:r>
          </w:p>
        </w:tc>
      </w:tr>
      <w:tr w:rsidR="002A0A0C" w:rsidRPr="00E94200" w:rsidTr="002A0A0C">
        <w:trPr>
          <w:trHeight w:hRule="exact" w:val="580"/>
          <w:jc w:val="center"/>
        </w:trPr>
        <w:tc>
          <w:tcPr>
            <w:tcW w:w="1820" w:type="dxa"/>
            <w:vMerge/>
            <w:shd w:val="clear" w:color="auto" w:fill="auto"/>
            <w:noWrap/>
            <w:vAlign w:val="center"/>
          </w:tcPr>
          <w:p w:rsidR="002A0A0C" w:rsidRPr="002A0A0C" w:rsidRDefault="002A0A0C" w:rsidP="00A13F71">
            <w:pPr>
              <w:jc w:val="center"/>
              <w:rPr>
                <w:color w:val="FF0000"/>
              </w:rPr>
            </w:pPr>
          </w:p>
        </w:tc>
        <w:tc>
          <w:tcPr>
            <w:tcW w:w="2286" w:type="dxa"/>
            <w:vMerge/>
            <w:shd w:val="clear" w:color="auto" w:fill="auto"/>
            <w:noWrap/>
            <w:vAlign w:val="center"/>
          </w:tcPr>
          <w:p w:rsidR="002A0A0C" w:rsidRPr="002A0A0C" w:rsidRDefault="002A0A0C" w:rsidP="00A13F71">
            <w:pPr>
              <w:jc w:val="center"/>
              <w:rPr>
                <w:bCs/>
                <w:color w:val="000000"/>
              </w:rPr>
            </w:pPr>
          </w:p>
        </w:tc>
        <w:tc>
          <w:tcPr>
            <w:tcW w:w="1418" w:type="dxa"/>
            <w:vMerge/>
            <w:shd w:val="clear" w:color="auto" w:fill="auto"/>
            <w:noWrap/>
            <w:vAlign w:val="center"/>
          </w:tcPr>
          <w:p w:rsidR="002A0A0C" w:rsidRPr="002A0A0C" w:rsidRDefault="002A0A0C" w:rsidP="00A13F71">
            <w:pPr>
              <w:jc w:val="center"/>
            </w:pPr>
          </w:p>
        </w:tc>
        <w:tc>
          <w:tcPr>
            <w:tcW w:w="1984" w:type="dxa"/>
            <w:vAlign w:val="center"/>
          </w:tcPr>
          <w:p w:rsidR="002A0A0C" w:rsidRPr="002A0A0C" w:rsidRDefault="002A0A0C" w:rsidP="00A13F71">
            <w:pPr>
              <w:jc w:val="center"/>
            </w:pPr>
            <w:proofErr w:type="spellStart"/>
            <w:r w:rsidRPr="002A0A0C">
              <w:t>Super</w:t>
            </w:r>
            <w:proofErr w:type="spellEnd"/>
            <w:r w:rsidRPr="002A0A0C">
              <w:t xml:space="preserve"> </w:t>
            </w:r>
            <w:proofErr w:type="spellStart"/>
            <w:r w:rsidRPr="002A0A0C">
              <w:t>Tech</w:t>
            </w:r>
            <w:proofErr w:type="spellEnd"/>
            <w:r w:rsidRPr="002A0A0C">
              <w:t xml:space="preserve"> </w:t>
            </w:r>
            <w:proofErr w:type="spellStart"/>
            <w:r w:rsidRPr="002A0A0C">
              <w:t>Co</w:t>
            </w:r>
            <w:proofErr w:type="spellEnd"/>
            <w:r w:rsidRPr="002A0A0C">
              <w:t>., Ltd.</w:t>
            </w:r>
          </w:p>
        </w:tc>
        <w:tc>
          <w:tcPr>
            <w:tcW w:w="1492" w:type="dxa"/>
            <w:shd w:val="clear" w:color="auto" w:fill="auto"/>
            <w:noWrap/>
            <w:vAlign w:val="center"/>
          </w:tcPr>
          <w:p w:rsidR="002A0A0C" w:rsidRPr="002A0A0C" w:rsidRDefault="002A0A0C" w:rsidP="00A13F71">
            <w:pPr>
              <w:jc w:val="center"/>
            </w:pPr>
            <w:r w:rsidRPr="002A0A0C">
              <w:t>%21,12</w:t>
            </w:r>
          </w:p>
        </w:tc>
      </w:tr>
      <w:tr w:rsidR="002A0A0C" w:rsidRPr="00E94200" w:rsidTr="002A0A0C">
        <w:trPr>
          <w:trHeight w:hRule="exact" w:val="337"/>
          <w:jc w:val="center"/>
        </w:trPr>
        <w:tc>
          <w:tcPr>
            <w:tcW w:w="1820" w:type="dxa"/>
            <w:vMerge/>
            <w:shd w:val="clear" w:color="auto" w:fill="auto"/>
            <w:noWrap/>
            <w:vAlign w:val="center"/>
          </w:tcPr>
          <w:p w:rsidR="002A0A0C" w:rsidRPr="002A0A0C" w:rsidRDefault="002A0A0C" w:rsidP="00A13F71">
            <w:pPr>
              <w:jc w:val="center"/>
              <w:rPr>
                <w:color w:val="FF0000"/>
              </w:rPr>
            </w:pPr>
          </w:p>
        </w:tc>
        <w:tc>
          <w:tcPr>
            <w:tcW w:w="2286" w:type="dxa"/>
            <w:vMerge/>
            <w:shd w:val="clear" w:color="auto" w:fill="auto"/>
            <w:noWrap/>
            <w:vAlign w:val="center"/>
          </w:tcPr>
          <w:p w:rsidR="002A0A0C" w:rsidRPr="002A0A0C" w:rsidRDefault="002A0A0C" w:rsidP="00A13F71">
            <w:pPr>
              <w:jc w:val="center"/>
              <w:rPr>
                <w:bCs/>
                <w:color w:val="000000"/>
              </w:rPr>
            </w:pPr>
          </w:p>
        </w:tc>
        <w:tc>
          <w:tcPr>
            <w:tcW w:w="1418" w:type="dxa"/>
            <w:vMerge/>
            <w:shd w:val="clear" w:color="auto" w:fill="auto"/>
            <w:noWrap/>
            <w:vAlign w:val="center"/>
          </w:tcPr>
          <w:p w:rsidR="002A0A0C" w:rsidRPr="002A0A0C" w:rsidRDefault="002A0A0C" w:rsidP="00A13F71">
            <w:pPr>
              <w:jc w:val="center"/>
            </w:pPr>
          </w:p>
        </w:tc>
        <w:tc>
          <w:tcPr>
            <w:tcW w:w="1984" w:type="dxa"/>
            <w:vAlign w:val="center"/>
          </w:tcPr>
          <w:p w:rsidR="002A0A0C" w:rsidRPr="002A0A0C" w:rsidRDefault="002A0A0C" w:rsidP="00A13F71">
            <w:pPr>
              <w:jc w:val="center"/>
            </w:pPr>
            <w:r w:rsidRPr="002A0A0C">
              <w:t>Diğerleri</w:t>
            </w:r>
          </w:p>
        </w:tc>
        <w:tc>
          <w:tcPr>
            <w:tcW w:w="1492" w:type="dxa"/>
            <w:shd w:val="clear" w:color="auto" w:fill="auto"/>
            <w:noWrap/>
            <w:vAlign w:val="center"/>
          </w:tcPr>
          <w:p w:rsidR="002A0A0C" w:rsidRPr="002A0A0C" w:rsidRDefault="002A0A0C" w:rsidP="00A13F71">
            <w:pPr>
              <w:jc w:val="center"/>
            </w:pPr>
            <w:r w:rsidRPr="002A0A0C">
              <w:t>%28,87</w:t>
            </w:r>
          </w:p>
        </w:tc>
      </w:tr>
    </w:tbl>
    <w:p w:rsidR="002A0A0C" w:rsidRPr="00A836B6" w:rsidRDefault="002A0A0C" w:rsidP="00A836B6">
      <w:pPr>
        <w:jc w:val="both"/>
      </w:pPr>
    </w:p>
    <w:p w:rsidR="00576269" w:rsidRPr="0019393A" w:rsidRDefault="00576269" w:rsidP="00CE1EEA"/>
    <w:sectPr w:rsidR="00576269" w:rsidRPr="0019393A" w:rsidSect="009123D8">
      <w:footerReference w:type="default" r:id="rId8"/>
      <w:headerReference w:type="first" r:id="rId9"/>
      <w:footerReference w:type="first" r:id="rId10"/>
      <w:pgSz w:w="11906" w:h="16838" w:code="9"/>
      <w:pgMar w:top="1417" w:right="1417" w:bottom="1134"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14FE" w:rsidRDefault="00A014FE" w:rsidP="00C37C0A">
      <w:r>
        <w:separator/>
      </w:r>
    </w:p>
  </w:endnote>
  <w:endnote w:type="continuationSeparator" w:id="0">
    <w:p w:rsidR="00A014FE" w:rsidRDefault="00A014FE" w:rsidP="00C37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E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7C19" w:rsidRDefault="00197C19">
    <w:pPr>
      <w:pStyle w:val="AltBilgi"/>
      <w:jc w:val="right"/>
    </w:pPr>
  </w:p>
  <w:p w:rsidR="00FA2FC6" w:rsidRPr="00F11906" w:rsidRDefault="00FA2FC6" w:rsidP="00F11906">
    <w:pPr>
      <w:pStyle w:val="AltBilgi"/>
      <w:rPr>
        <w:sz w:val="2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7C19" w:rsidRDefault="00197C19">
    <w:pPr>
      <w:pStyle w:val="AltBilgi"/>
      <w:jc w:val="right"/>
    </w:pPr>
  </w:p>
  <w:p w:rsidR="00197C19" w:rsidRDefault="00197C19">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14FE" w:rsidRDefault="00A014FE" w:rsidP="00C37C0A">
      <w:r>
        <w:separator/>
      </w:r>
    </w:p>
  </w:footnote>
  <w:footnote w:type="continuationSeparator" w:id="0">
    <w:p w:rsidR="00A014FE" w:rsidRDefault="00A014FE" w:rsidP="00C37C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36B6" w:rsidRDefault="00A836B6" w:rsidP="00A836B6">
    <w:pPr>
      <w:keepNext/>
      <w:jc w:val="center"/>
      <w:outlineLvl w:val="0"/>
      <w:rPr>
        <w:b/>
        <w:color w:val="0D0D0D"/>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5359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1CC18FF"/>
    <w:multiLevelType w:val="multilevel"/>
    <w:tmpl w:val="E278AC9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1D86D8A"/>
    <w:multiLevelType w:val="hybridMultilevel"/>
    <w:tmpl w:val="75C45D72"/>
    <w:lvl w:ilvl="0" w:tplc="3524F64C">
      <w:start w:val="1"/>
      <w:numFmt w:val="lowerRoman"/>
      <w:lvlText w:val="(%1)"/>
      <w:lvlJc w:val="left"/>
      <w:pPr>
        <w:ind w:left="1077" w:hanging="720"/>
      </w:pPr>
      <w:rPr>
        <w:rFonts w:hint="default"/>
        <w:color w:val="auto"/>
      </w:rPr>
    </w:lvl>
    <w:lvl w:ilvl="1" w:tplc="041F0019" w:tentative="1">
      <w:start w:val="1"/>
      <w:numFmt w:val="lowerLetter"/>
      <w:lvlText w:val="%2."/>
      <w:lvlJc w:val="left"/>
      <w:pPr>
        <w:ind w:left="1437" w:hanging="360"/>
      </w:pPr>
    </w:lvl>
    <w:lvl w:ilvl="2" w:tplc="041F001B" w:tentative="1">
      <w:start w:val="1"/>
      <w:numFmt w:val="lowerRoman"/>
      <w:lvlText w:val="%3."/>
      <w:lvlJc w:val="right"/>
      <w:pPr>
        <w:ind w:left="2157" w:hanging="180"/>
      </w:pPr>
    </w:lvl>
    <w:lvl w:ilvl="3" w:tplc="041F000F" w:tentative="1">
      <w:start w:val="1"/>
      <w:numFmt w:val="decimal"/>
      <w:lvlText w:val="%4."/>
      <w:lvlJc w:val="left"/>
      <w:pPr>
        <w:ind w:left="2877" w:hanging="360"/>
      </w:pPr>
    </w:lvl>
    <w:lvl w:ilvl="4" w:tplc="041F0019" w:tentative="1">
      <w:start w:val="1"/>
      <w:numFmt w:val="lowerLetter"/>
      <w:lvlText w:val="%5."/>
      <w:lvlJc w:val="left"/>
      <w:pPr>
        <w:ind w:left="3597" w:hanging="360"/>
      </w:pPr>
    </w:lvl>
    <w:lvl w:ilvl="5" w:tplc="041F001B" w:tentative="1">
      <w:start w:val="1"/>
      <w:numFmt w:val="lowerRoman"/>
      <w:lvlText w:val="%6."/>
      <w:lvlJc w:val="right"/>
      <w:pPr>
        <w:ind w:left="4317" w:hanging="180"/>
      </w:pPr>
    </w:lvl>
    <w:lvl w:ilvl="6" w:tplc="041F000F" w:tentative="1">
      <w:start w:val="1"/>
      <w:numFmt w:val="decimal"/>
      <w:lvlText w:val="%7."/>
      <w:lvlJc w:val="left"/>
      <w:pPr>
        <w:ind w:left="5037" w:hanging="360"/>
      </w:pPr>
    </w:lvl>
    <w:lvl w:ilvl="7" w:tplc="041F0019" w:tentative="1">
      <w:start w:val="1"/>
      <w:numFmt w:val="lowerLetter"/>
      <w:lvlText w:val="%8."/>
      <w:lvlJc w:val="left"/>
      <w:pPr>
        <w:ind w:left="5757" w:hanging="360"/>
      </w:pPr>
    </w:lvl>
    <w:lvl w:ilvl="8" w:tplc="041F001B" w:tentative="1">
      <w:start w:val="1"/>
      <w:numFmt w:val="lowerRoman"/>
      <w:lvlText w:val="%9."/>
      <w:lvlJc w:val="right"/>
      <w:pPr>
        <w:ind w:left="6477" w:hanging="180"/>
      </w:pPr>
    </w:lvl>
  </w:abstractNum>
  <w:abstractNum w:abstractNumId="3" w15:restartNumberingAfterBreak="0">
    <w:nsid w:val="04A44710"/>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94725B2"/>
    <w:multiLevelType w:val="multilevel"/>
    <w:tmpl w:val="93FA48C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A823F5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0ED667B8"/>
    <w:multiLevelType w:val="hybridMultilevel"/>
    <w:tmpl w:val="7442A27A"/>
    <w:lvl w:ilvl="0" w:tplc="E8024CE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199504F"/>
    <w:multiLevelType w:val="hybridMultilevel"/>
    <w:tmpl w:val="E2545320"/>
    <w:lvl w:ilvl="0" w:tplc="38440D18">
      <w:start w:val="1"/>
      <mc:AlternateContent>
        <mc:Choice Requires="w14">
          <w:numFmt w:val="custom" w:format="a, ç, ĝ, ..."/>
        </mc:Choice>
        <mc:Fallback>
          <w:numFmt w:val="decimal"/>
        </mc:Fallback>
      </mc:AlternateContent>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8" w15:restartNumberingAfterBreak="0">
    <w:nsid w:val="123A7B3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3986CD5"/>
    <w:multiLevelType w:val="hybridMultilevel"/>
    <w:tmpl w:val="7110D4FA"/>
    <w:lvl w:ilvl="0" w:tplc="880EE12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53B1D7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54E0625"/>
    <w:multiLevelType w:val="hybridMultilevel"/>
    <w:tmpl w:val="EA80E728"/>
    <w:lvl w:ilvl="0" w:tplc="83421D5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5674ED9"/>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2B40E94"/>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2D86C1F"/>
    <w:multiLevelType w:val="hybridMultilevel"/>
    <w:tmpl w:val="264C9954"/>
    <w:lvl w:ilvl="0" w:tplc="8A3A341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2B0E04FD"/>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2BCB33AB"/>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2BCF553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330A542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383223C9"/>
    <w:multiLevelType w:val="hybridMultilevel"/>
    <w:tmpl w:val="FD0E9BBC"/>
    <w:lvl w:ilvl="0" w:tplc="49AA8B3E">
      <w:start w:val="1"/>
      <w:numFmt w:val="decimal"/>
      <w:suff w:val="space"/>
      <w:lvlText w:val="(%1)"/>
      <w:lvlJc w:val="left"/>
      <w:pPr>
        <w:ind w:left="0" w:firstLine="644"/>
      </w:pPr>
      <w:rPr>
        <w:rFonts w:hint="default"/>
        <w:color w:val="auto"/>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3A616907"/>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3C1668F3"/>
    <w:multiLevelType w:val="hybridMultilevel"/>
    <w:tmpl w:val="DC70536E"/>
    <w:lvl w:ilvl="0" w:tplc="14009B30">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2" w15:restartNumberingAfterBreak="0">
    <w:nsid w:val="3C386BE7"/>
    <w:multiLevelType w:val="hybridMultilevel"/>
    <w:tmpl w:val="4E36C9EA"/>
    <w:lvl w:ilvl="0" w:tplc="20D26A3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3D8550F6"/>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3DC20DC"/>
    <w:multiLevelType w:val="hybridMultilevel"/>
    <w:tmpl w:val="DC70536E"/>
    <w:lvl w:ilvl="0" w:tplc="14009B30">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5" w15:restartNumberingAfterBreak="0">
    <w:nsid w:val="44826891"/>
    <w:multiLevelType w:val="hybridMultilevel"/>
    <w:tmpl w:val="A98C0F32"/>
    <w:lvl w:ilvl="0" w:tplc="F4529D08">
      <w:start w:val="1"/>
      <w:numFmt w:val="decimal"/>
      <w:lvlText w:val="(%1)"/>
      <w:lvlJc w:val="left"/>
      <w:pPr>
        <w:ind w:left="900" w:hanging="360"/>
      </w:pPr>
      <w:rPr>
        <w:rFonts w:hint="default"/>
      </w:rPr>
    </w:lvl>
    <w:lvl w:ilvl="1" w:tplc="041F0019" w:tentative="1">
      <w:start w:val="1"/>
      <w:numFmt w:val="lowerLetter"/>
      <w:lvlText w:val="%2."/>
      <w:lvlJc w:val="left"/>
      <w:pPr>
        <w:ind w:left="1620" w:hanging="360"/>
      </w:pPr>
    </w:lvl>
    <w:lvl w:ilvl="2" w:tplc="041F001B" w:tentative="1">
      <w:start w:val="1"/>
      <w:numFmt w:val="lowerRoman"/>
      <w:lvlText w:val="%3."/>
      <w:lvlJc w:val="right"/>
      <w:pPr>
        <w:ind w:left="2340" w:hanging="180"/>
      </w:pPr>
    </w:lvl>
    <w:lvl w:ilvl="3" w:tplc="041F000F" w:tentative="1">
      <w:start w:val="1"/>
      <w:numFmt w:val="decimal"/>
      <w:lvlText w:val="%4."/>
      <w:lvlJc w:val="left"/>
      <w:pPr>
        <w:ind w:left="3060" w:hanging="360"/>
      </w:pPr>
    </w:lvl>
    <w:lvl w:ilvl="4" w:tplc="041F0019" w:tentative="1">
      <w:start w:val="1"/>
      <w:numFmt w:val="lowerLetter"/>
      <w:lvlText w:val="%5."/>
      <w:lvlJc w:val="left"/>
      <w:pPr>
        <w:ind w:left="3780" w:hanging="360"/>
      </w:pPr>
    </w:lvl>
    <w:lvl w:ilvl="5" w:tplc="041F001B" w:tentative="1">
      <w:start w:val="1"/>
      <w:numFmt w:val="lowerRoman"/>
      <w:lvlText w:val="%6."/>
      <w:lvlJc w:val="right"/>
      <w:pPr>
        <w:ind w:left="4500" w:hanging="180"/>
      </w:pPr>
    </w:lvl>
    <w:lvl w:ilvl="6" w:tplc="041F000F" w:tentative="1">
      <w:start w:val="1"/>
      <w:numFmt w:val="decimal"/>
      <w:lvlText w:val="%7."/>
      <w:lvlJc w:val="left"/>
      <w:pPr>
        <w:ind w:left="5220" w:hanging="360"/>
      </w:pPr>
    </w:lvl>
    <w:lvl w:ilvl="7" w:tplc="041F0019" w:tentative="1">
      <w:start w:val="1"/>
      <w:numFmt w:val="lowerLetter"/>
      <w:lvlText w:val="%8."/>
      <w:lvlJc w:val="left"/>
      <w:pPr>
        <w:ind w:left="5940" w:hanging="360"/>
      </w:pPr>
    </w:lvl>
    <w:lvl w:ilvl="8" w:tplc="041F001B" w:tentative="1">
      <w:start w:val="1"/>
      <w:numFmt w:val="lowerRoman"/>
      <w:lvlText w:val="%9."/>
      <w:lvlJc w:val="right"/>
      <w:pPr>
        <w:ind w:left="6660" w:hanging="180"/>
      </w:pPr>
    </w:lvl>
  </w:abstractNum>
  <w:abstractNum w:abstractNumId="26" w15:restartNumberingAfterBreak="0">
    <w:nsid w:val="541C6EC8"/>
    <w:multiLevelType w:val="hybridMultilevel"/>
    <w:tmpl w:val="ADD454E4"/>
    <w:lvl w:ilvl="0" w:tplc="49AA8B3E">
      <w:start w:val="1"/>
      <w:numFmt w:val="decimal"/>
      <w:suff w:val="space"/>
      <w:lvlText w:val="(%1)"/>
      <w:lvlJc w:val="left"/>
      <w:pPr>
        <w:ind w:left="0" w:firstLine="644"/>
      </w:pPr>
      <w:rPr>
        <w:rFonts w:hint="default"/>
        <w:color w:val="auto"/>
      </w:rPr>
    </w:lvl>
    <w:lvl w:ilvl="1" w:tplc="1228EFB2">
      <w:start w:val="1"/>
      <w:numFmt w:val="lowerRoman"/>
      <w:lvlText w:val="(%2)"/>
      <w:lvlJc w:val="left"/>
      <w:pPr>
        <w:ind w:left="1800" w:hanging="72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585444C8"/>
    <w:multiLevelType w:val="hybridMultilevel"/>
    <w:tmpl w:val="F7BC987A"/>
    <w:lvl w:ilvl="0" w:tplc="ECDA0B4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5ADE3D30"/>
    <w:multiLevelType w:val="hybridMultilevel"/>
    <w:tmpl w:val="63AAEC1C"/>
    <w:lvl w:ilvl="0" w:tplc="91FC05D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5C98707A"/>
    <w:multiLevelType w:val="hybridMultilevel"/>
    <w:tmpl w:val="B308C972"/>
    <w:lvl w:ilvl="0" w:tplc="6D1AE26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5DD50B08"/>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64A255B3"/>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6E2C5324"/>
    <w:multiLevelType w:val="hybridMultilevel"/>
    <w:tmpl w:val="0D9EE996"/>
    <w:lvl w:ilvl="0" w:tplc="186EB13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6F5F4D68"/>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719C37A1"/>
    <w:multiLevelType w:val="hybridMultilevel"/>
    <w:tmpl w:val="109442F0"/>
    <w:lvl w:ilvl="0" w:tplc="CEC289E2">
      <w:start w:val="1"/>
      <w:numFmt w:val="decimal"/>
      <w:lvlText w:val="(%1)"/>
      <w:lvlJc w:val="left"/>
      <w:pPr>
        <w:ind w:left="810" w:hanging="45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71AF0EAF"/>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75CF6955"/>
    <w:multiLevelType w:val="hybridMultilevel"/>
    <w:tmpl w:val="BAA874FC"/>
    <w:lvl w:ilvl="0" w:tplc="8200C1F4">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7C464BEF"/>
    <w:multiLevelType w:val="multilevel"/>
    <w:tmpl w:val="FD0E9BBC"/>
    <w:lvl w:ilvl="0">
      <w:start w:val="1"/>
      <w:numFmt w:val="decimal"/>
      <w:suff w:val="space"/>
      <w:lvlText w:val="(%1)"/>
      <w:lvlJc w:val="left"/>
      <w:pPr>
        <w:ind w:left="0" w:firstLine="644"/>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D492ED3"/>
    <w:multiLevelType w:val="hybridMultilevel"/>
    <w:tmpl w:val="AD36A0EA"/>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7"/>
  </w:num>
  <w:num w:numId="2">
    <w:abstractNumId w:val="2"/>
  </w:num>
  <w:num w:numId="3">
    <w:abstractNumId w:val="1"/>
  </w:num>
  <w:num w:numId="4">
    <w:abstractNumId w:val="13"/>
  </w:num>
  <w:num w:numId="5">
    <w:abstractNumId w:val="12"/>
  </w:num>
  <w:num w:numId="6">
    <w:abstractNumId w:val="17"/>
  </w:num>
  <w:num w:numId="7">
    <w:abstractNumId w:val="31"/>
  </w:num>
  <w:num w:numId="8">
    <w:abstractNumId w:val="20"/>
  </w:num>
  <w:num w:numId="9">
    <w:abstractNumId w:val="0"/>
  </w:num>
  <w:num w:numId="10">
    <w:abstractNumId w:val="8"/>
  </w:num>
  <w:num w:numId="11">
    <w:abstractNumId w:val="38"/>
  </w:num>
  <w:num w:numId="12">
    <w:abstractNumId w:val="16"/>
  </w:num>
  <w:num w:numId="13">
    <w:abstractNumId w:val="15"/>
  </w:num>
  <w:num w:numId="14">
    <w:abstractNumId w:val="19"/>
  </w:num>
  <w:num w:numId="15">
    <w:abstractNumId w:val="33"/>
  </w:num>
  <w:num w:numId="16">
    <w:abstractNumId w:val="30"/>
  </w:num>
  <w:num w:numId="17">
    <w:abstractNumId w:val="35"/>
  </w:num>
  <w:num w:numId="18">
    <w:abstractNumId w:val="36"/>
  </w:num>
  <w:num w:numId="19">
    <w:abstractNumId w:val="5"/>
  </w:num>
  <w:num w:numId="20">
    <w:abstractNumId w:val="18"/>
  </w:num>
  <w:num w:numId="21">
    <w:abstractNumId w:val="10"/>
  </w:num>
  <w:num w:numId="22">
    <w:abstractNumId w:val="11"/>
  </w:num>
  <w:num w:numId="23">
    <w:abstractNumId w:val="6"/>
  </w:num>
  <w:num w:numId="24">
    <w:abstractNumId w:val="25"/>
  </w:num>
  <w:num w:numId="25">
    <w:abstractNumId w:val="32"/>
  </w:num>
  <w:num w:numId="26">
    <w:abstractNumId w:val="34"/>
  </w:num>
  <w:num w:numId="27">
    <w:abstractNumId w:val="27"/>
  </w:num>
  <w:num w:numId="28">
    <w:abstractNumId w:val="28"/>
  </w:num>
  <w:num w:numId="29">
    <w:abstractNumId w:val="9"/>
  </w:num>
  <w:num w:numId="30">
    <w:abstractNumId w:val="14"/>
  </w:num>
  <w:num w:numId="31">
    <w:abstractNumId w:val="37"/>
  </w:num>
  <w:num w:numId="32">
    <w:abstractNumId w:val="24"/>
  </w:num>
  <w:num w:numId="33">
    <w:abstractNumId w:val="26"/>
  </w:num>
  <w:num w:numId="34">
    <w:abstractNumId w:val="22"/>
  </w:num>
  <w:num w:numId="35">
    <w:abstractNumId w:val="21"/>
  </w:num>
  <w:num w:numId="36">
    <w:abstractNumId w:val="4"/>
  </w:num>
  <w:num w:numId="37">
    <w:abstractNumId w:val="23"/>
  </w:num>
  <w:num w:numId="38">
    <w:abstractNumId w:val="3"/>
  </w:num>
  <w:num w:numId="39">
    <w:abstractNumId w:val="2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3B4"/>
    <w:rsid w:val="000000C4"/>
    <w:rsid w:val="00004B44"/>
    <w:rsid w:val="00005B3B"/>
    <w:rsid w:val="00005D2F"/>
    <w:rsid w:val="00007A84"/>
    <w:rsid w:val="00010631"/>
    <w:rsid w:val="000106D8"/>
    <w:rsid w:val="000110EF"/>
    <w:rsid w:val="00011A30"/>
    <w:rsid w:val="0001208E"/>
    <w:rsid w:val="0001231C"/>
    <w:rsid w:val="0001294B"/>
    <w:rsid w:val="000130C6"/>
    <w:rsid w:val="0001335A"/>
    <w:rsid w:val="00014194"/>
    <w:rsid w:val="00014860"/>
    <w:rsid w:val="000177CE"/>
    <w:rsid w:val="000231EF"/>
    <w:rsid w:val="00023DBA"/>
    <w:rsid w:val="00024282"/>
    <w:rsid w:val="00024855"/>
    <w:rsid w:val="000253AA"/>
    <w:rsid w:val="0002567A"/>
    <w:rsid w:val="000256FA"/>
    <w:rsid w:val="0002639C"/>
    <w:rsid w:val="00026C03"/>
    <w:rsid w:val="0002786F"/>
    <w:rsid w:val="00027B1B"/>
    <w:rsid w:val="00027CCB"/>
    <w:rsid w:val="000301BB"/>
    <w:rsid w:val="0003041C"/>
    <w:rsid w:val="0003065C"/>
    <w:rsid w:val="00031F9A"/>
    <w:rsid w:val="00032B16"/>
    <w:rsid w:val="00033033"/>
    <w:rsid w:val="000333F5"/>
    <w:rsid w:val="000337B5"/>
    <w:rsid w:val="00035781"/>
    <w:rsid w:val="000361F8"/>
    <w:rsid w:val="00037E34"/>
    <w:rsid w:val="00040184"/>
    <w:rsid w:val="0004029A"/>
    <w:rsid w:val="0004062E"/>
    <w:rsid w:val="0004126F"/>
    <w:rsid w:val="000414BC"/>
    <w:rsid w:val="00041887"/>
    <w:rsid w:val="00042AF7"/>
    <w:rsid w:val="0004350B"/>
    <w:rsid w:val="0004363A"/>
    <w:rsid w:val="00043835"/>
    <w:rsid w:val="00043A7C"/>
    <w:rsid w:val="000458E6"/>
    <w:rsid w:val="00046A15"/>
    <w:rsid w:val="00047286"/>
    <w:rsid w:val="00047414"/>
    <w:rsid w:val="0005108C"/>
    <w:rsid w:val="00051677"/>
    <w:rsid w:val="00051AFC"/>
    <w:rsid w:val="00052176"/>
    <w:rsid w:val="0005271A"/>
    <w:rsid w:val="00053A79"/>
    <w:rsid w:val="00054B69"/>
    <w:rsid w:val="000579F4"/>
    <w:rsid w:val="00060717"/>
    <w:rsid w:val="0006081E"/>
    <w:rsid w:val="00060CA0"/>
    <w:rsid w:val="00060EBB"/>
    <w:rsid w:val="000623C2"/>
    <w:rsid w:val="00062F33"/>
    <w:rsid w:val="00063010"/>
    <w:rsid w:val="00063874"/>
    <w:rsid w:val="00063CE9"/>
    <w:rsid w:val="00064D0D"/>
    <w:rsid w:val="00065FD9"/>
    <w:rsid w:val="00066A65"/>
    <w:rsid w:val="00066CF7"/>
    <w:rsid w:val="0006726E"/>
    <w:rsid w:val="000701EA"/>
    <w:rsid w:val="00070592"/>
    <w:rsid w:val="00070D4E"/>
    <w:rsid w:val="00071674"/>
    <w:rsid w:val="0007243E"/>
    <w:rsid w:val="0007244E"/>
    <w:rsid w:val="00072A10"/>
    <w:rsid w:val="000730CE"/>
    <w:rsid w:val="00073291"/>
    <w:rsid w:val="00073BEA"/>
    <w:rsid w:val="00074E4F"/>
    <w:rsid w:val="000752DE"/>
    <w:rsid w:val="00075488"/>
    <w:rsid w:val="0007675E"/>
    <w:rsid w:val="000800E4"/>
    <w:rsid w:val="000805B6"/>
    <w:rsid w:val="00081183"/>
    <w:rsid w:val="00084D4C"/>
    <w:rsid w:val="000864F9"/>
    <w:rsid w:val="00086539"/>
    <w:rsid w:val="00086969"/>
    <w:rsid w:val="00087117"/>
    <w:rsid w:val="00091D34"/>
    <w:rsid w:val="000927EB"/>
    <w:rsid w:val="00093644"/>
    <w:rsid w:val="0009641D"/>
    <w:rsid w:val="00096CBC"/>
    <w:rsid w:val="00096F17"/>
    <w:rsid w:val="000A0714"/>
    <w:rsid w:val="000A085F"/>
    <w:rsid w:val="000A0866"/>
    <w:rsid w:val="000A0AF6"/>
    <w:rsid w:val="000A0FD7"/>
    <w:rsid w:val="000A18FA"/>
    <w:rsid w:val="000A2875"/>
    <w:rsid w:val="000A462E"/>
    <w:rsid w:val="000A475F"/>
    <w:rsid w:val="000A4AFA"/>
    <w:rsid w:val="000A6A16"/>
    <w:rsid w:val="000B0D01"/>
    <w:rsid w:val="000B285A"/>
    <w:rsid w:val="000B3FCC"/>
    <w:rsid w:val="000B63EC"/>
    <w:rsid w:val="000B642C"/>
    <w:rsid w:val="000B6D0E"/>
    <w:rsid w:val="000B75B6"/>
    <w:rsid w:val="000C0B54"/>
    <w:rsid w:val="000C121B"/>
    <w:rsid w:val="000C1984"/>
    <w:rsid w:val="000C1B85"/>
    <w:rsid w:val="000C272D"/>
    <w:rsid w:val="000C5AE6"/>
    <w:rsid w:val="000C5CEC"/>
    <w:rsid w:val="000C5EC4"/>
    <w:rsid w:val="000C6520"/>
    <w:rsid w:val="000C6B63"/>
    <w:rsid w:val="000C6D16"/>
    <w:rsid w:val="000C75DB"/>
    <w:rsid w:val="000C7AC5"/>
    <w:rsid w:val="000C7D7D"/>
    <w:rsid w:val="000D2B13"/>
    <w:rsid w:val="000D2F95"/>
    <w:rsid w:val="000D38D3"/>
    <w:rsid w:val="000D44EF"/>
    <w:rsid w:val="000D486C"/>
    <w:rsid w:val="000D7185"/>
    <w:rsid w:val="000D73A8"/>
    <w:rsid w:val="000E015E"/>
    <w:rsid w:val="000E18FF"/>
    <w:rsid w:val="000E1B2D"/>
    <w:rsid w:val="000E1D56"/>
    <w:rsid w:val="000E1E33"/>
    <w:rsid w:val="000E1F7C"/>
    <w:rsid w:val="000E2980"/>
    <w:rsid w:val="000E3251"/>
    <w:rsid w:val="000E36E1"/>
    <w:rsid w:val="000E399F"/>
    <w:rsid w:val="000E74A6"/>
    <w:rsid w:val="000F1245"/>
    <w:rsid w:val="000F277D"/>
    <w:rsid w:val="000F49EB"/>
    <w:rsid w:val="000F4AB7"/>
    <w:rsid w:val="000F506B"/>
    <w:rsid w:val="000F53B8"/>
    <w:rsid w:val="000F54DB"/>
    <w:rsid w:val="000F55BE"/>
    <w:rsid w:val="000F5A52"/>
    <w:rsid w:val="000F680B"/>
    <w:rsid w:val="000F77FC"/>
    <w:rsid w:val="000F7962"/>
    <w:rsid w:val="000F7D99"/>
    <w:rsid w:val="000F7E35"/>
    <w:rsid w:val="00100908"/>
    <w:rsid w:val="00101D28"/>
    <w:rsid w:val="00101E3F"/>
    <w:rsid w:val="00102AE3"/>
    <w:rsid w:val="0010327E"/>
    <w:rsid w:val="00103396"/>
    <w:rsid w:val="00103E40"/>
    <w:rsid w:val="001043E4"/>
    <w:rsid w:val="00104601"/>
    <w:rsid w:val="001046E6"/>
    <w:rsid w:val="00106A4D"/>
    <w:rsid w:val="001070E0"/>
    <w:rsid w:val="0010745C"/>
    <w:rsid w:val="001105A1"/>
    <w:rsid w:val="001109DF"/>
    <w:rsid w:val="00111B3D"/>
    <w:rsid w:val="00111B9F"/>
    <w:rsid w:val="00113614"/>
    <w:rsid w:val="00113A42"/>
    <w:rsid w:val="00115680"/>
    <w:rsid w:val="00115F87"/>
    <w:rsid w:val="001164F2"/>
    <w:rsid w:val="00117424"/>
    <w:rsid w:val="00120A54"/>
    <w:rsid w:val="00120B75"/>
    <w:rsid w:val="001218AE"/>
    <w:rsid w:val="001227AC"/>
    <w:rsid w:val="00122A5B"/>
    <w:rsid w:val="00122CF8"/>
    <w:rsid w:val="00123A08"/>
    <w:rsid w:val="00125C56"/>
    <w:rsid w:val="001260B8"/>
    <w:rsid w:val="001261CA"/>
    <w:rsid w:val="00126FE7"/>
    <w:rsid w:val="001272E3"/>
    <w:rsid w:val="00127FF6"/>
    <w:rsid w:val="00130E70"/>
    <w:rsid w:val="001315B7"/>
    <w:rsid w:val="001318E0"/>
    <w:rsid w:val="00131BEC"/>
    <w:rsid w:val="00132547"/>
    <w:rsid w:val="00134F49"/>
    <w:rsid w:val="00135F1E"/>
    <w:rsid w:val="0013610A"/>
    <w:rsid w:val="00136E8B"/>
    <w:rsid w:val="0013723E"/>
    <w:rsid w:val="00137809"/>
    <w:rsid w:val="00140214"/>
    <w:rsid w:val="00141020"/>
    <w:rsid w:val="001418A2"/>
    <w:rsid w:val="00142394"/>
    <w:rsid w:val="0014444B"/>
    <w:rsid w:val="00146A26"/>
    <w:rsid w:val="00146A56"/>
    <w:rsid w:val="00150B16"/>
    <w:rsid w:val="0015174C"/>
    <w:rsid w:val="00153042"/>
    <w:rsid w:val="00157921"/>
    <w:rsid w:val="0016016F"/>
    <w:rsid w:val="00160749"/>
    <w:rsid w:val="00160C81"/>
    <w:rsid w:val="00160DE1"/>
    <w:rsid w:val="001629A7"/>
    <w:rsid w:val="00163814"/>
    <w:rsid w:val="00164C01"/>
    <w:rsid w:val="00164F6D"/>
    <w:rsid w:val="001665EC"/>
    <w:rsid w:val="0016688D"/>
    <w:rsid w:val="001673CE"/>
    <w:rsid w:val="001710FD"/>
    <w:rsid w:val="00171617"/>
    <w:rsid w:val="001719D9"/>
    <w:rsid w:val="001720A6"/>
    <w:rsid w:val="001726E0"/>
    <w:rsid w:val="00174066"/>
    <w:rsid w:val="00175955"/>
    <w:rsid w:val="00175C4D"/>
    <w:rsid w:val="00175D6A"/>
    <w:rsid w:val="00176606"/>
    <w:rsid w:val="001772FC"/>
    <w:rsid w:val="00177CA3"/>
    <w:rsid w:val="001801C9"/>
    <w:rsid w:val="00180394"/>
    <w:rsid w:val="00180CC1"/>
    <w:rsid w:val="00181017"/>
    <w:rsid w:val="00182D35"/>
    <w:rsid w:val="00183DE2"/>
    <w:rsid w:val="00184103"/>
    <w:rsid w:val="00184228"/>
    <w:rsid w:val="0018510A"/>
    <w:rsid w:val="00187EA3"/>
    <w:rsid w:val="001900B6"/>
    <w:rsid w:val="0019124C"/>
    <w:rsid w:val="00192EF9"/>
    <w:rsid w:val="001930E7"/>
    <w:rsid w:val="0019393A"/>
    <w:rsid w:val="00194C68"/>
    <w:rsid w:val="00195169"/>
    <w:rsid w:val="00197376"/>
    <w:rsid w:val="00197447"/>
    <w:rsid w:val="00197937"/>
    <w:rsid w:val="00197C19"/>
    <w:rsid w:val="001A0DF1"/>
    <w:rsid w:val="001A16A4"/>
    <w:rsid w:val="001A18DB"/>
    <w:rsid w:val="001A1D45"/>
    <w:rsid w:val="001A2414"/>
    <w:rsid w:val="001A3D1F"/>
    <w:rsid w:val="001A3D73"/>
    <w:rsid w:val="001A3FC1"/>
    <w:rsid w:val="001A434C"/>
    <w:rsid w:val="001A7C97"/>
    <w:rsid w:val="001B05DD"/>
    <w:rsid w:val="001B15EA"/>
    <w:rsid w:val="001B16A3"/>
    <w:rsid w:val="001B2827"/>
    <w:rsid w:val="001B2CA4"/>
    <w:rsid w:val="001B4277"/>
    <w:rsid w:val="001B745A"/>
    <w:rsid w:val="001B7640"/>
    <w:rsid w:val="001C1582"/>
    <w:rsid w:val="001C1915"/>
    <w:rsid w:val="001C2555"/>
    <w:rsid w:val="001C5795"/>
    <w:rsid w:val="001C71BE"/>
    <w:rsid w:val="001C75CA"/>
    <w:rsid w:val="001D2499"/>
    <w:rsid w:val="001D3BD4"/>
    <w:rsid w:val="001D4AE5"/>
    <w:rsid w:val="001D5D33"/>
    <w:rsid w:val="001D6E02"/>
    <w:rsid w:val="001D7B62"/>
    <w:rsid w:val="001E0586"/>
    <w:rsid w:val="001E1893"/>
    <w:rsid w:val="001E19A9"/>
    <w:rsid w:val="001E4A19"/>
    <w:rsid w:val="001E6446"/>
    <w:rsid w:val="001E74CA"/>
    <w:rsid w:val="001F0870"/>
    <w:rsid w:val="001F199C"/>
    <w:rsid w:val="001F31C4"/>
    <w:rsid w:val="001F4DC4"/>
    <w:rsid w:val="001F65D4"/>
    <w:rsid w:val="001F782E"/>
    <w:rsid w:val="002012E7"/>
    <w:rsid w:val="00202339"/>
    <w:rsid w:val="00203009"/>
    <w:rsid w:val="002040B7"/>
    <w:rsid w:val="002047A2"/>
    <w:rsid w:val="002060CA"/>
    <w:rsid w:val="0020621E"/>
    <w:rsid w:val="00207F45"/>
    <w:rsid w:val="0021033C"/>
    <w:rsid w:val="00210D55"/>
    <w:rsid w:val="002119D2"/>
    <w:rsid w:val="00212C42"/>
    <w:rsid w:val="00212F0F"/>
    <w:rsid w:val="00213017"/>
    <w:rsid w:val="00213732"/>
    <w:rsid w:val="00213A27"/>
    <w:rsid w:val="00213AEE"/>
    <w:rsid w:val="0021482D"/>
    <w:rsid w:val="0021669B"/>
    <w:rsid w:val="002210A1"/>
    <w:rsid w:val="00221659"/>
    <w:rsid w:val="00224F95"/>
    <w:rsid w:val="00225441"/>
    <w:rsid w:val="002259EF"/>
    <w:rsid w:val="00225C8A"/>
    <w:rsid w:val="00227035"/>
    <w:rsid w:val="0023079B"/>
    <w:rsid w:val="00230C3D"/>
    <w:rsid w:val="00230F83"/>
    <w:rsid w:val="002319A7"/>
    <w:rsid w:val="00232011"/>
    <w:rsid w:val="002333ED"/>
    <w:rsid w:val="00233467"/>
    <w:rsid w:val="00234AF2"/>
    <w:rsid w:val="002351AF"/>
    <w:rsid w:val="002351F2"/>
    <w:rsid w:val="00235558"/>
    <w:rsid w:val="00240D33"/>
    <w:rsid w:val="00240D49"/>
    <w:rsid w:val="00242786"/>
    <w:rsid w:val="00242F1E"/>
    <w:rsid w:val="002442FE"/>
    <w:rsid w:val="0024449E"/>
    <w:rsid w:val="00246218"/>
    <w:rsid w:val="0025004E"/>
    <w:rsid w:val="00250E49"/>
    <w:rsid w:val="00251640"/>
    <w:rsid w:val="00254A82"/>
    <w:rsid w:val="00254BB6"/>
    <w:rsid w:val="0025529F"/>
    <w:rsid w:val="00257432"/>
    <w:rsid w:val="00260CE0"/>
    <w:rsid w:val="00261160"/>
    <w:rsid w:val="00261CB9"/>
    <w:rsid w:val="00262467"/>
    <w:rsid w:val="00263049"/>
    <w:rsid w:val="00263567"/>
    <w:rsid w:val="00265031"/>
    <w:rsid w:val="00267417"/>
    <w:rsid w:val="0026750E"/>
    <w:rsid w:val="002729DB"/>
    <w:rsid w:val="00272E1D"/>
    <w:rsid w:val="002741A5"/>
    <w:rsid w:val="002741C6"/>
    <w:rsid w:val="00274AFD"/>
    <w:rsid w:val="00276313"/>
    <w:rsid w:val="002772A7"/>
    <w:rsid w:val="002776CA"/>
    <w:rsid w:val="00282348"/>
    <w:rsid w:val="002834F0"/>
    <w:rsid w:val="00283B09"/>
    <w:rsid w:val="00284051"/>
    <w:rsid w:val="00285465"/>
    <w:rsid w:val="00285A9A"/>
    <w:rsid w:val="0028701B"/>
    <w:rsid w:val="0028714E"/>
    <w:rsid w:val="00290585"/>
    <w:rsid w:val="002908BA"/>
    <w:rsid w:val="0029141B"/>
    <w:rsid w:val="002927CB"/>
    <w:rsid w:val="00292AED"/>
    <w:rsid w:val="002930E6"/>
    <w:rsid w:val="002945E2"/>
    <w:rsid w:val="0029580A"/>
    <w:rsid w:val="0029582A"/>
    <w:rsid w:val="002A0A0C"/>
    <w:rsid w:val="002A2572"/>
    <w:rsid w:val="002A2923"/>
    <w:rsid w:val="002A2E1A"/>
    <w:rsid w:val="002A36D2"/>
    <w:rsid w:val="002A3E89"/>
    <w:rsid w:val="002A5A04"/>
    <w:rsid w:val="002A6159"/>
    <w:rsid w:val="002A7AE3"/>
    <w:rsid w:val="002A7C6B"/>
    <w:rsid w:val="002B1903"/>
    <w:rsid w:val="002B1DD0"/>
    <w:rsid w:val="002B3010"/>
    <w:rsid w:val="002B35D5"/>
    <w:rsid w:val="002B5505"/>
    <w:rsid w:val="002B55FB"/>
    <w:rsid w:val="002B6B93"/>
    <w:rsid w:val="002B7744"/>
    <w:rsid w:val="002C0AD0"/>
    <w:rsid w:val="002C0C85"/>
    <w:rsid w:val="002C11E3"/>
    <w:rsid w:val="002C3AFC"/>
    <w:rsid w:val="002C465B"/>
    <w:rsid w:val="002C4BD9"/>
    <w:rsid w:val="002C4F58"/>
    <w:rsid w:val="002C5198"/>
    <w:rsid w:val="002C558D"/>
    <w:rsid w:val="002C6137"/>
    <w:rsid w:val="002C71E8"/>
    <w:rsid w:val="002C7C89"/>
    <w:rsid w:val="002D0CAD"/>
    <w:rsid w:val="002D0EA1"/>
    <w:rsid w:val="002D1383"/>
    <w:rsid w:val="002D16D0"/>
    <w:rsid w:val="002D32F9"/>
    <w:rsid w:val="002D402C"/>
    <w:rsid w:val="002D4335"/>
    <w:rsid w:val="002D4348"/>
    <w:rsid w:val="002D533C"/>
    <w:rsid w:val="002D5430"/>
    <w:rsid w:val="002D578A"/>
    <w:rsid w:val="002D6AAD"/>
    <w:rsid w:val="002E0B36"/>
    <w:rsid w:val="002E13B9"/>
    <w:rsid w:val="002E1861"/>
    <w:rsid w:val="002E1BC2"/>
    <w:rsid w:val="002E387F"/>
    <w:rsid w:val="002E507B"/>
    <w:rsid w:val="002E5E50"/>
    <w:rsid w:val="002E6312"/>
    <w:rsid w:val="002E6842"/>
    <w:rsid w:val="002E6D93"/>
    <w:rsid w:val="002E7221"/>
    <w:rsid w:val="002F0038"/>
    <w:rsid w:val="002F0125"/>
    <w:rsid w:val="002F1DCB"/>
    <w:rsid w:val="002F2095"/>
    <w:rsid w:val="002F22D1"/>
    <w:rsid w:val="002F2385"/>
    <w:rsid w:val="002F456C"/>
    <w:rsid w:val="002F4F06"/>
    <w:rsid w:val="002F54E1"/>
    <w:rsid w:val="002F6336"/>
    <w:rsid w:val="00301AE8"/>
    <w:rsid w:val="00302A5A"/>
    <w:rsid w:val="00302BB8"/>
    <w:rsid w:val="00302ECF"/>
    <w:rsid w:val="00303305"/>
    <w:rsid w:val="00304160"/>
    <w:rsid w:val="0030622C"/>
    <w:rsid w:val="00310536"/>
    <w:rsid w:val="00312AC1"/>
    <w:rsid w:val="003158AB"/>
    <w:rsid w:val="00316785"/>
    <w:rsid w:val="00316A8C"/>
    <w:rsid w:val="00316A9A"/>
    <w:rsid w:val="00316B8F"/>
    <w:rsid w:val="00317263"/>
    <w:rsid w:val="003174B5"/>
    <w:rsid w:val="00317549"/>
    <w:rsid w:val="0031764C"/>
    <w:rsid w:val="0031782D"/>
    <w:rsid w:val="00317B9A"/>
    <w:rsid w:val="003204EB"/>
    <w:rsid w:val="0032061E"/>
    <w:rsid w:val="003209A4"/>
    <w:rsid w:val="00322A6B"/>
    <w:rsid w:val="00323AFB"/>
    <w:rsid w:val="00324B30"/>
    <w:rsid w:val="00324BE9"/>
    <w:rsid w:val="0032738E"/>
    <w:rsid w:val="0032768D"/>
    <w:rsid w:val="00330D8D"/>
    <w:rsid w:val="0033261C"/>
    <w:rsid w:val="00332E4D"/>
    <w:rsid w:val="00332E8F"/>
    <w:rsid w:val="00332FAB"/>
    <w:rsid w:val="0033368C"/>
    <w:rsid w:val="00333718"/>
    <w:rsid w:val="003347ED"/>
    <w:rsid w:val="00335CA7"/>
    <w:rsid w:val="00335E53"/>
    <w:rsid w:val="00336729"/>
    <w:rsid w:val="00337E87"/>
    <w:rsid w:val="00340765"/>
    <w:rsid w:val="00340E0E"/>
    <w:rsid w:val="003435D1"/>
    <w:rsid w:val="0034363C"/>
    <w:rsid w:val="0034517E"/>
    <w:rsid w:val="003463AF"/>
    <w:rsid w:val="00346E0F"/>
    <w:rsid w:val="00346E2A"/>
    <w:rsid w:val="0034756F"/>
    <w:rsid w:val="00347A56"/>
    <w:rsid w:val="00347CE2"/>
    <w:rsid w:val="00350704"/>
    <w:rsid w:val="00350B3C"/>
    <w:rsid w:val="00350E66"/>
    <w:rsid w:val="0035127D"/>
    <w:rsid w:val="00352CC1"/>
    <w:rsid w:val="00353458"/>
    <w:rsid w:val="003541D1"/>
    <w:rsid w:val="0035491A"/>
    <w:rsid w:val="00354FC2"/>
    <w:rsid w:val="0035529F"/>
    <w:rsid w:val="00355A04"/>
    <w:rsid w:val="003564F5"/>
    <w:rsid w:val="00356727"/>
    <w:rsid w:val="00356BA9"/>
    <w:rsid w:val="00360315"/>
    <w:rsid w:val="00360A9F"/>
    <w:rsid w:val="00361DCB"/>
    <w:rsid w:val="00361EDD"/>
    <w:rsid w:val="00362293"/>
    <w:rsid w:val="0036411C"/>
    <w:rsid w:val="003658EB"/>
    <w:rsid w:val="003677EB"/>
    <w:rsid w:val="003716D0"/>
    <w:rsid w:val="003741A8"/>
    <w:rsid w:val="00374297"/>
    <w:rsid w:val="00374660"/>
    <w:rsid w:val="00375216"/>
    <w:rsid w:val="0037534A"/>
    <w:rsid w:val="00375941"/>
    <w:rsid w:val="00375E0F"/>
    <w:rsid w:val="003766A3"/>
    <w:rsid w:val="00376A37"/>
    <w:rsid w:val="0037704D"/>
    <w:rsid w:val="00377682"/>
    <w:rsid w:val="0038077E"/>
    <w:rsid w:val="00380A7B"/>
    <w:rsid w:val="00381140"/>
    <w:rsid w:val="003834C1"/>
    <w:rsid w:val="00383F7B"/>
    <w:rsid w:val="003843B0"/>
    <w:rsid w:val="003847BD"/>
    <w:rsid w:val="0038522E"/>
    <w:rsid w:val="0038526B"/>
    <w:rsid w:val="00385B23"/>
    <w:rsid w:val="003863F1"/>
    <w:rsid w:val="00386963"/>
    <w:rsid w:val="0038714C"/>
    <w:rsid w:val="00387992"/>
    <w:rsid w:val="00387A5E"/>
    <w:rsid w:val="00390476"/>
    <w:rsid w:val="00390740"/>
    <w:rsid w:val="00391F21"/>
    <w:rsid w:val="003920EF"/>
    <w:rsid w:val="0039226C"/>
    <w:rsid w:val="003927EB"/>
    <w:rsid w:val="00392D55"/>
    <w:rsid w:val="00393055"/>
    <w:rsid w:val="00394612"/>
    <w:rsid w:val="003952F1"/>
    <w:rsid w:val="00397C2F"/>
    <w:rsid w:val="003A09D3"/>
    <w:rsid w:val="003A0DFD"/>
    <w:rsid w:val="003A1101"/>
    <w:rsid w:val="003A1170"/>
    <w:rsid w:val="003A215F"/>
    <w:rsid w:val="003A2192"/>
    <w:rsid w:val="003A3800"/>
    <w:rsid w:val="003A4581"/>
    <w:rsid w:val="003A4B2C"/>
    <w:rsid w:val="003A5437"/>
    <w:rsid w:val="003A65E1"/>
    <w:rsid w:val="003B00F5"/>
    <w:rsid w:val="003B257E"/>
    <w:rsid w:val="003B2F57"/>
    <w:rsid w:val="003B3198"/>
    <w:rsid w:val="003B33BC"/>
    <w:rsid w:val="003B38EC"/>
    <w:rsid w:val="003B3C80"/>
    <w:rsid w:val="003B4066"/>
    <w:rsid w:val="003B4479"/>
    <w:rsid w:val="003B49BC"/>
    <w:rsid w:val="003B4C68"/>
    <w:rsid w:val="003B642D"/>
    <w:rsid w:val="003B6869"/>
    <w:rsid w:val="003B6FA9"/>
    <w:rsid w:val="003B7BB0"/>
    <w:rsid w:val="003B7D79"/>
    <w:rsid w:val="003C0F91"/>
    <w:rsid w:val="003C184D"/>
    <w:rsid w:val="003C1B66"/>
    <w:rsid w:val="003C4880"/>
    <w:rsid w:val="003C51F1"/>
    <w:rsid w:val="003C5B4A"/>
    <w:rsid w:val="003C632E"/>
    <w:rsid w:val="003C65E4"/>
    <w:rsid w:val="003C6882"/>
    <w:rsid w:val="003C7403"/>
    <w:rsid w:val="003C77B6"/>
    <w:rsid w:val="003C7CD4"/>
    <w:rsid w:val="003D1BC4"/>
    <w:rsid w:val="003D2AB4"/>
    <w:rsid w:val="003D386F"/>
    <w:rsid w:val="003D4704"/>
    <w:rsid w:val="003D5FA7"/>
    <w:rsid w:val="003D6305"/>
    <w:rsid w:val="003D6DDA"/>
    <w:rsid w:val="003E0AEB"/>
    <w:rsid w:val="003E1A42"/>
    <w:rsid w:val="003E32B3"/>
    <w:rsid w:val="003E3907"/>
    <w:rsid w:val="003E4AF4"/>
    <w:rsid w:val="003E4E0A"/>
    <w:rsid w:val="003E50AB"/>
    <w:rsid w:val="003E5F74"/>
    <w:rsid w:val="003E6B57"/>
    <w:rsid w:val="003E7A4A"/>
    <w:rsid w:val="003F0EAB"/>
    <w:rsid w:val="003F0FBB"/>
    <w:rsid w:val="003F0FDC"/>
    <w:rsid w:val="003F1A0B"/>
    <w:rsid w:val="003F1D96"/>
    <w:rsid w:val="003F2E32"/>
    <w:rsid w:val="003F5598"/>
    <w:rsid w:val="003F5BB5"/>
    <w:rsid w:val="003F613D"/>
    <w:rsid w:val="003F6D33"/>
    <w:rsid w:val="00400350"/>
    <w:rsid w:val="00400539"/>
    <w:rsid w:val="004016AC"/>
    <w:rsid w:val="004017DA"/>
    <w:rsid w:val="0040360B"/>
    <w:rsid w:val="00406235"/>
    <w:rsid w:val="00407E83"/>
    <w:rsid w:val="004103A9"/>
    <w:rsid w:val="00415E04"/>
    <w:rsid w:val="00415EA1"/>
    <w:rsid w:val="00416783"/>
    <w:rsid w:val="0041710E"/>
    <w:rsid w:val="00417C4B"/>
    <w:rsid w:val="004200AB"/>
    <w:rsid w:val="004215DB"/>
    <w:rsid w:val="00421663"/>
    <w:rsid w:val="00423166"/>
    <w:rsid w:val="0042337C"/>
    <w:rsid w:val="00424929"/>
    <w:rsid w:val="0042741C"/>
    <w:rsid w:val="00431A36"/>
    <w:rsid w:val="00431E47"/>
    <w:rsid w:val="00432A12"/>
    <w:rsid w:val="00433786"/>
    <w:rsid w:val="004337C3"/>
    <w:rsid w:val="004347E0"/>
    <w:rsid w:val="004352D1"/>
    <w:rsid w:val="0043590F"/>
    <w:rsid w:val="00435F13"/>
    <w:rsid w:val="0043686F"/>
    <w:rsid w:val="00440AC4"/>
    <w:rsid w:val="004423BA"/>
    <w:rsid w:val="00442F7D"/>
    <w:rsid w:val="00443087"/>
    <w:rsid w:val="00443382"/>
    <w:rsid w:val="00444603"/>
    <w:rsid w:val="0044543E"/>
    <w:rsid w:val="00447075"/>
    <w:rsid w:val="004470E1"/>
    <w:rsid w:val="00447828"/>
    <w:rsid w:val="00450C7A"/>
    <w:rsid w:val="00452B27"/>
    <w:rsid w:val="004544AA"/>
    <w:rsid w:val="0045469B"/>
    <w:rsid w:val="00454F0B"/>
    <w:rsid w:val="00456D5E"/>
    <w:rsid w:val="00457D58"/>
    <w:rsid w:val="00460543"/>
    <w:rsid w:val="0046238C"/>
    <w:rsid w:val="00462755"/>
    <w:rsid w:val="00462897"/>
    <w:rsid w:val="00462910"/>
    <w:rsid w:val="00464266"/>
    <w:rsid w:val="0046542F"/>
    <w:rsid w:val="00465F64"/>
    <w:rsid w:val="00466115"/>
    <w:rsid w:val="0046633D"/>
    <w:rsid w:val="0046785C"/>
    <w:rsid w:val="004679B7"/>
    <w:rsid w:val="00467F9D"/>
    <w:rsid w:val="00471321"/>
    <w:rsid w:val="0047180A"/>
    <w:rsid w:val="00471907"/>
    <w:rsid w:val="00472F07"/>
    <w:rsid w:val="004739AD"/>
    <w:rsid w:val="004744F2"/>
    <w:rsid w:val="00475932"/>
    <w:rsid w:val="00476EAA"/>
    <w:rsid w:val="0047713C"/>
    <w:rsid w:val="00481874"/>
    <w:rsid w:val="00481FBC"/>
    <w:rsid w:val="00483731"/>
    <w:rsid w:val="00483C07"/>
    <w:rsid w:val="004846FB"/>
    <w:rsid w:val="004851C6"/>
    <w:rsid w:val="00485989"/>
    <w:rsid w:val="00486196"/>
    <w:rsid w:val="004861E9"/>
    <w:rsid w:val="00490F89"/>
    <w:rsid w:val="004928B2"/>
    <w:rsid w:val="00493224"/>
    <w:rsid w:val="00494319"/>
    <w:rsid w:val="00494996"/>
    <w:rsid w:val="00494A92"/>
    <w:rsid w:val="00494D2D"/>
    <w:rsid w:val="00494F78"/>
    <w:rsid w:val="004956BE"/>
    <w:rsid w:val="004A0ADC"/>
    <w:rsid w:val="004A19B7"/>
    <w:rsid w:val="004A2102"/>
    <w:rsid w:val="004A255C"/>
    <w:rsid w:val="004A5661"/>
    <w:rsid w:val="004A6BA0"/>
    <w:rsid w:val="004A7BB5"/>
    <w:rsid w:val="004B0549"/>
    <w:rsid w:val="004B0CF3"/>
    <w:rsid w:val="004B1241"/>
    <w:rsid w:val="004B12D5"/>
    <w:rsid w:val="004B217B"/>
    <w:rsid w:val="004B2E36"/>
    <w:rsid w:val="004B35AB"/>
    <w:rsid w:val="004B40CA"/>
    <w:rsid w:val="004B5039"/>
    <w:rsid w:val="004B5C7C"/>
    <w:rsid w:val="004B67D3"/>
    <w:rsid w:val="004B7B6A"/>
    <w:rsid w:val="004C0265"/>
    <w:rsid w:val="004C0292"/>
    <w:rsid w:val="004C3056"/>
    <w:rsid w:val="004C4223"/>
    <w:rsid w:val="004C4535"/>
    <w:rsid w:val="004C4A52"/>
    <w:rsid w:val="004C52F8"/>
    <w:rsid w:val="004C6B24"/>
    <w:rsid w:val="004C78D9"/>
    <w:rsid w:val="004C79E2"/>
    <w:rsid w:val="004D05C7"/>
    <w:rsid w:val="004D05FE"/>
    <w:rsid w:val="004D0A8F"/>
    <w:rsid w:val="004D1D0E"/>
    <w:rsid w:val="004D1D4A"/>
    <w:rsid w:val="004D21CF"/>
    <w:rsid w:val="004D2656"/>
    <w:rsid w:val="004D3034"/>
    <w:rsid w:val="004D350E"/>
    <w:rsid w:val="004D44CC"/>
    <w:rsid w:val="004D476B"/>
    <w:rsid w:val="004D49FC"/>
    <w:rsid w:val="004D7205"/>
    <w:rsid w:val="004D72EF"/>
    <w:rsid w:val="004E0C16"/>
    <w:rsid w:val="004E13F8"/>
    <w:rsid w:val="004E24BF"/>
    <w:rsid w:val="004E2A48"/>
    <w:rsid w:val="004E2EDE"/>
    <w:rsid w:val="004E4571"/>
    <w:rsid w:val="004E4CBF"/>
    <w:rsid w:val="004E50BF"/>
    <w:rsid w:val="004F1175"/>
    <w:rsid w:val="004F13EB"/>
    <w:rsid w:val="004F211A"/>
    <w:rsid w:val="004F35D0"/>
    <w:rsid w:val="004F3818"/>
    <w:rsid w:val="004F3AC1"/>
    <w:rsid w:val="004F4F7A"/>
    <w:rsid w:val="004F629B"/>
    <w:rsid w:val="004F6791"/>
    <w:rsid w:val="005005B4"/>
    <w:rsid w:val="0050067C"/>
    <w:rsid w:val="00500E96"/>
    <w:rsid w:val="005014B4"/>
    <w:rsid w:val="00501A16"/>
    <w:rsid w:val="00502946"/>
    <w:rsid w:val="00502D6B"/>
    <w:rsid w:val="005045D4"/>
    <w:rsid w:val="005053A8"/>
    <w:rsid w:val="00505F1A"/>
    <w:rsid w:val="0050601E"/>
    <w:rsid w:val="00506C5D"/>
    <w:rsid w:val="005076D4"/>
    <w:rsid w:val="0051164B"/>
    <w:rsid w:val="005118D2"/>
    <w:rsid w:val="00512446"/>
    <w:rsid w:val="00513009"/>
    <w:rsid w:val="0051333E"/>
    <w:rsid w:val="005139C2"/>
    <w:rsid w:val="00513AB0"/>
    <w:rsid w:val="00514324"/>
    <w:rsid w:val="00514568"/>
    <w:rsid w:val="00514915"/>
    <w:rsid w:val="00514D39"/>
    <w:rsid w:val="005151AD"/>
    <w:rsid w:val="00515A4E"/>
    <w:rsid w:val="00520BCF"/>
    <w:rsid w:val="005210E1"/>
    <w:rsid w:val="00521506"/>
    <w:rsid w:val="00522BEE"/>
    <w:rsid w:val="00523C61"/>
    <w:rsid w:val="00523E57"/>
    <w:rsid w:val="0052400E"/>
    <w:rsid w:val="00524127"/>
    <w:rsid w:val="005252E5"/>
    <w:rsid w:val="00526421"/>
    <w:rsid w:val="00526FA9"/>
    <w:rsid w:val="00527A27"/>
    <w:rsid w:val="00531345"/>
    <w:rsid w:val="00531733"/>
    <w:rsid w:val="0053242C"/>
    <w:rsid w:val="00532D69"/>
    <w:rsid w:val="0053499B"/>
    <w:rsid w:val="00534B6B"/>
    <w:rsid w:val="00534C0E"/>
    <w:rsid w:val="00534DDD"/>
    <w:rsid w:val="00536E9E"/>
    <w:rsid w:val="005378E2"/>
    <w:rsid w:val="0054010C"/>
    <w:rsid w:val="005406B6"/>
    <w:rsid w:val="005407AB"/>
    <w:rsid w:val="00541D47"/>
    <w:rsid w:val="0054226C"/>
    <w:rsid w:val="005432A2"/>
    <w:rsid w:val="00543BA4"/>
    <w:rsid w:val="00545354"/>
    <w:rsid w:val="00547E46"/>
    <w:rsid w:val="00547E8E"/>
    <w:rsid w:val="00553838"/>
    <w:rsid w:val="00553C67"/>
    <w:rsid w:val="00553F08"/>
    <w:rsid w:val="00554C5A"/>
    <w:rsid w:val="0055583B"/>
    <w:rsid w:val="00556C09"/>
    <w:rsid w:val="00556FE8"/>
    <w:rsid w:val="00557F7A"/>
    <w:rsid w:val="005603D7"/>
    <w:rsid w:val="0056088D"/>
    <w:rsid w:val="00560F18"/>
    <w:rsid w:val="0056112D"/>
    <w:rsid w:val="00561CF2"/>
    <w:rsid w:val="00561E41"/>
    <w:rsid w:val="005628CE"/>
    <w:rsid w:val="0056290A"/>
    <w:rsid w:val="0056503E"/>
    <w:rsid w:val="00565414"/>
    <w:rsid w:val="005660BD"/>
    <w:rsid w:val="005712C6"/>
    <w:rsid w:val="00572F2C"/>
    <w:rsid w:val="005733B9"/>
    <w:rsid w:val="00573A1B"/>
    <w:rsid w:val="005747D4"/>
    <w:rsid w:val="00575D93"/>
    <w:rsid w:val="00576269"/>
    <w:rsid w:val="00577294"/>
    <w:rsid w:val="005809A2"/>
    <w:rsid w:val="00581E83"/>
    <w:rsid w:val="00581F60"/>
    <w:rsid w:val="005827B7"/>
    <w:rsid w:val="00583761"/>
    <w:rsid w:val="00583F77"/>
    <w:rsid w:val="0058416D"/>
    <w:rsid w:val="0058460C"/>
    <w:rsid w:val="0058504C"/>
    <w:rsid w:val="0058645D"/>
    <w:rsid w:val="0058695C"/>
    <w:rsid w:val="00590479"/>
    <w:rsid w:val="005908B3"/>
    <w:rsid w:val="005910EB"/>
    <w:rsid w:val="00591989"/>
    <w:rsid w:val="00592C27"/>
    <w:rsid w:val="0059368A"/>
    <w:rsid w:val="005943D3"/>
    <w:rsid w:val="00595872"/>
    <w:rsid w:val="00595941"/>
    <w:rsid w:val="0059602B"/>
    <w:rsid w:val="005A0100"/>
    <w:rsid w:val="005A055F"/>
    <w:rsid w:val="005A09C5"/>
    <w:rsid w:val="005A0D46"/>
    <w:rsid w:val="005A222C"/>
    <w:rsid w:val="005A7290"/>
    <w:rsid w:val="005A7551"/>
    <w:rsid w:val="005B0E8A"/>
    <w:rsid w:val="005B1A2C"/>
    <w:rsid w:val="005B22F5"/>
    <w:rsid w:val="005B2E4E"/>
    <w:rsid w:val="005B37F3"/>
    <w:rsid w:val="005B4DC5"/>
    <w:rsid w:val="005B72B1"/>
    <w:rsid w:val="005C0008"/>
    <w:rsid w:val="005C06EC"/>
    <w:rsid w:val="005C0D1F"/>
    <w:rsid w:val="005C2731"/>
    <w:rsid w:val="005C364B"/>
    <w:rsid w:val="005C4304"/>
    <w:rsid w:val="005C49AD"/>
    <w:rsid w:val="005C5C6B"/>
    <w:rsid w:val="005C62D1"/>
    <w:rsid w:val="005C7451"/>
    <w:rsid w:val="005D1236"/>
    <w:rsid w:val="005D1861"/>
    <w:rsid w:val="005D1906"/>
    <w:rsid w:val="005D2AD4"/>
    <w:rsid w:val="005D2D76"/>
    <w:rsid w:val="005D336B"/>
    <w:rsid w:val="005D37EB"/>
    <w:rsid w:val="005D3F05"/>
    <w:rsid w:val="005D616E"/>
    <w:rsid w:val="005D6F14"/>
    <w:rsid w:val="005D7FDD"/>
    <w:rsid w:val="005E0264"/>
    <w:rsid w:val="005E047C"/>
    <w:rsid w:val="005E1361"/>
    <w:rsid w:val="005E1F14"/>
    <w:rsid w:val="005E2FD9"/>
    <w:rsid w:val="005E5539"/>
    <w:rsid w:val="005E77A2"/>
    <w:rsid w:val="005F03EC"/>
    <w:rsid w:val="005F047B"/>
    <w:rsid w:val="005F0D7C"/>
    <w:rsid w:val="005F151D"/>
    <w:rsid w:val="005F466D"/>
    <w:rsid w:val="005F4711"/>
    <w:rsid w:val="005F4955"/>
    <w:rsid w:val="005F5F8D"/>
    <w:rsid w:val="005F61A3"/>
    <w:rsid w:val="005F65B1"/>
    <w:rsid w:val="005F6BCA"/>
    <w:rsid w:val="005F6BD5"/>
    <w:rsid w:val="005F6CA7"/>
    <w:rsid w:val="006006B3"/>
    <w:rsid w:val="00600880"/>
    <w:rsid w:val="00601976"/>
    <w:rsid w:val="00603017"/>
    <w:rsid w:val="00603343"/>
    <w:rsid w:val="00604547"/>
    <w:rsid w:val="00604B39"/>
    <w:rsid w:val="00604C3F"/>
    <w:rsid w:val="00605821"/>
    <w:rsid w:val="0060640F"/>
    <w:rsid w:val="0061018E"/>
    <w:rsid w:val="006103CC"/>
    <w:rsid w:val="006108B7"/>
    <w:rsid w:val="006114C6"/>
    <w:rsid w:val="00611C9E"/>
    <w:rsid w:val="0061537E"/>
    <w:rsid w:val="0061584B"/>
    <w:rsid w:val="00615E75"/>
    <w:rsid w:val="00616034"/>
    <w:rsid w:val="00616427"/>
    <w:rsid w:val="006170C0"/>
    <w:rsid w:val="00617419"/>
    <w:rsid w:val="00617AB0"/>
    <w:rsid w:val="00617D2A"/>
    <w:rsid w:val="00617D2E"/>
    <w:rsid w:val="0062045C"/>
    <w:rsid w:val="00620A74"/>
    <w:rsid w:val="00620BFD"/>
    <w:rsid w:val="00620FD1"/>
    <w:rsid w:val="00621768"/>
    <w:rsid w:val="00621AE2"/>
    <w:rsid w:val="00621F3D"/>
    <w:rsid w:val="006220C3"/>
    <w:rsid w:val="0062282D"/>
    <w:rsid w:val="006232D3"/>
    <w:rsid w:val="00623BAB"/>
    <w:rsid w:val="00624678"/>
    <w:rsid w:val="00624C8C"/>
    <w:rsid w:val="00624EA4"/>
    <w:rsid w:val="00625CFB"/>
    <w:rsid w:val="0062771E"/>
    <w:rsid w:val="00631F6A"/>
    <w:rsid w:val="006322E4"/>
    <w:rsid w:val="00632623"/>
    <w:rsid w:val="00632A89"/>
    <w:rsid w:val="00633A31"/>
    <w:rsid w:val="00634AD1"/>
    <w:rsid w:val="00635060"/>
    <w:rsid w:val="006351FD"/>
    <w:rsid w:val="006376ED"/>
    <w:rsid w:val="00641D0E"/>
    <w:rsid w:val="00641DCB"/>
    <w:rsid w:val="00643380"/>
    <w:rsid w:val="00644080"/>
    <w:rsid w:val="00644133"/>
    <w:rsid w:val="006462EC"/>
    <w:rsid w:val="00647623"/>
    <w:rsid w:val="00650645"/>
    <w:rsid w:val="0065282E"/>
    <w:rsid w:val="00652D6D"/>
    <w:rsid w:val="0065331B"/>
    <w:rsid w:val="0065393E"/>
    <w:rsid w:val="00654B24"/>
    <w:rsid w:val="00654E70"/>
    <w:rsid w:val="006563DF"/>
    <w:rsid w:val="0065673A"/>
    <w:rsid w:val="00656A6F"/>
    <w:rsid w:val="006570B5"/>
    <w:rsid w:val="0066140E"/>
    <w:rsid w:val="006618E6"/>
    <w:rsid w:val="00662514"/>
    <w:rsid w:val="0066273A"/>
    <w:rsid w:val="00662F04"/>
    <w:rsid w:val="006632ED"/>
    <w:rsid w:val="0066340F"/>
    <w:rsid w:val="006647FF"/>
    <w:rsid w:val="00664965"/>
    <w:rsid w:val="00665277"/>
    <w:rsid w:val="006653F2"/>
    <w:rsid w:val="00665487"/>
    <w:rsid w:val="00666731"/>
    <w:rsid w:val="00666C13"/>
    <w:rsid w:val="006671D5"/>
    <w:rsid w:val="006672FE"/>
    <w:rsid w:val="006702B5"/>
    <w:rsid w:val="006704A9"/>
    <w:rsid w:val="00671019"/>
    <w:rsid w:val="006719CD"/>
    <w:rsid w:val="00672A6A"/>
    <w:rsid w:val="00672C7D"/>
    <w:rsid w:val="00672F12"/>
    <w:rsid w:val="0067317D"/>
    <w:rsid w:val="00673C0C"/>
    <w:rsid w:val="00674C55"/>
    <w:rsid w:val="00674FCB"/>
    <w:rsid w:val="006753A9"/>
    <w:rsid w:val="00675753"/>
    <w:rsid w:val="00676693"/>
    <w:rsid w:val="0067743B"/>
    <w:rsid w:val="00677552"/>
    <w:rsid w:val="006777FF"/>
    <w:rsid w:val="00680198"/>
    <w:rsid w:val="00680D2A"/>
    <w:rsid w:val="006811E8"/>
    <w:rsid w:val="006813F7"/>
    <w:rsid w:val="006832F2"/>
    <w:rsid w:val="00683396"/>
    <w:rsid w:val="006834C1"/>
    <w:rsid w:val="00683788"/>
    <w:rsid w:val="00684954"/>
    <w:rsid w:val="00684A7B"/>
    <w:rsid w:val="00684BDD"/>
    <w:rsid w:val="00684E63"/>
    <w:rsid w:val="00685FD1"/>
    <w:rsid w:val="00686C90"/>
    <w:rsid w:val="00686F77"/>
    <w:rsid w:val="006870F3"/>
    <w:rsid w:val="00687978"/>
    <w:rsid w:val="00691FAB"/>
    <w:rsid w:val="00692877"/>
    <w:rsid w:val="00694118"/>
    <w:rsid w:val="006946E4"/>
    <w:rsid w:val="00696200"/>
    <w:rsid w:val="00696692"/>
    <w:rsid w:val="00697578"/>
    <w:rsid w:val="006A0034"/>
    <w:rsid w:val="006A005E"/>
    <w:rsid w:val="006A076D"/>
    <w:rsid w:val="006A2144"/>
    <w:rsid w:val="006A2994"/>
    <w:rsid w:val="006A2C24"/>
    <w:rsid w:val="006A2D23"/>
    <w:rsid w:val="006A3277"/>
    <w:rsid w:val="006A5D5F"/>
    <w:rsid w:val="006A6468"/>
    <w:rsid w:val="006B0C09"/>
    <w:rsid w:val="006B116A"/>
    <w:rsid w:val="006B11FC"/>
    <w:rsid w:val="006B26B5"/>
    <w:rsid w:val="006B276C"/>
    <w:rsid w:val="006B2E46"/>
    <w:rsid w:val="006B2E75"/>
    <w:rsid w:val="006B47CD"/>
    <w:rsid w:val="006B4B55"/>
    <w:rsid w:val="006B5D02"/>
    <w:rsid w:val="006B6B7F"/>
    <w:rsid w:val="006B6FB2"/>
    <w:rsid w:val="006B7217"/>
    <w:rsid w:val="006B7BF8"/>
    <w:rsid w:val="006B7F83"/>
    <w:rsid w:val="006B7F97"/>
    <w:rsid w:val="006B7FEA"/>
    <w:rsid w:val="006C03F6"/>
    <w:rsid w:val="006C20D4"/>
    <w:rsid w:val="006C2746"/>
    <w:rsid w:val="006C28C4"/>
    <w:rsid w:val="006C5017"/>
    <w:rsid w:val="006C5D41"/>
    <w:rsid w:val="006C6426"/>
    <w:rsid w:val="006C6E4F"/>
    <w:rsid w:val="006C7448"/>
    <w:rsid w:val="006D0054"/>
    <w:rsid w:val="006D025D"/>
    <w:rsid w:val="006D1852"/>
    <w:rsid w:val="006D1862"/>
    <w:rsid w:val="006D1889"/>
    <w:rsid w:val="006D1F9F"/>
    <w:rsid w:val="006D3A58"/>
    <w:rsid w:val="006D3D14"/>
    <w:rsid w:val="006D46E2"/>
    <w:rsid w:val="006D475A"/>
    <w:rsid w:val="006D4780"/>
    <w:rsid w:val="006D5B86"/>
    <w:rsid w:val="006D5DE9"/>
    <w:rsid w:val="006D6F60"/>
    <w:rsid w:val="006D712B"/>
    <w:rsid w:val="006D7379"/>
    <w:rsid w:val="006D7AD8"/>
    <w:rsid w:val="006E0DA7"/>
    <w:rsid w:val="006E26E4"/>
    <w:rsid w:val="006E40B7"/>
    <w:rsid w:val="006E47A2"/>
    <w:rsid w:val="006E4F16"/>
    <w:rsid w:val="006E5125"/>
    <w:rsid w:val="006E5308"/>
    <w:rsid w:val="006E6163"/>
    <w:rsid w:val="006E6E43"/>
    <w:rsid w:val="006E71C0"/>
    <w:rsid w:val="006F03F7"/>
    <w:rsid w:val="006F0932"/>
    <w:rsid w:val="006F0B0A"/>
    <w:rsid w:val="006F270C"/>
    <w:rsid w:val="006F2C13"/>
    <w:rsid w:val="006F3794"/>
    <w:rsid w:val="006F58A8"/>
    <w:rsid w:val="006F611A"/>
    <w:rsid w:val="006F62E6"/>
    <w:rsid w:val="006F6706"/>
    <w:rsid w:val="006F6B38"/>
    <w:rsid w:val="006F6B84"/>
    <w:rsid w:val="006F6E04"/>
    <w:rsid w:val="006F7014"/>
    <w:rsid w:val="00700449"/>
    <w:rsid w:val="00701B3E"/>
    <w:rsid w:val="007021AF"/>
    <w:rsid w:val="00703357"/>
    <w:rsid w:val="00703FE7"/>
    <w:rsid w:val="007044AF"/>
    <w:rsid w:val="007053FE"/>
    <w:rsid w:val="007077F9"/>
    <w:rsid w:val="00707C0F"/>
    <w:rsid w:val="0071147B"/>
    <w:rsid w:val="00711755"/>
    <w:rsid w:val="00711F6C"/>
    <w:rsid w:val="007129E3"/>
    <w:rsid w:val="00712C5E"/>
    <w:rsid w:val="007130F0"/>
    <w:rsid w:val="00713121"/>
    <w:rsid w:val="00713A68"/>
    <w:rsid w:val="00714C96"/>
    <w:rsid w:val="00715228"/>
    <w:rsid w:val="00721070"/>
    <w:rsid w:val="0072180B"/>
    <w:rsid w:val="007235C8"/>
    <w:rsid w:val="00723D1F"/>
    <w:rsid w:val="0072426A"/>
    <w:rsid w:val="00724551"/>
    <w:rsid w:val="00724F13"/>
    <w:rsid w:val="00725171"/>
    <w:rsid w:val="0072529A"/>
    <w:rsid w:val="0072564A"/>
    <w:rsid w:val="0072738E"/>
    <w:rsid w:val="00730605"/>
    <w:rsid w:val="00730878"/>
    <w:rsid w:val="00730F0E"/>
    <w:rsid w:val="00732021"/>
    <w:rsid w:val="00733A4D"/>
    <w:rsid w:val="00734015"/>
    <w:rsid w:val="007343A1"/>
    <w:rsid w:val="00735B0B"/>
    <w:rsid w:val="00735CB0"/>
    <w:rsid w:val="0073729F"/>
    <w:rsid w:val="007373C2"/>
    <w:rsid w:val="00737575"/>
    <w:rsid w:val="00737846"/>
    <w:rsid w:val="0074119B"/>
    <w:rsid w:val="00741E9F"/>
    <w:rsid w:val="00744742"/>
    <w:rsid w:val="00744F10"/>
    <w:rsid w:val="00747402"/>
    <w:rsid w:val="00747F6B"/>
    <w:rsid w:val="0075027E"/>
    <w:rsid w:val="00750805"/>
    <w:rsid w:val="00751D73"/>
    <w:rsid w:val="00753A64"/>
    <w:rsid w:val="00754052"/>
    <w:rsid w:val="00754F5C"/>
    <w:rsid w:val="00755EFE"/>
    <w:rsid w:val="00756C89"/>
    <w:rsid w:val="00756CBF"/>
    <w:rsid w:val="00756F95"/>
    <w:rsid w:val="00760302"/>
    <w:rsid w:val="00760CEA"/>
    <w:rsid w:val="00760E92"/>
    <w:rsid w:val="00760FB5"/>
    <w:rsid w:val="007616D5"/>
    <w:rsid w:val="00762924"/>
    <w:rsid w:val="00762EC4"/>
    <w:rsid w:val="00763467"/>
    <w:rsid w:val="00763D35"/>
    <w:rsid w:val="00763D70"/>
    <w:rsid w:val="00764DCD"/>
    <w:rsid w:val="00766385"/>
    <w:rsid w:val="00767752"/>
    <w:rsid w:val="00767BDA"/>
    <w:rsid w:val="00767D24"/>
    <w:rsid w:val="007702FF"/>
    <w:rsid w:val="00770999"/>
    <w:rsid w:val="00772816"/>
    <w:rsid w:val="00772998"/>
    <w:rsid w:val="00773F44"/>
    <w:rsid w:val="00774CAB"/>
    <w:rsid w:val="007757ED"/>
    <w:rsid w:val="00776F4F"/>
    <w:rsid w:val="007810CF"/>
    <w:rsid w:val="00781383"/>
    <w:rsid w:val="00781E3A"/>
    <w:rsid w:val="00782713"/>
    <w:rsid w:val="00782BD9"/>
    <w:rsid w:val="00782F51"/>
    <w:rsid w:val="007830F4"/>
    <w:rsid w:val="00784050"/>
    <w:rsid w:val="00784324"/>
    <w:rsid w:val="00784E84"/>
    <w:rsid w:val="007850F7"/>
    <w:rsid w:val="007851C9"/>
    <w:rsid w:val="007861B4"/>
    <w:rsid w:val="00786638"/>
    <w:rsid w:val="00790F29"/>
    <w:rsid w:val="00791190"/>
    <w:rsid w:val="007937A9"/>
    <w:rsid w:val="007937CD"/>
    <w:rsid w:val="00793BAA"/>
    <w:rsid w:val="00793C25"/>
    <w:rsid w:val="00793DDE"/>
    <w:rsid w:val="007940EF"/>
    <w:rsid w:val="00794948"/>
    <w:rsid w:val="00795724"/>
    <w:rsid w:val="00797111"/>
    <w:rsid w:val="00797AEE"/>
    <w:rsid w:val="00797C94"/>
    <w:rsid w:val="007A072F"/>
    <w:rsid w:val="007A20E4"/>
    <w:rsid w:val="007A36FB"/>
    <w:rsid w:val="007A399C"/>
    <w:rsid w:val="007A410A"/>
    <w:rsid w:val="007A44CA"/>
    <w:rsid w:val="007A573A"/>
    <w:rsid w:val="007A70C9"/>
    <w:rsid w:val="007A7693"/>
    <w:rsid w:val="007B111C"/>
    <w:rsid w:val="007B451C"/>
    <w:rsid w:val="007B457E"/>
    <w:rsid w:val="007B5146"/>
    <w:rsid w:val="007B5761"/>
    <w:rsid w:val="007B5D3A"/>
    <w:rsid w:val="007B60E6"/>
    <w:rsid w:val="007B6866"/>
    <w:rsid w:val="007B7486"/>
    <w:rsid w:val="007B7658"/>
    <w:rsid w:val="007C0589"/>
    <w:rsid w:val="007C1A78"/>
    <w:rsid w:val="007C2D9F"/>
    <w:rsid w:val="007C3F37"/>
    <w:rsid w:val="007C5895"/>
    <w:rsid w:val="007C5D92"/>
    <w:rsid w:val="007C601C"/>
    <w:rsid w:val="007C790A"/>
    <w:rsid w:val="007D0F31"/>
    <w:rsid w:val="007D134B"/>
    <w:rsid w:val="007D1CDC"/>
    <w:rsid w:val="007D2137"/>
    <w:rsid w:val="007D2315"/>
    <w:rsid w:val="007D2A30"/>
    <w:rsid w:val="007D31EA"/>
    <w:rsid w:val="007D3BB9"/>
    <w:rsid w:val="007D524E"/>
    <w:rsid w:val="007D5318"/>
    <w:rsid w:val="007D5F4C"/>
    <w:rsid w:val="007D666E"/>
    <w:rsid w:val="007D7304"/>
    <w:rsid w:val="007E0235"/>
    <w:rsid w:val="007E0557"/>
    <w:rsid w:val="007E0DBC"/>
    <w:rsid w:val="007E13F3"/>
    <w:rsid w:val="007E197C"/>
    <w:rsid w:val="007E1CB0"/>
    <w:rsid w:val="007E3CA1"/>
    <w:rsid w:val="007E3CFA"/>
    <w:rsid w:val="007E4313"/>
    <w:rsid w:val="007E5D73"/>
    <w:rsid w:val="007E5ED5"/>
    <w:rsid w:val="007E5F84"/>
    <w:rsid w:val="007E63C5"/>
    <w:rsid w:val="007F1760"/>
    <w:rsid w:val="007F1C4C"/>
    <w:rsid w:val="007F27CB"/>
    <w:rsid w:val="007F2F31"/>
    <w:rsid w:val="007F3429"/>
    <w:rsid w:val="007F44A4"/>
    <w:rsid w:val="007F4A29"/>
    <w:rsid w:val="007F608C"/>
    <w:rsid w:val="007F7192"/>
    <w:rsid w:val="007F7A10"/>
    <w:rsid w:val="0080035B"/>
    <w:rsid w:val="0080057A"/>
    <w:rsid w:val="00800C2E"/>
    <w:rsid w:val="00802C1B"/>
    <w:rsid w:val="00806924"/>
    <w:rsid w:val="00807B7D"/>
    <w:rsid w:val="008108C1"/>
    <w:rsid w:val="00810A4D"/>
    <w:rsid w:val="00810FE0"/>
    <w:rsid w:val="00811E9E"/>
    <w:rsid w:val="008134FB"/>
    <w:rsid w:val="00815B7F"/>
    <w:rsid w:val="0082000D"/>
    <w:rsid w:val="00820FBE"/>
    <w:rsid w:val="00821588"/>
    <w:rsid w:val="00821BED"/>
    <w:rsid w:val="008223D2"/>
    <w:rsid w:val="00822957"/>
    <w:rsid w:val="00822E80"/>
    <w:rsid w:val="00823C4B"/>
    <w:rsid w:val="00825403"/>
    <w:rsid w:val="008257E4"/>
    <w:rsid w:val="008257FE"/>
    <w:rsid w:val="00826776"/>
    <w:rsid w:val="008275E7"/>
    <w:rsid w:val="008279FC"/>
    <w:rsid w:val="00830193"/>
    <w:rsid w:val="0083125E"/>
    <w:rsid w:val="00831DA9"/>
    <w:rsid w:val="00832B44"/>
    <w:rsid w:val="0083324A"/>
    <w:rsid w:val="0083471C"/>
    <w:rsid w:val="00834A28"/>
    <w:rsid w:val="00835193"/>
    <w:rsid w:val="00835E23"/>
    <w:rsid w:val="008364BC"/>
    <w:rsid w:val="00837D12"/>
    <w:rsid w:val="00840132"/>
    <w:rsid w:val="00841353"/>
    <w:rsid w:val="00843C84"/>
    <w:rsid w:val="0084409F"/>
    <w:rsid w:val="0084674A"/>
    <w:rsid w:val="00847B14"/>
    <w:rsid w:val="0085003B"/>
    <w:rsid w:val="00850458"/>
    <w:rsid w:val="008508B3"/>
    <w:rsid w:val="00850EB4"/>
    <w:rsid w:val="00851304"/>
    <w:rsid w:val="00851FC0"/>
    <w:rsid w:val="00853C38"/>
    <w:rsid w:val="00854E95"/>
    <w:rsid w:val="00855732"/>
    <w:rsid w:val="00861A2D"/>
    <w:rsid w:val="00861C09"/>
    <w:rsid w:val="00862EE4"/>
    <w:rsid w:val="0086392B"/>
    <w:rsid w:val="008640C2"/>
    <w:rsid w:val="008670E9"/>
    <w:rsid w:val="0086771F"/>
    <w:rsid w:val="00870030"/>
    <w:rsid w:val="008702E8"/>
    <w:rsid w:val="008704CA"/>
    <w:rsid w:val="00870806"/>
    <w:rsid w:val="00870D16"/>
    <w:rsid w:val="00870E65"/>
    <w:rsid w:val="008721B0"/>
    <w:rsid w:val="00872F69"/>
    <w:rsid w:val="00873324"/>
    <w:rsid w:val="00874970"/>
    <w:rsid w:val="008752F1"/>
    <w:rsid w:val="00876375"/>
    <w:rsid w:val="00877BFC"/>
    <w:rsid w:val="00880A87"/>
    <w:rsid w:val="0088151D"/>
    <w:rsid w:val="00882238"/>
    <w:rsid w:val="008830AD"/>
    <w:rsid w:val="008854FE"/>
    <w:rsid w:val="00885ADF"/>
    <w:rsid w:val="00885CAE"/>
    <w:rsid w:val="00886029"/>
    <w:rsid w:val="0088627E"/>
    <w:rsid w:val="0088650E"/>
    <w:rsid w:val="00887978"/>
    <w:rsid w:val="008904BC"/>
    <w:rsid w:val="008906DB"/>
    <w:rsid w:val="00890B3E"/>
    <w:rsid w:val="00892006"/>
    <w:rsid w:val="00892487"/>
    <w:rsid w:val="00893F7C"/>
    <w:rsid w:val="008949F9"/>
    <w:rsid w:val="0089581C"/>
    <w:rsid w:val="008960D6"/>
    <w:rsid w:val="00896255"/>
    <w:rsid w:val="0089632A"/>
    <w:rsid w:val="00896772"/>
    <w:rsid w:val="00896FAA"/>
    <w:rsid w:val="0089759D"/>
    <w:rsid w:val="008A283C"/>
    <w:rsid w:val="008A30B2"/>
    <w:rsid w:val="008A3A3F"/>
    <w:rsid w:val="008A6CE1"/>
    <w:rsid w:val="008B07A6"/>
    <w:rsid w:val="008B2791"/>
    <w:rsid w:val="008B3350"/>
    <w:rsid w:val="008B65DB"/>
    <w:rsid w:val="008B7589"/>
    <w:rsid w:val="008C046C"/>
    <w:rsid w:val="008C1E9E"/>
    <w:rsid w:val="008C27B9"/>
    <w:rsid w:val="008C2A20"/>
    <w:rsid w:val="008C2DED"/>
    <w:rsid w:val="008C2E1B"/>
    <w:rsid w:val="008C2F60"/>
    <w:rsid w:val="008C3B69"/>
    <w:rsid w:val="008C3F05"/>
    <w:rsid w:val="008C4403"/>
    <w:rsid w:val="008C5079"/>
    <w:rsid w:val="008C5A81"/>
    <w:rsid w:val="008C5E80"/>
    <w:rsid w:val="008C6723"/>
    <w:rsid w:val="008C6FA3"/>
    <w:rsid w:val="008C70E6"/>
    <w:rsid w:val="008D0534"/>
    <w:rsid w:val="008D09C1"/>
    <w:rsid w:val="008D3845"/>
    <w:rsid w:val="008D41B7"/>
    <w:rsid w:val="008D41F9"/>
    <w:rsid w:val="008D557A"/>
    <w:rsid w:val="008D613F"/>
    <w:rsid w:val="008D71D3"/>
    <w:rsid w:val="008E00E2"/>
    <w:rsid w:val="008E0C6F"/>
    <w:rsid w:val="008E0FAE"/>
    <w:rsid w:val="008E2732"/>
    <w:rsid w:val="008E2E13"/>
    <w:rsid w:val="008E346C"/>
    <w:rsid w:val="008E3EF2"/>
    <w:rsid w:val="008E3FA3"/>
    <w:rsid w:val="008E5139"/>
    <w:rsid w:val="008E53A9"/>
    <w:rsid w:val="008E5CBE"/>
    <w:rsid w:val="008E70BA"/>
    <w:rsid w:val="008F0865"/>
    <w:rsid w:val="008F0BAA"/>
    <w:rsid w:val="008F134A"/>
    <w:rsid w:val="008F173F"/>
    <w:rsid w:val="008F2325"/>
    <w:rsid w:val="008F5F46"/>
    <w:rsid w:val="008F64F0"/>
    <w:rsid w:val="00900493"/>
    <w:rsid w:val="009011F6"/>
    <w:rsid w:val="00902F06"/>
    <w:rsid w:val="00903716"/>
    <w:rsid w:val="00904A97"/>
    <w:rsid w:val="009053B4"/>
    <w:rsid w:val="009060BE"/>
    <w:rsid w:val="0090683C"/>
    <w:rsid w:val="00906BAD"/>
    <w:rsid w:val="0091031E"/>
    <w:rsid w:val="00910A8A"/>
    <w:rsid w:val="00911D29"/>
    <w:rsid w:val="009123D8"/>
    <w:rsid w:val="00913927"/>
    <w:rsid w:val="0091487B"/>
    <w:rsid w:val="009148B5"/>
    <w:rsid w:val="00914A7E"/>
    <w:rsid w:val="00914E80"/>
    <w:rsid w:val="00916769"/>
    <w:rsid w:val="009168E8"/>
    <w:rsid w:val="00916BD6"/>
    <w:rsid w:val="00920A9C"/>
    <w:rsid w:val="009221F9"/>
    <w:rsid w:val="00923468"/>
    <w:rsid w:val="00923536"/>
    <w:rsid w:val="00924C5A"/>
    <w:rsid w:val="0092512E"/>
    <w:rsid w:val="009254AA"/>
    <w:rsid w:val="00925D0F"/>
    <w:rsid w:val="0092680A"/>
    <w:rsid w:val="0092733F"/>
    <w:rsid w:val="00927F1F"/>
    <w:rsid w:val="00930483"/>
    <w:rsid w:val="00931643"/>
    <w:rsid w:val="00931E5F"/>
    <w:rsid w:val="00932F80"/>
    <w:rsid w:val="00933B0E"/>
    <w:rsid w:val="009343E0"/>
    <w:rsid w:val="00934A49"/>
    <w:rsid w:val="00935B1F"/>
    <w:rsid w:val="00937C4B"/>
    <w:rsid w:val="00937EC2"/>
    <w:rsid w:val="00937FD7"/>
    <w:rsid w:val="009412E4"/>
    <w:rsid w:val="009416F3"/>
    <w:rsid w:val="00941B7D"/>
    <w:rsid w:val="00942182"/>
    <w:rsid w:val="009429E5"/>
    <w:rsid w:val="00943336"/>
    <w:rsid w:val="00947FC5"/>
    <w:rsid w:val="00950CBA"/>
    <w:rsid w:val="00951716"/>
    <w:rsid w:val="00952A88"/>
    <w:rsid w:val="00954504"/>
    <w:rsid w:val="00954618"/>
    <w:rsid w:val="009563B1"/>
    <w:rsid w:val="0095669A"/>
    <w:rsid w:val="009568E2"/>
    <w:rsid w:val="00956CB8"/>
    <w:rsid w:val="00956F8F"/>
    <w:rsid w:val="00957CC6"/>
    <w:rsid w:val="00957F94"/>
    <w:rsid w:val="009601D9"/>
    <w:rsid w:val="009601EF"/>
    <w:rsid w:val="009603BB"/>
    <w:rsid w:val="00962627"/>
    <w:rsid w:val="00962A0E"/>
    <w:rsid w:val="00962F47"/>
    <w:rsid w:val="00963602"/>
    <w:rsid w:val="00964086"/>
    <w:rsid w:val="00964484"/>
    <w:rsid w:val="00964CFB"/>
    <w:rsid w:val="009656E9"/>
    <w:rsid w:val="00965839"/>
    <w:rsid w:val="00966531"/>
    <w:rsid w:val="00966870"/>
    <w:rsid w:val="009668B7"/>
    <w:rsid w:val="00967691"/>
    <w:rsid w:val="00970494"/>
    <w:rsid w:val="00971307"/>
    <w:rsid w:val="00971765"/>
    <w:rsid w:val="00972B76"/>
    <w:rsid w:val="00973230"/>
    <w:rsid w:val="0097433C"/>
    <w:rsid w:val="009746E9"/>
    <w:rsid w:val="00975FBA"/>
    <w:rsid w:val="00976CB4"/>
    <w:rsid w:val="0097719E"/>
    <w:rsid w:val="009805C9"/>
    <w:rsid w:val="00980689"/>
    <w:rsid w:val="0098126D"/>
    <w:rsid w:val="00981ECB"/>
    <w:rsid w:val="0098324D"/>
    <w:rsid w:val="00983D60"/>
    <w:rsid w:val="00983F89"/>
    <w:rsid w:val="009848AE"/>
    <w:rsid w:val="00984DB0"/>
    <w:rsid w:val="00984FA3"/>
    <w:rsid w:val="0098687B"/>
    <w:rsid w:val="00990A3E"/>
    <w:rsid w:val="0099300F"/>
    <w:rsid w:val="009934F4"/>
    <w:rsid w:val="00993C3B"/>
    <w:rsid w:val="00994C2F"/>
    <w:rsid w:val="00994C33"/>
    <w:rsid w:val="00994E8D"/>
    <w:rsid w:val="00995143"/>
    <w:rsid w:val="0099684A"/>
    <w:rsid w:val="00996859"/>
    <w:rsid w:val="009A0387"/>
    <w:rsid w:val="009A0FB5"/>
    <w:rsid w:val="009A1947"/>
    <w:rsid w:val="009A1C8C"/>
    <w:rsid w:val="009A1F63"/>
    <w:rsid w:val="009A31AA"/>
    <w:rsid w:val="009A3E97"/>
    <w:rsid w:val="009A42AA"/>
    <w:rsid w:val="009A4704"/>
    <w:rsid w:val="009A5064"/>
    <w:rsid w:val="009A51A9"/>
    <w:rsid w:val="009A5617"/>
    <w:rsid w:val="009A5F27"/>
    <w:rsid w:val="009A5F9A"/>
    <w:rsid w:val="009B0601"/>
    <w:rsid w:val="009B105F"/>
    <w:rsid w:val="009B1D9C"/>
    <w:rsid w:val="009B22CF"/>
    <w:rsid w:val="009B25BA"/>
    <w:rsid w:val="009B2844"/>
    <w:rsid w:val="009B2E48"/>
    <w:rsid w:val="009B31B6"/>
    <w:rsid w:val="009B38AA"/>
    <w:rsid w:val="009B3CAE"/>
    <w:rsid w:val="009B4A13"/>
    <w:rsid w:val="009B4D29"/>
    <w:rsid w:val="009B54E1"/>
    <w:rsid w:val="009B6CE5"/>
    <w:rsid w:val="009B6F99"/>
    <w:rsid w:val="009B7A99"/>
    <w:rsid w:val="009B7F31"/>
    <w:rsid w:val="009C0CF5"/>
    <w:rsid w:val="009C0EC1"/>
    <w:rsid w:val="009C1365"/>
    <w:rsid w:val="009C20E6"/>
    <w:rsid w:val="009C2432"/>
    <w:rsid w:val="009C2A0A"/>
    <w:rsid w:val="009C3DBC"/>
    <w:rsid w:val="009C4FD9"/>
    <w:rsid w:val="009C6099"/>
    <w:rsid w:val="009C6A07"/>
    <w:rsid w:val="009C74B1"/>
    <w:rsid w:val="009D2634"/>
    <w:rsid w:val="009D27B5"/>
    <w:rsid w:val="009D2D21"/>
    <w:rsid w:val="009D3281"/>
    <w:rsid w:val="009D3BE7"/>
    <w:rsid w:val="009D44A6"/>
    <w:rsid w:val="009D4B01"/>
    <w:rsid w:val="009D6A44"/>
    <w:rsid w:val="009D7493"/>
    <w:rsid w:val="009D7ACF"/>
    <w:rsid w:val="009E00E1"/>
    <w:rsid w:val="009E01C0"/>
    <w:rsid w:val="009E0617"/>
    <w:rsid w:val="009E0877"/>
    <w:rsid w:val="009E1C12"/>
    <w:rsid w:val="009E1E6B"/>
    <w:rsid w:val="009E1F18"/>
    <w:rsid w:val="009E1F7B"/>
    <w:rsid w:val="009E1FFC"/>
    <w:rsid w:val="009E33BF"/>
    <w:rsid w:val="009E44A2"/>
    <w:rsid w:val="009E472E"/>
    <w:rsid w:val="009E581B"/>
    <w:rsid w:val="009E5D01"/>
    <w:rsid w:val="009E611F"/>
    <w:rsid w:val="009E6ACA"/>
    <w:rsid w:val="009E71AE"/>
    <w:rsid w:val="009F0491"/>
    <w:rsid w:val="009F09D0"/>
    <w:rsid w:val="009F1715"/>
    <w:rsid w:val="009F1758"/>
    <w:rsid w:val="009F24D9"/>
    <w:rsid w:val="009F3B8F"/>
    <w:rsid w:val="009F5ED2"/>
    <w:rsid w:val="009F65C2"/>
    <w:rsid w:val="009F68FE"/>
    <w:rsid w:val="009F7D79"/>
    <w:rsid w:val="00A01474"/>
    <w:rsid w:val="00A014FE"/>
    <w:rsid w:val="00A02065"/>
    <w:rsid w:val="00A02551"/>
    <w:rsid w:val="00A0469A"/>
    <w:rsid w:val="00A0520C"/>
    <w:rsid w:val="00A0541E"/>
    <w:rsid w:val="00A05E18"/>
    <w:rsid w:val="00A06A24"/>
    <w:rsid w:val="00A104ED"/>
    <w:rsid w:val="00A1068B"/>
    <w:rsid w:val="00A11EC5"/>
    <w:rsid w:val="00A12DD1"/>
    <w:rsid w:val="00A13B95"/>
    <w:rsid w:val="00A14A2F"/>
    <w:rsid w:val="00A14A8A"/>
    <w:rsid w:val="00A14C79"/>
    <w:rsid w:val="00A151EA"/>
    <w:rsid w:val="00A164A4"/>
    <w:rsid w:val="00A16E50"/>
    <w:rsid w:val="00A17160"/>
    <w:rsid w:val="00A17FD7"/>
    <w:rsid w:val="00A203D6"/>
    <w:rsid w:val="00A2163F"/>
    <w:rsid w:val="00A21D87"/>
    <w:rsid w:val="00A22486"/>
    <w:rsid w:val="00A234A4"/>
    <w:rsid w:val="00A2409C"/>
    <w:rsid w:val="00A248F9"/>
    <w:rsid w:val="00A262C8"/>
    <w:rsid w:val="00A26353"/>
    <w:rsid w:val="00A27165"/>
    <w:rsid w:val="00A2721C"/>
    <w:rsid w:val="00A27C99"/>
    <w:rsid w:val="00A27EA2"/>
    <w:rsid w:val="00A31472"/>
    <w:rsid w:val="00A32429"/>
    <w:rsid w:val="00A32493"/>
    <w:rsid w:val="00A32EE7"/>
    <w:rsid w:val="00A330C6"/>
    <w:rsid w:val="00A3313E"/>
    <w:rsid w:val="00A33780"/>
    <w:rsid w:val="00A33CB4"/>
    <w:rsid w:val="00A34AAC"/>
    <w:rsid w:val="00A354D6"/>
    <w:rsid w:val="00A356ED"/>
    <w:rsid w:val="00A35A10"/>
    <w:rsid w:val="00A37774"/>
    <w:rsid w:val="00A3786A"/>
    <w:rsid w:val="00A4158A"/>
    <w:rsid w:val="00A41E93"/>
    <w:rsid w:val="00A424F7"/>
    <w:rsid w:val="00A42D02"/>
    <w:rsid w:val="00A4398C"/>
    <w:rsid w:val="00A43FD5"/>
    <w:rsid w:val="00A445C9"/>
    <w:rsid w:val="00A4488F"/>
    <w:rsid w:val="00A44FBA"/>
    <w:rsid w:val="00A45186"/>
    <w:rsid w:val="00A460B8"/>
    <w:rsid w:val="00A4723A"/>
    <w:rsid w:val="00A479D2"/>
    <w:rsid w:val="00A5257A"/>
    <w:rsid w:val="00A52919"/>
    <w:rsid w:val="00A5344D"/>
    <w:rsid w:val="00A5369C"/>
    <w:rsid w:val="00A550A9"/>
    <w:rsid w:val="00A56722"/>
    <w:rsid w:val="00A57622"/>
    <w:rsid w:val="00A601CD"/>
    <w:rsid w:val="00A6071F"/>
    <w:rsid w:val="00A609FD"/>
    <w:rsid w:val="00A613C8"/>
    <w:rsid w:val="00A6299C"/>
    <w:rsid w:val="00A63C38"/>
    <w:rsid w:val="00A64886"/>
    <w:rsid w:val="00A6531E"/>
    <w:rsid w:val="00A654EB"/>
    <w:rsid w:val="00A67225"/>
    <w:rsid w:val="00A707C2"/>
    <w:rsid w:val="00A71951"/>
    <w:rsid w:val="00A722DE"/>
    <w:rsid w:val="00A755B1"/>
    <w:rsid w:val="00A764D6"/>
    <w:rsid w:val="00A80C51"/>
    <w:rsid w:val="00A80D14"/>
    <w:rsid w:val="00A820E6"/>
    <w:rsid w:val="00A82F49"/>
    <w:rsid w:val="00A836B6"/>
    <w:rsid w:val="00A839C4"/>
    <w:rsid w:val="00A84FEC"/>
    <w:rsid w:val="00A858DC"/>
    <w:rsid w:val="00A870E3"/>
    <w:rsid w:val="00A87C86"/>
    <w:rsid w:val="00A91360"/>
    <w:rsid w:val="00A91802"/>
    <w:rsid w:val="00A91DB6"/>
    <w:rsid w:val="00A92BBE"/>
    <w:rsid w:val="00A92CE0"/>
    <w:rsid w:val="00A93764"/>
    <w:rsid w:val="00A94D7B"/>
    <w:rsid w:val="00A950B0"/>
    <w:rsid w:val="00A95649"/>
    <w:rsid w:val="00A95BAD"/>
    <w:rsid w:val="00A966E5"/>
    <w:rsid w:val="00A967A7"/>
    <w:rsid w:val="00A96CDC"/>
    <w:rsid w:val="00A97C83"/>
    <w:rsid w:val="00A97D4A"/>
    <w:rsid w:val="00AA000D"/>
    <w:rsid w:val="00AA1835"/>
    <w:rsid w:val="00AA2277"/>
    <w:rsid w:val="00AA28D0"/>
    <w:rsid w:val="00AA341D"/>
    <w:rsid w:val="00AA4624"/>
    <w:rsid w:val="00AA4E50"/>
    <w:rsid w:val="00AA51FA"/>
    <w:rsid w:val="00AA578B"/>
    <w:rsid w:val="00AA69A4"/>
    <w:rsid w:val="00AA79F2"/>
    <w:rsid w:val="00AB01A1"/>
    <w:rsid w:val="00AB1497"/>
    <w:rsid w:val="00AB2A7F"/>
    <w:rsid w:val="00AB2FD5"/>
    <w:rsid w:val="00AB4E5B"/>
    <w:rsid w:val="00AB57DA"/>
    <w:rsid w:val="00AB63EC"/>
    <w:rsid w:val="00AB66B7"/>
    <w:rsid w:val="00AB6C7F"/>
    <w:rsid w:val="00AB7C66"/>
    <w:rsid w:val="00AB7E26"/>
    <w:rsid w:val="00AC00BC"/>
    <w:rsid w:val="00AC043F"/>
    <w:rsid w:val="00AC07B3"/>
    <w:rsid w:val="00AC0861"/>
    <w:rsid w:val="00AC0CD7"/>
    <w:rsid w:val="00AC2634"/>
    <w:rsid w:val="00AC292F"/>
    <w:rsid w:val="00AC3A64"/>
    <w:rsid w:val="00AC3C18"/>
    <w:rsid w:val="00AC4961"/>
    <w:rsid w:val="00AC528B"/>
    <w:rsid w:val="00AC53EA"/>
    <w:rsid w:val="00AC631C"/>
    <w:rsid w:val="00AC73E6"/>
    <w:rsid w:val="00AC795F"/>
    <w:rsid w:val="00AC7F79"/>
    <w:rsid w:val="00AD0ACC"/>
    <w:rsid w:val="00AD0AEC"/>
    <w:rsid w:val="00AD0FB0"/>
    <w:rsid w:val="00AD1A7A"/>
    <w:rsid w:val="00AD1CAD"/>
    <w:rsid w:val="00AD2F59"/>
    <w:rsid w:val="00AD5FF7"/>
    <w:rsid w:val="00AD6D67"/>
    <w:rsid w:val="00AD6E97"/>
    <w:rsid w:val="00AD7FFD"/>
    <w:rsid w:val="00AE25CC"/>
    <w:rsid w:val="00AE4620"/>
    <w:rsid w:val="00AE49E6"/>
    <w:rsid w:val="00AE633B"/>
    <w:rsid w:val="00AE699C"/>
    <w:rsid w:val="00AE70F1"/>
    <w:rsid w:val="00AE756D"/>
    <w:rsid w:val="00AE7964"/>
    <w:rsid w:val="00AF0588"/>
    <w:rsid w:val="00AF2292"/>
    <w:rsid w:val="00AF2B7B"/>
    <w:rsid w:val="00AF2E9C"/>
    <w:rsid w:val="00AF3367"/>
    <w:rsid w:val="00AF34D9"/>
    <w:rsid w:val="00AF480F"/>
    <w:rsid w:val="00AF4F91"/>
    <w:rsid w:val="00AF5091"/>
    <w:rsid w:val="00AF5BAE"/>
    <w:rsid w:val="00AF6DA2"/>
    <w:rsid w:val="00AF6F51"/>
    <w:rsid w:val="00AF7193"/>
    <w:rsid w:val="00AF790A"/>
    <w:rsid w:val="00B00989"/>
    <w:rsid w:val="00B02817"/>
    <w:rsid w:val="00B03838"/>
    <w:rsid w:val="00B04011"/>
    <w:rsid w:val="00B0429B"/>
    <w:rsid w:val="00B07039"/>
    <w:rsid w:val="00B07D81"/>
    <w:rsid w:val="00B109FC"/>
    <w:rsid w:val="00B11542"/>
    <w:rsid w:val="00B11775"/>
    <w:rsid w:val="00B12538"/>
    <w:rsid w:val="00B13442"/>
    <w:rsid w:val="00B13674"/>
    <w:rsid w:val="00B142C5"/>
    <w:rsid w:val="00B1449F"/>
    <w:rsid w:val="00B1492E"/>
    <w:rsid w:val="00B14BF2"/>
    <w:rsid w:val="00B14C44"/>
    <w:rsid w:val="00B17BB4"/>
    <w:rsid w:val="00B20048"/>
    <w:rsid w:val="00B2085E"/>
    <w:rsid w:val="00B20C7F"/>
    <w:rsid w:val="00B22FA3"/>
    <w:rsid w:val="00B243D6"/>
    <w:rsid w:val="00B251C9"/>
    <w:rsid w:val="00B25C55"/>
    <w:rsid w:val="00B262CF"/>
    <w:rsid w:val="00B27303"/>
    <w:rsid w:val="00B30570"/>
    <w:rsid w:val="00B30E91"/>
    <w:rsid w:val="00B30F9B"/>
    <w:rsid w:val="00B32B6E"/>
    <w:rsid w:val="00B33622"/>
    <w:rsid w:val="00B35068"/>
    <w:rsid w:val="00B35675"/>
    <w:rsid w:val="00B35A68"/>
    <w:rsid w:val="00B36433"/>
    <w:rsid w:val="00B36466"/>
    <w:rsid w:val="00B3663C"/>
    <w:rsid w:val="00B370A6"/>
    <w:rsid w:val="00B3728E"/>
    <w:rsid w:val="00B37CC5"/>
    <w:rsid w:val="00B402BB"/>
    <w:rsid w:val="00B40551"/>
    <w:rsid w:val="00B40991"/>
    <w:rsid w:val="00B40F57"/>
    <w:rsid w:val="00B4257D"/>
    <w:rsid w:val="00B42735"/>
    <w:rsid w:val="00B4289E"/>
    <w:rsid w:val="00B43196"/>
    <w:rsid w:val="00B43CC2"/>
    <w:rsid w:val="00B43DBA"/>
    <w:rsid w:val="00B43FAC"/>
    <w:rsid w:val="00B44CAB"/>
    <w:rsid w:val="00B464F7"/>
    <w:rsid w:val="00B51153"/>
    <w:rsid w:val="00B512DC"/>
    <w:rsid w:val="00B525BC"/>
    <w:rsid w:val="00B52B93"/>
    <w:rsid w:val="00B52F0B"/>
    <w:rsid w:val="00B55EA8"/>
    <w:rsid w:val="00B56DCD"/>
    <w:rsid w:val="00B5721A"/>
    <w:rsid w:val="00B57EDA"/>
    <w:rsid w:val="00B6310E"/>
    <w:rsid w:val="00B6383B"/>
    <w:rsid w:val="00B648CA"/>
    <w:rsid w:val="00B64D95"/>
    <w:rsid w:val="00B65183"/>
    <w:rsid w:val="00B675D9"/>
    <w:rsid w:val="00B70CB7"/>
    <w:rsid w:val="00B70FD8"/>
    <w:rsid w:val="00B71CDE"/>
    <w:rsid w:val="00B7202A"/>
    <w:rsid w:val="00B72908"/>
    <w:rsid w:val="00B72BE4"/>
    <w:rsid w:val="00B72F2E"/>
    <w:rsid w:val="00B73293"/>
    <w:rsid w:val="00B733CF"/>
    <w:rsid w:val="00B75FE2"/>
    <w:rsid w:val="00B8074B"/>
    <w:rsid w:val="00B818AD"/>
    <w:rsid w:val="00B81F74"/>
    <w:rsid w:val="00B85259"/>
    <w:rsid w:val="00B902FD"/>
    <w:rsid w:val="00B90AD1"/>
    <w:rsid w:val="00B911AF"/>
    <w:rsid w:val="00B916EC"/>
    <w:rsid w:val="00B919F1"/>
    <w:rsid w:val="00B92B78"/>
    <w:rsid w:val="00B93030"/>
    <w:rsid w:val="00B93436"/>
    <w:rsid w:val="00B94176"/>
    <w:rsid w:val="00B94823"/>
    <w:rsid w:val="00B94B08"/>
    <w:rsid w:val="00B956FD"/>
    <w:rsid w:val="00B968A7"/>
    <w:rsid w:val="00B97AFA"/>
    <w:rsid w:val="00BA0F58"/>
    <w:rsid w:val="00BA100F"/>
    <w:rsid w:val="00BA2501"/>
    <w:rsid w:val="00BA2D14"/>
    <w:rsid w:val="00BA35F0"/>
    <w:rsid w:val="00BA4D09"/>
    <w:rsid w:val="00BA6BCF"/>
    <w:rsid w:val="00BA7ECA"/>
    <w:rsid w:val="00BB02CF"/>
    <w:rsid w:val="00BB0D26"/>
    <w:rsid w:val="00BB0D62"/>
    <w:rsid w:val="00BB1159"/>
    <w:rsid w:val="00BB152D"/>
    <w:rsid w:val="00BB161C"/>
    <w:rsid w:val="00BB1B36"/>
    <w:rsid w:val="00BB20E1"/>
    <w:rsid w:val="00BB2DBE"/>
    <w:rsid w:val="00BB44CD"/>
    <w:rsid w:val="00BB4566"/>
    <w:rsid w:val="00BB46A4"/>
    <w:rsid w:val="00BB6286"/>
    <w:rsid w:val="00BB6CE6"/>
    <w:rsid w:val="00BB6D5D"/>
    <w:rsid w:val="00BC00DC"/>
    <w:rsid w:val="00BC086E"/>
    <w:rsid w:val="00BC09D2"/>
    <w:rsid w:val="00BC2A86"/>
    <w:rsid w:val="00BC37FA"/>
    <w:rsid w:val="00BC38C2"/>
    <w:rsid w:val="00BC401E"/>
    <w:rsid w:val="00BC7CAA"/>
    <w:rsid w:val="00BD016A"/>
    <w:rsid w:val="00BD0459"/>
    <w:rsid w:val="00BD0C18"/>
    <w:rsid w:val="00BD0D0D"/>
    <w:rsid w:val="00BD38C9"/>
    <w:rsid w:val="00BD39DF"/>
    <w:rsid w:val="00BD3C37"/>
    <w:rsid w:val="00BD41E5"/>
    <w:rsid w:val="00BD56C0"/>
    <w:rsid w:val="00BD66FE"/>
    <w:rsid w:val="00BD68E0"/>
    <w:rsid w:val="00BD6F67"/>
    <w:rsid w:val="00BE05B6"/>
    <w:rsid w:val="00BE1305"/>
    <w:rsid w:val="00BE3827"/>
    <w:rsid w:val="00BE42FF"/>
    <w:rsid w:val="00BE502A"/>
    <w:rsid w:val="00BE51BF"/>
    <w:rsid w:val="00BE5AFF"/>
    <w:rsid w:val="00BE6BB5"/>
    <w:rsid w:val="00BE6C54"/>
    <w:rsid w:val="00BE6DBB"/>
    <w:rsid w:val="00BE7EDA"/>
    <w:rsid w:val="00BF0EEA"/>
    <w:rsid w:val="00BF15E5"/>
    <w:rsid w:val="00BF1BDD"/>
    <w:rsid w:val="00BF2C7F"/>
    <w:rsid w:val="00BF5851"/>
    <w:rsid w:val="00BF5E45"/>
    <w:rsid w:val="00BF72D5"/>
    <w:rsid w:val="00BF7B95"/>
    <w:rsid w:val="00C02637"/>
    <w:rsid w:val="00C0331E"/>
    <w:rsid w:val="00C03341"/>
    <w:rsid w:val="00C03A03"/>
    <w:rsid w:val="00C049DD"/>
    <w:rsid w:val="00C055EA"/>
    <w:rsid w:val="00C069B1"/>
    <w:rsid w:val="00C07995"/>
    <w:rsid w:val="00C10D77"/>
    <w:rsid w:val="00C12445"/>
    <w:rsid w:val="00C13370"/>
    <w:rsid w:val="00C14071"/>
    <w:rsid w:val="00C15349"/>
    <w:rsid w:val="00C15971"/>
    <w:rsid w:val="00C15FCF"/>
    <w:rsid w:val="00C1747D"/>
    <w:rsid w:val="00C175C9"/>
    <w:rsid w:val="00C21322"/>
    <w:rsid w:val="00C21738"/>
    <w:rsid w:val="00C218F8"/>
    <w:rsid w:val="00C224B3"/>
    <w:rsid w:val="00C25CCD"/>
    <w:rsid w:val="00C25DAF"/>
    <w:rsid w:val="00C27483"/>
    <w:rsid w:val="00C27E44"/>
    <w:rsid w:val="00C301FF"/>
    <w:rsid w:val="00C30C26"/>
    <w:rsid w:val="00C31330"/>
    <w:rsid w:val="00C321AD"/>
    <w:rsid w:val="00C32696"/>
    <w:rsid w:val="00C3307F"/>
    <w:rsid w:val="00C33823"/>
    <w:rsid w:val="00C33BB0"/>
    <w:rsid w:val="00C34173"/>
    <w:rsid w:val="00C34F55"/>
    <w:rsid w:val="00C35719"/>
    <w:rsid w:val="00C3591D"/>
    <w:rsid w:val="00C3665B"/>
    <w:rsid w:val="00C3752B"/>
    <w:rsid w:val="00C37B63"/>
    <w:rsid w:val="00C37C0A"/>
    <w:rsid w:val="00C37D6F"/>
    <w:rsid w:val="00C37E52"/>
    <w:rsid w:val="00C40692"/>
    <w:rsid w:val="00C40FE6"/>
    <w:rsid w:val="00C41429"/>
    <w:rsid w:val="00C4197C"/>
    <w:rsid w:val="00C42210"/>
    <w:rsid w:val="00C455B9"/>
    <w:rsid w:val="00C45AC5"/>
    <w:rsid w:val="00C51283"/>
    <w:rsid w:val="00C5252D"/>
    <w:rsid w:val="00C5287E"/>
    <w:rsid w:val="00C531F2"/>
    <w:rsid w:val="00C535B4"/>
    <w:rsid w:val="00C53E96"/>
    <w:rsid w:val="00C5448E"/>
    <w:rsid w:val="00C55042"/>
    <w:rsid w:val="00C564E8"/>
    <w:rsid w:val="00C5712F"/>
    <w:rsid w:val="00C572BA"/>
    <w:rsid w:val="00C573DE"/>
    <w:rsid w:val="00C57421"/>
    <w:rsid w:val="00C61BE7"/>
    <w:rsid w:val="00C62B8E"/>
    <w:rsid w:val="00C62CD6"/>
    <w:rsid w:val="00C6344C"/>
    <w:rsid w:val="00C645F5"/>
    <w:rsid w:val="00C65D96"/>
    <w:rsid w:val="00C660B2"/>
    <w:rsid w:val="00C673E0"/>
    <w:rsid w:val="00C704BD"/>
    <w:rsid w:val="00C72B0B"/>
    <w:rsid w:val="00C731B4"/>
    <w:rsid w:val="00C73843"/>
    <w:rsid w:val="00C746A7"/>
    <w:rsid w:val="00C765E1"/>
    <w:rsid w:val="00C77943"/>
    <w:rsid w:val="00C80E3C"/>
    <w:rsid w:val="00C81001"/>
    <w:rsid w:val="00C814A4"/>
    <w:rsid w:val="00C82407"/>
    <w:rsid w:val="00C82643"/>
    <w:rsid w:val="00C8454D"/>
    <w:rsid w:val="00C84A4C"/>
    <w:rsid w:val="00C85C5A"/>
    <w:rsid w:val="00C86351"/>
    <w:rsid w:val="00C86C5A"/>
    <w:rsid w:val="00C8736D"/>
    <w:rsid w:val="00C8738A"/>
    <w:rsid w:val="00C878BA"/>
    <w:rsid w:val="00C909EC"/>
    <w:rsid w:val="00C90CDD"/>
    <w:rsid w:val="00C92323"/>
    <w:rsid w:val="00C92409"/>
    <w:rsid w:val="00C925EC"/>
    <w:rsid w:val="00C95747"/>
    <w:rsid w:val="00C959C9"/>
    <w:rsid w:val="00C961DA"/>
    <w:rsid w:val="00C96BC1"/>
    <w:rsid w:val="00C9728A"/>
    <w:rsid w:val="00C97A7A"/>
    <w:rsid w:val="00CA0942"/>
    <w:rsid w:val="00CA0D11"/>
    <w:rsid w:val="00CA0DF5"/>
    <w:rsid w:val="00CA1D2D"/>
    <w:rsid w:val="00CA28C0"/>
    <w:rsid w:val="00CA49FD"/>
    <w:rsid w:val="00CA6499"/>
    <w:rsid w:val="00CA677A"/>
    <w:rsid w:val="00CA7CC7"/>
    <w:rsid w:val="00CB0A0F"/>
    <w:rsid w:val="00CB0FDE"/>
    <w:rsid w:val="00CB218E"/>
    <w:rsid w:val="00CB2F18"/>
    <w:rsid w:val="00CB41D5"/>
    <w:rsid w:val="00CB5B11"/>
    <w:rsid w:val="00CC0006"/>
    <w:rsid w:val="00CC05C2"/>
    <w:rsid w:val="00CC0649"/>
    <w:rsid w:val="00CC0812"/>
    <w:rsid w:val="00CC1020"/>
    <w:rsid w:val="00CC1A84"/>
    <w:rsid w:val="00CC2796"/>
    <w:rsid w:val="00CC32D0"/>
    <w:rsid w:val="00CC3AED"/>
    <w:rsid w:val="00CC492E"/>
    <w:rsid w:val="00CC4C8D"/>
    <w:rsid w:val="00CC4D1F"/>
    <w:rsid w:val="00CC4DD6"/>
    <w:rsid w:val="00CC4F92"/>
    <w:rsid w:val="00CC54A9"/>
    <w:rsid w:val="00CC5A88"/>
    <w:rsid w:val="00CC5B93"/>
    <w:rsid w:val="00CC5C65"/>
    <w:rsid w:val="00CC6135"/>
    <w:rsid w:val="00CC6972"/>
    <w:rsid w:val="00CC784C"/>
    <w:rsid w:val="00CC7ABA"/>
    <w:rsid w:val="00CD017D"/>
    <w:rsid w:val="00CD1C26"/>
    <w:rsid w:val="00CD2905"/>
    <w:rsid w:val="00CD31D5"/>
    <w:rsid w:val="00CD3542"/>
    <w:rsid w:val="00CD48F1"/>
    <w:rsid w:val="00CD4E56"/>
    <w:rsid w:val="00CD53F8"/>
    <w:rsid w:val="00CD5FC1"/>
    <w:rsid w:val="00CD6ECA"/>
    <w:rsid w:val="00CD7A77"/>
    <w:rsid w:val="00CD7D3C"/>
    <w:rsid w:val="00CE17AC"/>
    <w:rsid w:val="00CE1EEA"/>
    <w:rsid w:val="00CE202D"/>
    <w:rsid w:val="00CE24A8"/>
    <w:rsid w:val="00CE263D"/>
    <w:rsid w:val="00CE2ACF"/>
    <w:rsid w:val="00CE2CB9"/>
    <w:rsid w:val="00CE308D"/>
    <w:rsid w:val="00CE3541"/>
    <w:rsid w:val="00CE387D"/>
    <w:rsid w:val="00CE3A82"/>
    <w:rsid w:val="00CE4292"/>
    <w:rsid w:val="00CE4A19"/>
    <w:rsid w:val="00CE5A7D"/>
    <w:rsid w:val="00CE5AE3"/>
    <w:rsid w:val="00CE62D6"/>
    <w:rsid w:val="00CE6BEB"/>
    <w:rsid w:val="00CE7239"/>
    <w:rsid w:val="00CE724E"/>
    <w:rsid w:val="00CE77BC"/>
    <w:rsid w:val="00CE7A08"/>
    <w:rsid w:val="00CF004D"/>
    <w:rsid w:val="00CF020F"/>
    <w:rsid w:val="00CF0C10"/>
    <w:rsid w:val="00CF1630"/>
    <w:rsid w:val="00CF1B6E"/>
    <w:rsid w:val="00CF1BAE"/>
    <w:rsid w:val="00CF2D1D"/>
    <w:rsid w:val="00CF30DE"/>
    <w:rsid w:val="00CF3617"/>
    <w:rsid w:val="00CF3833"/>
    <w:rsid w:val="00CF42E3"/>
    <w:rsid w:val="00CF575F"/>
    <w:rsid w:val="00CF5A4A"/>
    <w:rsid w:val="00CF6A40"/>
    <w:rsid w:val="00CF6DF9"/>
    <w:rsid w:val="00CF71C8"/>
    <w:rsid w:val="00CF7708"/>
    <w:rsid w:val="00D0082C"/>
    <w:rsid w:val="00D02055"/>
    <w:rsid w:val="00D030DC"/>
    <w:rsid w:val="00D04B2F"/>
    <w:rsid w:val="00D061FF"/>
    <w:rsid w:val="00D06BD5"/>
    <w:rsid w:val="00D06BE5"/>
    <w:rsid w:val="00D07809"/>
    <w:rsid w:val="00D10E29"/>
    <w:rsid w:val="00D12215"/>
    <w:rsid w:val="00D127E2"/>
    <w:rsid w:val="00D13896"/>
    <w:rsid w:val="00D14CE8"/>
    <w:rsid w:val="00D15762"/>
    <w:rsid w:val="00D1703A"/>
    <w:rsid w:val="00D21E43"/>
    <w:rsid w:val="00D21E46"/>
    <w:rsid w:val="00D225A5"/>
    <w:rsid w:val="00D2330B"/>
    <w:rsid w:val="00D23C9C"/>
    <w:rsid w:val="00D242A5"/>
    <w:rsid w:val="00D2442E"/>
    <w:rsid w:val="00D24466"/>
    <w:rsid w:val="00D25000"/>
    <w:rsid w:val="00D2540A"/>
    <w:rsid w:val="00D254FF"/>
    <w:rsid w:val="00D25995"/>
    <w:rsid w:val="00D25B81"/>
    <w:rsid w:val="00D279EB"/>
    <w:rsid w:val="00D27C7A"/>
    <w:rsid w:val="00D30BCE"/>
    <w:rsid w:val="00D30BFC"/>
    <w:rsid w:val="00D33055"/>
    <w:rsid w:val="00D33361"/>
    <w:rsid w:val="00D33CDB"/>
    <w:rsid w:val="00D33D01"/>
    <w:rsid w:val="00D33E15"/>
    <w:rsid w:val="00D34195"/>
    <w:rsid w:val="00D35479"/>
    <w:rsid w:val="00D3565C"/>
    <w:rsid w:val="00D35808"/>
    <w:rsid w:val="00D358BB"/>
    <w:rsid w:val="00D35A91"/>
    <w:rsid w:val="00D368D0"/>
    <w:rsid w:val="00D4051E"/>
    <w:rsid w:val="00D405DA"/>
    <w:rsid w:val="00D40CF6"/>
    <w:rsid w:val="00D41635"/>
    <w:rsid w:val="00D41E9B"/>
    <w:rsid w:val="00D42C04"/>
    <w:rsid w:val="00D43E8D"/>
    <w:rsid w:val="00D468F2"/>
    <w:rsid w:val="00D52DF3"/>
    <w:rsid w:val="00D546C6"/>
    <w:rsid w:val="00D546CA"/>
    <w:rsid w:val="00D60121"/>
    <w:rsid w:val="00D604D9"/>
    <w:rsid w:val="00D611ED"/>
    <w:rsid w:val="00D61519"/>
    <w:rsid w:val="00D62A51"/>
    <w:rsid w:val="00D62C85"/>
    <w:rsid w:val="00D63CBF"/>
    <w:rsid w:val="00D6480B"/>
    <w:rsid w:val="00D655F2"/>
    <w:rsid w:val="00D662A0"/>
    <w:rsid w:val="00D668C7"/>
    <w:rsid w:val="00D6718D"/>
    <w:rsid w:val="00D674E7"/>
    <w:rsid w:val="00D677B8"/>
    <w:rsid w:val="00D67879"/>
    <w:rsid w:val="00D706FC"/>
    <w:rsid w:val="00D70FA6"/>
    <w:rsid w:val="00D713DE"/>
    <w:rsid w:val="00D7277F"/>
    <w:rsid w:val="00D72864"/>
    <w:rsid w:val="00D7312A"/>
    <w:rsid w:val="00D76125"/>
    <w:rsid w:val="00D76365"/>
    <w:rsid w:val="00D806F6"/>
    <w:rsid w:val="00D80E66"/>
    <w:rsid w:val="00D825FC"/>
    <w:rsid w:val="00D82615"/>
    <w:rsid w:val="00D82E68"/>
    <w:rsid w:val="00D8442D"/>
    <w:rsid w:val="00D84FA4"/>
    <w:rsid w:val="00D856B9"/>
    <w:rsid w:val="00D85B35"/>
    <w:rsid w:val="00D86399"/>
    <w:rsid w:val="00D877BD"/>
    <w:rsid w:val="00D87852"/>
    <w:rsid w:val="00D911EE"/>
    <w:rsid w:val="00D9225A"/>
    <w:rsid w:val="00D9403F"/>
    <w:rsid w:val="00D94C0C"/>
    <w:rsid w:val="00D95537"/>
    <w:rsid w:val="00D9588E"/>
    <w:rsid w:val="00D95BF8"/>
    <w:rsid w:val="00D960E0"/>
    <w:rsid w:val="00D96A10"/>
    <w:rsid w:val="00DA0B00"/>
    <w:rsid w:val="00DA3474"/>
    <w:rsid w:val="00DA41C3"/>
    <w:rsid w:val="00DA41EC"/>
    <w:rsid w:val="00DA44A0"/>
    <w:rsid w:val="00DA4853"/>
    <w:rsid w:val="00DA4BAF"/>
    <w:rsid w:val="00DA4C4E"/>
    <w:rsid w:val="00DA4E1F"/>
    <w:rsid w:val="00DA5975"/>
    <w:rsid w:val="00DA649C"/>
    <w:rsid w:val="00DA693A"/>
    <w:rsid w:val="00DA6CDE"/>
    <w:rsid w:val="00DB03A4"/>
    <w:rsid w:val="00DB0865"/>
    <w:rsid w:val="00DB0BB0"/>
    <w:rsid w:val="00DB2443"/>
    <w:rsid w:val="00DB31E3"/>
    <w:rsid w:val="00DB3655"/>
    <w:rsid w:val="00DB424C"/>
    <w:rsid w:val="00DB5CEF"/>
    <w:rsid w:val="00DB6004"/>
    <w:rsid w:val="00DB7203"/>
    <w:rsid w:val="00DC05DF"/>
    <w:rsid w:val="00DC1010"/>
    <w:rsid w:val="00DC1699"/>
    <w:rsid w:val="00DC17DC"/>
    <w:rsid w:val="00DC17E7"/>
    <w:rsid w:val="00DC1A68"/>
    <w:rsid w:val="00DC245D"/>
    <w:rsid w:val="00DC2EB3"/>
    <w:rsid w:val="00DC4622"/>
    <w:rsid w:val="00DC4DE8"/>
    <w:rsid w:val="00DD1F62"/>
    <w:rsid w:val="00DD2282"/>
    <w:rsid w:val="00DD24B4"/>
    <w:rsid w:val="00DD28C0"/>
    <w:rsid w:val="00DD3E1D"/>
    <w:rsid w:val="00DD59E4"/>
    <w:rsid w:val="00DD5F1F"/>
    <w:rsid w:val="00DD61FF"/>
    <w:rsid w:val="00DD69F6"/>
    <w:rsid w:val="00DD6AF9"/>
    <w:rsid w:val="00DE067C"/>
    <w:rsid w:val="00DE0706"/>
    <w:rsid w:val="00DE0770"/>
    <w:rsid w:val="00DE1A1B"/>
    <w:rsid w:val="00DE2338"/>
    <w:rsid w:val="00DE29A4"/>
    <w:rsid w:val="00DE5497"/>
    <w:rsid w:val="00DE6A14"/>
    <w:rsid w:val="00DE700B"/>
    <w:rsid w:val="00DE7295"/>
    <w:rsid w:val="00DE74D4"/>
    <w:rsid w:val="00DF0A63"/>
    <w:rsid w:val="00DF25BA"/>
    <w:rsid w:val="00DF4815"/>
    <w:rsid w:val="00E00351"/>
    <w:rsid w:val="00E015C0"/>
    <w:rsid w:val="00E01E13"/>
    <w:rsid w:val="00E03654"/>
    <w:rsid w:val="00E03B96"/>
    <w:rsid w:val="00E047F7"/>
    <w:rsid w:val="00E05567"/>
    <w:rsid w:val="00E0695D"/>
    <w:rsid w:val="00E073E5"/>
    <w:rsid w:val="00E108CC"/>
    <w:rsid w:val="00E10D70"/>
    <w:rsid w:val="00E10F8B"/>
    <w:rsid w:val="00E113A3"/>
    <w:rsid w:val="00E13B3D"/>
    <w:rsid w:val="00E13F81"/>
    <w:rsid w:val="00E1523D"/>
    <w:rsid w:val="00E154F4"/>
    <w:rsid w:val="00E15A7E"/>
    <w:rsid w:val="00E1662F"/>
    <w:rsid w:val="00E16B65"/>
    <w:rsid w:val="00E17E16"/>
    <w:rsid w:val="00E224AC"/>
    <w:rsid w:val="00E22704"/>
    <w:rsid w:val="00E233AA"/>
    <w:rsid w:val="00E2386F"/>
    <w:rsid w:val="00E23E94"/>
    <w:rsid w:val="00E245F3"/>
    <w:rsid w:val="00E24AD2"/>
    <w:rsid w:val="00E25112"/>
    <w:rsid w:val="00E26566"/>
    <w:rsid w:val="00E27488"/>
    <w:rsid w:val="00E319F5"/>
    <w:rsid w:val="00E31E1F"/>
    <w:rsid w:val="00E331DF"/>
    <w:rsid w:val="00E335EB"/>
    <w:rsid w:val="00E33738"/>
    <w:rsid w:val="00E3446E"/>
    <w:rsid w:val="00E35BA0"/>
    <w:rsid w:val="00E35BD0"/>
    <w:rsid w:val="00E365A7"/>
    <w:rsid w:val="00E40FF0"/>
    <w:rsid w:val="00E4120D"/>
    <w:rsid w:val="00E41466"/>
    <w:rsid w:val="00E4300E"/>
    <w:rsid w:val="00E43301"/>
    <w:rsid w:val="00E43598"/>
    <w:rsid w:val="00E43993"/>
    <w:rsid w:val="00E44210"/>
    <w:rsid w:val="00E44A4C"/>
    <w:rsid w:val="00E45754"/>
    <w:rsid w:val="00E45E0D"/>
    <w:rsid w:val="00E45F77"/>
    <w:rsid w:val="00E463CB"/>
    <w:rsid w:val="00E47319"/>
    <w:rsid w:val="00E47FB1"/>
    <w:rsid w:val="00E5038C"/>
    <w:rsid w:val="00E505EF"/>
    <w:rsid w:val="00E508FF"/>
    <w:rsid w:val="00E51275"/>
    <w:rsid w:val="00E534EC"/>
    <w:rsid w:val="00E55AA8"/>
    <w:rsid w:val="00E55C9B"/>
    <w:rsid w:val="00E562FE"/>
    <w:rsid w:val="00E56428"/>
    <w:rsid w:val="00E5730E"/>
    <w:rsid w:val="00E57506"/>
    <w:rsid w:val="00E57BAD"/>
    <w:rsid w:val="00E57D9C"/>
    <w:rsid w:val="00E60747"/>
    <w:rsid w:val="00E60CDA"/>
    <w:rsid w:val="00E61285"/>
    <w:rsid w:val="00E62C5B"/>
    <w:rsid w:val="00E6316A"/>
    <w:rsid w:val="00E63308"/>
    <w:rsid w:val="00E63906"/>
    <w:rsid w:val="00E643AF"/>
    <w:rsid w:val="00E652A7"/>
    <w:rsid w:val="00E664E2"/>
    <w:rsid w:val="00E66692"/>
    <w:rsid w:val="00E66862"/>
    <w:rsid w:val="00E70075"/>
    <w:rsid w:val="00E7020F"/>
    <w:rsid w:val="00E706B6"/>
    <w:rsid w:val="00E70852"/>
    <w:rsid w:val="00E70D86"/>
    <w:rsid w:val="00E731B1"/>
    <w:rsid w:val="00E735F3"/>
    <w:rsid w:val="00E73D2D"/>
    <w:rsid w:val="00E753CA"/>
    <w:rsid w:val="00E80853"/>
    <w:rsid w:val="00E80ADF"/>
    <w:rsid w:val="00E80C11"/>
    <w:rsid w:val="00E813F2"/>
    <w:rsid w:val="00E81482"/>
    <w:rsid w:val="00E81BBF"/>
    <w:rsid w:val="00E81FF6"/>
    <w:rsid w:val="00E82B4F"/>
    <w:rsid w:val="00E82E17"/>
    <w:rsid w:val="00E8454A"/>
    <w:rsid w:val="00E845ED"/>
    <w:rsid w:val="00E85634"/>
    <w:rsid w:val="00E8601F"/>
    <w:rsid w:val="00E8666D"/>
    <w:rsid w:val="00E8795C"/>
    <w:rsid w:val="00E90962"/>
    <w:rsid w:val="00E90ADB"/>
    <w:rsid w:val="00E914FB"/>
    <w:rsid w:val="00E91F7B"/>
    <w:rsid w:val="00E94B7F"/>
    <w:rsid w:val="00E95653"/>
    <w:rsid w:val="00E95964"/>
    <w:rsid w:val="00E9632C"/>
    <w:rsid w:val="00E9744A"/>
    <w:rsid w:val="00EA0376"/>
    <w:rsid w:val="00EA08DF"/>
    <w:rsid w:val="00EA10F4"/>
    <w:rsid w:val="00EA29D7"/>
    <w:rsid w:val="00EA31CF"/>
    <w:rsid w:val="00EA391C"/>
    <w:rsid w:val="00EA3990"/>
    <w:rsid w:val="00EA3A6A"/>
    <w:rsid w:val="00EA6880"/>
    <w:rsid w:val="00EA6E54"/>
    <w:rsid w:val="00EA6E91"/>
    <w:rsid w:val="00EA726C"/>
    <w:rsid w:val="00EB24DA"/>
    <w:rsid w:val="00EB3929"/>
    <w:rsid w:val="00EB42EC"/>
    <w:rsid w:val="00EB4EA7"/>
    <w:rsid w:val="00EB7264"/>
    <w:rsid w:val="00EB75DA"/>
    <w:rsid w:val="00EB784E"/>
    <w:rsid w:val="00EB7884"/>
    <w:rsid w:val="00EC006C"/>
    <w:rsid w:val="00EC0318"/>
    <w:rsid w:val="00EC03CF"/>
    <w:rsid w:val="00EC04B5"/>
    <w:rsid w:val="00EC0A31"/>
    <w:rsid w:val="00EC1099"/>
    <w:rsid w:val="00EC1374"/>
    <w:rsid w:val="00EC2852"/>
    <w:rsid w:val="00EC30C0"/>
    <w:rsid w:val="00EC43C8"/>
    <w:rsid w:val="00EC47ED"/>
    <w:rsid w:val="00EC507E"/>
    <w:rsid w:val="00EC60D7"/>
    <w:rsid w:val="00EC6DD9"/>
    <w:rsid w:val="00EC7C58"/>
    <w:rsid w:val="00ED024E"/>
    <w:rsid w:val="00ED0A7A"/>
    <w:rsid w:val="00ED17B1"/>
    <w:rsid w:val="00ED1EC6"/>
    <w:rsid w:val="00ED1F44"/>
    <w:rsid w:val="00ED2171"/>
    <w:rsid w:val="00ED2F5A"/>
    <w:rsid w:val="00ED35D5"/>
    <w:rsid w:val="00ED53F9"/>
    <w:rsid w:val="00ED6C22"/>
    <w:rsid w:val="00ED6D6A"/>
    <w:rsid w:val="00ED7934"/>
    <w:rsid w:val="00EE10D7"/>
    <w:rsid w:val="00EE1225"/>
    <w:rsid w:val="00EE1FA3"/>
    <w:rsid w:val="00EE279D"/>
    <w:rsid w:val="00EE4457"/>
    <w:rsid w:val="00EE5F5A"/>
    <w:rsid w:val="00EE701B"/>
    <w:rsid w:val="00EE71E0"/>
    <w:rsid w:val="00EE74F1"/>
    <w:rsid w:val="00EE7CB2"/>
    <w:rsid w:val="00EF2F90"/>
    <w:rsid w:val="00EF3B29"/>
    <w:rsid w:val="00EF3B60"/>
    <w:rsid w:val="00EF40AC"/>
    <w:rsid w:val="00EF45F3"/>
    <w:rsid w:val="00EF4F1E"/>
    <w:rsid w:val="00EF5197"/>
    <w:rsid w:val="00EF51B9"/>
    <w:rsid w:val="00EF72CB"/>
    <w:rsid w:val="00EF7406"/>
    <w:rsid w:val="00F00978"/>
    <w:rsid w:val="00F01227"/>
    <w:rsid w:val="00F01846"/>
    <w:rsid w:val="00F0205F"/>
    <w:rsid w:val="00F02AE1"/>
    <w:rsid w:val="00F03C13"/>
    <w:rsid w:val="00F03D81"/>
    <w:rsid w:val="00F03F67"/>
    <w:rsid w:val="00F04539"/>
    <w:rsid w:val="00F10050"/>
    <w:rsid w:val="00F10574"/>
    <w:rsid w:val="00F108BB"/>
    <w:rsid w:val="00F117BD"/>
    <w:rsid w:val="00F118BD"/>
    <w:rsid w:val="00F11906"/>
    <w:rsid w:val="00F11E3D"/>
    <w:rsid w:val="00F13031"/>
    <w:rsid w:val="00F1317D"/>
    <w:rsid w:val="00F133CC"/>
    <w:rsid w:val="00F13689"/>
    <w:rsid w:val="00F14735"/>
    <w:rsid w:val="00F17BE8"/>
    <w:rsid w:val="00F20673"/>
    <w:rsid w:val="00F20828"/>
    <w:rsid w:val="00F214C1"/>
    <w:rsid w:val="00F21B8B"/>
    <w:rsid w:val="00F22859"/>
    <w:rsid w:val="00F237A2"/>
    <w:rsid w:val="00F2535B"/>
    <w:rsid w:val="00F25FDB"/>
    <w:rsid w:val="00F31474"/>
    <w:rsid w:val="00F318FE"/>
    <w:rsid w:val="00F31B52"/>
    <w:rsid w:val="00F32A4E"/>
    <w:rsid w:val="00F32D8B"/>
    <w:rsid w:val="00F330BA"/>
    <w:rsid w:val="00F3460E"/>
    <w:rsid w:val="00F34802"/>
    <w:rsid w:val="00F350C3"/>
    <w:rsid w:val="00F35F36"/>
    <w:rsid w:val="00F36347"/>
    <w:rsid w:val="00F3792F"/>
    <w:rsid w:val="00F41D0E"/>
    <w:rsid w:val="00F443BD"/>
    <w:rsid w:val="00F503F1"/>
    <w:rsid w:val="00F50C7E"/>
    <w:rsid w:val="00F51407"/>
    <w:rsid w:val="00F51B08"/>
    <w:rsid w:val="00F51D70"/>
    <w:rsid w:val="00F521DD"/>
    <w:rsid w:val="00F52435"/>
    <w:rsid w:val="00F52B01"/>
    <w:rsid w:val="00F53F88"/>
    <w:rsid w:val="00F54750"/>
    <w:rsid w:val="00F55C2E"/>
    <w:rsid w:val="00F579F1"/>
    <w:rsid w:val="00F60295"/>
    <w:rsid w:val="00F60A13"/>
    <w:rsid w:val="00F60B1A"/>
    <w:rsid w:val="00F61EC9"/>
    <w:rsid w:val="00F62B40"/>
    <w:rsid w:val="00F65902"/>
    <w:rsid w:val="00F660DD"/>
    <w:rsid w:val="00F665E5"/>
    <w:rsid w:val="00F67569"/>
    <w:rsid w:val="00F679F1"/>
    <w:rsid w:val="00F67C1A"/>
    <w:rsid w:val="00F67F26"/>
    <w:rsid w:val="00F70528"/>
    <w:rsid w:val="00F70640"/>
    <w:rsid w:val="00F715E4"/>
    <w:rsid w:val="00F74C89"/>
    <w:rsid w:val="00F7559B"/>
    <w:rsid w:val="00F755D6"/>
    <w:rsid w:val="00F7635E"/>
    <w:rsid w:val="00F7643D"/>
    <w:rsid w:val="00F77638"/>
    <w:rsid w:val="00F77D56"/>
    <w:rsid w:val="00F80CC2"/>
    <w:rsid w:val="00F80D6A"/>
    <w:rsid w:val="00F81FCF"/>
    <w:rsid w:val="00F83A96"/>
    <w:rsid w:val="00F83D8E"/>
    <w:rsid w:val="00F8699A"/>
    <w:rsid w:val="00F86E0B"/>
    <w:rsid w:val="00F91FE8"/>
    <w:rsid w:val="00F92880"/>
    <w:rsid w:val="00F940DD"/>
    <w:rsid w:val="00F953C8"/>
    <w:rsid w:val="00F964DA"/>
    <w:rsid w:val="00F969B5"/>
    <w:rsid w:val="00FA03FC"/>
    <w:rsid w:val="00FA04A9"/>
    <w:rsid w:val="00FA1866"/>
    <w:rsid w:val="00FA1B63"/>
    <w:rsid w:val="00FA2FC6"/>
    <w:rsid w:val="00FA327C"/>
    <w:rsid w:val="00FA5C3E"/>
    <w:rsid w:val="00FA65F8"/>
    <w:rsid w:val="00FA6822"/>
    <w:rsid w:val="00FA6CFC"/>
    <w:rsid w:val="00FA6D5B"/>
    <w:rsid w:val="00FA71DD"/>
    <w:rsid w:val="00FA7265"/>
    <w:rsid w:val="00FA7822"/>
    <w:rsid w:val="00FB139C"/>
    <w:rsid w:val="00FB163F"/>
    <w:rsid w:val="00FB184B"/>
    <w:rsid w:val="00FB1BD2"/>
    <w:rsid w:val="00FB2477"/>
    <w:rsid w:val="00FB317C"/>
    <w:rsid w:val="00FB355A"/>
    <w:rsid w:val="00FB3B61"/>
    <w:rsid w:val="00FB40D4"/>
    <w:rsid w:val="00FB6192"/>
    <w:rsid w:val="00FB72ED"/>
    <w:rsid w:val="00FC1555"/>
    <w:rsid w:val="00FC265C"/>
    <w:rsid w:val="00FC2EB8"/>
    <w:rsid w:val="00FC363F"/>
    <w:rsid w:val="00FC3BF1"/>
    <w:rsid w:val="00FC460B"/>
    <w:rsid w:val="00FC5EAB"/>
    <w:rsid w:val="00FC638A"/>
    <w:rsid w:val="00FC6C11"/>
    <w:rsid w:val="00FC6FD9"/>
    <w:rsid w:val="00FC74FE"/>
    <w:rsid w:val="00FC7B15"/>
    <w:rsid w:val="00FD053F"/>
    <w:rsid w:val="00FD0DF1"/>
    <w:rsid w:val="00FD1436"/>
    <w:rsid w:val="00FD170F"/>
    <w:rsid w:val="00FD2936"/>
    <w:rsid w:val="00FD532A"/>
    <w:rsid w:val="00FD5779"/>
    <w:rsid w:val="00FD5CCE"/>
    <w:rsid w:val="00FD7809"/>
    <w:rsid w:val="00FE02D8"/>
    <w:rsid w:val="00FE0338"/>
    <w:rsid w:val="00FE0D8E"/>
    <w:rsid w:val="00FE162F"/>
    <w:rsid w:val="00FE2295"/>
    <w:rsid w:val="00FE355D"/>
    <w:rsid w:val="00FE4451"/>
    <w:rsid w:val="00FE5E4E"/>
    <w:rsid w:val="00FE6328"/>
    <w:rsid w:val="00FE768C"/>
    <w:rsid w:val="00FE7DCA"/>
    <w:rsid w:val="00FF0B71"/>
    <w:rsid w:val="00FF0C7C"/>
    <w:rsid w:val="00FF112B"/>
    <w:rsid w:val="00FF13FD"/>
    <w:rsid w:val="00FF140D"/>
    <w:rsid w:val="00FF1CBE"/>
    <w:rsid w:val="00FF4999"/>
    <w:rsid w:val="00FF4DEE"/>
    <w:rsid w:val="00FF4F5A"/>
    <w:rsid w:val="00FF622D"/>
    <w:rsid w:val="00FF6467"/>
    <w:rsid w:val="00FF66E5"/>
    <w:rsid w:val="00FF77AD"/>
    <w:rsid w:val="00FF796E"/>
    <w:rsid w:val="00FF7CE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C318F3"/>
  <w15:docId w15:val="{35626140-F51D-4B5C-A29B-7DAD7FBD3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4D0D"/>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A95BAD"/>
    <w:pPr>
      <w:keepNext/>
      <w:keepLines/>
      <w:spacing w:before="240" w:after="240"/>
      <w:outlineLvl w:val="0"/>
    </w:pPr>
    <w:rPr>
      <w:rFonts w:asciiTheme="majorHAnsi" w:eastAsiaTheme="majorEastAsia" w:hAnsiTheme="majorHAnsi" w:cstheme="majorBidi"/>
      <w:b/>
      <w:bCs/>
      <w:caps/>
      <w:sz w:val="28"/>
      <w:szCs w:val="28"/>
    </w:rPr>
  </w:style>
  <w:style w:type="paragraph" w:styleId="Balk2">
    <w:name w:val="heading 2"/>
    <w:basedOn w:val="Normal"/>
    <w:next w:val="Normal"/>
    <w:link w:val="Balk2Char"/>
    <w:uiPriority w:val="9"/>
    <w:unhideWhenUsed/>
    <w:qFormat/>
    <w:rsid w:val="00A95BAD"/>
    <w:pPr>
      <w:keepNext/>
      <w:keepLines/>
      <w:spacing w:before="240"/>
      <w:outlineLvl w:val="1"/>
    </w:pPr>
    <w:rPr>
      <w:rFonts w:eastAsiaTheme="majorEastAsia" w:cstheme="majorBidi"/>
      <w:b/>
      <w:szCs w:val="26"/>
      <w:lang w:eastAsia="en-US"/>
    </w:rPr>
  </w:style>
  <w:style w:type="paragraph" w:styleId="Balk3">
    <w:name w:val="heading 3"/>
    <w:basedOn w:val="Normal"/>
    <w:next w:val="Normal"/>
    <w:link w:val="Balk3Char"/>
    <w:uiPriority w:val="9"/>
    <w:unhideWhenUsed/>
    <w:qFormat/>
    <w:rsid w:val="006C5017"/>
    <w:pPr>
      <w:keepNext/>
      <w:keepLines/>
      <w:spacing w:before="200"/>
      <w:outlineLvl w:val="2"/>
    </w:pPr>
    <w:rPr>
      <w:rFonts w:asciiTheme="majorHAnsi" w:eastAsiaTheme="majorEastAsia" w:hAnsiTheme="majorHAnsi" w:cstheme="majorBidi"/>
      <w:b/>
      <w:bCs/>
      <w:color w:val="5B9BD5" w:themeColor="accent1"/>
    </w:rPr>
  </w:style>
  <w:style w:type="paragraph" w:styleId="Balk4">
    <w:name w:val="heading 4"/>
    <w:basedOn w:val="Normal"/>
    <w:next w:val="Normal"/>
    <w:link w:val="Balk4Char"/>
    <w:qFormat/>
    <w:rsid w:val="009053B4"/>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Cs w:val="20"/>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rsid w:val="009053B4"/>
    <w:rPr>
      <w:rFonts w:ascii="Garamond" w:eastAsia="Times New Roman" w:hAnsi="Garamond" w:cs="Times New Roman"/>
      <w:b/>
      <w:sz w:val="24"/>
      <w:szCs w:val="20"/>
    </w:rPr>
  </w:style>
  <w:style w:type="paragraph" w:styleId="NormalWeb">
    <w:name w:val="Normal (Web)"/>
    <w:basedOn w:val="Normal"/>
    <w:uiPriority w:val="99"/>
    <w:rsid w:val="009053B4"/>
    <w:pPr>
      <w:spacing w:before="100" w:beforeAutospacing="1" w:after="100" w:afterAutospacing="1"/>
    </w:pPr>
    <w:rPr>
      <w:rFonts w:ascii="Arial Unicode MS" w:eastAsia="Arial Unicode MS" w:hAnsi="Arial Unicode MS" w:cs="Arial Unicode MS"/>
      <w:lang w:val="en-US" w:eastAsia="en-US"/>
    </w:rPr>
  </w:style>
  <w:style w:type="paragraph" w:styleId="GvdeMetniGirintisi">
    <w:name w:val="Body Text Indent"/>
    <w:basedOn w:val="Normal"/>
    <w:link w:val="GvdeMetniGirintisiChar"/>
    <w:rsid w:val="009053B4"/>
    <w:pPr>
      <w:ind w:left="1800" w:hanging="360"/>
    </w:pPr>
  </w:style>
  <w:style w:type="character" w:customStyle="1" w:styleId="GvdeMetniGirintisiChar">
    <w:name w:val="Gövde Metni Girintisi Char"/>
    <w:basedOn w:val="VarsaylanParagrafYazTipi"/>
    <w:link w:val="GvdeMetniGirintisi"/>
    <w:semiHidden/>
    <w:rsid w:val="009053B4"/>
    <w:rPr>
      <w:rFonts w:ascii="Times New Roman" w:eastAsia="Times New Roman" w:hAnsi="Times New Roman" w:cs="Times New Roman"/>
      <w:sz w:val="24"/>
      <w:szCs w:val="24"/>
    </w:rPr>
  </w:style>
  <w:style w:type="paragraph" w:styleId="GvdeMetniGirintisi2">
    <w:name w:val="Body Text Indent 2"/>
    <w:basedOn w:val="Normal"/>
    <w:link w:val="GvdeMetniGirintisi2Char"/>
    <w:rsid w:val="009053B4"/>
    <w:pPr>
      <w:ind w:left="360"/>
      <w:jc w:val="both"/>
    </w:pPr>
    <w:rPr>
      <w:lang w:eastAsia="en-US"/>
    </w:rPr>
  </w:style>
  <w:style w:type="character" w:customStyle="1" w:styleId="GvdeMetniGirintisi2Char">
    <w:name w:val="Gövde Metni Girintisi 2 Char"/>
    <w:basedOn w:val="VarsaylanParagrafYazTipi"/>
    <w:link w:val="GvdeMetniGirintisi2"/>
    <w:rsid w:val="009053B4"/>
    <w:rPr>
      <w:rFonts w:ascii="Times New Roman" w:eastAsia="Times New Roman" w:hAnsi="Times New Roman" w:cs="Times New Roman"/>
      <w:sz w:val="24"/>
      <w:szCs w:val="24"/>
    </w:rPr>
  </w:style>
  <w:style w:type="paragraph" w:styleId="GvdeMetniGirintisi3">
    <w:name w:val="Body Text Indent 3"/>
    <w:basedOn w:val="Normal"/>
    <w:link w:val="GvdeMetniGirintisi3Char"/>
    <w:semiHidden/>
    <w:rsid w:val="009053B4"/>
    <w:pPr>
      <w:ind w:left="360" w:firstLine="360"/>
      <w:jc w:val="both"/>
    </w:pPr>
    <w:rPr>
      <w:lang w:eastAsia="en-US"/>
    </w:rPr>
  </w:style>
  <w:style w:type="character" w:customStyle="1" w:styleId="GvdeMetniGirintisi3Char">
    <w:name w:val="Gövde Metni Girintisi 3 Char"/>
    <w:basedOn w:val="VarsaylanParagrafYazTipi"/>
    <w:link w:val="GvdeMetniGirintisi3"/>
    <w:semiHidden/>
    <w:rsid w:val="009053B4"/>
    <w:rPr>
      <w:rFonts w:ascii="Times New Roman" w:eastAsia="Times New Roman" w:hAnsi="Times New Roman" w:cs="Times New Roman"/>
      <w:sz w:val="24"/>
      <w:szCs w:val="24"/>
    </w:rPr>
  </w:style>
  <w:style w:type="paragraph" w:styleId="GvdeMetni">
    <w:name w:val="Body Text"/>
    <w:basedOn w:val="Normal"/>
    <w:link w:val="GvdeMetniChar"/>
    <w:rsid w:val="009053B4"/>
    <w:pPr>
      <w:shd w:val="clear" w:color="auto" w:fill="FFFFFF"/>
      <w:jc w:val="both"/>
    </w:pPr>
    <w:rPr>
      <w:color w:val="FF0000"/>
      <w:lang w:eastAsia="en-US"/>
    </w:rPr>
  </w:style>
  <w:style w:type="character" w:customStyle="1" w:styleId="GvdeMetniChar">
    <w:name w:val="Gövde Metni Char"/>
    <w:basedOn w:val="VarsaylanParagrafYazTipi"/>
    <w:link w:val="GvdeMetni"/>
    <w:semiHidden/>
    <w:rsid w:val="009053B4"/>
    <w:rPr>
      <w:rFonts w:ascii="Times New Roman" w:eastAsia="Times New Roman" w:hAnsi="Times New Roman" w:cs="Times New Roman"/>
      <w:color w:val="FF0000"/>
      <w:sz w:val="24"/>
      <w:szCs w:val="24"/>
      <w:shd w:val="clear" w:color="auto" w:fill="FFFFFF"/>
    </w:rPr>
  </w:style>
  <w:style w:type="paragraph" w:styleId="GvdeMetni2">
    <w:name w:val="Body Text 2"/>
    <w:basedOn w:val="Normal"/>
    <w:link w:val="GvdeMetni2Char"/>
    <w:rsid w:val="009053B4"/>
    <w:pPr>
      <w:spacing w:after="120" w:line="480" w:lineRule="auto"/>
    </w:pPr>
    <w:rPr>
      <w:lang w:val="x-none" w:eastAsia="en-US"/>
    </w:rPr>
  </w:style>
  <w:style w:type="character" w:customStyle="1" w:styleId="GvdeMetni2Char">
    <w:name w:val="Gövde Metni 2 Char"/>
    <w:basedOn w:val="VarsaylanParagrafYazTipi"/>
    <w:link w:val="GvdeMetni2"/>
    <w:rsid w:val="009053B4"/>
    <w:rPr>
      <w:rFonts w:ascii="Times New Roman" w:eastAsia="Times New Roman" w:hAnsi="Times New Roman" w:cs="Times New Roman"/>
      <w:sz w:val="24"/>
      <w:szCs w:val="24"/>
      <w:lang w:val="x-none"/>
    </w:rPr>
  </w:style>
  <w:style w:type="paragraph" w:customStyle="1" w:styleId="Default">
    <w:name w:val="Default"/>
    <w:rsid w:val="009053B4"/>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styleId="ListeParagraf">
    <w:name w:val="List Paragraph"/>
    <w:basedOn w:val="Normal"/>
    <w:uiPriority w:val="34"/>
    <w:qFormat/>
    <w:rsid w:val="009053B4"/>
    <w:pPr>
      <w:ind w:left="708"/>
    </w:pPr>
    <w:rPr>
      <w:lang w:eastAsia="en-US"/>
    </w:rPr>
  </w:style>
  <w:style w:type="paragraph" w:styleId="KonuBal">
    <w:name w:val="Title"/>
    <w:basedOn w:val="Normal"/>
    <w:link w:val="KonuBalChar"/>
    <w:qFormat/>
    <w:rsid w:val="009053B4"/>
    <w:pPr>
      <w:spacing w:line="240" w:lineRule="atLeast"/>
      <w:jc w:val="center"/>
    </w:pPr>
    <w:rPr>
      <w:b/>
      <w:sz w:val="32"/>
      <w:szCs w:val="20"/>
      <w:lang w:val="en-AU" w:eastAsia="x-none"/>
    </w:rPr>
  </w:style>
  <w:style w:type="character" w:customStyle="1" w:styleId="KonuBalChar">
    <w:name w:val="Konu Başlığı Char"/>
    <w:basedOn w:val="VarsaylanParagrafYazTipi"/>
    <w:link w:val="KonuBal"/>
    <w:rsid w:val="009053B4"/>
    <w:rPr>
      <w:rFonts w:ascii="Times New Roman" w:eastAsia="Times New Roman" w:hAnsi="Times New Roman" w:cs="Times New Roman"/>
      <w:b/>
      <w:sz w:val="32"/>
      <w:szCs w:val="20"/>
      <w:lang w:val="en-AU" w:eastAsia="x-none"/>
    </w:rPr>
  </w:style>
  <w:style w:type="character" w:customStyle="1" w:styleId="apple-converted-space">
    <w:name w:val="apple-converted-space"/>
    <w:rsid w:val="009053B4"/>
  </w:style>
  <w:style w:type="paragraph" w:styleId="BalonMetni">
    <w:name w:val="Balloon Text"/>
    <w:basedOn w:val="Normal"/>
    <w:link w:val="BalonMetniChar"/>
    <w:uiPriority w:val="99"/>
    <w:semiHidden/>
    <w:unhideWhenUsed/>
    <w:rsid w:val="009429E5"/>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429E5"/>
    <w:rPr>
      <w:rFonts w:ascii="Segoe UI" w:eastAsia="Times New Roman" w:hAnsi="Segoe UI" w:cs="Segoe UI"/>
      <w:sz w:val="18"/>
      <w:szCs w:val="18"/>
    </w:rPr>
  </w:style>
  <w:style w:type="paragraph" w:styleId="DipnotMetni">
    <w:name w:val="footnote text"/>
    <w:basedOn w:val="Normal"/>
    <w:link w:val="DipnotMetniChar"/>
    <w:rsid w:val="00C37C0A"/>
    <w:rPr>
      <w:sz w:val="20"/>
      <w:szCs w:val="20"/>
    </w:rPr>
  </w:style>
  <w:style w:type="character" w:customStyle="1" w:styleId="DipnotMetniChar">
    <w:name w:val="Dipnot Metni Char"/>
    <w:basedOn w:val="VarsaylanParagrafYazTipi"/>
    <w:link w:val="DipnotMetni"/>
    <w:rsid w:val="00C37C0A"/>
    <w:rPr>
      <w:rFonts w:ascii="Times New Roman" w:eastAsia="Times New Roman" w:hAnsi="Times New Roman" w:cs="Times New Roman"/>
      <w:sz w:val="20"/>
      <w:szCs w:val="20"/>
      <w:lang w:eastAsia="tr-TR"/>
    </w:rPr>
  </w:style>
  <w:style w:type="character" w:styleId="DipnotBavurusu">
    <w:name w:val="footnote reference"/>
    <w:rsid w:val="00C37C0A"/>
    <w:rPr>
      <w:vertAlign w:val="superscript"/>
    </w:rPr>
  </w:style>
  <w:style w:type="character" w:styleId="AklamaBavurusu">
    <w:name w:val="annotation reference"/>
    <w:basedOn w:val="VarsaylanParagrafYazTipi"/>
    <w:uiPriority w:val="99"/>
    <w:semiHidden/>
    <w:unhideWhenUsed/>
    <w:rsid w:val="00E26566"/>
    <w:rPr>
      <w:sz w:val="16"/>
      <w:szCs w:val="16"/>
    </w:rPr>
  </w:style>
  <w:style w:type="paragraph" w:styleId="AklamaMetni">
    <w:name w:val="annotation text"/>
    <w:basedOn w:val="Normal"/>
    <w:link w:val="AklamaMetniChar"/>
    <w:uiPriority w:val="99"/>
    <w:semiHidden/>
    <w:unhideWhenUsed/>
    <w:rsid w:val="00E26566"/>
    <w:rPr>
      <w:sz w:val="20"/>
      <w:szCs w:val="20"/>
    </w:rPr>
  </w:style>
  <w:style w:type="character" w:customStyle="1" w:styleId="AklamaMetniChar">
    <w:name w:val="Açıklama Metni Char"/>
    <w:basedOn w:val="VarsaylanParagrafYazTipi"/>
    <w:link w:val="AklamaMetni"/>
    <w:uiPriority w:val="99"/>
    <w:semiHidden/>
    <w:rsid w:val="00E26566"/>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E26566"/>
    <w:rPr>
      <w:b/>
      <w:bCs/>
    </w:rPr>
  </w:style>
  <w:style w:type="character" w:customStyle="1" w:styleId="AklamaKonusuChar">
    <w:name w:val="Açıklama Konusu Char"/>
    <w:basedOn w:val="AklamaMetniChar"/>
    <w:link w:val="AklamaKonusu"/>
    <w:uiPriority w:val="99"/>
    <w:semiHidden/>
    <w:rsid w:val="00E26566"/>
    <w:rPr>
      <w:rFonts w:ascii="Times New Roman" w:eastAsia="Times New Roman" w:hAnsi="Times New Roman" w:cs="Times New Roman"/>
      <w:b/>
      <w:bCs/>
      <w:sz w:val="20"/>
      <w:szCs w:val="20"/>
    </w:rPr>
  </w:style>
  <w:style w:type="paragraph" w:styleId="stBilgi">
    <w:name w:val="header"/>
    <w:basedOn w:val="Normal"/>
    <w:link w:val="stBilgiChar"/>
    <w:uiPriority w:val="99"/>
    <w:unhideWhenUsed/>
    <w:rsid w:val="00E22704"/>
    <w:pPr>
      <w:tabs>
        <w:tab w:val="center" w:pos="4536"/>
        <w:tab w:val="right" w:pos="9072"/>
      </w:tabs>
    </w:pPr>
    <w:rPr>
      <w:lang w:eastAsia="en-US"/>
    </w:rPr>
  </w:style>
  <w:style w:type="character" w:customStyle="1" w:styleId="stBilgiChar">
    <w:name w:val="Üst Bilgi Char"/>
    <w:basedOn w:val="VarsaylanParagrafYazTipi"/>
    <w:link w:val="stBilgi"/>
    <w:uiPriority w:val="99"/>
    <w:rsid w:val="00E22704"/>
    <w:rPr>
      <w:rFonts w:ascii="Times New Roman" w:eastAsia="Times New Roman" w:hAnsi="Times New Roman" w:cs="Times New Roman"/>
      <w:sz w:val="24"/>
      <w:szCs w:val="24"/>
    </w:rPr>
  </w:style>
  <w:style w:type="paragraph" w:styleId="AltBilgi">
    <w:name w:val="footer"/>
    <w:basedOn w:val="Normal"/>
    <w:link w:val="AltBilgiChar"/>
    <w:uiPriority w:val="99"/>
    <w:unhideWhenUsed/>
    <w:rsid w:val="00E22704"/>
    <w:pPr>
      <w:tabs>
        <w:tab w:val="center" w:pos="4536"/>
        <w:tab w:val="right" w:pos="9072"/>
      </w:tabs>
    </w:pPr>
    <w:rPr>
      <w:lang w:eastAsia="en-US"/>
    </w:rPr>
  </w:style>
  <w:style w:type="character" w:customStyle="1" w:styleId="AltBilgiChar">
    <w:name w:val="Alt Bilgi Char"/>
    <w:basedOn w:val="VarsaylanParagrafYazTipi"/>
    <w:link w:val="AltBilgi"/>
    <w:uiPriority w:val="99"/>
    <w:rsid w:val="00E22704"/>
    <w:rPr>
      <w:rFonts w:ascii="Times New Roman" w:eastAsia="Times New Roman" w:hAnsi="Times New Roman" w:cs="Times New Roman"/>
      <w:sz w:val="24"/>
      <w:szCs w:val="24"/>
    </w:rPr>
  </w:style>
  <w:style w:type="character" w:customStyle="1" w:styleId="Balk2Char">
    <w:name w:val="Başlık 2 Char"/>
    <w:basedOn w:val="VarsaylanParagrafYazTipi"/>
    <w:link w:val="Balk2"/>
    <w:uiPriority w:val="9"/>
    <w:rsid w:val="00A95BAD"/>
    <w:rPr>
      <w:rFonts w:ascii="Times New Roman" w:eastAsiaTheme="majorEastAsia" w:hAnsi="Times New Roman" w:cstheme="majorBidi"/>
      <w:b/>
      <w:sz w:val="24"/>
      <w:szCs w:val="26"/>
    </w:rPr>
  </w:style>
  <w:style w:type="table" w:styleId="TabloKlavuzu">
    <w:name w:val="Table Grid"/>
    <w:basedOn w:val="NormalTablo"/>
    <w:uiPriority w:val="39"/>
    <w:rsid w:val="009412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A95BAD"/>
    <w:rPr>
      <w:rFonts w:asciiTheme="majorHAnsi" w:eastAsiaTheme="majorEastAsia" w:hAnsiTheme="majorHAnsi" w:cstheme="majorBidi"/>
      <w:b/>
      <w:bCs/>
      <w:caps/>
      <w:sz w:val="28"/>
      <w:szCs w:val="28"/>
      <w:lang w:eastAsia="tr-TR"/>
    </w:rPr>
  </w:style>
  <w:style w:type="character" w:customStyle="1" w:styleId="Balk3Char">
    <w:name w:val="Başlık 3 Char"/>
    <w:basedOn w:val="VarsaylanParagrafYazTipi"/>
    <w:link w:val="Balk3"/>
    <w:uiPriority w:val="9"/>
    <w:rsid w:val="006C5017"/>
    <w:rPr>
      <w:rFonts w:asciiTheme="majorHAnsi" w:eastAsiaTheme="majorEastAsia" w:hAnsiTheme="majorHAnsi" w:cstheme="majorBidi"/>
      <w:b/>
      <w:bCs/>
      <w:color w:val="5B9BD5" w:themeColor="accent1"/>
      <w:sz w:val="24"/>
      <w:szCs w:val="24"/>
      <w:lang w:eastAsia="tr-TR"/>
    </w:rPr>
  </w:style>
  <w:style w:type="paragraph" w:styleId="TBal">
    <w:name w:val="TOC Heading"/>
    <w:basedOn w:val="Balk1"/>
    <w:next w:val="Normal"/>
    <w:uiPriority w:val="39"/>
    <w:unhideWhenUsed/>
    <w:qFormat/>
    <w:rsid w:val="00136E8B"/>
    <w:pPr>
      <w:spacing w:line="276" w:lineRule="auto"/>
      <w:outlineLvl w:val="9"/>
    </w:pPr>
  </w:style>
  <w:style w:type="paragraph" w:styleId="T1">
    <w:name w:val="toc 1"/>
    <w:basedOn w:val="Normal"/>
    <w:next w:val="Normal"/>
    <w:autoRedefine/>
    <w:uiPriority w:val="39"/>
    <w:unhideWhenUsed/>
    <w:rsid w:val="003D5FA7"/>
    <w:pPr>
      <w:spacing w:after="100"/>
    </w:pPr>
    <w:rPr>
      <w:b/>
    </w:rPr>
  </w:style>
  <w:style w:type="paragraph" w:styleId="T2">
    <w:name w:val="toc 2"/>
    <w:basedOn w:val="Normal"/>
    <w:next w:val="Normal"/>
    <w:autoRedefine/>
    <w:uiPriority w:val="39"/>
    <w:unhideWhenUsed/>
    <w:rsid w:val="00136E8B"/>
    <w:pPr>
      <w:spacing w:after="100"/>
      <w:ind w:left="240"/>
    </w:pPr>
  </w:style>
  <w:style w:type="paragraph" w:styleId="T3">
    <w:name w:val="toc 3"/>
    <w:basedOn w:val="Normal"/>
    <w:next w:val="Normal"/>
    <w:autoRedefine/>
    <w:uiPriority w:val="39"/>
    <w:unhideWhenUsed/>
    <w:rsid w:val="00536E9E"/>
    <w:pPr>
      <w:tabs>
        <w:tab w:val="right" w:leader="dot" w:pos="9062"/>
      </w:tabs>
      <w:spacing w:after="100"/>
      <w:ind w:left="480"/>
    </w:pPr>
    <w:rPr>
      <w:bCs/>
      <w:noProof/>
      <w:sz w:val="22"/>
      <w:szCs w:val="22"/>
    </w:rPr>
  </w:style>
  <w:style w:type="character" w:styleId="Kpr">
    <w:name w:val="Hyperlink"/>
    <w:basedOn w:val="VarsaylanParagrafYazTipi"/>
    <w:uiPriority w:val="99"/>
    <w:unhideWhenUsed/>
    <w:rsid w:val="00136E8B"/>
    <w:rPr>
      <w:color w:val="0563C1" w:themeColor="hyperlink"/>
      <w:u w:val="single"/>
    </w:rPr>
  </w:style>
  <w:style w:type="paragraph" w:customStyle="1" w:styleId="1">
    <w:name w:val="1"/>
    <w:basedOn w:val="Normal"/>
    <w:next w:val="AltBilgi"/>
    <w:link w:val="AltbilgiChar0"/>
    <w:uiPriority w:val="99"/>
    <w:rsid w:val="00242786"/>
    <w:pPr>
      <w:tabs>
        <w:tab w:val="center" w:pos="4536"/>
        <w:tab w:val="right" w:pos="9072"/>
      </w:tabs>
    </w:pPr>
    <w:rPr>
      <w:rFonts w:asciiTheme="minorHAnsi" w:eastAsiaTheme="minorHAnsi" w:hAnsiTheme="minorHAnsi" w:cstheme="minorBidi"/>
      <w:sz w:val="22"/>
      <w:szCs w:val="22"/>
      <w:lang w:eastAsia="en-US"/>
    </w:rPr>
  </w:style>
  <w:style w:type="character" w:customStyle="1" w:styleId="AltbilgiChar0">
    <w:name w:val="Altbilgi Char"/>
    <w:link w:val="1"/>
    <w:uiPriority w:val="99"/>
    <w:rsid w:val="00242786"/>
    <w:rPr>
      <w:lang w:eastAsia="en-US"/>
    </w:rPr>
  </w:style>
  <w:style w:type="paragraph" w:styleId="ResimYazs">
    <w:name w:val="caption"/>
    <w:basedOn w:val="Normal"/>
    <w:next w:val="Normal"/>
    <w:uiPriority w:val="35"/>
    <w:unhideWhenUsed/>
    <w:qFormat/>
    <w:rsid w:val="00B52B93"/>
    <w:rPr>
      <w:b/>
      <w:bCs/>
      <w:sz w:val="20"/>
      <w:szCs w:val="20"/>
    </w:rPr>
  </w:style>
  <w:style w:type="paragraph" w:styleId="ekillerTablosu">
    <w:name w:val="table of figures"/>
    <w:basedOn w:val="Normal"/>
    <w:next w:val="Normal"/>
    <w:uiPriority w:val="99"/>
    <w:unhideWhenUsed/>
    <w:rsid w:val="00C564E8"/>
  </w:style>
  <w:style w:type="character" w:customStyle="1" w:styleId="spelle">
    <w:name w:val="spelle"/>
    <w:rsid w:val="00665487"/>
  </w:style>
  <w:style w:type="character" w:customStyle="1" w:styleId="spangtip">
    <w:name w:val="spangtip"/>
    <w:rsid w:val="00581F60"/>
  </w:style>
  <w:style w:type="character" w:styleId="zlenenKpr">
    <w:name w:val="FollowedHyperlink"/>
    <w:basedOn w:val="VarsaylanParagrafYazTipi"/>
    <w:uiPriority w:val="99"/>
    <w:semiHidden/>
    <w:unhideWhenUsed/>
    <w:rsid w:val="00885ADF"/>
    <w:rPr>
      <w:color w:val="954F72" w:themeColor="followedHyperlink"/>
      <w:u w:val="single"/>
    </w:rPr>
  </w:style>
  <w:style w:type="paragraph" w:customStyle="1" w:styleId="metin">
    <w:name w:val="metin"/>
    <w:basedOn w:val="Normal"/>
    <w:rsid w:val="00536E9E"/>
    <w:pPr>
      <w:spacing w:before="100" w:beforeAutospacing="1" w:after="100" w:afterAutospacing="1"/>
    </w:pPr>
  </w:style>
  <w:style w:type="character" w:customStyle="1" w:styleId="zmlenmeyenBahsetme1">
    <w:name w:val="Çözümlenmeyen Bahsetme1"/>
    <w:basedOn w:val="VarsaylanParagrafYazTipi"/>
    <w:uiPriority w:val="99"/>
    <w:semiHidden/>
    <w:unhideWhenUsed/>
    <w:rsid w:val="00490F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981133">
      <w:bodyDiv w:val="1"/>
      <w:marLeft w:val="0"/>
      <w:marRight w:val="0"/>
      <w:marTop w:val="0"/>
      <w:marBottom w:val="0"/>
      <w:divBdr>
        <w:top w:val="none" w:sz="0" w:space="0" w:color="auto"/>
        <w:left w:val="none" w:sz="0" w:space="0" w:color="auto"/>
        <w:bottom w:val="none" w:sz="0" w:space="0" w:color="auto"/>
        <w:right w:val="none" w:sz="0" w:space="0" w:color="auto"/>
      </w:divBdr>
    </w:div>
    <w:div w:id="131556787">
      <w:bodyDiv w:val="1"/>
      <w:marLeft w:val="0"/>
      <w:marRight w:val="0"/>
      <w:marTop w:val="0"/>
      <w:marBottom w:val="0"/>
      <w:divBdr>
        <w:top w:val="none" w:sz="0" w:space="0" w:color="auto"/>
        <w:left w:val="none" w:sz="0" w:space="0" w:color="auto"/>
        <w:bottom w:val="none" w:sz="0" w:space="0" w:color="auto"/>
        <w:right w:val="none" w:sz="0" w:space="0" w:color="auto"/>
      </w:divBdr>
    </w:div>
    <w:div w:id="156314548">
      <w:bodyDiv w:val="1"/>
      <w:marLeft w:val="0"/>
      <w:marRight w:val="0"/>
      <w:marTop w:val="0"/>
      <w:marBottom w:val="0"/>
      <w:divBdr>
        <w:top w:val="none" w:sz="0" w:space="0" w:color="auto"/>
        <w:left w:val="none" w:sz="0" w:space="0" w:color="auto"/>
        <w:bottom w:val="none" w:sz="0" w:space="0" w:color="auto"/>
        <w:right w:val="none" w:sz="0" w:space="0" w:color="auto"/>
      </w:divBdr>
    </w:div>
    <w:div w:id="171409101">
      <w:bodyDiv w:val="1"/>
      <w:marLeft w:val="0"/>
      <w:marRight w:val="0"/>
      <w:marTop w:val="0"/>
      <w:marBottom w:val="0"/>
      <w:divBdr>
        <w:top w:val="none" w:sz="0" w:space="0" w:color="auto"/>
        <w:left w:val="none" w:sz="0" w:space="0" w:color="auto"/>
        <w:bottom w:val="none" w:sz="0" w:space="0" w:color="auto"/>
        <w:right w:val="none" w:sz="0" w:space="0" w:color="auto"/>
      </w:divBdr>
    </w:div>
    <w:div w:id="329993335">
      <w:bodyDiv w:val="1"/>
      <w:marLeft w:val="0"/>
      <w:marRight w:val="0"/>
      <w:marTop w:val="0"/>
      <w:marBottom w:val="0"/>
      <w:divBdr>
        <w:top w:val="none" w:sz="0" w:space="0" w:color="auto"/>
        <w:left w:val="none" w:sz="0" w:space="0" w:color="auto"/>
        <w:bottom w:val="none" w:sz="0" w:space="0" w:color="auto"/>
        <w:right w:val="none" w:sz="0" w:space="0" w:color="auto"/>
      </w:divBdr>
    </w:div>
    <w:div w:id="349307239">
      <w:bodyDiv w:val="1"/>
      <w:marLeft w:val="0"/>
      <w:marRight w:val="0"/>
      <w:marTop w:val="0"/>
      <w:marBottom w:val="0"/>
      <w:divBdr>
        <w:top w:val="none" w:sz="0" w:space="0" w:color="auto"/>
        <w:left w:val="none" w:sz="0" w:space="0" w:color="auto"/>
        <w:bottom w:val="none" w:sz="0" w:space="0" w:color="auto"/>
        <w:right w:val="none" w:sz="0" w:space="0" w:color="auto"/>
      </w:divBdr>
    </w:div>
    <w:div w:id="416639142">
      <w:bodyDiv w:val="1"/>
      <w:marLeft w:val="0"/>
      <w:marRight w:val="0"/>
      <w:marTop w:val="0"/>
      <w:marBottom w:val="0"/>
      <w:divBdr>
        <w:top w:val="none" w:sz="0" w:space="0" w:color="auto"/>
        <w:left w:val="none" w:sz="0" w:space="0" w:color="auto"/>
        <w:bottom w:val="none" w:sz="0" w:space="0" w:color="auto"/>
        <w:right w:val="none" w:sz="0" w:space="0" w:color="auto"/>
      </w:divBdr>
    </w:div>
    <w:div w:id="458652532">
      <w:bodyDiv w:val="1"/>
      <w:marLeft w:val="0"/>
      <w:marRight w:val="0"/>
      <w:marTop w:val="0"/>
      <w:marBottom w:val="0"/>
      <w:divBdr>
        <w:top w:val="none" w:sz="0" w:space="0" w:color="auto"/>
        <w:left w:val="none" w:sz="0" w:space="0" w:color="auto"/>
        <w:bottom w:val="none" w:sz="0" w:space="0" w:color="auto"/>
        <w:right w:val="none" w:sz="0" w:space="0" w:color="auto"/>
      </w:divBdr>
    </w:div>
    <w:div w:id="459302777">
      <w:bodyDiv w:val="1"/>
      <w:marLeft w:val="0"/>
      <w:marRight w:val="0"/>
      <w:marTop w:val="0"/>
      <w:marBottom w:val="0"/>
      <w:divBdr>
        <w:top w:val="none" w:sz="0" w:space="0" w:color="auto"/>
        <w:left w:val="none" w:sz="0" w:space="0" w:color="auto"/>
        <w:bottom w:val="none" w:sz="0" w:space="0" w:color="auto"/>
        <w:right w:val="none" w:sz="0" w:space="0" w:color="auto"/>
      </w:divBdr>
    </w:div>
    <w:div w:id="459306921">
      <w:bodyDiv w:val="1"/>
      <w:marLeft w:val="0"/>
      <w:marRight w:val="0"/>
      <w:marTop w:val="0"/>
      <w:marBottom w:val="0"/>
      <w:divBdr>
        <w:top w:val="none" w:sz="0" w:space="0" w:color="auto"/>
        <w:left w:val="none" w:sz="0" w:space="0" w:color="auto"/>
        <w:bottom w:val="none" w:sz="0" w:space="0" w:color="auto"/>
        <w:right w:val="none" w:sz="0" w:space="0" w:color="auto"/>
      </w:divBdr>
    </w:div>
    <w:div w:id="470370885">
      <w:bodyDiv w:val="1"/>
      <w:marLeft w:val="0"/>
      <w:marRight w:val="0"/>
      <w:marTop w:val="0"/>
      <w:marBottom w:val="0"/>
      <w:divBdr>
        <w:top w:val="none" w:sz="0" w:space="0" w:color="auto"/>
        <w:left w:val="none" w:sz="0" w:space="0" w:color="auto"/>
        <w:bottom w:val="none" w:sz="0" w:space="0" w:color="auto"/>
        <w:right w:val="none" w:sz="0" w:space="0" w:color="auto"/>
      </w:divBdr>
    </w:div>
    <w:div w:id="483425524">
      <w:bodyDiv w:val="1"/>
      <w:marLeft w:val="0"/>
      <w:marRight w:val="0"/>
      <w:marTop w:val="0"/>
      <w:marBottom w:val="0"/>
      <w:divBdr>
        <w:top w:val="none" w:sz="0" w:space="0" w:color="auto"/>
        <w:left w:val="none" w:sz="0" w:space="0" w:color="auto"/>
        <w:bottom w:val="none" w:sz="0" w:space="0" w:color="auto"/>
        <w:right w:val="none" w:sz="0" w:space="0" w:color="auto"/>
      </w:divBdr>
    </w:div>
    <w:div w:id="501700763">
      <w:bodyDiv w:val="1"/>
      <w:marLeft w:val="0"/>
      <w:marRight w:val="0"/>
      <w:marTop w:val="0"/>
      <w:marBottom w:val="0"/>
      <w:divBdr>
        <w:top w:val="none" w:sz="0" w:space="0" w:color="auto"/>
        <w:left w:val="none" w:sz="0" w:space="0" w:color="auto"/>
        <w:bottom w:val="none" w:sz="0" w:space="0" w:color="auto"/>
        <w:right w:val="none" w:sz="0" w:space="0" w:color="auto"/>
      </w:divBdr>
    </w:div>
    <w:div w:id="529073875">
      <w:bodyDiv w:val="1"/>
      <w:marLeft w:val="0"/>
      <w:marRight w:val="0"/>
      <w:marTop w:val="0"/>
      <w:marBottom w:val="0"/>
      <w:divBdr>
        <w:top w:val="none" w:sz="0" w:space="0" w:color="auto"/>
        <w:left w:val="none" w:sz="0" w:space="0" w:color="auto"/>
        <w:bottom w:val="none" w:sz="0" w:space="0" w:color="auto"/>
        <w:right w:val="none" w:sz="0" w:space="0" w:color="auto"/>
      </w:divBdr>
    </w:div>
    <w:div w:id="532813991">
      <w:bodyDiv w:val="1"/>
      <w:marLeft w:val="0"/>
      <w:marRight w:val="0"/>
      <w:marTop w:val="0"/>
      <w:marBottom w:val="0"/>
      <w:divBdr>
        <w:top w:val="none" w:sz="0" w:space="0" w:color="auto"/>
        <w:left w:val="none" w:sz="0" w:space="0" w:color="auto"/>
        <w:bottom w:val="none" w:sz="0" w:space="0" w:color="auto"/>
        <w:right w:val="none" w:sz="0" w:space="0" w:color="auto"/>
      </w:divBdr>
    </w:div>
    <w:div w:id="536088296">
      <w:bodyDiv w:val="1"/>
      <w:marLeft w:val="0"/>
      <w:marRight w:val="0"/>
      <w:marTop w:val="0"/>
      <w:marBottom w:val="0"/>
      <w:divBdr>
        <w:top w:val="none" w:sz="0" w:space="0" w:color="auto"/>
        <w:left w:val="none" w:sz="0" w:space="0" w:color="auto"/>
        <w:bottom w:val="none" w:sz="0" w:space="0" w:color="auto"/>
        <w:right w:val="none" w:sz="0" w:space="0" w:color="auto"/>
      </w:divBdr>
    </w:div>
    <w:div w:id="573591233">
      <w:bodyDiv w:val="1"/>
      <w:marLeft w:val="0"/>
      <w:marRight w:val="0"/>
      <w:marTop w:val="0"/>
      <w:marBottom w:val="0"/>
      <w:divBdr>
        <w:top w:val="none" w:sz="0" w:space="0" w:color="auto"/>
        <w:left w:val="none" w:sz="0" w:space="0" w:color="auto"/>
        <w:bottom w:val="none" w:sz="0" w:space="0" w:color="auto"/>
        <w:right w:val="none" w:sz="0" w:space="0" w:color="auto"/>
      </w:divBdr>
    </w:div>
    <w:div w:id="580212512">
      <w:bodyDiv w:val="1"/>
      <w:marLeft w:val="0"/>
      <w:marRight w:val="0"/>
      <w:marTop w:val="0"/>
      <w:marBottom w:val="0"/>
      <w:divBdr>
        <w:top w:val="none" w:sz="0" w:space="0" w:color="auto"/>
        <w:left w:val="none" w:sz="0" w:space="0" w:color="auto"/>
        <w:bottom w:val="none" w:sz="0" w:space="0" w:color="auto"/>
        <w:right w:val="none" w:sz="0" w:space="0" w:color="auto"/>
      </w:divBdr>
    </w:div>
    <w:div w:id="583337465">
      <w:bodyDiv w:val="1"/>
      <w:marLeft w:val="0"/>
      <w:marRight w:val="0"/>
      <w:marTop w:val="0"/>
      <w:marBottom w:val="0"/>
      <w:divBdr>
        <w:top w:val="none" w:sz="0" w:space="0" w:color="auto"/>
        <w:left w:val="none" w:sz="0" w:space="0" w:color="auto"/>
        <w:bottom w:val="none" w:sz="0" w:space="0" w:color="auto"/>
        <w:right w:val="none" w:sz="0" w:space="0" w:color="auto"/>
      </w:divBdr>
    </w:div>
    <w:div w:id="600720110">
      <w:bodyDiv w:val="1"/>
      <w:marLeft w:val="0"/>
      <w:marRight w:val="0"/>
      <w:marTop w:val="0"/>
      <w:marBottom w:val="0"/>
      <w:divBdr>
        <w:top w:val="none" w:sz="0" w:space="0" w:color="auto"/>
        <w:left w:val="none" w:sz="0" w:space="0" w:color="auto"/>
        <w:bottom w:val="none" w:sz="0" w:space="0" w:color="auto"/>
        <w:right w:val="none" w:sz="0" w:space="0" w:color="auto"/>
      </w:divBdr>
    </w:div>
    <w:div w:id="611742509">
      <w:bodyDiv w:val="1"/>
      <w:marLeft w:val="0"/>
      <w:marRight w:val="0"/>
      <w:marTop w:val="0"/>
      <w:marBottom w:val="0"/>
      <w:divBdr>
        <w:top w:val="none" w:sz="0" w:space="0" w:color="auto"/>
        <w:left w:val="none" w:sz="0" w:space="0" w:color="auto"/>
        <w:bottom w:val="none" w:sz="0" w:space="0" w:color="auto"/>
        <w:right w:val="none" w:sz="0" w:space="0" w:color="auto"/>
      </w:divBdr>
    </w:div>
    <w:div w:id="697976361">
      <w:bodyDiv w:val="1"/>
      <w:marLeft w:val="0"/>
      <w:marRight w:val="0"/>
      <w:marTop w:val="0"/>
      <w:marBottom w:val="0"/>
      <w:divBdr>
        <w:top w:val="none" w:sz="0" w:space="0" w:color="auto"/>
        <w:left w:val="none" w:sz="0" w:space="0" w:color="auto"/>
        <w:bottom w:val="none" w:sz="0" w:space="0" w:color="auto"/>
        <w:right w:val="none" w:sz="0" w:space="0" w:color="auto"/>
      </w:divBdr>
    </w:div>
    <w:div w:id="755053630">
      <w:bodyDiv w:val="1"/>
      <w:marLeft w:val="0"/>
      <w:marRight w:val="0"/>
      <w:marTop w:val="0"/>
      <w:marBottom w:val="0"/>
      <w:divBdr>
        <w:top w:val="none" w:sz="0" w:space="0" w:color="auto"/>
        <w:left w:val="none" w:sz="0" w:space="0" w:color="auto"/>
        <w:bottom w:val="none" w:sz="0" w:space="0" w:color="auto"/>
        <w:right w:val="none" w:sz="0" w:space="0" w:color="auto"/>
      </w:divBdr>
    </w:div>
    <w:div w:id="757941083">
      <w:bodyDiv w:val="1"/>
      <w:marLeft w:val="0"/>
      <w:marRight w:val="0"/>
      <w:marTop w:val="0"/>
      <w:marBottom w:val="0"/>
      <w:divBdr>
        <w:top w:val="none" w:sz="0" w:space="0" w:color="auto"/>
        <w:left w:val="none" w:sz="0" w:space="0" w:color="auto"/>
        <w:bottom w:val="none" w:sz="0" w:space="0" w:color="auto"/>
        <w:right w:val="none" w:sz="0" w:space="0" w:color="auto"/>
      </w:divBdr>
    </w:div>
    <w:div w:id="794367698">
      <w:bodyDiv w:val="1"/>
      <w:marLeft w:val="0"/>
      <w:marRight w:val="0"/>
      <w:marTop w:val="0"/>
      <w:marBottom w:val="0"/>
      <w:divBdr>
        <w:top w:val="none" w:sz="0" w:space="0" w:color="auto"/>
        <w:left w:val="none" w:sz="0" w:space="0" w:color="auto"/>
        <w:bottom w:val="none" w:sz="0" w:space="0" w:color="auto"/>
        <w:right w:val="none" w:sz="0" w:space="0" w:color="auto"/>
      </w:divBdr>
    </w:div>
    <w:div w:id="806357623">
      <w:bodyDiv w:val="1"/>
      <w:marLeft w:val="0"/>
      <w:marRight w:val="0"/>
      <w:marTop w:val="0"/>
      <w:marBottom w:val="0"/>
      <w:divBdr>
        <w:top w:val="none" w:sz="0" w:space="0" w:color="auto"/>
        <w:left w:val="none" w:sz="0" w:space="0" w:color="auto"/>
        <w:bottom w:val="none" w:sz="0" w:space="0" w:color="auto"/>
        <w:right w:val="none" w:sz="0" w:space="0" w:color="auto"/>
      </w:divBdr>
    </w:div>
    <w:div w:id="810487906">
      <w:bodyDiv w:val="1"/>
      <w:marLeft w:val="0"/>
      <w:marRight w:val="0"/>
      <w:marTop w:val="0"/>
      <w:marBottom w:val="0"/>
      <w:divBdr>
        <w:top w:val="none" w:sz="0" w:space="0" w:color="auto"/>
        <w:left w:val="none" w:sz="0" w:space="0" w:color="auto"/>
        <w:bottom w:val="none" w:sz="0" w:space="0" w:color="auto"/>
        <w:right w:val="none" w:sz="0" w:space="0" w:color="auto"/>
      </w:divBdr>
    </w:div>
    <w:div w:id="835850832">
      <w:bodyDiv w:val="1"/>
      <w:marLeft w:val="0"/>
      <w:marRight w:val="0"/>
      <w:marTop w:val="0"/>
      <w:marBottom w:val="0"/>
      <w:divBdr>
        <w:top w:val="none" w:sz="0" w:space="0" w:color="auto"/>
        <w:left w:val="none" w:sz="0" w:space="0" w:color="auto"/>
        <w:bottom w:val="none" w:sz="0" w:space="0" w:color="auto"/>
        <w:right w:val="none" w:sz="0" w:space="0" w:color="auto"/>
      </w:divBdr>
    </w:div>
    <w:div w:id="844713528">
      <w:bodyDiv w:val="1"/>
      <w:marLeft w:val="0"/>
      <w:marRight w:val="0"/>
      <w:marTop w:val="0"/>
      <w:marBottom w:val="0"/>
      <w:divBdr>
        <w:top w:val="none" w:sz="0" w:space="0" w:color="auto"/>
        <w:left w:val="none" w:sz="0" w:space="0" w:color="auto"/>
        <w:bottom w:val="none" w:sz="0" w:space="0" w:color="auto"/>
        <w:right w:val="none" w:sz="0" w:space="0" w:color="auto"/>
      </w:divBdr>
    </w:div>
    <w:div w:id="863441086">
      <w:bodyDiv w:val="1"/>
      <w:marLeft w:val="0"/>
      <w:marRight w:val="0"/>
      <w:marTop w:val="0"/>
      <w:marBottom w:val="0"/>
      <w:divBdr>
        <w:top w:val="none" w:sz="0" w:space="0" w:color="auto"/>
        <w:left w:val="none" w:sz="0" w:space="0" w:color="auto"/>
        <w:bottom w:val="none" w:sz="0" w:space="0" w:color="auto"/>
        <w:right w:val="none" w:sz="0" w:space="0" w:color="auto"/>
      </w:divBdr>
    </w:div>
    <w:div w:id="883371182">
      <w:bodyDiv w:val="1"/>
      <w:marLeft w:val="0"/>
      <w:marRight w:val="0"/>
      <w:marTop w:val="0"/>
      <w:marBottom w:val="0"/>
      <w:divBdr>
        <w:top w:val="none" w:sz="0" w:space="0" w:color="auto"/>
        <w:left w:val="none" w:sz="0" w:space="0" w:color="auto"/>
        <w:bottom w:val="none" w:sz="0" w:space="0" w:color="auto"/>
        <w:right w:val="none" w:sz="0" w:space="0" w:color="auto"/>
      </w:divBdr>
    </w:div>
    <w:div w:id="900477637">
      <w:bodyDiv w:val="1"/>
      <w:marLeft w:val="0"/>
      <w:marRight w:val="0"/>
      <w:marTop w:val="0"/>
      <w:marBottom w:val="0"/>
      <w:divBdr>
        <w:top w:val="none" w:sz="0" w:space="0" w:color="auto"/>
        <w:left w:val="none" w:sz="0" w:space="0" w:color="auto"/>
        <w:bottom w:val="none" w:sz="0" w:space="0" w:color="auto"/>
        <w:right w:val="none" w:sz="0" w:space="0" w:color="auto"/>
      </w:divBdr>
    </w:div>
    <w:div w:id="946546500">
      <w:bodyDiv w:val="1"/>
      <w:marLeft w:val="0"/>
      <w:marRight w:val="0"/>
      <w:marTop w:val="0"/>
      <w:marBottom w:val="0"/>
      <w:divBdr>
        <w:top w:val="none" w:sz="0" w:space="0" w:color="auto"/>
        <w:left w:val="none" w:sz="0" w:space="0" w:color="auto"/>
        <w:bottom w:val="none" w:sz="0" w:space="0" w:color="auto"/>
        <w:right w:val="none" w:sz="0" w:space="0" w:color="auto"/>
      </w:divBdr>
    </w:div>
    <w:div w:id="1050812513">
      <w:bodyDiv w:val="1"/>
      <w:marLeft w:val="0"/>
      <w:marRight w:val="0"/>
      <w:marTop w:val="0"/>
      <w:marBottom w:val="0"/>
      <w:divBdr>
        <w:top w:val="none" w:sz="0" w:space="0" w:color="auto"/>
        <w:left w:val="none" w:sz="0" w:space="0" w:color="auto"/>
        <w:bottom w:val="none" w:sz="0" w:space="0" w:color="auto"/>
        <w:right w:val="none" w:sz="0" w:space="0" w:color="auto"/>
      </w:divBdr>
    </w:div>
    <w:div w:id="1108500269">
      <w:bodyDiv w:val="1"/>
      <w:marLeft w:val="0"/>
      <w:marRight w:val="0"/>
      <w:marTop w:val="0"/>
      <w:marBottom w:val="0"/>
      <w:divBdr>
        <w:top w:val="none" w:sz="0" w:space="0" w:color="auto"/>
        <w:left w:val="none" w:sz="0" w:space="0" w:color="auto"/>
        <w:bottom w:val="none" w:sz="0" w:space="0" w:color="auto"/>
        <w:right w:val="none" w:sz="0" w:space="0" w:color="auto"/>
      </w:divBdr>
    </w:div>
    <w:div w:id="1134447692">
      <w:bodyDiv w:val="1"/>
      <w:marLeft w:val="0"/>
      <w:marRight w:val="0"/>
      <w:marTop w:val="0"/>
      <w:marBottom w:val="0"/>
      <w:divBdr>
        <w:top w:val="none" w:sz="0" w:space="0" w:color="auto"/>
        <w:left w:val="none" w:sz="0" w:space="0" w:color="auto"/>
        <w:bottom w:val="none" w:sz="0" w:space="0" w:color="auto"/>
        <w:right w:val="none" w:sz="0" w:space="0" w:color="auto"/>
      </w:divBdr>
    </w:div>
    <w:div w:id="1141728937">
      <w:bodyDiv w:val="1"/>
      <w:marLeft w:val="0"/>
      <w:marRight w:val="0"/>
      <w:marTop w:val="0"/>
      <w:marBottom w:val="0"/>
      <w:divBdr>
        <w:top w:val="none" w:sz="0" w:space="0" w:color="auto"/>
        <w:left w:val="none" w:sz="0" w:space="0" w:color="auto"/>
        <w:bottom w:val="none" w:sz="0" w:space="0" w:color="auto"/>
        <w:right w:val="none" w:sz="0" w:space="0" w:color="auto"/>
      </w:divBdr>
    </w:div>
    <w:div w:id="1236091434">
      <w:bodyDiv w:val="1"/>
      <w:marLeft w:val="0"/>
      <w:marRight w:val="0"/>
      <w:marTop w:val="0"/>
      <w:marBottom w:val="0"/>
      <w:divBdr>
        <w:top w:val="none" w:sz="0" w:space="0" w:color="auto"/>
        <w:left w:val="none" w:sz="0" w:space="0" w:color="auto"/>
        <w:bottom w:val="none" w:sz="0" w:space="0" w:color="auto"/>
        <w:right w:val="none" w:sz="0" w:space="0" w:color="auto"/>
      </w:divBdr>
    </w:div>
    <w:div w:id="1251890447">
      <w:bodyDiv w:val="1"/>
      <w:marLeft w:val="0"/>
      <w:marRight w:val="0"/>
      <w:marTop w:val="0"/>
      <w:marBottom w:val="0"/>
      <w:divBdr>
        <w:top w:val="none" w:sz="0" w:space="0" w:color="auto"/>
        <w:left w:val="none" w:sz="0" w:space="0" w:color="auto"/>
        <w:bottom w:val="none" w:sz="0" w:space="0" w:color="auto"/>
        <w:right w:val="none" w:sz="0" w:space="0" w:color="auto"/>
      </w:divBdr>
    </w:div>
    <w:div w:id="1323851346">
      <w:bodyDiv w:val="1"/>
      <w:marLeft w:val="0"/>
      <w:marRight w:val="0"/>
      <w:marTop w:val="0"/>
      <w:marBottom w:val="0"/>
      <w:divBdr>
        <w:top w:val="none" w:sz="0" w:space="0" w:color="auto"/>
        <w:left w:val="none" w:sz="0" w:space="0" w:color="auto"/>
        <w:bottom w:val="none" w:sz="0" w:space="0" w:color="auto"/>
        <w:right w:val="none" w:sz="0" w:space="0" w:color="auto"/>
      </w:divBdr>
    </w:div>
    <w:div w:id="1333219426">
      <w:bodyDiv w:val="1"/>
      <w:marLeft w:val="0"/>
      <w:marRight w:val="0"/>
      <w:marTop w:val="0"/>
      <w:marBottom w:val="0"/>
      <w:divBdr>
        <w:top w:val="none" w:sz="0" w:space="0" w:color="auto"/>
        <w:left w:val="none" w:sz="0" w:space="0" w:color="auto"/>
        <w:bottom w:val="none" w:sz="0" w:space="0" w:color="auto"/>
        <w:right w:val="none" w:sz="0" w:space="0" w:color="auto"/>
      </w:divBdr>
    </w:div>
    <w:div w:id="1364597189">
      <w:bodyDiv w:val="1"/>
      <w:marLeft w:val="0"/>
      <w:marRight w:val="0"/>
      <w:marTop w:val="0"/>
      <w:marBottom w:val="0"/>
      <w:divBdr>
        <w:top w:val="none" w:sz="0" w:space="0" w:color="auto"/>
        <w:left w:val="none" w:sz="0" w:space="0" w:color="auto"/>
        <w:bottom w:val="none" w:sz="0" w:space="0" w:color="auto"/>
        <w:right w:val="none" w:sz="0" w:space="0" w:color="auto"/>
      </w:divBdr>
    </w:div>
    <w:div w:id="1377464037">
      <w:bodyDiv w:val="1"/>
      <w:marLeft w:val="0"/>
      <w:marRight w:val="0"/>
      <w:marTop w:val="0"/>
      <w:marBottom w:val="0"/>
      <w:divBdr>
        <w:top w:val="none" w:sz="0" w:space="0" w:color="auto"/>
        <w:left w:val="none" w:sz="0" w:space="0" w:color="auto"/>
        <w:bottom w:val="none" w:sz="0" w:space="0" w:color="auto"/>
        <w:right w:val="none" w:sz="0" w:space="0" w:color="auto"/>
      </w:divBdr>
    </w:div>
    <w:div w:id="1378353895">
      <w:bodyDiv w:val="1"/>
      <w:marLeft w:val="0"/>
      <w:marRight w:val="0"/>
      <w:marTop w:val="0"/>
      <w:marBottom w:val="0"/>
      <w:divBdr>
        <w:top w:val="none" w:sz="0" w:space="0" w:color="auto"/>
        <w:left w:val="none" w:sz="0" w:space="0" w:color="auto"/>
        <w:bottom w:val="none" w:sz="0" w:space="0" w:color="auto"/>
        <w:right w:val="none" w:sz="0" w:space="0" w:color="auto"/>
      </w:divBdr>
    </w:div>
    <w:div w:id="1411851615">
      <w:bodyDiv w:val="1"/>
      <w:marLeft w:val="0"/>
      <w:marRight w:val="0"/>
      <w:marTop w:val="0"/>
      <w:marBottom w:val="0"/>
      <w:divBdr>
        <w:top w:val="none" w:sz="0" w:space="0" w:color="auto"/>
        <w:left w:val="none" w:sz="0" w:space="0" w:color="auto"/>
        <w:bottom w:val="none" w:sz="0" w:space="0" w:color="auto"/>
        <w:right w:val="none" w:sz="0" w:space="0" w:color="auto"/>
      </w:divBdr>
    </w:div>
    <w:div w:id="1433361273">
      <w:bodyDiv w:val="1"/>
      <w:marLeft w:val="0"/>
      <w:marRight w:val="0"/>
      <w:marTop w:val="0"/>
      <w:marBottom w:val="0"/>
      <w:divBdr>
        <w:top w:val="none" w:sz="0" w:space="0" w:color="auto"/>
        <w:left w:val="none" w:sz="0" w:space="0" w:color="auto"/>
        <w:bottom w:val="none" w:sz="0" w:space="0" w:color="auto"/>
        <w:right w:val="none" w:sz="0" w:space="0" w:color="auto"/>
      </w:divBdr>
    </w:div>
    <w:div w:id="1434395256">
      <w:bodyDiv w:val="1"/>
      <w:marLeft w:val="0"/>
      <w:marRight w:val="0"/>
      <w:marTop w:val="0"/>
      <w:marBottom w:val="0"/>
      <w:divBdr>
        <w:top w:val="none" w:sz="0" w:space="0" w:color="auto"/>
        <w:left w:val="none" w:sz="0" w:space="0" w:color="auto"/>
        <w:bottom w:val="none" w:sz="0" w:space="0" w:color="auto"/>
        <w:right w:val="none" w:sz="0" w:space="0" w:color="auto"/>
      </w:divBdr>
    </w:div>
    <w:div w:id="1435322177">
      <w:bodyDiv w:val="1"/>
      <w:marLeft w:val="0"/>
      <w:marRight w:val="0"/>
      <w:marTop w:val="0"/>
      <w:marBottom w:val="0"/>
      <w:divBdr>
        <w:top w:val="none" w:sz="0" w:space="0" w:color="auto"/>
        <w:left w:val="none" w:sz="0" w:space="0" w:color="auto"/>
        <w:bottom w:val="none" w:sz="0" w:space="0" w:color="auto"/>
        <w:right w:val="none" w:sz="0" w:space="0" w:color="auto"/>
      </w:divBdr>
    </w:div>
    <w:div w:id="1503886376">
      <w:bodyDiv w:val="1"/>
      <w:marLeft w:val="0"/>
      <w:marRight w:val="0"/>
      <w:marTop w:val="0"/>
      <w:marBottom w:val="0"/>
      <w:divBdr>
        <w:top w:val="none" w:sz="0" w:space="0" w:color="auto"/>
        <w:left w:val="none" w:sz="0" w:space="0" w:color="auto"/>
        <w:bottom w:val="none" w:sz="0" w:space="0" w:color="auto"/>
        <w:right w:val="none" w:sz="0" w:space="0" w:color="auto"/>
      </w:divBdr>
    </w:div>
    <w:div w:id="1556041563">
      <w:bodyDiv w:val="1"/>
      <w:marLeft w:val="0"/>
      <w:marRight w:val="0"/>
      <w:marTop w:val="0"/>
      <w:marBottom w:val="0"/>
      <w:divBdr>
        <w:top w:val="none" w:sz="0" w:space="0" w:color="auto"/>
        <w:left w:val="none" w:sz="0" w:space="0" w:color="auto"/>
        <w:bottom w:val="none" w:sz="0" w:space="0" w:color="auto"/>
        <w:right w:val="none" w:sz="0" w:space="0" w:color="auto"/>
      </w:divBdr>
    </w:div>
    <w:div w:id="1567764025">
      <w:bodyDiv w:val="1"/>
      <w:marLeft w:val="0"/>
      <w:marRight w:val="0"/>
      <w:marTop w:val="0"/>
      <w:marBottom w:val="0"/>
      <w:divBdr>
        <w:top w:val="none" w:sz="0" w:space="0" w:color="auto"/>
        <w:left w:val="none" w:sz="0" w:space="0" w:color="auto"/>
        <w:bottom w:val="none" w:sz="0" w:space="0" w:color="auto"/>
        <w:right w:val="none" w:sz="0" w:space="0" w:color="auto"/>
      </w:divBdr>
    </w:div>
    <w:div w:id="1590431176">
      <w:bodyDiv w:val="1"/>
      <w:marLeft w:val="0"/>
      <w:marRight w:val="0"/>
      <w:marTop w:val="0"/>
      <w:marBottom w:val="0"/>
      <w:divBdr>
        <w:top w:val="none" w:sz="0" w:space="0" w:color="auto"/>
        <w:left w:val="none" w:sz="0" w:space="0" w:color="auto"/>
        <w:bottom w:val="none" w:sz="0" w:space="0" w:color="auto"/>
        <w:right w:val="none" w:sz="0" w:space="0" w:color="auto"/>
      </w:divBdr>
    </w:div>
    <w:div w:id="1678533574">
      <w:bodyDiv w:val="1"/>
      <w:marLeft w:val="0"/>
      <w:marRight w:val="0"/>
      <w:marTop w:val="0"/>
      <w:marBottom w:val="0"/>
      <w:divBdr>
        <w:top w:val="none" w:sz="0" w:space="0" w:color="auto"/>
        <w:left w:val="none" w:sz="0" w:space="0" w:color="auto"/>
        <w:bottom w:val="none" w:sz="0" w:space="0" w:color="auto"/>
        <w:right w:val="none" w:sz="0" w:space="0" w:color="auto"/>
      </w:divBdr>
    </w:div>
    <w:div w:id="1728020133">
      <w:bodyDiv w:val="1"/>
      <w:marLeft w:val="0"/>
      <w:marRight w:val="0"/>
      <w:marTop w:val="0"/>
      <w:marBottom w:val="0"/>
      <w:divBdr>
        <w:top w:val="none" w:sz="0" w:space="0" w:color="auto"/>
        <w:left w:val="none" w:sz="0" w:space="0" w:color="auto"/>
        <w:bottom w:val="none" w:sz="0" w:space="0" w:color="auto"/>
        <w:right w:val="none" w:sz="0" w:space="0" w:color="auto"/>
      </w:divBdr>
    </w:div>
    <w:div w:id="1728601937">
      <w:bodyDiv w:val="1"/>
      <w:marLeft w:val="0"/>
      <w:marRight w:val="0"/>
      <w:marTop w:val="0"/>
      <w:marBottom w:val="0"/>
      <w:divBdr>
        <w:top w:val="none" w:sz="0" w:space="0" w:color="auto"/>
        <w:left w:val="none" w:sz="0" w:space="0" w:color="auto"/>
        <w:bottom w:val="none" w:sz="0" w:space="0" w:color="auto"/>
        <w:right w:val="none" w:sz="0" w:space="0" w:color="auto"/>
      </w:divBdr>
    </w:div>
    <w:div w:id="1782918233">
      <w:bodyDiv w:val="1"/>
      <w:marLeft w:val="0"/>
      <w:marRight w:val="0"/>
      <w:marTop w:val="0"/>
      <w:marBottom w:val="0"/>
      <w:divBdr>
        <w:top w:val="none" w:sz="0" w:space="0" w:color="auto"/>
        <w:left w:val="none" w:sz="0" w:space="0" w:color="auto"/>
        <w:bottom w:val="none" w:sz="0" w:space="0" w:color="auto"/>
        <w:right w:val="none" w:sz="0" w:space="0" w:color="auto"/>
      </w:divBdr>
    </w:div>
    <w:div w:id="1786346846">
      <w:bodyDiv w:val="1"/>
      <w:marLeft w:val="0"/>
      <w:marRight w:val="0"/>
      <w:marTop w:val="0"/>
      <w:marBottom w:val="0"/>
      <w:divBdr>
        <w:top w:val="none" w:sz="0" w:space="0" w:color="auto"/>
        <w:left w:val="none" w:sz="0" w:space="0" w:color="auto"/>
        <w:bottom w:val="none" w:sz="0" w:space="0" w:color="auto"/>
        <w:right w:val="none" w:sz="0" w:space="0" w:color="auto"/>
      </w:divBdr>
    </w:div>
    <w:div w:id="1837962066">
      <w:bodyDiv w:val="1"/>
      <w:marLeft w:val="0"/>
      <w:marRight w:val="0"/>
      <w:marTop w:val="0"/>
      <w:marBottom w:val="0"/>
      <w:divBdr>
        <w:top w:val="none" w:sz="0" w:space="0" w:color="auto"/>
        <w:left w:val="none" w:sz="0" w:space="0" w:color="auto"/>
        <w:bottom w:val="none" w:sz="0" w:space="0" w:color="auto"/>
        <w:right w:val="none" w:sz="0" w:space="0" w:color="auto"/>
      </w:divBdr>
    </w:div>
    <w:div w:id="1841038268">
      <w:bodyDiv w:val="1"/>
      <w:marLeft w:val="0"/>
      <w:marRight w:val="0"/>
      <w:marTop w:val="0"/>
      <w:marBottom w:val="0"/>
      <w:divBdr>
        <w:top w:val="none" w:sz="0" w:space="0" w:color="auto"/>
        <w:left w:val="none" w:sz="0" w:space="0" w:color="auto"/>
        <w:bottom w:val="none" w:sz="0" w:space="0" w:color="auto"/>
        <w:right w:val="none" w:sz="0" w:space="0" w:color="auto"/>
      </w:divBdr>
    </w:div>
    <w:div w:id="1906524587">
      <w:bodyDiv w:val="1"/>
      <w:marLeft w:val="0"/>
      <w:marRight w:val="0"/>
      <w:marTop w:val="0"/>
      <w:marBottom w:val="0"/>
      <w:divBdr>
        <w:top w:val="none" w:sz="0" w:space="0" w:color="auto"/>
        <w:left w:val="none" w:sz="0" w:space="0" w:color="auto"/>
        <w:bottom w:val="none" w:sz="0" w:space="0" w:color="auto"/>
        <w:right w:val="none" w:sz="0" w:space="0" w:color="auto"/>
      </w:divBdr>
    </w:div>
    <w:div w:id="1914268877">
      <w:bodyDiv w:val="1"/>
      <w:marLeft w:val="0"/>
      <w:marRight w:val="0"/>
      <w:marTop w:val="0"/>
      <w:marBottom w:val="0"/>
      <w:divBdr>
        <w:top w:val="none" w:sz="0" w:space="0" w:color="auto"/>
        <w:left w:val="none" w:sz="0" w:space="0" w:color="auto"/>
        <w:bottom w:val="none" w:sz="0" w:space="0" w:color="auto"/>
        <w:right w:val="none" w:sz="0" w:space="0" w:color="auto"/>
      </w:divBdr>
    </w:div>
    <w:div w:id="1992902362">
      <w:bodyDiv w:val="1"/>
      <w:marLeft w:val="0"/>
      <w:marRight w:val="0"/>
      <w:marTop w:val="0"/>
      <w:marBottom w:val="0"/>
      <w:divBdr>
        <w:top w:val="none" w:sz="0" w:space="0" w:color="auto"/>
        <w:left w:val="none" w:sz="0" w:space="0" w:color="auto"/>
        <w:bottom w:val="none" w:sz="0" w:space="0" w:color="auto"/>
        <w:right w:val="none" w:sz="0" w:space="0" w:color="auto"/>
      </w:divBdr>
    </w:div>
    <w:div w:id="2016762184">
      <w:bodyDiv w:val="1"/>
      <w:marLeft w:val="0"/>
      <w:marRight w:val="0"/>
      <w:marTop w:val="0"/>
      <w:marBottom w:val="0"/>
      <w:divBdr>
        <w:top w:val="none" w:sz="0" w:space="0" w:color="auto"/>
        <w:left w:val="none" w:sz="0" w:space="0" w:color="auto"/>
        <w:bottom w:val="none" w:sz="0" w:space="0" w:color="auto"/>
        <w:right w:val="none" w:sz="0" w:space="0" w:color="auto"/>
      </w:divBdr>
    </w:div>
    <w:div w:id="2034261734">
      <w:bodyDiv w:val="1"/>
      <w:marLeft w:val="0"/>
      <w:marRight w:val="0"/>
      <w:marTop w:val="0"/>
      <w:marBottom w:val="0"/>
      <w:divBdr>
        <w:top w:val="none" w:sz="0" w:space="0" w:color="auto"/>
        <w:left w:val="none" w:sz="0" w:space="0" w:color="auto"/>
        <w:bottom w:val="none" w:sz="0" w:space="0" w:color="auto"/>
        <w:right w:val="none" w:sz="0" w:space="0" w:color="auto"/>
      </w:divBdr>
    </w:div>
    <w:div w:id="2062055861">
      <w:bodyDiv w:val="1"/>
      <w:marLeft w:val="0"/>
      <w:marRight w:val="0"/>
      <w:marTop w:val="0"/>
      <w:marBottom w:val="0"/>
      <w:divBdr>
        <w:top w:val="none" w:sz="0" w:space="0" w:color="auto"/>
        <w:left w:val="none" w:sz="0" w:space="0" w:color="auto"/>
        <w:bottom w:val="none" w:sz="0" w:space="0" w:color="auto"/>
        <w:right w:val="none" w:sz="0" w:space="0" w:color="auto"/>
      </w:divBdr>
    </w:div>
    <w:div w:id="2076584036">
      <w:bodyDiv w:val="1"/>
      <w:marLeft w:val="0"/>
      <w:marRight w:val="0"/>
      <w:marTop w:val="0"/>
      <w:marBottom w:val="0"/>
      <w:divBdr>
        <w:top w:val="none" w:sz="0" w:space="0" w:color="auto"/>
        <w:left w:val="none" w:sz="0" w:space="0" w:color="auto"/>
        <w:bottom w:val="none" w:sz="0" w:space="0" w:color="auto"/>
        <w:right w:val="none" w:sz="0" w:space="0" w:color="auto"/>
      </w:divBdr>
    </w:div>
    <w:div w:id="2083677739">
      <w:bodyDiv w:val="1"/>
      <w:marLeft w:val="0"/>
      <w:marRight w:val="0"/>
      <w:marTop w:val="0"/>
      <w:marBottom w:val="0"/>
      <w:divBdr>
        <w:top w:val="none" w:sz="0" w:space="0" w:color="auto"/>
        <w:left w:val="none" w:sz="0" w:space="0" w:color="auto"/>
        <w:bottom w:val="none" w:sz="0" w:space="0" w:color="auto"/>
        <w:right w:val="none" w:sz="0" w:space="0" w:color="auto"/>
      </w:divBdr>
    </w:div>
    <w:div w:id="2088568898">
      <w:bodyDiv w:val="1"/>
      <w:marLeft w:val="0"/>
      <w:marRight w:val="0"/>
      <w:marTop w:val="0"/>
      <w:marBottom w:val="0"/>
      <w:divBdr>
        <w:top w:val="none" w:sz="0" w:space="0" w:color="auto"/>
        <w:left w:val="none" w:sz="0" w:space="0" w:color="auto"/>
        <w:bottom w:val="none" w:sz="0" w:space="0" w:color="auto"/>
        <w:right w:val="none" w:sz="0" w:space="0" w:color="auto"/>
      </w:divBdr>
    </w:div>
    <w:div w:id="2115124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E10E99-ABAB-45ED-B8C0-F8601FF113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10</Pages>
  <Words>4817</Words>
  <Characters>27461</Characters>
  <Application>Microsoft Office Word</Application>
  <DocSecurity>0</DocSecurity>
  <Lines>228</Lines>
  <Paragraphs>64</Paragraphs>
  <ScaleCrop>false</ScaleCrop>
  <HeadingPairs>
    <vt:vector size="2" baseType="variant">
      <vt:variant>
        <vt:lpstr>Konu Başlığı</vt:lpstr>
      </vt:variant>
      <vt:variant>
        <vt:i4>1</vt:i4>
      </vt:variant>
    </vt:vector>
  </HeadingPairs>
  <TitlesOfParts>
    <vt:vector size="1" baseType="lpstr">
      <vt:lpstr>Nihai Bildirim - Final Disclosure</vt:lpstr>
    </vt:vector>
  </TitlesOfParts>
  <Company>Ekonomi Bakanlığı</Company>
  <LinksUpToDate>false</LinksUpToDate>
  <CharactersWithSpaces>32214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Nihai Bildirim - Final Disclosure</dc:title>
  <dc:subject/>
  <dc:creator>Merve YALÇIN ERDİL</dc:creator>
  <cp:keywords/>
  <dc:description/>
  <cp:lastModifiedBy>Ekrem DUMAN</cp:lastModifiedBy>
  <cp:revision>22</cp:revision>
  <cp:lastPrinted>2022-05-20T11:49:00Z</cp:lastPrinted>
  <dcterms:created xsi:type="dcterms:W3CDTF">2022-11-09T12:04:00Z</dcterms:created>
  <dcterms:modified xsi:type="dcterms:W3CDTF">2023-02-28T07:55:00Z</dcterms:modified>
</cp:coreProperties>
</file>