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A74A31" w14:textId="77777777" w:rsidR="00CC3CD0" w:rsidRPr="00EE21A9" w:rsidRDefault="00CC3CD0" w:rsidP="00CC3CD0">
      <w:pPr>
        <w:spacing w:line="192" w:lineRule="auto"/>
        <w:rPr>
          <w:rFonts w:cstheme="minorHAnsi"/>
          <w:b/>
          <w:caps/>
        </w:rPr>
      </w:pPr>
      <w:r w:rsidRPr="00EE21A9">
        <w:rPr>
          <w:rFonts w:cstheme="minorHAnsi"/>
          <w:b/>
          <w:caps/>
        </w:rPr>
        <w:t>EK:</w:t>
      </w:r>
    </w:p>
    <w:p w14:paraId="5ED60E8B" w14:textId="77777777" w:rsidR="00CC3CD0" w:rsidRPr="00EE21A9" w:rsidRDefault="00CC3CD0" w:rsidP="00CC3CD0">
      <w:pPr>
        <w:spacing w:line="192" w:lineRule="auto"/>
        <w:jc w:val="center"/>
        <w:rPr>
          <w:rFonts w:cstheme="minorHAnsi"/>
          <w:b/>
          <w:caps/>
        </w:rPr>
      </w:pPr>
      <w:r w:rsidRPr="00EE21A9">
        <w:rPr>
          <w:rFonts w:cstheme="minorHAnsi"/>
          <w:b/>
          <w:caps/>
        </w:rPr>
        <w:t>2022/17 SaYILI İTHALATTA HAKSIZ REKABETİN ÖNLENMESİNE İLİŞKİN TEBLİĞE DAİR BİLGİLENDİRME RAPORU</w:t>
      </w:r>
    </w:p>
    <w:p w14:paraId="54F8D50B" w14:textId="77777777" w:rsidR="00CC3CD0" w:rsidRPr="00EE21A9" w:rsidRDefault="00CC3CD0" w:rsidP="00CC3CD0">
      <w:pPr>
        <w:spacing w:line="192" w:lineRule="auto"/>
        <w:jc w:val="center"/>
        <w:rPr>
          <w:rFonts w:cstheme="minorHAnsi"/>
          <w:b/>
          <w:caps/>
        </w:rPr>
      </w:pPr>
    </w:p>
    <w:p w14:paraId="6911EC12" w14:textId="77777777" w:rsidR="00CC3CD0" w:rsidRPr="00EE21A9" w:rsidRDefault="00CC3CD0" w:rsidP="00CC3CD0">
      <w:pPr>
        <w:pStyle w:val="ListeParagraf"/>
        <w:numPr>
          <w:ilvl w:val="0"/>
          <w:numId w:val="2"/>
        </w:numPr>
        <w:spacing w:after="0" w:line="192" w:lineRule="auto"/>
        <w:contextualSpacing w:val="0"/>
        <w:jc w:val="both"/>
        <w:rPr>
          <w:rFonts w:cstheme="minorHAnsi"/>
          <w:b/>
          <w:caps/>
        </w:rPr>
      </w:pPr>
      <w:r w:rsidRPr="00EE21A9">
        <w:rPr>
          <w:rFonts w:cstheme="minorHAnsi"/>
          <w:b/>
          <w:caps/>
        </w:rPr>
        <w:t>soruşturmaya ilişkin GEnel BİLgi ve işlemler</w:t>
      </w:r>
    </w:p>
    <w:p w14:paraId="6F9A7003" w14:textId="77777777" w:rsidR="00CC3CD0" w:rsidRPr="00EE21A9" w:rsidRDefault="00CC3CD0" w:rsidP="00CC3CD0">
      <w:pPr>
        <w:pStyle w:val="Balk2"/>
        <w:numPr>
          <w:ilvl w:val="1"/>
          <w:numId w:val="2"/>
        </w:numPr>
        <w:spacing w:before="0" w:line="192" w:lineRule="auto"/>
        <w:ind w:left="426"/>
        <w:rPr>
          <w:rFonts w:asciiTheme="minorHAnsi" w:hAnsiTheme="minorHAnsi" w:cstheme="minorHAnsi"/>
          <w:sz w:val="22"/>
          <w:szCs w:val="22"/>
        </w:rPr>
      </w:pPr>
      <w:r w:rsidRPr="00EE21A9">
        <w:rPr>
          <w:rFonts w:asciiTheme="minorHAnsi" w:hAnsiTheme="minorHAnsi" w:cstheme="minorHAnsi"/>
          <w:sz w:val="22"/>
          <w:szCs w:val="22"/>
        </w:rPr>
        <w:t>Soruşturma</w:t>
      </w:r>
    </w:p>
    <w:p w14:paraId="12C81E80" w14:textId="77777777" w:rsidR="00CC3CD0" w:rsidRPr="00EE21A9" w:rsidRDefault="00CC3CD0" w:rsidP="00CC3CD0">
      <w:pPr>
        <w:pStyle w:val="GvdeMetni"/>
        <w:spacing w:line="192" w:lineRule="auto"/>
        <w:rPr>
          <w:rFonts w:asciiTheme="minorHAnsi" w:hAnsiTheme="minorHAnsi" w:cstheme="minorHAnsi"/>
          <w:color w:val="0D0D0D" w:themeColor="text1" w:themeTint="F2"/>
          <w:sz w:val="22"/>
          <w:szCs w:val="22"/>
        </w:rPr>
      </w:pPr>
      <w:r w:rsidRPr="00EE21A9">
        <w:rPr>
          <w:rFonts w:asciiTheme="minorHAnsi" w:hAnsiTheme="minorHAnsi" w:cstheme="minorHAnsi"/>
          <w:color w:val="0D0D0D" w:themeColor="text1" w:themeTint="F2"/>
          <w:sz w:val="22"/>
          <w:szCs w:val="22"/>
        </w:rPr>
        <w:t>(1) İthalatta Haksız Rekabetin Önlenmesi Hakkında Yönetmeliğin (Yönetmelik) 35 inci maddesi kapsamında, yerli üretici Üntes Rhoss Soğutma Sistemleri A.Ş. (Üntes Rhoss) firması, Çin Halk Cumhuriyeti (ÇHC) menşeli 8418.69 gümrük tarife pozisyonu (GTP) altında sınıflandırılan “Diğerleri - yalnızca merkezi iklimlendirme ve proses suyunun soğutulmasında kullanılan chiller (absorbsiyon ve santrifüj kompresörlü olanlar hariç)” ürününün ithalatına yönelik olarak bir nihai gözden geçirme soruşturması (NGGS) başlatılması için başvuruda bulunmuştur. Söz konusu başvuru Vatbuz Isıtma Soğutma ve Havalan. San. Paz. Tic. Ltd. Şti., Erbay Soğutma, Isıtma Cihazları San. ve Tic. Ltd. Şti. ve İmbat Soğutma Isıtma Mak. San. ve Tic. Ltd. Şti. tarafından desteklenmiştir.</w:t>
      </w:r>
    </w:p>
    <w:p w14:paraId="2246CE46" w14:textId="77777777" w:rsidR="00CC3CD0" w:rsidRPr="00EE21A9" w:rsidRDefault="00CC3CD0" w:rsidP="00CC3CD0">
      <w:pPr>
        <w:spacing w:line="192" w:lineRule="auto"/>
        <w:jc w:val="both"/>
        <w:rPr>
          <w:rFonts w:cstheme="minorHAnsi"/>
          <w:color w:val="0D0D0D" w:themeColor="text1" w:themeTint="F2"/>
        </w:rPr>
      </w:pPr>
    </w:p>
    <w:p w14:paraId="116408A2" w14:textId="77777777" w:rsidR="00CC3CD0" w:rsidRPr="00EE21A9" w:rsidRDefault="00CC3CD0" w:rsidP="00CC3CD0">
      <w:pPr>
        <w:pStyle w:val="Default"/>
        <w:spacing w:line="192" w:lineRule="auto"/>
        <w:jc w:val="both"/>
        <w:rPr>
          <w:rFonts w:asciiTheme="minorHAnsi" w:hAnsiTheme="minorHAnsi" w:cstheme="minorHAnsi"/>
          <w:color w:val="0D0D0D" w:themeColor="text1" w:themeTint="F2"/>
          <w:sz w:val="22"/>
          <w:szCs w:val="22"/>
        </w:rPr>
      </w:pPr>
      <w:r w:rsidRPr="00EE21A9">
        <w:rPr>
          <w:rFonts w:asciiTheme="minorHAnsi" w:hAnsiTheme="minorHAnsi" w:cstheme="minorHAnsi"/>
          <w:color w:val="0D0D0D" w:themeColor="text1" w:themeTint="F2"/>
          <w:sz w:val="22"/>
          <w:szCs w:val="22"/>
        </w:rPr>
        <w:t xml:space="preserve">(2) Başvuru kapsamında sunulan bilgi ve belgeler çerçevesinde hazırlanan İnceleme Raporu, İthalatta Haksız Rekabeti Değerlendirme Kurulu (Kurul) tarafından değerlendirilmiş ve bir NGGS açılmasını haklı kılacak yeterlilikte delillerin mevcudiyetine kanaat getirilmiştir. Bu çerçevede, 26/6/2021 tarihli ve </w:t>
      </w:r>
      <w:r w:rsidRPr="00EE21A9">
        <w:rPr>
          <w:rFonts w:asciiTheme="minorHAnsi" w:hAnsiTheme="minorHAnsi" w:cstheme="minorHAnsi"/>
          <w:sz w:val="22"/>
          <w:szCs w:val="22"/>
        </w:rPr>
        <w:t>31523</w:t>
      </w:r>
      <w:r w:rsidRPr="00EE21A9">
        <w:rPr>
          <w:rFonts w:asciiTheme="minorHAnsi" w:hAnsiTheme="minorHAnsi" w:cstheme="minorHAnsi"/>
          <w:color w:val="0D0D0D" w:themeColor="text1" w:themeTint="F2"/>
          <w:sz w:val="22"/>
          <w:szCs w:val="22"/>
        </w:rPr>
        <w:t xml:space="preserve"> sayılı Resmî Gazete’de yayımlanan İthalatta Haksız Rekabetin Önlenmesine İlişkin Tebliğ (Tebliğ No: 2021/34) ile ÇHC menşeli “Diğerleri - yalnızca merkezi iklimlendirme ve proses suyunun soğutulmasında kullanılan chiller (absorbsiyon ve santrifüj kompresörlü olanlar hariç)” ithalatına yönelik olarak NGSS başlatılmıştır. </w:t>
      </w:r>
    </w:p>
    <w:p w14:paraId="45ABE0FB" w14:textId="77777777" w:rsidR="00CC3CD0" w:rsidRPr="00EE21A9" w:rsidRDefault="00CC3CD0" w:rsidP="00CC3CD0">
      <w:pPr>
        <w:pStyle w:val="Default"/>
        <w:spacing w:line="192" w:lineRule="auto"/>
        <w:jc w:val="both"/>
        <w:rPr>
          <w:rFonts w:asciiTheme="minorHAnsi" w:hAnsiTheme="minorHAnsi" w:cstheme="minorHAnsi"/>
          <w:color w:val="0D0D0D" w:themeColor="text1" w:themeTint="F2"/>
          <w:sz w:val="22"/>
          <w:szCs w:val="22"/>
        </w:rPr>
      </w:pPr>
    </w:p>
    <w:p w14:paraId="6DE2C483" w14:textId="77777777" w:rsidR="00CC3CD0" w:rsidRPr="00EE21A9" w:rsidRDefault="00CC3CD0" w:rsidP="00CC3CD0">
      <w:pPr>
        <w:pStyle w:val="Default"/>
        <w:spacing w:line="192" w:lineRule="auto"/>
        <w:jc w:val="both"/>
        <w:rPr>
          <w:rFonts w:asciiTheme="minorHAnsi" w:hAnsiTheme="minorHAnsi" w:cstheme="minorHAnsi"/>
          <w:color w:val="0D0D0D" w:themeColor="text1" w:themeTint="F2"/>
          <w:sz w:val="22"/>
          <w:szCs w:val="22"/>
        </w:rPr>
      </w:pPr>
      <w:r w:rsidRPr="00EE21A9">
        <w:rPr>
          <w:rFonts w:asciiTheme="minorHAnsi" w:hAnsiTheme="minorHAnsi" w:cstheme="minorHAnsi"/>
          <w:color w:val="0D0D0D" w:themeColor="text1" w:themeTint="F2"/>
          <w:sz w:val="22"/>
          <w:szCs w:val="22"/>
        </w:rPr>
        <w:t xml:space="preserve">(3) Ticaret Bakanlığı (Bakanlık) İthalat Genel Müdürlüğü tarafından yürütülen NGGS tamamlanmıştır. </w:t>
      </w:r>
    </w:p>
    <w:p w14:paraId="2F99D2CC" w14:textId="77777777" w:rsidR="00CC3CD0" w:rsidRPr="00EE21A9" w:rsidRDefault="00CC3CD0" w:rsidP="00CC3CD0">
      <w:pPr>
        <w:pStyle w:val="Default"/>
        <w:spacing w:line="192" w:lineRule="auto"/>
        <w:jc w:val="both"/>
        <w:rPr>
          <w:rFonts w:asciiTheme="minorHAnsi" w:hAnsiTheme="minorHAnsi" w:cstheme="minorHAnsi"/>
          <w:color w:val="0D0D0D" w:themeColor="text1" w:themeTint="F2"/>
          <w:sz w:val="22"/>
          <w:szCs w:val="22"/>
        </w:rPr>
      </w:pPr>
    </w:p>
    <w:p w14:paraId="3B38A3AB" w14:textId="77777777" w:rsidR="00CC3CD0" w:rsidRPr="00EE21A9" w:rsidRDefault="00CC3CD0" w:rsidP="00CC3CD0">
      <w:pPr>
        <w:pStyle w:val="Balk2"/>
        <w:numPr>
          <w:ilvl w:val="1"/>
          <w:numId w:val="2"/>
        </w:numPr>
        <w:spacing w:before="0" w:line="192" w:lineRule="auto"/>
        <w:ind w:left="426"/>
        <w:rPr>
          <w:rFonts w:asciiTheme="minorHAnsi" w:hAnsiTheme="minorHAnsi" w:cstheme="minorHAnsi"/>
          <w:sz w:val="22"/>
          <w:szCs w:val="22"/>
        </w:rPr>
      </w:pPr>
      <w:r w:rsidRPr="00EE21A9">
        <w:rPr>
          <w:rFonts w:asciiTheme="minorHAnsi" w:hAnsiTheme="minorHAnsi" w:cstheme="minorHAnsi"/>
          <w:sz w:val="22"/>
          <w:szCs w:val="22"/>
        </w:rPr>
        <w:t>Önlemin geçmişi</w:t>
      </w:r>
    </w:p>
    <w:p w14:paraId="06EB9C82" w14:textId="77777777" w:rsidR="00CC3CD0" w:rsidRPr="00EE21A9" w:rsidRDefault="00CC3CD0" w:rsidP="00CC3CD0">
      <w:pPr>
        <w:spacing w:line="192" w:lineRule="auto"/>
        <w:jc w:val="both"/>
        <w:rPr>
          <w:rFonts w:cstheme="minorHAnsi"/>
        </w:rPr>
      </w:pPr>
      <w:r w:rsidRPr="00EE21A9">
        <w:rPr>
          <w:rFonts w:cstheme="minorHAnsi"/>
        </w:rPr>
        <w:t>(1) 1/7/2016 tarihli ve 29759 sayılı Resmî Gazete'de yayımlanan İthalatta Haksız Rekabetin Önlenmesine İlişkin Tebliğ (Tebliğ No: 2016/16) ile ÇHC menşeli 8418.69.00.10.00 gümrük tarife istatistik pozisyonu (GTİP) altında sınıflandırılan “kondenserleri ısı değiştiricisi fonksiyonu gören kompresörlü üniteler (yalnızca merkezi iklimlendirme ve proses suyunun soğutulmasında kullanılan chiller - absorbsiyon ve santrifüj kompresörlü olanlar hariç)” ürününün ithalatında, üretici/ihracatçı firma bazında CIF ithalat bedelinin %36,63’ü ile %49,64’ü arasında değişen oranlarda dampinge karşı kesin önlemler yürürlüğe konulmuştur.</w:t>
      </w:r>
    </w:p>
    <w:p w14:paraId="17DFE259" w14:textId="77777777" w:rsidR="00CC3CD0" w:rsidRPr="00EE21A9" w:rsidRDefault="00CC3CD0" w:rsidP="00CC3CD0">
      <w:pPr>
        <w:spacing w:line="192" w:lineRule="auto"/>
        <w:jc w:val="both"/>
        <w:rPr>
          <w:rFonts w:cstheme="minorHAnsi"/>
          <w:color w:val="0D0D0D" w:themeColor="text1" w:themeTint="F2"/>
        </w:rPr>
      </w:pPr>
    </w:p>
    <w:p w14:paraId="02FB2FE0" w14:textId="77777777" w:rsidR="00CC3CD0" w:rsidRPr="00EE21A9" w:rsidRDefault="00CC3CD0" w:rsidP="00CC3CD0">
      <w:pPr>
        <w:pStyle w:val="Balk2"/>
        <w:numPr>
          <w:ilvl w:val="1"/>
          <w:numId w:val="2"/>
        </w:numPr>
        <w:spacing w:before="0" w:line="192" w:lineRule="auto"/>
        <w:ind w:left="426"/>
        <w:rPr>
          <w:rFonts w:asciiTheme="minorHAnsi" w:hAnsiTheme="minorHAnsi" w:cstheme="minorHAnsi"/>
          <w:sz w:val="22"/>
          <w:szCs w:val="22"/>
        </w:rPr>
      </w:pPr>
      <w:r w:rsidRPr="00EE21A9">
        <w:rPr>
          <w:rFonts w:asciiTheme="minorHAnsi" w:hAnsiTheme="minorHAnsi" w:cstheme="minorHAnsi"/>
          <w:sz w:val="22"/>
          <w:szCs w:val="22"/>
        </w:rPr>
        <w:t>Yerli üretim dalının temsil niteliği</w:t>
      </w:r>
    </w:p>
    <w:p w14:paraId="7968590C" w14:textId="77777777" w:rsidR="00CC3CD0" w:rsidRPr="00EE21A9" w:rsidRDefault="00CC3CD0" w:rsidP="00CC3CD0">
      <w:pPr>
        <w:spacing w:line="192" w:lineRule="auto"/>
        <w:jc w:val="both"/>
        <w:rPr>
          <w:rFonts w:cstheme="minorHAnsi"/>
        </w:rPr>
      </w:pPr>
      <w:r w:rsidRPr="00EE21A9">
        <w:rPr>
          <w:rFonts w:cstheme="minorHAnsi"/>
          <w:color w:val="000000"/>
        </w:rPr>
        <w:t xml:space="preserve">(1) </w:t>
      </w:r>
      <w:r w:rsidRPr="00EE21A9">
        <w:rPr>
          <w:rFonts w:cstheme="minorHAnsi"/>
        </w:rPr>
        <w:t xml:space="preserve">Başvuru aşamasında yapılan değerlendirmede, </w:t>
      </w:r>
      <w:r w:rsidRPr="00EE21A9">
        <w:rPr>
          <w:rFonts w:cstheme="minorHAnsi"/>
          <w:color w:val="000000"/>
        </w:rPr>
        <w:t>Yönetmeliğin 18 inci ve 20 nci maddeleri çerçevesinde,</w:t>
      </w:r>
      <w:r w:rsidRPr="00EE21A9">
        <w:rPr>
          <w:rFonts w:cstheme="minorHAnsi"/>
        </w:rPr>
        <w:t xml:space="preserve"> </w:t>
      </w:r>
      <w:r w:rsidRPr="00EE21A9">
        <w:rPr>
          <w:rFonts w:cstheme="minorHAnsi"/>
          <w:bCs/>
        </w:rPr>
        <w:t>Üntes Rhoss</w:t>
      </w:r>
      <w:r w:rsidRPr="00EE21A9">
        <w:rPr>
          <w:rFonts w:cstheme="minorHAnsi"/>
          <w:color w:val="000000"/>
        </w:rPr>
        <w:t xml:space="preserve"> firmasının yerli üretim dalını temsil yeteneğini haiz olduğu anlaşılmış olup,</w:t>
      </w:r>
      <w:r w:rsidRPr="00EE21A9">
        <w:rPr>
          <w:rFonts w:cstheme="minorHAnsi"/>
        </w:rPr>
        <w:t xml:space="preserve"> söz konusu firma,</w:t>
      </w:r>
      <w:r w:rsidRPr="00EE21A9">
        <w:rPr>
          <w:rFonts w:cstheme="minorHAnsi"/>
          <w:color w:val="000000"/>
        </w:rPr>
        <w:t xml:space="preserve"> </w:t>
      </w:r>
      <w:r w:rsidRPr="00EE21A9">
        <w:rPr>
          <w:rFonts w:cstheme="minorHAnsi"/>
        </w:rPr>
        <w:t>bu raporun ilgili bölümlerinde “yerli üretim dalı” olarak anılacaktır.</w:t>
      </w:r>
    </w:p>
    <w:p w14:paraId="332D15CD" w14:textId="77777777" w:rsidR="00CC3CD0" w:rsidRPr="00EE21A9" w:rsidRDefault="00CC3CD0" w:rsidP="00CC3CD0">
      <w:pPr>
        <w:spacing w:line="192" w:lineRule="auto"/>
        <w:jc w:val="both"/>
        <w:rPr>
          <w:rFonts w:cstheme="minorHAnsi"/>
        </w:rPr>
      </w:pPr>
    </w:p>
    <w:p w14:paraId="63AA2E5D" w14:textId="77777777" w:rsidR="00CC3CD0" w:rsidRPr="00EE21A9" w:rsidRDefault="00CC3CD0" w:rsidP="00CC3CD0">
      <w:pPr>
        <w:pStyle w:val="Balk2"/>
        <w:numPr>
          <w:ilvl w:val="1"/>
          <w:numId w:val="2"/>
        </w:numPr>
        <w:spacing w:before="0" w:line="192" w:lineRule="auto"/>
        <w:ind w:left="426"/>
        <w:rPr>
          <w:rFonts w:asciiTheme="minorHAnsi" w:hAnsiTheme="minorHAnsi" w:cstheme="minorHAnsi"/>
          <w:sz w:val="22"/>
          <w:szCs w:val="22"/>
        </w:rPr>
      </w:pPr>
      <w:r w:rsidRPr="00EE21A9">
        <w:rPr>
          <w:rFonts w:asciiTheme="minorHAnsi" w:hAnsiTheme="minorHAnsi" w:cstheme="minorHAnsi"/>
          <w:sz w:val="22"/>
          <w:szCs w:val="22"/>
        </w:rPr>
        <w:t xml:space="preserve">Gözden geçirme dönemi </w:t>
      </w:r>
    </w:p>
    <w:p w14:paraId="12C19E46" w14:textId="77777777" w:rsidR="00CC3CD0" w:rsidRPr="00EE21A9" w:rsidRDefault="00CC3CD0" w:rsidP="00CC3CD0">
      <w:pPr>
        <w:spacing w:line="192" w:lineRule="auto"/>
        <w:jc w:val="both"/>
        <w:rPr>
          <w:rFonts w:cstheme="minorHAnsi"/>
        </w:rPr>
      </w:pPr>
      <w:bookmarkStart w:id="0" w:name="_Toc317854277"/>
      <w:r w:rsidRPr="00EE21A9">
        <w:rPr>
          <w:rFonts w:cstheme="minorHAnsi"/>
        </w:rPr>
        <w:t>(1) Önlemin yürürlükten kalkması durumunda, dampingin ve zararın devamı veya yeniden meydana gelmesinin muhtemel olup olmadığının tespiti için 1/1/2018 – 31/12/2020 arasındaki dönem gözden geçirme dönemi olarak alınmıştır.</w:t>
      </w:r>
    </w:p>
    <w:p w14:paraId="28E199E7" w14:textId="77777777" w:rsidR="00CC3CD0" w:rsidRPr="00EE21A9" w:rsidRDefault="00CC3CD0" w:rsidP="00CC3CD0">
      <w:pPr>
        <w:spacing w:line="192" w:lineRule="auto"/>
        <w:jc w:val="both"/>
        <w:rPr>
          <w:rFonts w:cstheme="minorHAnsi"/>
        </w:rPr>
      </w:pPr>
    </w:p>
    <w:p w14:paraId="71DA0EC7" w14:textId="77777777" w:rsidR="00CC3CD0" w:rsidRPr="00EE21A9" w:rsidRDefault="00CC3CD0" w:rsidP="00CC3CD0">
      <w:pPr>
        <w:pStyle w:val="Balk2"/>
        <w:numPr>
          <w:ilvl w:val="1"/>
          <w:numId w:val="2"/>
        </w:numPr>
        <w:spacing w:before="0" w:line="192" w:lineRule="auto"/>
        <w:ind w:left="426"/>
        <w:rPr>
          <w:rFonts w:asciiTheme="minorHAnsi" w:hAnsiTheme="minorHAnsi" w:cstheme="minorHAnsi"/>
          <w:sz w:val="22"/>
          <w:szCs w:val="22"/>
        </w:rPr>
      </w:pPr>
      <w:r w:rsidRPr="00EE21A9">
        <w:rPr>
          <w:rFonts w:asciiTheme="minorHAnsi" w:hAnsiTheme="minorHAnsi" w:cstheme="minorHAnsi"/>
          <w:sz w:val="22"/>
          <w:szCs w:val="22"/>
        </w:rPr>
        <w:t>İlgili tarafların bilgilendirilmesi, dinlenmesi ve bilgilerin değerlendirilmesi</w:t>
      </w:r>
      <w:bookmarkEnd w:id="0"/>
    </w:p>
    <w:p w14:paraId="5575DCA8" w14:textId="77777777" w:rsidR="00CC3CD0" w:rsidRPr="00EE21A9" w:rsidRDefault="00CC3CD0" w:rsidP="00CC3CD0">
      <w:pPr>
        <w:spacing w:line="192" w:lineRule="auto"/>
        <w:jc w:val="both"/>
        <w:rPr>
          <w:rFonts w:cstheme="minorHAnsi"/>
        </w:rPr>
      </w:pPr>
      <w:bookmarkStart w:id="1" w:name="_Toc317854278"/>
      <w:r w:rsidRPr="00EE21A9">
        <w:rPr>
          <w:rFonts w:cstheme="minorHAnsi"/>
        </w:rPr>
        <w:t>(1) Soruşturma açılmasını müteakip, soruşturma konusu ürünün Bakanlıkça tespit edilen Türkiye’de yerleşik ithalatçılarına, ÇHC’de yerleşik bilinen üretici/ihracatçılarına ve ÇHC’de yerleşik diğer üreticilere/ihracatçılara iletilebilmesini teminen, ÇHC’nin Ankara Büyükelçiliğine soruşturma açılışına ilişkin bildirimde bulunulmuştur.</w:t>
      </w:r>
    </w:p>
    <w:p w14:paraId="259EF652" w14:textId="77777777" w:rsidR="00CC3CD0" w:rsidRPr="00EE21A9" w:rsidRDefault="00CC3CD0" w:rsidP="00CC3CD0">
      <w:pPr>
        <w:pStyle w:val="ListeParagraf"/>
        <w:spacing w:line="192" w:lineRule="auto"/>
        <w:ind w:left="360"/>
        <w:jc w:val="both"/>
        <w:rPr>
          <w:rFonts w:cstheme="minorHAnsi"/>
        </w:rPr>
      </w:pPr>
    </w:p>
    <w:p w14:paraId="5E5C60BC" w14:textId="77777777" w:rsidR="00CC3CD0" w:rsidRPr="00EE21A9" w:rsidRDefault="00CC3CD0" w:rsidP="00CC3CD0">
      <w:pPr>
        <w:spacing w:line="192" w:lineRule="auto"/>
        <w:jc w:val="both"/>
        <w:rPr>
          <w:rFonts w:cstheme="minorHAnsi"/>
        </w:rPr>
      </w:pPr>
      <w:r w:rsidRPr="00EE21A9">
        <w:rPr>
          <w:rFonts w:cstheme="minorHAnsi"/>
        </w:rPr>
        <w:t>(2) Bildirimlerde, soruşturma açılış Tebliğine, başvurunun gizli olmayan metnine ve soru formlarına nereden erişileceği hususunda bilgi verilmiştir.</w:t>
      </w:r>
    </w:p>
    <w:p w14:paraId="18F7E7F0" w14:textId="77777777" w:rsidR="00CC3CD0" w:rsidRPr="00EE21A9" w:rsidRDefault="00CC3CD0" w:rsidP="00CC3CD0">
      <w:pPr>
        <w:spacing w:line="192" w:lineRule="auto"/>
        <w:jc w:val="both"/>
        <w:rPr>
          <w:rFonts w:cstheme="minorHAnsi"/>
        </w:rPr>
      </w:pPr>
    </w:p>
    <w:p w14:paraId="79899B48" w14:textId="77777777" w:rsidR="00CC3CD0" w:rsidRPr="00EE21A9" w:rsidRDefault="00CC3CD0" w:rsidP="00CC3CD0">
      <w:pPr>
        <w:spacing w:line="192" w:lineRule="auto"/>
        <w:jc w:val="both"/>
        <w:rPr>
          <w:rFonts w:cstheme="minorHAnsi"/>
        </w:rPr>
      </w:pPr>
      <w:r w:rsidRPr="00EE21A9">
        <w:rPr>
          <w:rFonts w:cstheme="minorHAnsi"/>
        </w:rPr>
        <w:t>(3) Taraflara soru formunu yanıtlamaları için posta süresi dâhil 37 gün süre tanınmıştır. İlgili taraflardan süre uzatımı yönünde bir talep alınmamıştır.</w:t>
      </w:r>
    </w:p>
    <w:p w14:paraId="2F1702BB" w14:textId="77777777" w:rsidR="00CC3CD0" w:rsidRPr="00EE21A9" w:rsidRDefault="00CC3CD0" w:rsidP="00CC3CD0">
      <w:pPr>
        <w:pStyle w:val="ListeParagraf"/>
        <w:spacing w:line="192" w:lineRule="auto"/>
        <w:ind w:left="360"/>
        <w:jc w:val="both"/>
        <w:rPr>
          <w:rFonts w:cstheme="minorHAnsi"/>
        </w:rPr>
      </w:pPr>
    </w:p>
    <w:p w14:paraId="20D0973A" w14:textId="77777777" w:rsidR="00CC3CD0" w:rsidRPr="00EE21A9" w:rsidRDefault="00CC3CD0" w:rsidP="00CC3CD0">
      <w:pPr>
        <w:spacing w:line="192" w:lineRule="auto"/>
        <w:jc w:val="both"/>
        <w:rPr>
          <w:rFonts w:cstheme="minorHAnsi"/>
        </w:rPr>
      </w:pPr>
      <w:r w:rsidRPr="00EE21A9">
        <w:rPr>
          <w:rFonts w:cstheme="minorHAnsi"/>
        </w:rPr>
        <w:t xml:space="preserve">(4) Yerli üretim dalı, soruşturma süresi boyunca Bakanlık ile işbirliği içinde olmuş ve gerektiğinde talep edilen ilave bilgileri temin etmiştir. </w:t>
      </w:r>
    </w:p>
    <w:p w14:paraId="7D4656FF" w14:textId="77777777" w:rsidR="00CC3CD0" w:rsidRPr="00EE21A9" w:rsidRDefault="00CC3CD0" w:rsidP="00CC3CD0">
      <w:pPr>
        <w:pStyle w:val="ListeParagraf"/>
        <w:spacing w:line="192" w:lineRule="auto"/>
        <w:ind w:left="360"/>
        <w:jc w:val="both"/>
        <w:rPr>
          <w:rFonts w:cstheme="minorHAnsi"/>
        </w:rPr>
      </w:pPr>
    </w:p>
    <w:p w14:paraId="0E84670E" w14:textId="77777777" w:rsidR="00CC3CD0" w:rsidRPr="00EE21A9" w:rsidRDefault="00CC3CD0" w:rsidP="00CC3CD0">
      <w:pPr>
        <w:spacing w:line="192" w:lineRule="auto"/>
        <w:jc w:val="both"/>
        <w:rPr>
          <w:rFonts w:cstheme="minorHAnsi"/>
        </w:rPr>
      </w:pPr>
      <w:r w:rsidRPr="00EE21A9">
        <w:rPr>
          <w:rFonts w:cstheme="minorHAnsi"/>
        </w:rPr>
        <w:t>(5) Soruşturma konusu ürünün ithalatını gerçekleştirdiği tespit edilen firmalara soruşturma açılışına ilişkin bildirim gönderilmiştir. Türkiye’de yerleşik 2 ithalatçı firmadan ithalatçı soru formuna yanıt alınmıştır.</w:t>
      </w:r>
    </w:p>
    <w:p w14:paraId="087245A7" w14:textId="77777777" w:rsidR="00CC3CD0" w:rsidRPr="00EE21A9" w:rsidRDefault="00CC3CD0" w:rsidP="00CC3CD0">
      <w:pPr>
        <w:pStyle w:val="ListeParagraf"/>
        <w:spacing w:line="192" w:lineRule="auto"/>
        <w:ind w:left="360"/>
        <w:jc w:val="both"/>
        <w:rPr>
          <w:rFonts w:cstheme="minorHAnsi"/>
        </w:rPr>
      </w:pPr>
    </w:p>
    <w:p w14:paraId="22E6C8AC" w14:textId="77777777" w:rsidR="00CC3CD0" w:rsidRPr="00EE21A9" w:rsidRDefault="00CC3CD0" w:rsidP="00CC3CD0">
      <w:pPr>
        <w:spacing w:line="192" w:lineRule="auto"/>
        <w:jc w:val="both"/>
        <w:rPr>
          <w:rFonts w:cstheme="minorHAnsi"/>
        </w:rPr>
      </w:pPr>
      <w:r w:rsidRPr="00EE21A9">
        <w:rPr>
          <w:rFonts w:cstheme="minorHAnsi"/>
        </w:rPr>
        <w:t>(6) Soruşturma konusu ürünün ihracatını gerçekleştirdiği tespit edilen firmalara soruşturma açılışına ilişkin bildirim gönderilmiştir. ÇHC’de yerleşik söz konusu ihracatçı firmalardan üretici/ihracatçı soru formuna yanıt alınmamıştır.</w:t>
      </w:r>
    </w:p>
    <w:p w14:paraId="0AAD4062" w14:textId="77777777" w:rsidR="00CC3CD0" w:rsidRPr="00EE21A9" w:rsidRDefault="00CC3CD0" w:rsidP="00CC3CD0">
      <w:pPr>
        <w:pStyle w:val="ListeParagraf"/>
        <w:spacing w:line="192" w:lineRule="auto"/>
        <w:ind w:left="360"/>
        <w:jc w:val="both"/>
        <w:rPr>
          <w:rFonts w:cstheme="minorHAnsi"/>
        </w:rPr>
      </w:pPr>
    </w:p>
    <w:p w14:paraId="338BB789" w14:textId="77777777" w:rsidR="00CC3CD0" w:rsidRPr="00EE21A9" w:rsidRDefault="00CC3CD0" w:rsidP="00CC3CD0">
      <w:pPr>
        <w:spacing w:line="192" w:lineRule="auto"/>
        <w:jc w:val="both"/>
        <w:rPr>
          <w:rFonts w:cstheme="minorHAnsi"/>
        </w:rPr>
      </w:pPr>
      <w:r w:rsidRPr="00EE21A9">
        <w:rPr>
          <w:rFonts w:cstheme="minorHAnsi"/>
        </w:rPr>
        <w:t>(7) Soruşturma sonucunda alınacak karara esas teşkil edecek bilgi, bulgu, tespit ve değerlendirmeleri içeren nihai bildirim raporu ÇHC’nin Ankara Büyükelçiliğine, soru formunu yanıtlayan ithalatçılara, yerli üretim dalına, NGGS açılışına ilişkin başvuruyu destekleyen yerli üreticilere ve meslek kuruluşlarına iletilmiştir.</w:t>
      </w:r>
    </w:p>
    <w:p w14:paraId="120CC4A2" w14:textId="77777777" w:rsidR="00CC3CD0" w:rsidRPr="00EE21A9" w:rsidRDefault="00CC3CD0" w:rsidP="00CC3CD0">
      <w:pPr>
        <w:pStyle w:val="ListeParagraf"/>
        <w:spacing w:line="192" w:lineRule="auto"/>
        <w:ind w:left="360"/>
        <w:jc w:val="both"/>
        <w:rPr>
          <w:rFonts w:cstheme="minorHAnsi"/>
        </w:rPr>
      </w:pPr>
    </w:p>
    <w:p w14:paraId="0EE047BB" w14:textId="77777777" w:rsidR="00CC3CD0" w:rsidRPr="00EE21A9" w:rsidRDefault="00CC3CD0" w:rsidP="00CC3CD0">
      <w:pPr>
        <w:spacing w:line="192" w:lineRule="auto"/>
        <w:jc w:val="both"/>
        <w:rPr>
          <w:rFonts w:cstheme="minorHAnsi"/>
        </w:rPr>
      </w:pPr>
      <w:r w:rsidRPr="00EE21A9">
        <w:rPr>
          <w:rFonts w:cstheme="minorHAnsi"/>
          <w:bCs/>
        </w:rPr>
        <w:t>(8) Tarafların soruşturma boyunca ortaya koyduğu tüm bilgi, belge ve görüşler incelenmiş, mezkûr görüşlerden mevzuat kapsamında değerlendirilebilecek olanlara bu Raporun ilgili bölümlerinde</w:t>
      </w:r>
      <w:r w:rsidRPr="00EE21A9">
        <w:rPr>
          <w:rFonts w:cstheme="minorHAnsi"/>
        </w:rPr>
        <w:t xml:space="preserve"> değinilmiştir.</w:t>
      </w:r>
    </w:p>
    <w:p w14:paraId="4D2C9258" w14:textId="77777777" w:rsidR="00CC3CD0" w:rsidRPr="00EE21A9" w:rsidRDefault="00CC3CD0" w:rsidP="00CC3CD0">
      <w:pPr>
        <w:spacing w:line="192" w:lineRule="auto"/>
        <w:jc w:val="both"/>
        <w:rPr>
          <w:rFonts w:cstheme="minorHAnsi"/>
        </w:rPr>
      </w:pPr>
    </w:p>
    <w:p w14:paraId="41F729C3" w14:textId="77777777" w:rsidR="00CC3CD0" w:rsidRPr="00EE21A9" w:rsidRDefault="00CC3CD0" w:rsidP="00CC3CD0">
      <w:pPr>
        <w:pStyle w:val="Balk2"/>
        <w:numPr>
          <w:ilvl w:val="1"/>
          <w:numId w:val="2"/>
        </w:numPr>
        <w:spacing w:before="0" w:line="192" w:lineRule="auto"/>
        <w:ind w:left="426"/>
        <w:rPr>
          <w:rFonts w:asciiTheme="minorHAnsi" w:hAnsiTheme="minorHAnsi" w:cstheme="minorHAnsi"/>
          <w:sz w:val="22"/>
          <w:szCs w:val="22"/>
        </w:rPr>
      </w:pPr>
      <w:r w:rsidRPr="00EE21A9">
        <w:rPr>
          <w:rFonts w:asciiTheme="minorHAnsi" w:hAnsiTheme="minorHAnsi" w:cstheme="minorHAnsi"/>
          <w:sz w:val="22"/>
          <w:szCs w:val="22"/>
        </w:rPr>
        <w:t xml:space="preserve">Yerinde doğrulama </w:t>
      </w:r>
      <w:bookmarkEnd w:id="1"/>
      <w:r w:rsidRPr="00EE21A9">
        <w:rPr>
          <w:rFonts w:asciiTheme="minorHAnsi" w:hAnsiTheme="minorHAnsi" w:cstheme="minorHAnsi"/>
          <w:sz w:val="22"/>
          <w:szCs w:val="22"/>
        </w:rPr>
        <w:t>incelemesi</w:t>
      </w:r>
    </w:p>
    <w:p w14:paraId="4209F7FB" w14:textId="77777777" w:rsidR="00CC3CD0" w:rsidRPr="00EE21A9" w:rsidRDefault="00CC3CD0" w:rsidP="00CC3CD0">
      <w:pPr>
        <w:spacing w:line="192" w:lineRule="auto"/>
        <w:jc w:val="both"/>
        <w:rPr>
          <w:rFonts w:cstheme="minorHAnsi"/>
          <w:color w:val="000000"/>
        </w:rPr>
      </w:pPr>
      <w:r w:rsidRPr="00EE21A9">
        <w:rPr>
          <w:rFonts w:cstheme="minorHAnsi"/>
          <w:color w:val="000000"/>
        </w:rPr>
        <w:t xml:space="preserve">(1) Yönetmeliğin 21 inci maddesi çerçevesinde, </w:t>
      </w:r>
      <w:r w:rsidRPr="00EE21A9">
        <w:rPr>
          <w:rFonts w:cstheme="minorHAnsi"/>
          <w:bCs/>
        </w:rPr>
        <w:t xml:space="preserve">Üntes Rhoss’un </w:t>
      </w:r>
      <w:r w:rsidRPr="00EE21A9">
        <w:rPr>
          <w:rFonts w:cstheme="minorHAnsi"/>
          <w:color w:val="000000"/>
        </w:rPr>
        <w:t xml:space="preserve">yerinde doğrulaması çevrim içi olarak gerçekleştirilmiştir. </w:t>
      </w:r>
    </w:p>
    <w:p w14:paraId="137B1F5E" w14:textId="77777777" w:rsidR="00CC3CD0" w:rsidRPr="00EE21A9" w:rsidRDefault="00CC3CD0" w:rsidP="00CC3CD0">
      <w:pPr>
        <w:spacing w:line="192" w:lineRule="auto"/>
        <w:jc w:val="both"/>
        <w:rPr>
          <w:rFonts w:cstheme="minorHAnsi"/>
          <w:color w:val="000000"/>
        </w:rPr>
      </w:pPr>
    </w:p>
    <w:p w14:paraId="756F220D" w14:textId="77777777" w:rsidR="00CC3CD0" w:rsidRPr="00EE21A9" w:rsidRDefault="00CC3CD0" w:rsidP="00CC3CD0">
      <w:pPr>
        <w:pStyle w:val="Balk1"/>
        <w:numPr>
          <w:ilvl w:val="0"/>
          <w:numId w:val="2"/>
        </w:numPr>
        <w:spacing w:before="0" w:after="0" w:line="192" w:lineRule="auto"/>
        <w:rPr>
          <w:rFonts w:asciiTheme="minorHAnsi" w:hAnsiTheme="minorHAnsi" w:cstheme="minorHAnsi"/>
          <w:sz w:val="22"/>
          <w:szCs w:val="22"/>
        </w:rPr>
      </w:pPr>
      <w:r w:rsidRPr="00EE21A9">
        <w:rPr>
          <w:rFonts w:asciiTheme="minorHAnsi" w:hAnsiTheme="minorHAnsi" w:cstheme="minorHAnsi"/>
          <w:sz w:val="22"/>
          <w:szCs w:val="22"/>
        </w:rPr>
        <w:t>Soruşturma Konusu Ürün ve Benzer Ürün</w:t>
      </w:r>
    </w:p>
    <w:p w14:paraId="437A42CF" w14:textId="77777777" w:rsidR="00CC3CD0" w:rsidRPr="00EE21A9" w:rsidRDefault="00CC3CD0" w:rsidP="00CC3CD0">
      <w:pPr>
        <w:pStyle w:val="Balk2"/>
        <w:numPr>
          <w:ilvl w:val="1"/>
          <w:numId w:val="2"/>
        </w:numPr>
        <w:spacing w:before="0" w:line="192" w:lineRule="auto"/>
        <w:ind w:left="426"/>
        <w:rPr>
          <w:rFonts w:asciiTheme="minorHAnsi" w:hAnsiTheme="minorHAnsi" w:cstheme="minorHAnsi"/>
          <w:sz w:val="22"/>
          <w:szCs w:val="22"/>
        </w:rPr>
      </w:pPr>
      <w:r w:rsidRPr="00EE21A9">
        <w:rPr>
          <w:rFonts w:asciiTheme="minorHAnsi" w:hAnsiTheme="minorHAnsi" w:cstheme="minorHAnsi"/>
          <w:sz w:val="22"/>
          <w:szCs w:val="22"/>
        </w:rPr>
        <w:t>Soruşturma konusu ürün ve benzer ürün</w:t>
      </w:r>
    </w:p>
    <w:p w14:paraId="4461E33B" w14:textId="77777777" w:rsidR="00CC3CD0" w:rsidRPr="00EE21A9" w:rsidRDefault="00CC3CD0" w:rsidP="00CC3CD0">
      <w:pPr>
        <w:spacing w:line="192" w:lineRule="auto"/>
        <w:jc w:val="both"/>
        <w:rPr>
          <w:rFonts w:cstheme="minorHAnsi"/>
          <w:bCs/>
        </w:rPr>
      </w:pPr>
      <w:bookmarkStart w:id="2" w:name="_Toc519505558"/>
      <w:r w:rsidRPr="00EE21A9">
        <w:rPr>
          <w:rFonts w:cstheme="minorHAnsi"/>
          <w:bCs/>
        </w:rPr>
        <w:t xml:space="preserve">(1) ÇHC menşeli </w:t>
      </w:r>
      <w:r w:rsidRPr="00EE21A9">
        <w:rPr>
          <w:rFonts w:cstheme="minorHAnsi"/>
        </w:rPr>
        <w:t xml:space="preserve">“yalnızca merkezi iklimlendirme ve proses suyunun </w:t>
      </w:r>
      <w:r w:rsidRPr="00EE21A9">
        <w:rPr>
          <w:rFonts w:cstheme="minorHAnsi"/>
          <w:bCs/>
        </w:rPr>
        <w:t xml:space="preserve">soğutulmasında kullanılan chiller - absorbsiyon ve santrifüj kompresörlü olanlar hariç” soruşturma konusu üründür. </w:t>
      </w:r>
    </w:p>
    <w:p w14:paraId="7A5714B7" w14:textId="77777777" w:rsidR="00CC3CD0" w:rsidRPr="00EE21A9" w:rsidRDefault="00CC3CD0" w:rsidP="00CC3CD0">
      <w:pPr>
        <w:spacing w:line="192" w:lineRule="auto"/>
        <w:jc w:val="both"/>
        <w:rPr>
          <w:rFonts w:cstheme="minorHAnsi"/>
          <w:bCs/>
        </w:rPr>
      </w:pPr>
    </w:p>
    <w:p w14:paraId="79C298DA" w14:textId="77777777" w:rsidR="00CC3CD0" w:rsidRPr="00EE21A9" w:rsidRDefault="00CC3CD0" w:rsidP="00CC3CD0">
      <w:pPr>
        <w:spacing w:line="192" w:lineRule="auto"/>
        <w:jc w:val="both"/>
        <w:rPr>
          <w:rFonts w:cstheme="minorHAnsi"/>
          <w:bCs/>
        </w:rPr>
      </w:pPr>
      <w:r w:rsidRPr="00EE21A9">
        <w:rPr>
          <w:rFonts w:cstheme="minorHAnsi"/>
          <w:bCs/>
        </w:rPr>
        <w:t>(2) Önleme tabi ürün, merkezi iklimlendirme sistemleri ve merkezi soğutma sistemlerinde sistem suyunu soğutma amacıyla kullanılır. Merkezi iklimlendirme sistemlerinde, önleme tabi ürün ile soğutulan su klima santrali ve fancoil gibi cihazlara sevk edilir. Bu cihazlar yardımıyla ısı transferi sağlanarak hava ile mahal soğutulur. Ayrıca, önleme tabi ürün soğutma ihtiyacı duyulan alanlarda da prosess suyunun soğutulması amacıyla kullanılmaktadır.</w:t>
      </w:r>
    </w:p>
    <w:p w14:paraId="396EE473" w14:textId="77777777" w:rsidR="00CC3CD0" w:rsidRPr="00EE21A9" w:rsidRDefault="00CC3CD0" w:rsidP="00CC3CD0">
      <w:pPr>
        <w:spacing w:line="192" w:lineRule="auto"/>
        <w:jc w:val="both"/>
        <w:rPr>
          <w:rFonts w:cstheme="minorHAnsi"/>
          <w:bCs/>
        </w:rPr>
      </w:pPr>
    </w:p>
    <w:p w14:paraId="6E3ECFFD" w14:textId="77777777" w:rsidR="00CC3CD0" w:rsidRPr="00EE21A9" w:rsidRDefault="00CC3CD0" w:rsidP="00CC3CD0">
      <w:pPr>
        <w:spacing w:line="192" w:lineRule="auto"/>
        <w:jc w:val="both"/>
        <w:rPr>
          <w:rFonts w:cstheme="minorHAnsi"/>
          <w:bCs/>
        </w:rPr>
      </w:pPr>
      <w:r w:rsidRPr="00EE21A9">
        <w:rPr>
          <w:rFonts w:cstheme="minorHAnsi"/>
          <w:bCs/>
        </w:rPr>
        <w:t xml:space="preserve">(3) Soruşturma konusu ürün otel, iş merkezi, plaza, alışveriş merkezi vb. alanlarda sistem suyunu soğutma amacıyla kullanılmaktadır. Endüstriyel alanlarda da proses suyunun soğutulması amacıyla kullanılmaktadır. </w:t>
      </w:r>
    </w:p>
    <w:p w14:paraId="7ABE104C" w14:textId="77777777" w:rsidR="00CC3CD0" w:rsidRPr="00EE21A9" w:rsidRDefault="00CC3CD0" w:rsidP="00CC3CD0">
      <w:pPr>
        <w:pStyle w:val="ListeParagraf"/>
        <w:spacing w:line="192" w:lineRule="auto"/>
        <w:ind w:left="360"/>
        <w:jc w:val="both"/>
        <w:rPr>
          <w:rFonts w:cstheme="minorHAnsi"/>
          <w:bCs/>
        </w:rPr>
      </w:pPr>
    </w:p>
    <w:p w14:paraId="68842952" w14:textId="77777777" w:rsidR="00CC3CD0" w:rsidRPr="00EE21A9" w:rsidRDefault="00CC3CD0" w:rsidP="00CC3CD0">
      <w:pPr>
        <w:spacing w:line="192" w:lineRule="auto"/>
        <w:jc w:val="both"/>
        <w:rPr>
          <w:rFonts w:cstheme="minorHAnsi"/>
          <w:bCs/>
        </w:rPr>
      </w:pPr>
      <w:r w:rsidRPr="00EE21A9">
        <w:rPr>
          <w:rFonts w:cstheme="minorHAnsi"/>
          <w:bCs/>
        </w:rPr>
        <w:t xml:space="preserve">(4) </w:t>
      </w:r>
      <w:r w:rsidRPr="00EE21A9">
        <w:rPr>
          <w:rFonts w:cstheme="minorHAnsi"/>
        </w:rPr>
        <w:t>Soruşturma</w:t>
      </w:r>
      <w:r w:rsidRPr="00EE21A9">
        <w:rPr>
          <w:rFonts w:cstheme="minorHAnsi"/>
          <w:bCs/>
        </w:rPr>
        <w:t xml:space="preserve"> konusu ürün, hava soğutmalı ve su soğutmalı olmak üzere iki temel tipe sahiptir. Hava soğutmalı ve su soğutmalı tipler de kendi içerisinde vidalı kompresörlü ve scroll kompresörlü olarak ayrılmaktadır. </w:t>
      </w:r>
    </w:p>
    <w:p w14:paraId="3132166B" w14:textId="77777777" w:rsidR="00CC3CD0" w:rsidRPr="00EE21A9" w:rsidRDefault="00CC3CD0" w:rsidP="00CC3CD0">
      <w:pPr>
        <w:pStyle w:val="ListeParagraf"/>
        <w:spacing w:line="192" w:lineRule="auto"/>
        <w:ind w:left="360"/>
        <w:jc w:val="both"/>
        <w:rPr>
          <w:rFonts w:cstheme="minorHAnsi"/>
          <w:bCs/>
        </w:rPr>
      </w:pPr>
    </w:p>
    <w:p w14:paraId="6992C25D" w14:textId="77777777" w:rsidR="00CC3CD0" w:rsidRPr="00EE21A9" w:rsidRDefault="00CC3CD0" w:rsidP="00CC3CD0">
      <w:pPr>
        <w:spacing w:line="192" w:lineRule="auto"/>
        <w:jc w:val="both"/>
        <w:rPr>
          <w:rFonts w:cstheme="minorHAnsi"/>
          <w:bCs/>
        </w:rPr>
      </w:pPr>
      <w:r w:rsidRPr="00EE21A9">
        <w:rPr>
          <w:rFonts w:cstheme="minorHAnsi"/>
          <w:bCs/>
        </w:rPr>
        <w:t xml:space="preserve">(5) </w:t>
      </w:r>
      <w:r w:rsidRPr="00EE21A9">
        <w:rPr>
          <w:rFonts w:cstheme="minorHAnsi"/>
        </w:rPr>
        <w:t>Soruşturma konusu</w:t>
      </w:r>
      <w:r w:rsidRPr="00EE21A9">
        <w:rPr>
          <w:rFonts w:cstheme="minorHAnsi"/>
          <w:bCs/>
        </w:rPr>
        <w:t xml:space="preserve"> ürün bir soğutma devresi içinde çalışmaktadır. Bu soğutma devresi içinde 4 ana komponent bulunmaktadır. Bunlar; kompresör, kondenser, elektronik expansion valve ve evaporatördür. Bu soğutma devresi içinde bir soğutucu akışkan gaz dolaşmaktadır. Bu gaz kompresörde sıkıştırılarak kondensere gönderilmektedir. Kondenserde hava veya su ile soğutulan gaz (hava ile soğutulanlar hava soğutmalı chiller, su ile soğutulanlar su soğutmalı chiller adını almaktadır.) expansion valveye gönderilmektedir. Expansion valveden sonra sıvı hale gelen gaz evaporatöre gönderilmektedir. Evaporatörde evaporasyona uğrayan soğutucu akışkan evaporatörün diğer tarafından geçen suyu soğuturken akışkanın kendisi de yeniden buharlaşarak gaz haline geçmiş olmaktadır. Sonuç olarak su soğutulmuştur. Bu aşamadan sonra gaz yeniden kompresöre gönderilerek soğutma işlemi bu şekilde sürekli olarak tekrar etmektedir. </w:t>
      </w:r>
    </w:p>
    <w:p w14:paraId="3E374C2B" w14:textId="77777777" w:rsidR="00CC3CD0" w:rsidRPr="00EE21A9" w:rsidRDefault="00CC3CD0" w:rsidP="00CC3CD0">
      <w:pPr>
        <w:pStyle w:val="ListeParagraf"/>
        <w:spacing w:line="192" w:lineRule="auto"/>
        <w:ind w:left="360"/>
        <w:jc w:val="both"/>
        <w:rPr>
          <w:rFonts w:cstheme="minorHAnsi"/>
          <w:bCs/>
        </w:rPr>
      </w:pPr>
    </w:p>
    <w:p w14:paraId="6A71D40D" w14:textId="77777777" w:rsidR="00CC3CD0" w:rsidRPr="00EE21A9" w:rsidRDefault="00CC3CD0" w:rsidP="00CC3CD0">
      <w:pPr>
        <w:pStyle w:val="Default"/>
        <w:spacing w:line="192" w:lineRule="auto"/>
        <w:jc w:val="both"/>
        <w:rPr>
          <w:rFonts w:asciiTheme="minorHAnsi" w:hAnsiTheme="minorHAnsi" w:cstheme="minorHAnsi"/>
          <w:color w:val="auto"/>
          <w:sz w:val="22"/>
          <w:szCs w:val="22"/>
        </w:rPr>
      </w:pPr>
      <w:r w:rsidRPr="00EE21A9">
        <w:rPr>
          <w:rFonts w:asciiTheme="minorHAnsi" w:hAnsiTheme="minorHAnsi" w:cstheme="minorHAnsi"/>
          <w:color w:val="auto"/>
          <w:sz w:val="22"/>
          <w:szCs w:val="22"/>
        </w:rPr>
        <w:t xml:space="preserve">(6) Yerli üretim dalı tarafından yapılan başvuruda, taraflarınca üretilen ürün ile </w:t>
      </w:r>
      <w:r w:rsidRPr="00EE21A9">
        <w:rPr>
          <w:rFonts w:asciiTheme="minorHAnsi" w:hAnsiTheme="minorHAnsi" w:cstheme="minorHAnsi"/>
          <w:sz w:val="22"/>
          <w:szCs w:val="22"/>
        </w:rPr>
        <w:t>soruşturma</w:t>
      </w:r>
      <w:r w:rsidRPr="00EE21A9">
        <w:rPr>
          <w:rFonts w:asciiTheme="minorHAnsi" w:hAnsiTheme="minorHAnsi" w:cstheme="minorHAnsi"/>
          <w:color w:val="auto"/>
          <w:sz w:val="22"/>
          <w:szCs w:val="22"/>
        </w:rPr>
        <w:t xml:space="preserve"> konusu ürün arasında teknik ve fiziki özellikler ile ürünün temel kullanım alanları, müşteriler ve hitap edilen pazarlar bakımından bir fark bulunmadığı belirtilmiştir. </w:t>
      </w:r>
    </w:p>
    <w:p w14:paraId="2BE0ED09" w14:textId="77777777" w:rsidR="00CC3CD0" w:rsidRPr="00EE21A9" w:rsidRDefault="00CC3CD0" w:rsidP="00CC3CD0">
      <w:pPr>
        <w:pStyle w:val="Default"/>
        <w:spacing w:line="192" w:lineRule="auto"/>
        <w:ind w:left="360"/>
        <w:contextualSpacing/>
        <w:jc w:val="both"/>
        <w:rPr>
          <w:rFonts w:asciiTheme="minorHAnsi" w:hAnsiTheme="minorHAnsi" w:cstheme="minorHAnsi"/>
          <w:color w:val="auto"/>
          <w:sz w:val="22"/>
          <w:szCs w:val="22"/>
        </w:rPr>
      </w:pPr>
    </w:p>
    <w:p w14:paraId="6EF244D7" w14:textId="77777777" w:rsidR="00CC3CD0" w:rsidRPr="00EE21A9" w:rsidRDefault="00CC3CD0" w:rsidP="00CC3CD0">
      <w:pPr>
        <w:spacing w:line="192" w:lineRule="auto"/>
        <w:jc w:val="both"/>
        <w:rPr>
          <w:rFonts w:cstheme="minorHAnsi"/>
        </w:rPr>
      </w:pPr>
      <w:r w:rsidRPr="00EE21A9">
        <w:rPr>
          <w:rFonts w:cstheme="minorHAnsi"/>
        </w:rPr>
        <w:t>(7) Soruşturma sırasında, soruşturma konusu ürün ile yerli üretim dalı tarafından üretilen ve Türkiye piyasasında satışa sunulan ürünün teknik ve fiziki özellikleri ile temel kullanım alanları itibariyle benzer özelliklere sahip olduğu anlaşılmıştır. Söz konusu hususlar çerçevesinde, Yönetmeliğin 4 üncü maddesi uyarınca, soruşturma konusu ürün ile yerli üretim dalı tarafından üretilen ürün,  esas soruşturmada olduğu gibi, benzer ürün olarak kabul edilmiştir.</w:t>
      </w:r>
    </w:p>
    <w:p w14:paraId="5F47CC63" w14:textId="77777777" w:rsidR="00CC3CD0" w:rsidRPr="00EE21A9" w:rsidRDefault="00CC3CD0" w:rsidP="00CC3CD0">
      <w:pPr>
        <w:pStyle w:val="Default"/>
        <w:spacing w:line="192" w:lineRule="auto"/>
        <w:ind w:left="360"/>
        <w:contextualSpacing/>
        <w:jc w:val="both"/>
        <w:rPr>
          <w:rFonts w:asciiTheme="minorHAnsi" w:hAnsiTheme="minorHAnsi" w:cstheme="minorHAnsi"/>
          <w:color w:val="auto"/>
          <w:sz w:val="22"/>
          <w:szCs w:val="22"/>
        </w:rPr>
      </w:pPr>
    </w:p>
    <w:p w14:paraId="6078DB8A" w14:textId="77777777" w:rsidR="00CC3CD0" w:rsidRPr="00EE21A9" w:rsidRDefault="00CC3CD0" w:rsidP="00CC3CD0">
      <w:pPr>
        <w:spacing w:line="192" w:lineRule="auto"/>
        <w:jc w:val="both"/>
        <w:rPr>
          <w:rFonts w:cstheme="minorHAnsi"/>
          <w:bCs/>
        </w:rPr>
      </w:pPr>
      <w:r w:rsidRPr="00EE21A9">
        <w:rPr>
          <w:rFonts w:cstheme="minorHAnsi"/>
          <w:bCs/>
        </w:rPr>
        <w:t xml:space="preserve">(8) 8418.69.00.99.11 GTİP’li “Frigorifik araç kasalarına takılmaya mahsus soğutucu üniteler” tanımlı eşya ile 8418.69.00.99.12 GTİP’li “Buz yapma makineleri” tanımlı eşyanın yerli üretim dalı tarafından üretilen ürün ile teknik, fiziki özellikleri ve kullanım alanları itibariyle benzer özelliklere sahip olmadığı anlaşılmıştır. </w:t>
      </w:r>
    </w:p>
    <w:p w14:paraId="178B145A" w14:textId="77777777" w:rsidR="00CC3CD0" w:rsidRPr="00EE21A9" w:rsidRDefault="00CC3CD0" w:rsidP="00CC3CD0">
      <w:pPr>
        <w:pStyle w:val="ListeParagraf"/>
        <w:spacing w:line="192" w:lineRule="auto"/>
        <w:ind w:left="360"/>
        <w:jc w:val="both"/>
        <w:rPr>
          <w:rFonts w:cstheme="minorHAnsi"/>
        </w:rPr>
      </w:pPr>
    </w:p>
    <w:p w14:paraId="4D9884A8" w14:textId="77777777" w:rsidR="00CC3CD0" w:rsidRPr="00EE21A9" w:rsidRDefault="00CC3CD0" w:rsidP="00CC3CD0">
      <w:pPr>
        <w:spacing w:line="192" w:lineRule="auto"/>
        <w:jc w:val="both"/>
        <w:rPr>
          <w:rFonts w:cstheme="minorHAnsi"/>
        </w:rPr>
      </w:pPr>
      <w:r w:rsidRPr="00EE21A9">
        <w:rPr>
          <w:rFonts w:cstheme="minorHAnsi"/>
        </w:rPr>
        <w:t xml:space="preserve">(9) Soruşturma konusu ürün ve benzer ürün ile ilgili açıklamalar bağlayıcı nitelikte olmayıp genel içerikli ve bilgi amaçlıdır. </w:t>
      </w:r>
    </w:p>
    <w:p w14:paraId="6F25F134" w14:textId="77777777" w:rsidR="00CC3CD0" w:rsidRPr="00EE21A9" w:rsidRDefault="00CC3CD0" w:rsidP="00CC3CD0">
      <w:pPr>
        <w:spacing w:line="192" w:lineRule="auto"/>
        <w:jc w:val="both"/>
        <w:rPr>
          <w:rFonts w:cstheme="minorHAnsi"/>
        </w:rPr>
      </w:pPr>
    </w:p>
    <w:p w14:paraId="1DA33F5E" w14:textId="77777777" w:rsidR="00CC3CD0" w:rsidRPr="00EE21A9" w:rsidRDefault="00CC3CD0" w:rsidP="00CC3CD0">
      <w:pPr>
        <w:pStyle w:val="Balk2"/>
        <w:numPr>
          <w:ilvl w:val="1"/>
          <w:numId w:val="2"/>
        </w:numPr>
        <w:spacing w:before="0" w:line="192" w:lineRule="auto"/>
        <w:ind w:left="426"/>
        <w:rPr>
          <w:rFonts w:asciiTheme="minorHAnsi" w:hAnsiTheme="minorHAnsi" w:cstheme="minorHAnsi"/>
          <w:sz w:val="22"/>
          <w:szCs w:val="22"/>
        </w:rPr>
      </w:pPr>
      <w:r w:rsidRPr="00EE21A9">
        <w:rPr>
          <w:rFonts w:asciiTheme="minorHAnsi" w:hAnsiTheme="minorHAnsi" w:cstheme="minorHAnsi"/>
          <w:sz w:val="22"/>
          <w:szCs w:val="22"/>
        </w:rPr>
        <w:t xml:space="preserve">Ürünün ithalinde uygulanan </w:t>
      </w:r>
      <w:bookmarkEnd w:id="2"/>
      <w:r w:rsidRPr="00EE21A9">
        <w:rPr>
          <w:rFonts w:asciiTheme="minorHAnsi" w:hAnsiTheme="minorHAnsi" w:cstheme="minorHAnsi"/>
          <w:sz w:val="22"/>
          <w:szCs w:val="22"/>
        </w:rPr>
        <w:t>vergi oranları ve diğer yükümlülükler</w:t>
      </w:r>
    </w:p>
    <w:p w14:paraId="1AC2CD25" w14:textId="77777777" w:rsidR="00CC3CD0" w:rsidRPr="00EE21A9" w:rsidRDefault="00CC3CD0" w:rsidP="00CC3CD0">
      <w:pPr>
        <w:spacing w:line="192" w:lineRule="auto"/>
        <w:jc w:val="both"/>
        <w:rPr>
          <w:rFonts w:cstheme="minorHAnsi"/>
          <w:bCs/>
        </w:rPr>
      </w:pPr>
      <w:r w:rsidRPr="00EE21A9">
        <w:rPr>
          <w:rFonts w:cstheme="minorHAnsi"/>
          <w:bCs/>
        </w:rPr>
        <w:t xml:space="preserve">(1) ÇHC menşeli önleme konu ürün ithalatında, %0 ila %2,2 olarak değişen oranlarda gümrük vergisi ile %0 ila %18 olarak değişen oranlarda Katma Değer Vergisi uygulanmaktadır. </w:t>
      </w:r>
    </w:p>
    <w:p w14:paraId="3E44CFAB" w14:textId="77777777" w:rsidR="00CC3CD0" w:rsidRPr="00EE21A9" w:rsidRDefault="00CC3CD0" w:rsidP="00CC3CD0">
      <w:pPr>
        <w:spacing w:line="192" w:lineRule="auto"/>
        <w:jc w:val="both"/>
        <w:rPr>
          <w:rFonts w:cstheme="minorHAnsi"/>
          <w:bCs/>
        </w:rPr>
      </w:pPr>
    </w:p>
    <w:p w14:paraId="70DFBB0B" w14:textId="77777777" w:rsidR="00CC3CD0" w:rsidRPr="00EE21A9" w:rsidRDefault="00CC3CD0" w:rsidP="00CC3CD0">
      <w:pPr>
        <w:spacing w:line="192" w:lineRule="auto"/>
        <w:jc w:val="both"/>
        <w:rPr>
          <w:rFonts w:cstheme="minorHAnsi"/>
          <w:bCs/>
        </w:rPr>
      </w:pPr>
      <w:r w:rsidRPr="00EE21A9">
        <w:rPr>
          <w:rFonts w:cstheme="minorHAnsi"/>
          <w:bCs/>
        </w:rPr>
        <w:t>(2)11/5/2020 tarihli ve 31124 birinci mükerrer sayılı Resmî Gazete’de yayımlanan İthalat Rejimi Kararına Ek Karar (Karar Sayısı: 2514) kapsamında, ÇHC menşeli 8418.69.00.10.00 GTİP’li ürünün ithalatında %7 oranında ilave gümrük vergisi (İGV) uygulanmasına karar verilmiştir. 8418.69 GTP altında sınıflandırılan ürünlerin ÇHC’den ithalatında 31/12/2020 tarihli ve 31351 sayılı Resmî Gazete’de yayımlanan 3351 sayılı İthalatta İlave Gümrük Vergisi Uygulanmasına İlişkin Karar ile %10 oranında İGV uygulanmaktadır.</w:t>
      </w:r>
    </w:p>
    <w:p w14:paraId="521792BA" w14:textId="77777777" w:rsidR="00CC3CD0" w:rsidRPr="00EE21A9" w:rsidRDefault="00CC3CD0" w:rsidP="00CC3CD0">
      <w:pPr>
        <w:pStyle w:val="NormalWeb"/>
        <w:tabs>
          <w:tab w:val="left" w:pos="540"/>
        </w:tabs>
        <w:spacing w:before="0" w:beforeAutospacing="0" w:after="0" w:afterAutospacing="0" w:line="192" w:lineRule="auto"/>
        <w:jc w:val="both"/>
        <w:rPr>
          <w:rFonts w:asciiTheme="minorHAnsi" w:eastAsia="Times New Roman" w:hAnsiTheme="minorHAnsi" w:cstheme="minorHAnsi"/>
          <w:sz w:val="22"/>
          <w:szCs w:val="22"/>
          <w:lang w:val="tr-TR" w:eastAsia="tr-TR"/>
        </w:rPr>
      </w:pPr>
    </w:p>
    <w:p w14:paraId="6D64BB9D" w14:textId="77777777" w:rsidR="00CC3CD0" w:rsidRPr="00EE21A9" w:rsidRDefault="00CC3CD0" w:rsidP="00CC3CD0">
      <w:pPr>
        <w:spacing w:line="192" w:lineRule="auto"/>
        <w:jc w:val="both"/>
        <w:rPr>
          <w:rFonts w:eastAsia="Times New Roman" w:cstheme="minorHAnsi"/>
          <w:b/>
          <w:caps/>
          <w:lang w:eastAsia="tr-TR"/>
        </w:rPr>
      </w:pPr>
      <w:r w:rsidRPr="00EE21A9">
        <w:rPr>
          <w:rFonts w:cstheme="minorHAnsi"/>
          <w:b/>
          <w:caps/>
        </w:rPr>
        <w:t>3. DAMPİNGİN DEVAMI VEYA YENİDEN MEYDANA GELMESİ İHTİMALİ</w:t>
      </w:r>
    </w:p>
    <w:p w14:paraId="4C7E7244" w14:textId="77777777" w:rsidR="00CC3CD0" w:rsidRPr="00EE21A9" w:rsidRDefault="00CC3CD0" w:rsidP="00CC3CD0">
      <w:pPr>
        <w:spacing w:line="192" w:lineRule="auto"/>
        <w:jc w:val="both"/>
        <w:rPr>
          <w:rFonts w:cstheme="minorHAnsi"/>
          <w:b/>
        </w:rPr>
      </w:pPr>
      <w:r w:rsidRPr="00EE21A9">
        <w:rPr>
          <w:rFonts w:cstheme="minorHAnsi"/>
          <w:b/>
        </w:rPr>
        <w:t>3.1. Genel açıklamalar</w:t>
      </w:r>
    </w:p>
    <w:p w14:paraId="29F27AD6" w14:textId="77777777" w:rsidR="00CC3CD0" w:rsidRPr="00EE21A9" w:rsidRDefault="00CC3CD0" w:rsidP="00CC3CD0">
      <w:pPr>
        <w:pStyle w:val="Default"/>
        <w:spacing w:line="192" w:lineRule="auto"/>
        <w:jc w:val="both"/>
        <w:rPr>
          <w:rFonts w:asciiTheme="minorHAnsi" w:hAnsiTheme="minorHAnsi" w:cstheme="minorHAnsi"/>
          <w:noProof/>
          <w:sz w:val="22"/>
          <w:szCs w:val="22"/>
        </w:rPr>
      </w:pPr>
      <w:r w:rsidRPr="00EE21A9">
        <w:rPr>
          <w:rFonts w:asciiTheme="minorHAnsi" w:hAnsiTheme="minorHAnsi" w:cstheme="minorHAnsi"/>
          <w:sz w:val="22"/>
          <w:szCs w:val="22"/>
        </w:rPr>
        <w:t>(1)</w:t>
      </w:r>
      <w:r w:rsidRPr="00EE21A9">
        <w:rPr>
          <w:rFonts w:asciiTheme="minorHAnsi" w:hAnsiTheme="minorHAnsi" w:cstheme="minorHAnsi"/>
          <w:noProof/>
          <w:sz w:val="22"/>
          <w:szCs w:val="22"/>
        </w:rPr>
        <w:t xml:space="preserve"> Yönetmeliğin 35 inci maddesi hükümleri gereğince önlemin yürürlükten kalkması halinde dampingin devam etmesinin veya yeniden meydana gelmesinin muhtemel olup olmadığı değerlendirilmiştir. </w:t>
      </w:r>
    </w:p>
    <w:p w14:paraId="565F3F4E" w14:textId="77777777" w:rsidR="00CC3CD0" w:rsidRPr="00EE21A9" w:rsidRDefault="00CC3CD0" w:rsidP="00CC3CD0">
      <w:pPr>
        <w:pStyle w:val="Default"/>
        <w:spacing w:line="192" w:lineRule="auto"/>
        <w:jc w:val="both"/>
        <w:rPr>
          <w:rFonts w:asciiTheme="minorHAnsi" w:hAnsiTheme="minorHAnsi" w:cstheme="minorHAnsi"/>
          <w:noProof/>
          <w:sz w:val="22"/>
          <w:szCs w:val="22"/>
        </w:rPr>
      </w:pPr>
    </w:p>
    <w:p w14:paraId="1F0C6BD4" w14:textId="77777777" w:rsidR="00CC3CD0" w:rsidRPr="00EE21A9" w:rsidRDefault="00CC3CD0" w:rsidP="00CC3CD0">
      <w:pPr>
        <w:pStyle w:val="Balk2"/>
        <w:spacing w:before="0" w:line="192" w:lineRule="auto"/>
        <w:rPr>
          <w:rFonts w:asciiTheme="minorHAnsi" w:hAnsiTheme="minorHAnsi" w:cstheme="minorHAnsi"/>
          <w:sz w:val="22"/>
          <w:szCs w:val="22"/>
        </w:rPr>
      </w:pPr>
      <w:bookmarkStart w:id="3" w:name="_Toc25742988"/>
      <w:r w:rsidRPr="00EE21A9">
        <w:rPr>
          <w:rFonts w:asciiTheme="minorHAnsi" w:hAnsiTheme="minorHAnsi" w:cstheme="minorHAnsi"/>
          <w:bCs/>
          <w:i/>
          <w:iCs/>
          <w:color w:val="000000"/>
          <w:sz w:val="22"/>
          <w:szCs w:val="22"/>
        </w:rPr>
        <w:t>3.2.</w:t>
      </w:r>
      <w:r w:rsidRPr="00EE21A9">
        <w:rPr>
          <w:rFonts w:asciiTheme="minorHAnsi" w:hAnsiTheme="minorHAnsi" w:cstheme="minorHAnsi"/>
          <w:bCs/>
          <w:i/>
          <w:iCs/>
          <w:sz w:val="22"/>
          <w:szCs w:val="22"/>
        </w:rPr>
        <w:t xml:space="preserve"> </w:t>
      </w:r>
      <w:r w:rsidRPr="00EE21A9">
        <w:rPr>
          <w:rFonts w:asciiTheme="minorHAnsi" w:eastAsia="Times New Roman" w:hAnsiTheme="minorHAnsi" w:cstheme="minorHAnsi"/>
          <w:sz w:val="22"/>
          <w:szCs w:val="22"/>
          <w:lang w:eastAsia="tr-TR"/>
        </w:rPr>
        <w:t>Dampingin devam etme/yeniden meydana gelme ihtimali</w:t>
      </w:r>
      <w:bookmarkEnd w:id="3"/>
      <w:r w:rsidRPr="00EE21A9">
        <w:rPr>
          <w:rFonts w:asciiTheme="minorHAnsi" w:eastAsia="Times New Roman" w:hAnsiTheme="minorHAnsi" w:cstheme="minorHAnsi"/>
          <w:sz w:val="22"/>
          <w:szCs w:val="22"/>
          <w:lang w:eastAsia="tr-TR"/>
        </w:rPr>
        <w:tab/>
      </w:r>
    </w:p>
    <w:p w14:paraId="3A916B59" w14:textId="77777777" w:rsidR="00CC3CD0" w:rsidRPr="00EE21A9" w:rsidRDefault="00CC3CD0" w:rsidP="00CC3CD0">
      <w:pPr>
        <w:spacing w:line="192" w:lineRule="auto"/>
        <w:rPr>
          <w:rFonts w:cstheme="minorHAnsi"/>
          <w:b/>
        </w:rPr>
      </w:pPr>
      <w:r w:rsidRPr="00EE21A9">
        <w:rPr>
          <w:rFonts w:cstheme="minorHAnsi"/>
          <w:b/>
        </w:rPr>
        <w:t>3.2.1. Genel açıklamalar</w:t>
      </w:r>
    </w:p>
    <w:p w14:paraId="77D00C2C" w14:textId="77777777" w:rsidR="00CC3CD0" w:rsidRPr="00EE21A9" w:rsidRDefault="00CC3CD0" w:rsidP="00CC3CD0">
      <w:pPr>
        <w:spacing w:line="192" w:lineRule="auto"/>
        <w:jc w:val="both"/>
        <w:rPr>
          <w:rFonts w:cstheme="minorHAnsi"/>
        </w:rPr>
      </w:pPr>
      <w:r w:rsidRPr="00EE21A9">
        <w:rPr>
          <w:rFonts w:cstheme="minorHAnsi"/>
        </w:rPr>
        <w:t xml:space="preserve">(1) Dampingin devam etme/yeniden meydana gelme ihtimaline yönelik olarak esas soruşturmada hesaplanan damping marjları önem arz etmektedir. Bunun yanında, yeniden meydana gelmesi muhtemel olan dampingi göstermesi açısından soruşturma konusu ülkenin Türkiye’ye yönlendirebileceği ihracat kapasitesi ve ihracat birim fiyatları önem arz etmektedir. Diğer ülkeler tarafından uygulanmakta olan ya da yürütülmekte olan damping soruşturmaları da önem arz etmektedir. </w:t>
      </w:r>
    </w:p>
    <w:p w14:paraId="036FE1D5" w14:textId="77777777" w:rsidR="00CC3CD0" w:rsidRPr="00EE21A9" w:rsidRDefault="00CC3CD0" w:rsidP="00CC3CD0">
      <w:pPr>
        <w:spacing w:line="192" w:lineRule="auto"/>
        <w:jc w:val="both"/>
        <w:rPr>
          <w:rFonts w:cstheme="minorHAnsi"/>
        </w:rPr>
      </w:pPr>
    </w:p>
    <w:p w14:paraId="763766F1" w14:textId="77777777" w:rsidR="00CC3CD0" w:rsidRPr="00EE21A9" w:rsidRDefault="00CC3CD0" w:rsidP="00CC3CD0">
      <w:pPr>
        <w:spacing w:line="192" w:lineRule="auto"/>
        <w:jc w:val="both"/>
        <w:rPr>
          <w:rFonts w:cstheme="minorHAnsi"/>
          <w:b/>
        </w:rPr>
      </w:pPr>
      <w:r w:rsidRPr="00EE21A9">
        <w:rPr>
          <w:rFonts w:cstheme="minorHAnsi"/>
          <w:b/>
        </w:rPr>
        <w:t>3.2.2. Esas soruşturmada tespit edilen damping marjı</w:t>
      </w:r>
    </w:p>
    <w:p w14:paraId="46751F17" w14:textId="77777777" w:rsidR="00CC3CD0" w:rsidRPr="00EE21A9" w:rsidRDefault="00CC3CD0" w:rsidP="00CC3CD0">
      <w:pPr>
        <w:autoSpaceDE w:val="0"/>
        <w:autoSpaceDN w:val="0"/>
        <w:adjustRightInd w:val="0"/>
        <w:spacing w:line="192" w:lineRule="auto"/>
        <w:jc w:val="both"/>
        <w:rPr>
          <w:rFonts w:cstheme="minorHAnsi"/>
        </w:rPr>
      </w:pPr>
      <w:r w:rsidRPr="00EE21A9">
        <w:rPr>
          <w:rFonts w:cstheme="minorHAnsi"/>
        </w:rPr>
        <w:t xml:space="preserve">(1) Mevcut dampinge karşı önlemin hukuki ve idari altyapısını teşkil eden esas damping soruşturması esnasında ÇHC için tespit edilen damping marjı, bahse konu ülkedeki yerleşik üretici/ihracatçıların önlemin yürürlükten kalkması halinde muhtemel davranışlarını yansıtması bakımından önemli bir gösterge niteliği taşımaktadır. </w:t>
      </w:r>
    </w:p>
    <w:p w14:paraId="163692CB" w14:textId="77777777" w:rsidR="00CC3CD0" w:rsidRPr="00EE21A9" w:rsidRDefault="00CC3CD0" w:rsidP="00CC3CD0">
      <w:pPr>
        <w:autoSpaceDE w:val="0"/>
        <w:autoSpaceDN w:val="0"/>
        <w:adjustRightInd w:val="0"/>
        <w:spacing w:line="192" w:lineRule="auto"/>
        <w:jc w:val="both"/>
        <w:rPr>
          <w:rFonts w:cstheme="minorHAnsi"/>
        </w:rPr>
      </w:pPr>
    </w:p>
    <w:p w14:paraId="46AA3CA1" w14:textId="77777777" w:rsidR="00CC3CD0" w:rsidRPr="00EE21A9" w:rsidRDefault="00CC3CD0" w:rsidP="00CC3CD0">
      <w:pPr>
        <w:autoSpaceDE w:val="0"/>
        <w:autoSpaceDN w:val="0"/>
        <w:adjustRightInd w:val="0"/>
        <w:spacing w:line="192" w:lineRule="auto"/>
        <w:jc w:val="both"/>
        <w:rPr>
          <w:rFonts w:cstheme="minorHAnsi"/>
        </w:rPr>
      </w:pPr>
      <w:r w:rsidRPr="00EE21A9">
        <w:rPr>
          <w:rFonts w:cstheme="minorHAnsi"/>
        </w:rPr>
        <w:t>(2) Bu çerçevede, esas soruşturmada Chongqing Midea General Refrigeration Equipment Co. Ltd. için hesaplanan damping marjı CIF bedelin %36,63’ü düzeyindedir. Esas soruşturmada işbirliğinde bulunmayan diğer ÇHC’li üretici/ihracatçılar için belirlenen damping marjı ise CIF bedelin %49,64 düzeyinde tespit edilmiştir.</w:t>
      </w:r>
    </w:p>
    <w:p w14:paraId="0BE4BFE3" w14:textId="77777777" w:rsidR="00CC3CD0" w:rsidRPr="00EE21A9" w:rsidRDefault="00CC3CD0" w:rsidP="00CC3CD0">
      <w:pPr>
        <w:autoSpaceDE w:val="0"/>
        <w:autoSpaceDN w:val="0"/>
        <w:adjustRightInd w:val="0"/>
        <w:spacing w:line="192" w:lineRule="auto"/>
        <w:jc w:val="both"/>
        <w:rPr>
          <w:rFonts w:cstheme="minorHAnsi"/>
        </w:rPr>
      </w:pPr>
    </w:p>
    <w:p w14:paraId="61A2214F" w14:textId="77777777" w:rsidR="00CC3CD0" w:rsidRPr="00EE21A9" w:rsidRDefault="00CC3CD0" w:rsidP="00CC3CD0">
      <w:pPr>
        <w:autoSpaceDE w:val="0"/>
        <w:autoSpaceDN w:val="0"/>
        <w:adjustRightInd w:val="0"/>
        <w:spacing w:line="192" w:lineRule="auto"/>
        <w:jc w:val="both"/>
        <w:rPr>
          <w:rFonts w:cstheme="minorHAnsi"/>
          <w:b/>
        </w:rPr>
      </w:pPr>
      <w:r w:rsidRPr="00EE21A9">
        <w:rPr>
          <w:rFonts w:cstheme="minorHAnsi"/>
          <w:b/>
        </w:rPr>
        <w:t>3.2.3. Soruşturma konusu ülkenin ihracat kabiliyeti</w:t>
      </w:r>
    </w:p>
    <w:p w14:paraId="23E4B63B" w14:textId="77777777" w:rsidR="00CC3CD0" w:rsidRPr="00EE21A9" w:rsidRDefault="00CC3CD0" w:rsidP="00CC3CD0">
      <w:pPr>
        <w:spacing w:line="192" w:lineRule="auto"/>
        <w:jc w:val="both"/>
        <w:rPr>
          <w:rFonts w:cstheme="minorHAnsi"/>
        </w:rPr>
      </w:pPr>
      <w:r w:rsidRPr="00EE21A9">
        <w:rPr>
          <w:rFonts w:cstheme="minorHAnsi"/>
        </w:rPr>
        <w:t>(1) Dampingin yeniden meydana gelme ihtimaline yönelik olarak önemli bir diğer husus ise soruşturma konusu ülkenin ihracat kapasitesi ve ihracatın ortalama birim fiyatlarıdır. Söz konusu hususlar Uluslararası Ticaret Merkezi (International Trade Center) verileri kapsamında incelenmiştir.</w:t>
      </w:r>
    </w:p>
    <w:p w14:paraId="182FC9CE" w14:textId="77777777" w:rsidR="00CC3CD0" w:rsidRPr="00EE21A9" w:rsidRDefault="00CC3CD0" w:rsidP="00CC3CD0">
      <w:pPr>
        <w:autoSpaceDE w:val="0"/>
        <w:autoSpaceDN w:val="0"/>
        <w:adjustRightInd w:val="0"/>
        <w:spacing w:line="192" w:lineRule="auto"/>
        <w:jc w:val="both"/>
        <w:rPr>
          <w:rFonts w:cstheme="minorHAnsi"/>
        </w:rPr>
      </w:pPr>
    </w:p>
    <w:p w14:paraId="7C5DAB8A" w14:textId="77777777" w:rsidR="00CC3CD0" w:rsidRPr="00EE21A9" w:rsidRDefault="00CC3CD0" w:rsidP="00CC3CD0">
      <w:pPr>
        <w:spacing w:line="192" w:lineRule="auto"/>
        <w:jc w:val="both"/>
        <w:rPr>
          <w:rFonts w:cstheme="minorHAnsi"/>
        </w:rPr>
      </w:pPr>
      <w:r w:rsidRPr="00EE21A9">
        <w:rPr>
          <w:rFonts w:cstheme="minorHAnsi"/>
        </w:rPr>
        <w:t xml:space="preserve">(2) Soruşturma konusu ülke ÇHC’nin 8418.69 GTP altında kayıtlı  üründe 2020 yılında dünya geneline gerçekleştirdiği ihracat değerinin 1,3 milyar ABD doları seviyelerinde olduğu, bu değerle ÇHC’nin, söz konusu GTP’li ürünün dünya geneli ihracatında %16,24’lük pay ile birinci sırada yer aldığı görülmektedir. </w:t>
      </w:r>
    </w:p>
    <w:p w14:paraId="308AC6D1" w14:textId="77777777" w:rsidR="00CC3CD0" w:rsidRPr="00EE21A9" w:rsidRDefault="00CC3CD0" w:rsidP="00CC3CD0">
      <w:pPr>
        <w:spacing w:line="192" w:lineRule="auto"/>
        <w:jc w:val="both"/>
        <w:rPr>
          <w:rFonts w:cstheme="minorHAnsi"/>
        </w:rPr>
      </w:pPr>
    </w:p>
    <w:p w14:paraId="56FA192A" w14:textId="77777777" w:rsidR="00CC3CD0" w:rsidRPr="00EE21A9" w:rsidRDefault="00CC3CD0" w:rsidP="00CC3CD0">
      <w:pPr>
        <w:spacing w:line="192" w:lineRule="auto"/>
        <w:jc w:val="both"/>
        <w:rPr>
          <w:rFonts w:cstheme="minorHAnsi"/>
        </w:rPr>
      </w:pPr>
      <w:r w:rsidRPr="00EE21A9">
        <w:rPr>
          <w:rFonts w:cstheme="minorHAnsi"/>
        </w:rPr>
        <w:t xml:space="preserve">(3) Soruşturma konusu ülke ÇHC’nin 8418.69 GTP altında kayıtlı üründe dünyaya ihracatı miktar anlamında, 2018-2020 döneminde artmıştır. </w:t>
      </w:r>
    </w:p>
    <w:p w14:paraId="53A446E9" w14:textId="77777777" w:rsidR="00CC3CD0" w:rsidRPr="00EE21A9" w:rsidRDefault="00CC3CD0" w:rsidP="00CC3CD0">
      <w:pPr>
        <w:spacing w:line="192" w:lineRule="auto"/>
        <w:jc w:val="both"/>
        <w:rPr>
          <w:rFonts w:cstheme="minorHAnsi"/>
        </w:rPr>
      </w:pPr>
    </w:p>
    <w:p w14:paraId="60412CA3" w14:textId="77777777" w:rsidR="00CC3CD0" w:rsidRPr="00EE21A9" w:rsidRDefault="00CC3CD0" w:rsidP="00CC3CD0">
      <w:pPr>
        <w:spacing w:line="192" w:lineRule="auto"/>
        <w:jc w:val="both"/>
        <w:rPr>
          <w:rFonts w:cstheme="minorHAnsi"/>
        </w:rPr>
      </w:pPr>
      <w:r w:rsidRPr="00EE21A9">
        <w:rPr>
          <w:rFonts w:cstheme="minorHAnsi"/>
        </w:rPr>
        <w:t xml:space="preserve">(4) Soruşturma konusu üründe, ÇHC’nin Türkiye’ye yaptığı ihracatın ortalama birim fiyatlarının, diğer ülkelere ve dünya geneline yaptığı ihracatın ortalama birim fiyatlarının altında olduğu tespit edilmiştir. </w:t>
      </w:r>
    </w:p>
    <w:p w14:paraId="3F5A5ACE" w14:textId="77777777" w:rsidR="00CC3CD0" w:rsidRPr="00EE21A9" w:rsidRDefault="00CC3CD0" w:rsidP="00CC3CD0">
      <w:pPr>
        <w:spacing w:line="192" w:lineRule="auto"/>
        <w:jc w:val="both"/>
        <w:rPr>
          <w:rFonts w:cstheme="minorHAnsi"/>
          <w:noProof/>
          <w:color w:val="000000"/>
        </w:rPr>
      </w:pPr>
    </w:p>
    <w:p w14:paraId="085A78C4" w14:textId="77777777" w:rsidR="00CC3CD0" w:rsidRPr="00EE21A9" w:rsidRDefault="00CC3CD0" w:rsidP="00CC3CD0">
      <w:pPr>
        <w:pStyle w:val="Balk3"/>
        <w:spacing w:before="0" w:line="192" w:lineRule="auto"/>
        <w:contextualSpacing/>
        <w:rPr>
          <w:rFonts w:asciiTheme="minorHAnsi" w:hAnsiTheme="minorHAnsi" w:cstheme="minorHAnsi"/>
          <w:color w:val="000000"/>
          <w:sz w:val="22"/>
          <w:szCs w:val="22"/>
        </w:rPr>
      </w:pPr>
      <w:bookmarkStart w:id="4" w:name="_Toc22139771"/>
      <w:bookmarkStart w:id="5" w:name="_Toc21523575"/>
      <w:bookmarkStart w:id="6" w:name="_Toc21523570"/>
      <w:bookmarkStart w:id="7" w:name="_Toc21523505"/>
      <w:bookmarkStart w:id="8" w:name="_Toc21523464"/>
      <w:bookmarkStart w:id="9" w:name="_Toc21523439"/>
      <w:bookmarkStart w:id="10" w:name="_Toc21523405"/>
      <w:bookmarkStart w:id="11" w:name="_Toc21523278"/>
      <w:bookmarkStart w:id="12" w:name="_Toc21523227"/>
      <w:bookmarkStart w:id="13" w:name="_Toc12439909"/>
      <w:r w:rsidRPr="00EE21A9">
        <w:rPr>
          <w:rFonts w:asciiTheme="minorHAnsi" w:hAnsiTheme="minorHAnsi" w:cstheme="minorHAnsi"/>
          <w:color w:val="000000"/>
          <w:sz w:val="22"/>
          <w:szCs w:val="22"/>
        </w:rPr>
        <w:t>3.3. Değerlendirme</w:t>
      </w:r>
      <w:bookmarkEnd w:id="4"/>
      <w:bookmarkEnd w:id="5"/>
      <w:bookmarkEnd w:id="6"/>
      <w:bookmarkEnd w:id="7"/>
      <w:bookmarkEnd w:id="8"/>
      <w:bookmarkEnd w:id="9"/>
      <w:bookmarkEnd w:id="10"/>
      <w:bookmarkEnd w:id="11"/>
      <w:bookmarkEnd w:id="12"/>
      <w:bookmarkEnd w:id="13"/>
    </w:p>
    <w:p w14:paraId="11D7A836" w14:textId="77777777" w:rsidR="00CC3CD0" w:rsidRPr="00EE21A9" w:rsidRDefault="00CC3CD0" w:rsidP="00CC3CD0">
      <w:pPr>
        <w:spacing w:line="192" w:lineRule="auto"/>
        <w:jc w:val="both"/>
        <w:rPr>
          <w:rFonts w:cstheme="minorHAnsi"/>
          <w:noProof/>
          <w:color w:val="000000"/>
        </w:rPr>
      </w:pPr>
      <w:r w:rsidRPr="00EE21A9">
        <w:rPr>
          <w:rFonts w:cstheme="minorHAnsi"/>
          <w:noProof/>
          <w:color w:val="000000"/>
        </w:rPr>
        <w:t>(1) ÇHC menşeli soruşturma konusu ürünün ithalatında esas soruşturmada tespit edilen damping marjları ile anılan ülkenin ihracat değerleri ve ortalama ihracat birim fiyatları dikkate alındığında soruşturma konusu ülkeden dampingin devam etme/yeniden meydana gelme ihtimalinin yüksek olduğu değerlendirilmektedir.</w:t>
      </w:r>
    </w:p>
    <w:p w14:paraId="195CCB27" w14:textId="77777777" w:rsidR="00CC3CD0" w:rsidRPr="00EE21A9" w:rsidRDefault="00CC3CD0" w:rsidP="00CC3CD0">
      <w:pPr>
        <w:spacing w:line="192" w:lineRule="auto"/>
        <w:jc w:val="both"/>
        <w:rPr>
          <w:rFonts w:cstheme="minorHAnsi"/>
          <w:noProof/>
          <w:color w:val="000000"/>
        </w:rPr>
      </w:pPr>
    </w:p>
    <w:p w14:paraId="17EA5F1A" w14:textId="77777777" w:rsidR="00CC3CD0" w:rsidRPr="00EE21A9" w:rsidRDefault="00CC3CD0" w:rsidP="00CC3CD0">
      <w:pPr>
        <w:spacing w:line="192" w:lineRule="auto"/>
        <w:rPr>
          <w:rFonts w:cstheme="minorHAnsi"/>
          <w:b/>
          <w:caps/>
        </w:rPr>
      </w:pPr>
      <w:r w:rsidRPr="00EE21A9">
        <w:rPr>
          <w:rFonts w:cstheme="minorHAnsi"/>
          <w:b/>
          <w:caps/>
        </w:rPr>
        <w:t>4. ZARARIN DEVAMI VEYA YENİDEN MEYDANA GELMESİ İHTİMALİ</w:t>
      </w:r>
    </w:p>
    <w:p w14:paraId="154F2A4F" w14:textId="77777777" w:rsidR="00CC3CD0" w:rsidRPr="00EE21A9" w:rsidRDefault="00CC3CD0" w:rsidP="00CC3CD0">
      <w:pPr>
        <w:spacing w:line="192" w:lineRule="auto"/>
        <w:jc w:val="both"/>
        <w:rPr>
          <w:rFonts w:cstheme="minorHAnsi"/>
          <w:b/>
        </w:rPr>
      </w:pPr>
      <w:r w:rsidRPr="00EE21A9">
        <w:rPr>
          <w:rFonts w:cstheme="minorHAnsi"/>
          <w:b/>
        </w:rPr>
        <w:t>4.1. Genel açıklamalar</w:t>
      </w:r>
    </w:p>
    <w:p w14:paraId="1916E594" w14:textId="77777777" w:rsidR="00CC3CD0" w:rsidRPr="00EE21A9" w:rsidRDefault="00CC3CD0" w:rsidP="00CC3CD0">
      <w:pPr>
        <w:spacing w:line="192" w:lineRule="auto"/>
        <w:jc w:val="both"/>
        <w:rPr>
          <w:rFonts w:cstheme="minorHAnsi"/>
          <w:color w:val="000000"/>
        </w:rPr>
      </w:pPr>
      <w:r w:rsidRPr="00EE21A9">
        <w:rPr>
          <w:rFonts w:cstheme="minorHAnsi"/>
          <w:color w:val="000000"/>
        </w:rPr>
        <w:t xml:space="preserve">(1) Yönetmeliğin 35 inci maddesi çerçevesinde, gözden geçirme döneminde ve önlemin yürürlükten kalkması halinde zararın devam etmesinin veya yeniden meydana gelmesinin muhtemel olup olmadığı incelenmiştir. Bu çerçevede, ilk olarak zararın devam edip etmediğinin belirlenmesi için ithalatın mutlak ve nispi olarak gelişimi, ithalat ortalama birim fiyatlarının gelişimi, </w:t>
      </w:r>
      <w:r w:rsidRPr="00EE21A9">
        <w:rPr>
          <w:rFonts w:cstheme="minorHAnsi"/>
        </w:rPr>
        <w:t>ÇHC menşeli ithalatın yerli üretim dalının fiyatları üzerindeki etkisi</w:t>
      </w:r>
      <w:r w:rsidRPr="00EE21A9">
        <w:rPr>
          <w:rFonts w:cstheme="minorHAnsi"/>
          <w:color w:val="000000"/>
        </w:rPr>
        <w:t xml:space="preserve"> ile yerli üretim dalının ekonomik göstergeleri değerlendirilmiştir.</w:t>
      </w:r>
    </w:p>
    <w:p w14:paraId="1E72202E" w14:textId="77777777" w:rsidR="00CC3CD0" w:rsidRPr="00EE21A9" w:rsidRDefault="00CC3CD0" w:rsidP="00CC3CD0">
      <w:pPr>
        <w:spacing w:line="192" w:lineRule="auto"/>
        <w:jc w:val="both"/>
        <w:rPr>
          <w:rFonts w:cstheme="minorHAnsi"/>
          <w:color w:val="000000"/>
        </w:rPr>
      </w:pPr>
    </w:p>
    <w:p w14:paraId="1B494E25" w14:textId="56F42872" w:rsidR="00CC3CD0" w:rsidRPr="00EE21A9" w:rsidRDefault="00CC3CD0" w:rsidP="00CC3CD0">
      <w:pPr>
        <w:spacing w:line="192" w:lineRule="auto"/>
        <w:jc w:val="both"/>
        <w:rPr>
          <w:rFonts w:cstheme="minorHAnsi"/>
          <w:b/>
          <w:color w:val="000000"/>
        </w:rPr>
      </w:pPr>
      <w:r w:rsidRPr="00EE21A9">
        <w:rPr>
          <w:rFonts w:cstheme="minorHAnsi"/>
          <w:b/>
          <w:color w:val="000000"/>
        </w:rPr>
        <w:t>4.2. İthalatın mutlak gelişimi ile ortalama birim fiyatları</w:t>
      </w:r>
    </w:p>
    <w:p w14:paraId="66479537" w14:textId="77777777" w:rsidR="00CC3CD0" w:rsidRPr="00EE21A9" w:rsidRDefault="00CC3CD0" w:rsidP="00CC3CD0">
      <w:pPr>
        <w:spacing w:line="192" w:lineRule="auto"/>
        <w:jc w:val="both"/>
        <w:rPr>
          <w:rFonts w:cstheme="minorHAnsi"/>
          <w:bCs/>
        </w:rPr>
      </w:pPr>
      <w:r w:rsidRPr="00EE21A9">
        <w:rPr>
          <w:rFonts w:cstheme="minorHAnsi"/>
          <w:bCs/>
        </w:rPr>
        <w:t xml:space="preserve">(1) Önleme tabi ürünün genel ithalatı ile genel ithalatın birim fiyatları, soruşturma konusu ülkeden ithalatı ile mezkûr ithalatın birim fiyatları ve diğer ülkelerden ithalatı ile söz konusu ithalatın birim fiyatları </w:t>
      </w:r>
      <w:r w:rsidRPr="00EE21A9">
        <w:rPr>
          <w:rFonts w:cstheme="minorHAnsi"/>
        </w:rPr>
        <w:t xml:space="preserve">Bakanlığımız Karar Destek Sistemi (KDS) </w:t>
      </w:r>
      <w:r w:rsidRPr="00EE21A9">
        <w:rPr>
          <w:rFonts w:cstheme="minorHAnsi"/>
          <w:bCs/>
        </w:rPr>
        <w:t xml:space="preserve">kullanılarak incelenmiştir. </w:t>
      </w:r>
    </w:p>
    <w:p w14:paraId="63344C86" w14:textId="77777777" w:rsidR="00CC3CD0" w:rsidRPr="00EE21A9" w:rsidRDefault="00CC3CD0" w:rsidP="00CC3CD0">
      <w:pPr>
        <w:spacing w:line="192" w:lineRule="auto"/>
        <w:jc w:val="both"/>
        <w:rPr>
          <w:rFonts w:cstheme="minorHAnsi"/>
          <w:color w:val="000000"/>
        </w:rPr>
      </w:pPr>
    </w:p>
    <w:p w14:paraId="68689FF2" w14:textId="77777777" w:rsidR="00CC3CD0" w:rsidRPr="00EE21A9" w:rsidRDefault="00CC3CD0" w:rsidP="00CC3CD0">
      <w:pPr>
        <w:spacing w:line="192" w:lineRule="auto"/>
        <w:jc w:val="both"/>
        <w:rPr>
          <w:rFonts w:cstheme="minorHAnsi"/>
        </w:rPr>
      </w:pPr>
      <w:r w:rsidRPr="00EE21A9">
        <w:rPr>
          <w:rFonts w:cstheme="minorHAnsi"/>
        </w:rPr>
        <w:t xml:space="preserve">(2) 2018, 2019 ve 2020 yıllarında, önleme tabi ürünün genel ithalatı sırasıyla, 1.315 adet, 1.147 adet ve 1.543 adet olarak; </w:t>
      </w:r>
      <w:r w:rsidRPr="00EE21A9">
        <w:rPr>
          <w:rFonts w:cstheme="minorHAnsi"/>
          <w:color w:val="000000"/>
        </w:rPr>
        <w:t xml:space="preserve">25.610.768 </w:t>
      </w:r>
      <w:r w:rsidRPr="00EE21A9">
        <w:rPr>
          <w:rFonts w:cstheme="minorHAnsi"/>
        </w:rPr>
        <w:t xml:space="preserve">ABD doları, </w:t>
      </w:r>
      <w:r w:rsidRPr="00EE21A9">
        <w:rPr>
          <w:rFonts w:cstheme="minorHAnsi"/>
          <w:color w:val="000000"/>
        </w:rPr>
        <w:t xml:space="preserve">23.273.721 </w:t>
      </w:r>
      <w:r w:rsidRPr="00EE21A9">
        <w:rPr>
          <w:rFonts w:cstheme="minorHAnsi"/>
        </w:rPr>
        <w:t xml:space="preserve">ABD doları ve </w:t>
      </w:r>
      <w:r w:rsidRPr="00EE21A9">
        <w:rPr>
          <w:rFonts w:cstheme="minorHAnsi"/>
          <w:color w:val="000000"/>
        </w:rPr>
        <w:t xml:space="preserve">18.157.089 </w:t>
      </w:r>
      <w:r w:rsidRPr="00EE21A9">
        <w:rPr>
          <w:rFonts w:cstheme="minorHAnsi"/>
        </w:rPr>
        <w:t xml:space="preserve">ABD doları olarak gerçekleşmiştir. Söz konusu ithalatın ortalama birim fiyatları 2018, 2019 ve 2020 yıllarında sırasıyla, </w:t>
      </w:r>
      <w:r w:rsidRPr="00EE21A9">
        <w:rPr>
          <w:rFonts w:cstheme="minorHAnsi"/>
          <w:color w:val="000000"/>
        </w:rPr>
        <w:t xml:space="preserve">19.476 </w:t>
      </w:r>
      <w:r w:rsidRPr="00EE21A9">
        <w:rPr>
          <w:rFonts w:cstheme="minorHAnsi"/>
        </w:rPr>
        <w:t xml:space="preserve">ABD doları/adet, </w:t>
      </w:r>
      <w:r w:rsidRPr="00EE21A9">
        <w:rPr>
          <w:rFonts w:cstheme="minorHAnsi"/>
          <w:color w:val="000000"/>
        </w:rPr>
        <w:t xml:space="preserve">20.291 </w:t>
      </w:r>
      <w:r w:rsidRPr="00EE21A9">
        <w:rPr>
          <w:rFonts w:cstheme="minorHAnsi"/>
        </w:rPr>
        <w:t xml:space="preserve">ABD doları/adet ve </w:t>
      </w:r>
      <w:r w:rsidRPr="00EE21A9">
        <w:rPr>
          <w:rFonts w:cstheme="minorHAnsi"/>
          <w:color w:val="000000"/>
        </w:rPr>
        <w:t xml:space="preserve">11.767 </w:t>
      </w:r>
      <w:r w:rsidRPr="00EE21A9">
        <w:rPr>
          <w:rFonts w:cstheme="minorHAnsi"/>
        </w:rPr>
        <w:t xml:space="preserve">ABD doları/adet olarak gerçekleşmiştir. </w:t>
      </w:r>
    </w:p>
    <w:p w14:paraId="10CCFD01" w14:textId="77777777" w:rsidR="00CC3CD0" w:rsidRPr="00EE21A9" w:rsidRDefault="00CC3CD0" w:rsidP="00CC3CD0">
      <w:pPr>
        <w:spacing w:line="192" w:lineRule="auto"/>
        <w:jc w:val="both"/>
        <w:rPr>
          <w:rFonts w:cstheme="minorHAnsi"/>
        </w:rPr>
      </w:pPr>
    </w:p>
    <w:p w14:paraId="2312CD08" w14:textId="77777777" w:rsidR="00CC3CD0" w:rsidRPr="00EE21A9" w:rsidRDefault="00CC3CD0" w:rsidP="00CC3CD0">
      <w:pPr>
        <w:spacing w:line="192" w:lineRule="auto"/>
        <w:jc w:val="both"/>
        <w:rPr>
          <w:rFonts w:cstheme="minorHAnsi"/>
        </w:rPr>
      </w:pPr>
      <w:r w:rsidRPr="00EE21A9">
        <w:rPr>
          <w:rFonts w:cstheme="minorHAnsi"/>
        </w:rPr>
        <w:t>(3) Önleme tabi ürünün ÇHC’den yapılan ithalatı miktar bazında 2018 yılında 40 adet olarak, 2019 yılında 150 adet, 2020 yılında ise 214 adet olarak gerçekleşmiştir. Önleme tabi ürünün ÇHC’den yapılan ithalatı değer bazında 2018 yılında 43.955 ABD doları, 2019 yılında 2.465.394 ABD doları, 2020 yılında 583.401 ABD doları olarak gerçekleşmiştir. Önleme tabi ürünün ÇHC’den yapılan ithalatının birim fiyatı ise 2018 yılında 1.099 ABD doları/adet, 2019 yılında 16.436 ABD doları/adet, 2020 yılında ise 2.726 ABD doları/adet olarak gerçekleşmiştir.</w:t>
      </w:r>
    </w:p>
    <w:p w14:paraId="23507231" w14:textId="77777777" w:rsidR="00CC3CD0" w:rsidRPr="00EE21A9" w:rsidRDefault="00CC3CD0" w:rsidP="00CC3CD0">
      <w:pPr>
        <w:spacing w:line="192" w:lineRule="auto"/>
        <w:jc w:val="both"/>
        <w:rPr>
          <w:rFonts w:cstheme="minorHAnsi"/>
        </w:rPr>
      </w:pPr>
    </w:p>
    <w:p w14:paraId="603983D0" w14:textId="77777777" w:rsidR="00CC3CD0" w:rsidRPr="00EE21A9" w:rsidRDefault="00CC3CD0" w:rsidP="00CC3CD0">
      <w:pPr>
        <w:spacing w:line="192" w:lineRule="auto"/>
        <w:jc w:val="both"/>
        <w:rPr>
          <w:rFonts w:cstheme="minorHAnsi"/>
        </w:rPr>
      </w:pPr>
      <w:r w:rsidRPr="00EE21A9">
        <w:rPr>
          <w:rFonts w:cstheme="minorHAnsi"/>
        </w:rPr>
        <w:t xml:space="preserve">(4) Önleme tabi ürünün ÇHC dışındaki ülkelerden yapılan ithalatı miktar bazında 2018 yılında 1.275 adet, 2019 yılında 997 adet, 2020 yılında ise 1.329 adet olarak gerçekleşmiştir. Önleme tabi ürünün ÇHC dışındaki ülkelerden yapılan ithalatı değer bazında 2018 yılında 25.566.813 ABD doları, 2019 yılında 20.808.327 ABD doları, 2020 yılında ise 17.573.688 ABD doları olarak gerçekleşmiştir. Önleme tabi ürünün ÇHC dışındaki ülkelerden yapılan ithalatının birim fiyatı 2018 yılında 20.052 ABD doları/adet, 2019 yılında 20.871 ABD doları/adet, 2020 yılında 13.223 ABD doları/adet olarak gerçekleşmiştir. </w:t>
      </w:r>
    </w:p>
    <w:p w14:paraId="19829D61" w14:textId="77777777" w:rsidR="00CC3CD0" w:rsidRPr="00EE21A9" w:rsidRDefault="00CC3CD0" w:rsidP="00CC3CD0">
      <w:pPr>
        <w:pStyle w:val="GvdeMetni"/>
        <w:spacing w:line="192" w:lineRule="auto"/>
        <w:rPr>
          <w:rFonts w:asciiTheme="minorHAnsi" w:hAnsiTheme="minorHAnsi" w:cstheme="minorHAnsi"/>
          <w:sz w:val="22"/>
          <w:szCs w:val="22"/>
        </w:rPr>
      </w:pPr>
    </w:p>
    <w:p w14:paraId="42DC4B69" w14:textId="465B2265" w:rsidR="00CC3CD0" w:rsidRPr="00EE21A9" w:rsidRDefault="00CC3CD0" w:rsidP="00CC3CD0">
      <w:pPr>
        <w:pStyle w:val="Balk2"/>
        <w:spacing w:before="0" w:line="192" w:lineRule="auto"/>
        <w:contextualSpacing/>
        <w:rPr>
          <w:rFonts w:asciiTheme="minorHAnsi" w:hAnsiTheme="minorHAnsi" w:cstheme="minorHAnsi"/>
          <w:bCs/>
          <w:iCs/>
          <w:sz w:val="22"/>
          <w:szCs w:val="22"/>
        </w:rPr>
      </w:pPr>
      <w:bookmarkStart w:id="14" w:name="_Toc25742997"/>
      <w:r w:rsidRPr="00EE21A9">
        <w:rPr>
          <w:rFonts w:asciiTheme="minorHAnsi" w:hAnsiTheme="minorHAnsi" w:cstheme="minorHAnsi"/>
          <w:bCs/>
          <w:iCs/>
          <w:sz w:val="22"/>
          <w:szCs w:val="22"/>
        </w:rPr>
        <w:t>4.3. İthalatın nispi gelişimi</w:t>
      </w:r>
      <w:bookmarkEnd w:id="14"/>
      <w:r w:rsidRPr="00EE21A9">
        <w:rPr>
          <w:rFonts w:asciiTheme="minorHAnsi" w:hAnsiTheme="minorHAnsi" w:cstheme="minorHAnsi"/>
          <w:bCs/>
          <w:iCs/>
          <w:sz w:val="22"/>
          <w:szCs w:val="22"/>
        </w:rPr>
        <w:t xml:space="preserve"> </w:t>
      </w:r>
    </w:p>
    <w:p w14:paraId="1845C554" w14:textId="77777777" w:rsidR="00CC3CD0" w:rsidRPr="00EE21A9" w:rsidRDefault="00CC3CD0" w:rsidP="00CC3CD0">
      <w:pPr>
        <w:spacing w:line="192" w:lineRule="auto"/>
        <w:jc w:val="both"/>
        <w:rPr>
          <w:rFonts w:cstheme="minorHAnsi"/>
          <w:bCs/>
        </w:rPr>
      </w:pPr>
      <w:r w:rsidRPr="00EE21A9">
        <w:rPr>
          <w:rFonts w:cstheme="minorHAnsi"/>
          <w:bCs/>
        </w:rPr>
        <w:t>(1) Soruşturma konusu ithalatın nispi olarak gelişimini görebilmek için, söz konusu ithalatın toplam Türkiye benzer mal tüketimi içerisindeki payı 2018-2020 yılları arasında incelenmiştir. Türkiye toplam benzer mal tüketiminin hesaplanmasında, benzer malın yerli üreticilerinin yurt içi satış miktarı söz konusu ürünün Türkiye’ye yapılan genel ithalat miktarı ile toplanmıştır. Yerli üretim dalının yurt içi satışlarının, diğer yerli üreticilerin yurt içi satışlarının, soruşturma konusu ülkeden gerçekleştirilen ithalatın ve diğer ülkelerden gerçekleştirilen ithalatın toplam tüketime oranlanmasıyla pazar payları hesaplanmıştır. İncelenen veriler 2018 yılı=100 olacak şekilde endekslenmiştir.</w:t>
      </w:r>
      <w:r w:rsidRPr="00EE21A9">
        <w:rPr>
          <w:rFonts w:cstheme="minorHAnsi"/>
          <w:noProof/>
          <w:color w:val="000000"/>
        </w:rPr>
        <w:t xml:space="preserve"> </w:t>
      </w:r>
    </w:p>
    <w:p w14:paraId="47AFD43F" w14:textId="77777777" w:rsidR="00CC3CD0" w:rsidRPr="00EE21A9" w:rsidRDefault="00CC3CD0" w:rsidP="00CC3CD0">
      <w:pPr>
        <w:spacing w:line="192" w:lineRule="auto"/>
        <w:jc w:val="both"/>
        <w:rPr>
          <w:rFonts w:cstheme="minorHAnsi"/>
          <w:b/>
          <w:highlight w:val="yellow"/>
        </w:rPr>
      </w:pPr>
    </w:p>
    <w:p w14:paraId="3F6E5F96" w14:textId="77777777" w:rsidR="00CC3CD0" w:rsidRPr="00EE21A9" w:rsidRDefault="00CC3CD0" w:rsidP="00CC3CD0">
      <w:pPr>
        <w:spacing w:line="192" w:lineRule="auto"/>
        <w:jc w:val="both"/>
        <w:rPr>
          <w:rFonts w:cstheme="minorHAnsi"/>
          <w:bCs/>
        </w:rPr>
      </w:pPr>
      <w:r w:rsidRPr="00EE21A9">
        <w:rPr>
          <w:rFonts w:cstheme="minorHAnsi"/>
          <w:bCs/>
        </w:rPr>
        <w:t>(2) Önleme tabi ürünün yurt içi tüketim endeks değeri 2018 yılı için 100 birim olarak kabul edildiğinde 2019 yılında 97 birim, 2020 yılında 122 birim olarak gerçekleşmiştir.</w:t>
      </w:r>
    </w:p>
    <w:p w14:paraId="0855CA26" w14:textId="77777777" w:rsidR="00CC3CD0" w:rsidRPr="00EE21A9" w:rsidRDefault="00CC3CD0" w:rsidP="00CC3CD0">
      <w:pPr>
        <w:spacing w:line="192" w:lineRule="auto"/>
        <w:jc w:val="both"/>
        <w:rPr>
          <w:rFonts w:cstheme="minorHAnsi"/>
          <w:bCs/>
        </w:rPr>
      </w:pPr>
    </w:p>
    <w:p w14:paraId="5E38C050" w14:textId="77777777" w:rsidR="00CC3CD0" w:rsidRPr="00EE21A9" w:rsidRDefault="00CC3CD0" w:rsidP="00CC3CD0">
      <w:pPr>
        <w:spacing w:line="192" w:lineRule="auto"/>
        <w:jc w:val="both"/>
        <w:rPr>
          <w:rFonts w:cstheme="minorHAnsi"/>
          <w:bCs/>
        </w:rPr>
      </w:pPr>
      <w:r w:rsidRPr="00EE21A9">
        <w:rPr>
          <w:rFonts w:cstheme="minorHAnsi"/>
          <w:bCs/>
        </w:rPr>
        <w:t xml:space="preserve">(3) Önleme tabi üründe yerli üretim dalının pazar payının endeks değeri 2018 yılında 100 birim, 2019 yılında 128 birim, 2020 yılında 95 birim olarak gerçekleşmiştir. </w:t>
      </w:r>
    </w:p>
    <w:p w14:paraId="423692DB" w14:textId="77777777" w:rsidR="00CC3CD0" w:rsidRPr="00EE21A9" w:rsidRDefault="00CC3CD0" w:rsidP="00CC3CD0">
      <w:pPr>
        <w:spacing w:line="192" w:lineRule="auto"/>
        <w:jc w:val="both"/>
        <w:rPr>
          <w:rFonts w:cstheme="minorHAnsi"/>
          <w:bCs/>
        </w:rPr>
      </w:pPr>
    </w:p>
    <w:p w14:paraId="42ACB493" w14:textId="77777777" w:rsidR="00CC3CD0" w:rsidRPr="00EE21A9" w:rsidRDefault="00CC3CD0" w:rsidP="00CC3CD0">
      <w:pPr>
        <w:spacing w:line="192" w:lineRule="auto"/>
        <w:jc w:val="both"/>
        <w:rPr>
          <w:rFonts w:cstheme="minorHAnsi"/>
          <w:bCs/>
        </w:rPr>
      </w:pPr>
      <w:r w:rsidRPr="00EE21A9">
        <w:rPr>
          <w:rFonts w:cstheme="minorHAnsi"/>
          <w:bCs/>
        </w:rPr>
        <w:t>(4) Önleme tabi üründe ÇHC menşeli ithalatın pazar payının endeks değeri 2018, 2019 ve 2020 yıllarında sırasıyla, 100 birim, 388 birim ve 439 birim olarak gerçekleşmiştir.</w:t>
      </w:r>
    </w:p>
    <w:p w14:paraId="76983D25" w14:textId="77777777" w:rsidR="00CC3CD0" w:rsidRPr="00EE21A9" w:rsidRDefault="00CC3CD0" w:rsidP="00CC3CD0">
      <w:pPr>
        <w:spacing w:line="192" w:lineRule="auto"/>
        <w:jc w:val="both"/>
        <w:rPr>
          <w:rFonts w:cstheme="minorHAnsi"/>
          <w:bCs/>
        </w:rPr>
      </w:pPr>
    </w:p>
    <w:p w14:paraId="496EBB2A" w14:textId="77777777" w:rsidR="00CC3CD0" w:rsidRPr="00EE21A9" w:rsidRDefault="00CC3CD0" w:rsidP="00CC3CD0">
      <w:pPr>
        <w:spacing w:line="192" w:lineRule="auto"/>
        <w:jc w:val="both"/>
        <w:rPr>
          <w:rFonts w:cstheme="minorHAnsi"/>
          <w:bCs/>
        </w:rPr>
      </w:pPr>
      <w:r w:rsidRPr="00EE21A9">
        <w:rPr>
          <w:rFonts w:cstheme="minorHAnsi"/>
          <w:bCs/>
        </w:rPr>
        <w:t xml:space="preserve">(5) Önlem konusu üründe diğer ülkeler menşeli ithalatın pazar payının endeks değeri 2018’de 100 birim iken, 2019 ve 2020 yıllarında sırasıyla, 81 birim ve 86 birim olarak gerçekleşmiştir. </w:t>
      </w:r>
    </w:p>
    <w:p w14:paraId="380F0483" w14:textId="77777777" w:rsidR="00CC3CD0" w:rsidRPr="00EE21A9" w:rsidRDefault="00CC3CD0" w:rsidP="00CC3CD0">
      <w:pPr>
        <w:spacing w:line="192" w:lineRule="auto"/>
        <w:jc w:val="both"/>
        <w:rPr>
          <w:rFonts w:cstheme="minorHAnsi"/>
        </w:rPr>
      </w:pPr>
    </w:p>
    <w:p w14:paraId="332CEFA8" w14:textId="77777777" w:rsidR="00CC3CD0" w:rsidRPr="00EE21A9" w:rsidRDefault="00CC3CD0" w:rsidP="00CC3CD0">
      <w:pPr>
        <w:autoSpaceDE w:val="0"/>
        <w:autoSpaceDN w:val="0"/>
        <w:adjustRightInd w:val="0"/>
        <w:spacing w:line="192" w:lineRule="auto"/>
        <w:jc w:val="both"/>
        <w:rPr>
          <w:rFonts w:cstheme="minorHAnsi"/>
          <w:b/>
        </w:rPr>
      </w:pPr>
    </w:p>
    <w:p w14:paraId="5DF2C03E" w14:textId="01DF541D" w:rsidR="00CC3CD0" w:rsidRPr="00EE21A9" w:rsidRDefault="00CC3CD0" w:rsidP="00CC3CD0">
      <w:pPr>
        <w:autoSpaceDE w:val="0"/>
        <w:autoSpaceDN w:val="0"/>
        <w:adjustRightInd w:val="0"/>
        <w:spacing w:line="192" w:lineRule="auto"/>
        <w:jc w:val="both"/>
        <w:rPr>
          <w:rFonts w:cstheme="minorHAnsi"/>
          <w:b/>
        </w:rPr>
      </w:pPr>
      <w:r w:rsidRPr="00EE21A9">
        <w:rPr>
          <w:rFonts w:cstheme="minorHAnsi"/>
          <w:b/>
        </w:rPr>
        <w:t xml:space="preserve">4.4. Fiyat kırılması ve baskısı  </w:t>
      </w:r>
    </w:p>
    <w:p w14:paraId="44C5FDEA" w14:textId="77777777" w:rsidR="00CC3CD0" w:rsidRPr="00EE21A9" w:rsidRDefault="00CC3CD0" w:rsidP="00CC3CD0">
      <w:pPr>
        <w:spacing w:line="192" w:lineRule="auto"/>
        <w:jc w:val="both"/>
        <w:rPr>
          <w:rFonts w:cstheme="minorHAnsi"/>
          <w:bCs/>
        </w:rPr>
      </w:pPr>
      <w:r w:rsidRPr="00EE21A9">
        <w:rPr>
          <w:rFonts w:cstheme="minorHAnsi"/>
          <w:bCs/>
        </w:rPr>
        <w:t>(1) Önlemin yürürlükten kalkması halinde ÇHC menşeli ithalatın yerli üretim dalının yurt içi satış fiyatları üzerindeki etkisini analiz etmek için, bahse konu ülke menşeli ithalatın Türkiye’ye giriş fiyatlarıyla yerli üretim dalının gerçekleşmiş iç piyasa satış fiyatlarını karşılaştıran fiyat kırılması hesabı ve ÇHC menşeli ithalatın Türkiye’ye giriş fiyatlarıyla yerli üretim dalının olması gereken yurt içi satış fiyatlarını karşılaştıran fiyat baskısı hesabı yapılmıştır. Yerli üretim dalının olması gereken yurt içi satış fiyatı, önlem konusu ürünün birim ticari maliyetine makul bir kar oranının eklenmesi ile bulunmuştur. ÇHC menşeli ithalatın Türkiye’ye giriş fiyatları ise, KDS istatistiklerinden elde edilen ortalama CIF fiyatlar üzerine 2020 yılı için %2,2 oranında gümrük vergisi, %7 oranında İGV ve %1,2 oranında diğer gümrük masrafları eklenerek bulunmuştur. Dampinge karşı önlemin bulunmadığı bir ortamda fiyatların hangi düzeyde olacağına ilişkin değerlendirmeyi mümkün kılmak amacıyla anılan fiyatlara dampinge karşı önlem eklenmemiştir.</w:t>
      </w:r>
    </w:p>
    <w:p w14:paraId="7AAAC95B" w14:textId="77777777" w:rsidR="00CC3CD0" w:rsidRPr="00EE21A9" w:rsidRDefault="00CC3CD0" w:rsidP="00CC3CD0">
      <w:pPr>
        <w:pStyle w:val="GvdeMetni"/>
        <w:spacing w:line="192" w:lineRule="auto"/>
        <w:rPr>
          <w:rFonts w:asciiTheme="minorHAnsi" w:hAnsiTheme="minorHAnsi" w:cstheme="minorHAnsi"/>
          <w:sz w:val="22"/>
          <w:szCs w:val="22"/>
        </w:rPr>
      </w:pPr>
    </w:p>
    <w:p w14:paraId="04FB8F9D" w14:textId="77777777" w:rsidR="00CC3CD0" w:rsidRPr="00EE21A9" w:rsidRDefault="00CC3CD0" w:rsidP="00CC3CD0">
      <w:pPr>
        <w:spacing w:line="216" w:lineRule="auto"/>
        <w:jc w:val="both"/>
        <w:rPr>
          <w:rFonts w:cstheme="minorHAnsi"/>
        </w:rPr>
      </w:pPr>
      <w:r w:rsidRPr="00EE21A9">
        <w:rPr>
          <w:rFonts w:cstheme="minorHAnsi"/>
        </w:rPr>
        <w:t xml:space="preserve">(2) Bu anlamda, </w:t>
      </w:r>
      <w:r w:rsidRPr="00EE21A9">
        <w:rPr>
          <w:rFonts w:cstheme="minorHAnsi"/>
          <w:color w:val="000000"/>
        </w:rPr>
        <w:t xml:space="preserve">2020 yılında, </w:t>
      </w:r>
      <w:r w:rsidRPr="00EE21A9">
        <w:rPr>
          <w:rFonts w:cstheme="minorHAnsi"/>
        </w:rPr>
        <w:t xml:space="preserve">önlem konusu üründe, ÇHC menşeli ithalatın yerli üretim dalının yurt içi fiyatlarını CIF bedelin </w:t>
      </w:r>
      <w:r w:rsidRPr="00EE21A9">
        <w:rPr>
          <w:rFonts w:cstheme="minorHAnsi"/>
          <w:color w:val="000000"/>
        </w:rPr>
        <w:t xml:space="preserve">%1180’i ila %1280’i aralığında yer alan bir oranda kırdığı; %1100’ü ila %1300’ü aralığında yer alan bir oranda baskıladığı </w:t>
      </w:r>
      <w:r w:rsidRPr="00EE21A9">
        <w:rPr>
          <w:rFonts w:cstheme="minorHAnsi"/>
        </w:rPr>
        <w:t>tespit edilmiştir.</w:t>
      </w:r>
    </w:p>
    <w:p w14:paraId="41C12EB6" w14:textId="77777777" w:rsidR="00CC3CD0" w:rsidRPr="00EE21A9" w:rsidRDefault="00CC3CD0" w:rsidP="00CC3CD0">
      <w:pPr>
        <w:spacing w:line="192" w:lineRule="auto"/>
        <w:jc w:val="both"/>
        <w:rPr>
          <w:rFonts w:cstheme="minorHAnsi"/>
        </w:rPr>
      </w:pPr>
    </w:p>
    <w:p w14:paraId="2B29CA32" w14:textId="7CF659AD" w:rsidR="00CC3CD0" w:rsidRPr="00EE21A9" w:rsidRDefault="00CC3CD0" w:rsidP="00CC3CD0">
      <w:pPr>
        <w:pStyle w:val="Balk2"/>
        <w:spacing w:before="0" w:line="192" w:lineRule="auto"/>
        <w:contextualSpacing/>
        <w:rPr>
          <w:rFonts w:asciiTheme="minorHAnsi" w:hAnsiTheme="minorHAnsi" w:cstheme="minorHAnsi"/>
          <w:sz w:val="22"/>
          <w:szCs w:val="22"/>
        </w:rPr>
      </w:pPr>
      <w:bookmarkStart w:id="15" w:name="_Toc25742999"/>
      <w:r w:rsidRPr="00EE21A9">
        <w:rPr>
          <w:rFonts w:asciiTheme="minorHAnsi" w:hAnsiTheme="minorHAnsi" w:cstheme="minorHAnsi"/>
          <w:sz w:val="22"/>
          <w:szCs w:val="22"/>
        </w:rPr>
        <w:t>4.5. Yerli üretim dalının ekonomik göstergeleri</w:t>
      </w:r>
      <w:bookmarkEnd w:id="15"/>
      <w:r w:rsidRPr="00EE21A9">
        <w:rPr>
          <w:rFonts w:asciiTheme="minorHAnsi" w:hAnsiTheme="minorHAnsi" w:cstheme="minorHAnsi"/>
          <w:sz w:val="22"/>
          <w:szCs w:val="22"/>
        </w:rPr>
        <w:t xml:space="preserve"> </w:t>
      </w:r>
    </w:p>
    <w:p w14:paraId="7D3E9DFA" w14:textId="77777777" w:rsidR="00CC3CD0" w:rsidRPr="00EE21A9" w:rsidRDefault="00CC3CD0" w:rsidP="00CC3CD0">
      <w:pPr>
        <w:spacing w:line="192" w:lineRule="auto"/>
        <w:jc w:val="both"/>
        <w:rPr>
          <w:rFonts w:cstheme="minorHAnsi"/>
          <w:bCs/>
        </w:rPr>
      </w:pPr>
      <w:r w:rsidRPr="00EE21A9">
        <w:rPr>
          <w:rFonts w:cstheme="minorHAnsi"/>
          <w:bCs/>
        </w:rPr>
        <w:t>(1) Yerli üretim dalının ekonomik göstergeleri, yerli üretim dalının 2018-2020 yılları arasındaki verileri esas alınarak kullanılmıştır. Eğilimin sağlıklı bir şekilde incelenmesi amacıyla Türk lirası bazındaki veriler Türkiye İstatistik Kurumu (TÜİK)’ten sağlanan yıllık ortalama Üretici Fiyat Endeksi (ÜFE) kullanılarak enflasyondan arındırılarak endekslenmiştir.</w:t>
      </w:r>
    </w:p>
    <w:p w14:paraId="663F7A67" w14:textId="77777777" w:rsidR="00CC3CD0" w:rsidRPr="00EE21A9" w:rsidRDefault="00CC3CD0" w:rsidP="00CC3CD0">
      <w:pPr>
        <w:spacing w:line="192" w:lineRule="auto"/>
        <w:jc w:val="both"/>
        <w:rPr>
          <w:rFonts w:cstheme="minorHAnsi"/>
          <w:bCs/>
        </w:rPr>
      </w:pPr>
    </w:p>
    <w:p w14:paraId="2C47A18D" w14:textId="77777777" w:rsidR="00CC3CD0" w:rsidRPr="00EE21A9" w:rsidRDefault="00CC3CD0" w:rsidP="00CC3CD0">
      <w:pPr>
        <w:spacing w:line="192" w:lineRule="auto"/>
        <w:jc w:val="both"/>
        <w:rPr>
          <w:rFonts w:cstheme="minorHAnsi"/>
          <w:bCs/>
          <w:u w:val="single"/>
        </w:rPr>
      </w:pPr>
      <w:r w:rsidRPr="00EE21A9">
        <w:rPr>
          <w:rFonts w:cstheme="minorHAnsi"/>
          <w:bCs/>
          <w:u w:val="single"/>
        </w:rPr>
        <w:t>a) Üretim, kapasite ve kapasite kullanım oranı (KKO)</w:t>
      </w:r>
    </w:p>
    <w:p w14:paraId="530D79C9" w14:textId="77777777" w:rsidR="00CC3CD0" w:rsidRPr="00EE21A9" w:rsidRDefault="00CC3CD0" w:rsidP="00CC3CD0">
      <w:pPr>
        <w:spacing w:line="192" w:lineRule="auto"/>
        <w:jc w:val="both"/>
        <w:rPr>
          <w:rFonts w:cstheme="minorHAnsi"/>
          <w:noProof/>
        </w:rPr>
      </w:pPr>
      <w:r w:rsidRPr="00EE21A9">
        <w:rPr>
          <w:rFonts w:cstheme="minorHAnsi"/>
          <w:bCs/>
        </w:rPr>
        <w:t>(1) Yerli üretim dalının soruşturma konusu üründe üretim miktar endeksi 2018 yılı 100 birim olarak kabul edildiğinde, 2019 yılında 124 birim, 2020 yılında 116 birim olarak gerçekleşmiştir. Yerli üretim dalının soruşturma konusu üründe kapasite miktar endeksi 2018-2020 döneminde 100 birim olarak gerçekleşmiştir. Yerli üretim dalının soruşturma konusu üründe KKO endeksi ise 2018 yılı 100 birim olarak kabul edildiğinde, 2019 yılında 124 birim, 2020 yılında 116 birim olarak gerçekleşmiştir.</w:t>
      </w:r>
      <w:r w:rsidRPr="00EE21A9">
        <w:rPr>
          <w:rFonts w:cstheme="minorHAnsi"/>
          <w:noProof/>
        </w:rPr>
        <w:t xml:space="preserve"> </w:t>
      </w:r>
    </w:p>
    <w:p w14:paraId="4705EC82" w14:textId="77777777" w:rsidR="00CC3CD0" w:rsidRPr="00EE21A9" w:rsidRDefault="00CC3CD0" w:rsidP="00CC3CD0">
      <w:pPr>
        <w:spacing w:line="192" w:lineRule="auto"/>
        <w:jc w:val="both"/>
        <w:rPr>
          <w:rFonts w:cstheme="minorHAnsi"/>
          <w:noProof/>
        </w:rPr>
      </w:pPr>
    </w:p>
    <w:p w14:paraId="494F24EC" w14:textId="77777777" w:rsidR="00CC3CD0" w:rsidRPr="00EE21A9" w:rsidRDefault="00CC3CD0" w:rsidP="00CC3CD0">
      <w:pPr>
        <w:spacing w:line="192" w:lineRule="auto"/>
        <w:jc w:val="both"/>
        <w:rPr>
          <w:rFonts w:cstheme="minorHAnsi"/>
          <w:bCs/>
          <w:u w:val="single"/>
        </w:rPr>
      </w:pPr>
      <w:r w:rsidRPr="00EE21A9">
        <w:rPr>
          <w:rFonts w:cstheme="minorHAnsi"/>
          <w:bCs/>
          <w:u w:val="single"/>
        </w:rPr>
        <w:t>b) Yurt içi ve yurt dışı satışlar</w:t>
      </w:r>
    </w:p>
    <w:p w14:paraId="7C484893" w14:textId="77777777" w:rsidR="00CC3CD0" w:rsidRPr="00EE21A9" w:rsidRDefault="00CC3CD0" w:rsidP="00CC3CD0">
      <w:pPr>
        <w:spacing w:line="192" w:lineRule="auto"/>
        <w:jc w:val="both"/>
        <w:rPr>
          <w:rFonts w:cstheme="minorHAnsi"/>
          <w:bCs/>
        </w:rPr>
      </w:pPr>
      <w:r w:rsidRPr="00EE21A9">
        <w:rPr>
          <w:rFonts w:cstheme="minorHAnsi"/>
          <w:bCs/>
        </w:rPr>
        <w:t>(1) Yerli üretim dalının soruşturma konusu üründe yurt içi satış miktarı endeksi 2018 yılı 100 birim olarak kabul edildiğinde, 2019 yılında 124 birim, 2020 yılında 116 birim olarak gerçekleşmiştir. Yerli üretim dalının soruşturma konusu üründe yurt içi satış hasılası endeksi ise, 2018 yılı 100 birim olarak kabul edildiğinde, 2019 yılında 117 birim, 2020 yılında 117 birim olarak gerçekleşmiştir.</w:t>
      </w:r>
    </w:p>
    <w:p w14:paraId="7C151D3E" w14:textId="77777777" w:rsidR="00CC3CD0" w:rsidRPr="00EE21A9" w:rsidRDefault="00CC3CD0" w:rsidP="00CC3CD0">
      <w:pPr>
        <w:spacing w:line="192" w:lineRule="auto"/>
        <w:jc w:val="both"/>
        <w:rPr>
          <w:rFonts w:cstheme="minorHAnsi"/>
          <w:bCs/>
        </w:rPr>
      </w:pPr>
    </w:p>
    <w:p w14:paraId="510FDED0" w14:textId="77777777" w:rsidR="00CC3CD0" w:rsidRPr="00EE21A9" w:rsidRDefault="00CC3CD0" w:rsidP="00CC3CD0">
      <w:pPr>
        <w:spacing w:line="192" w:lineRule="auto"/>
        <w:jc w:val="both"/>
        <w:rPr>
          <w:rFonts w:cstheme="minorHAnsi"/>
          <w:bCs/>
        </w:rPr>
      </w:pPr>
      <w:r w:rsidRPr="00EE21A9">
        <w:rPr>
          <w:rFonts w:cstheme="minorHAnsi"/>
          <w:bCs/>
        </w:rPr>
        <w:t>(2) Yerli üretim dalının soruşturma konusu üründe yurt dışı satışı bulunmamaktadır.</w:t>
      </w:r>
    </w:p>
    <w:p w14:paraId="68E3C52D" w14:textId="77777777" w:rsidR="00CC3CD0" w:rsidRPr="00EE21A9" w:rsidRDefault="00CC3CD0" w:rsidP="00CC3CD0">
      <w:pPr>
        <w:spacing w:line="192" w:lineRule="auto"/>
        <w:jc w:val="both"/>
        <w:rPr>
          <w:rFonts w:cstheme="minorHAnsi"/>
          <w:bCs/>
        </w:rPr>
      </w:pPr>
    </w:p>
    <w:p w14:paraId="0510339B" w14:textId="77777777" w:rsidR="00CC3CD0" w:rsidRPr="00EE21A9" w:rsidRDefault="00CC3CD0" w:rsidP="00CC3CD0">
      <w:pPr>
        <w:spacing w:line="192" w:lineRule="auto"/>
        <w:jc w:val="both"/>
        <w:rPr>
          <w:rFonts w:cstheme="minorHAnsi"/>
          <w:bCs/>
          <w:u w:val="single"/>
        </w:rPr>
      </w:pPr>
      <w:r w:rsidRPr="00EE21A9">
        <w:rPr>
          <w:rFonts w:cstheme="minorHAnsi"/>
          <w:bCs/>
          <w:u w:val="single"/>
        </w:rPr>
        <w:t>c) Yurt içi fiyatlar ve fiyatları etkileyen unsurlar</w:t>
      </w:r>
    </w:p>
    <w:p w14:paraId="59987622" w14:textId="77777777" w:rsidR="00CC3CD0" w:rsidRPr="00EE21A9" w:rsidRDefault="00CC3CD0" w:rsidP="00CC3CD0">
      <w:pPr>
        <w:spacing w:line="192" w:lineRule="auto"/>
        <w:jc w:val="both"/>
        <w:rPr>
          <w:rFonts w:cstheme="minorHAnsi"/>
          <w:bCs/>
        </w:rPr>
      </w:pPr>
      <w:r w:rsidRPr="00EE21A9">
        <w:rPr>
          <w:rFonts w:cstheme="minorHAnsi"/>
          <w:bCs/>
        </w:rPr>
        <w:t>(1) Yerli üretim dalının soruşturma konusu ürün için ağırlıklı ortalama yurt içi satış fiyatı 2018 yılında 100 birim, 2019 yılında 94 birim ve 2020 yılında 101 birim olarak gerçekleşmiştir.</w:t>
      </w:r>
    </w:p>
    <w:p w14:paraId="48F8D25D" w14:textId="77777777" w:rsidR="00CC3CD0" w:rsidRPr="00EE21A9" w:rsidRDefault="00CC3CD0" w:rsidP="00CC3CD0">
      <w:pPr>
        <w:spacing w:line="192" w:lineRule="auto"/>
        <w:jc w:val="both"/>
        <w:rPr>
          <w:rFonts w:cstheme="minorHAnsi"/>
          <w:bCs/>
        </w:rPr>
      </w:pPr>
    </w:p>
    <w:p w14:paraId="0CAB15BA" w14:textId="77777777" w:rsidR="00CC3CD0" w:rsidRPr="00EE21A9" w:rsidRDefault="00CC3CD0" w:rsidP="00CC3CD0">
      <w:pPr>
        <w:spacing w:line="192" w:lineRule="auto"/>
        <w:jc w:val="both"/>
        <w:rPr>
          <w:rFonts w:cstheme="minorHAnsi"/>
          <w:bCs/>
          <w:spacing w:val="-2"/>
          <w:u w:val="single"/>
        </w:rPr>
      </w:pPr>
      <w:r w:rsidRPr="00EE21A9">
        <w:rPr>
          <w:rFonts w:cstheme="minorHAnsi"/>
          <w:bCs/>
          <w:spacing w:val="-2"/>
          <w:u w:val="single"/>
        </w:rPr>
        <w:t>ç) Pazar payı</w:t>
      </w:r>
    </w:p>
    <w:p w14:paraId="1A6D2F2E" w14:textId="77777777" w:rsidR="00CC3CD0" w:rsidRPr="00EE21A9" w:rsidRDefault="00CC3CD0" w:rsidP="00CC3CD0">
      <w:pPr>
        <w:spacing w:line="192" w:lineRule="auto"/>
        <w:jc w:val="both"/>
        <w:rPr>
          <w:rFonts w:cstheme="minorHAnsi"/>
          <w:noProof/>
        </w:rPr>
      </w:pPr>
      <w:r w:rsidRPr="00EE21A9">
        <w:rPr>
          <w:rFonts w:cstheme="minorHAnsi"/>
          <w:bCs/>
        </w:rPr>
        <w:t>(1) Yerli üretim dalının soruşturma konusu üründe pazar payı endeksi 2018 yılı 100 birim olarak kabul edildiğinde, 2019 yılında 128 birim, 2020 yılında 95 birim olarak gerçekleşmiştir.</w:t>
      </w:r>
      <w:r w:rsidRPr="00EE21A9">
        <w:rPr>
          <w:rFonts w:cstheme="minorHAnsi"/>
          <w:noProof/>
        </w:rPr>
        <w:t xml:space="preserve"> </w:t>
      </w:r>
    </w:p>
    <w:p w14:paraId="69B7AA6F" w14:textId="77777777" w:rsidR="00CC3CD0" w:rsidRPr="00EE21A9" w:rsidRDefault="00CC3CD0" w:rsidP="00CC3CD0">
      <w:pPr>
        <w:spacing w:line="192" w:lineRule="auto"/>
        <w:jc w:val="both"/>
        <w:rPr>
          <w:rFonts w:cstheme="minorHAnsi"/>
          <w:bCs/>
        </w:rPr>
      </w:pPr>
    </w:p>
    <w:p w14:paraId="46126367" w14:textId="77777777" w:rsidR="00CC3CD0" w:rsidRPr="00EE21A9" w:rsidRDefault="00CC3CD0" w:rsidP="00CC3CD0">
      <w:pPr>
        <w:spacing w:line="192" w:lineRule="auto"/>
        <w:jc w:val="both"/>
        <w:rPr>
          <w:rFonts w:cstheme="minorHAnsi"/>
          <w:bCs/>
          <w:u w:val="single"/>
        </w:rPr>
      </w:pPr>
      <w:r w:rsidRPr="00EE21A9">
        <w:rPr>
          <w:rFonts w:cstheme="minorHAnsi"/>
          <w:bCs/>
          <w:u w:val="single"/>
        </w:rPr>
        <w:t>d) Maliyetler ve karlılık</w:t>
      </w:r>
    </w:p>
    <w:p w14:paraId="4A7C42A8" w14:textId="77777777" w:rsidR="00CC3CD0" w:rsidRPr="00EE21A9" w:rsidRDefault="00CC3CD0" w:rsidP="00CC3CD0">
      <w:pPr>
        <w:pStyle w:val="GvdeMetni"/>
        <w:spacing w:line="192" w:lineRule="auto"/>
        <w:rPr>
          <w:rFonts w:asciiTheme="minorHAnsi" w:hAnsiTheme="minorHAnsi" w:cstheme="minorHAnsi"/>
          <w:bCs/>
          <w:color w:val="auto"/>
          <w:sz w:val="22"/>
          <w:szCs w:val="22"/>
          <w:lang w:eastAsia="tr-TR"/>
        </w:rPr>
      </w:pPr>
      <w:r w:rsidRPr="00EE21A9">
        <w:rPr>
          <w:rFonts w:asciiTheme="minorHAnsi" w:hAnsiTheme="minorHAnsi" w:cstheme="minorHAnsi"/>
          <w:bCs/>
          <w:color w:val="auto"/>
          <w:sz w:val="22"/>
          <w:szCs w:val="22"/>
          <w:lang w:eastAsia="tr-TR"/>
        </w:rPr>
        <w:t>(1) Yerli üretim dalının önleme tabi üründeki birim sınai maliyet endeksi 2018 yılında 100 birim, 2019 yılında 98 birim, 2020 yılında 96 birim olarak gerçekleşmiştir.</w:t>
      </w:r>
    </w:p>
    <w:p w14:paraId="1C15F183" w14:textId="77777777" w:rsidR="00CC3CD0" w:rsidRPr="00EE21A9" w:rsidRDefault="00CC3CD0" w:rsidP="00CC3CD0">
      <w:pPr>
        <w:pStyle w:val="GvdeMetni"/>
        <w:spacing w:line="192" w:lineRule="auto"/>
        <w:rPr>
          <w:rFonts w:asciiTheme="minorHAnsi" w:hAnsiTheme="minorHAnsi" w:cstheme="minorHAnsi"/>
          <w:sz w:val="22"/>
          <w:szCs w:val="22"/>
        </w:rPr>
      </w:pPr>
    </w:p>
    <w:p w14:paraId="10DEF733" w14:textId="77777777" w:rsidR="00CC3CD0" w:rsidRPr="00EE21A9" w:rsidRDefault="00CC3CD0" w:rsidP="00CC3CD0">
      <w:pPr>
        <w:spacing w:line="192" w:lineRule="auto"/>
        <w:jc w:val="both"/>
        <w:rPr>
          <w:rFonts w:cstheme="minorHAnsi"/>
          <w:bCs/>
        </w:rPr>
      </w:pPr>
      <w:r w:rsidRPr="00EE21A9">
        <w:rPr>
          <w:rFonts w:cstheme="minorHAnsi"/>
          <w:bCs/>
        </w:rPr>
        <w:t>(2) Yerli üretim dalının</w:t>
      </w:r>
      <w:r w:rsidRPr="00EE21A9">
        <w:rPr>
          <w:rFonts w:cstheme="minorHAnsi"/>
        </w:rPr>
        <w:t xml:space="preserve"> s</w:t>
      </w:r>
      <w:r w:rsidRPr="00EE21A9">
        <w:rPr>
          <w:rFonts w:cstheme="minorHAnsi"/>
          <w:bCs/>
        </w:rPr>
        <w:t>oruşturma konusu üründe birim ticari maliyet endeksi 2018 yılı 100 birim olarak kabul edildiğinde, 2019 yılında 98 birim, 2020 yılında ise 97 birim olarak gerçekleşmiştir.</w:t>
      </w:r>
    </w:p>
    <w:p w14:paraId="54BE1360" w14:textId="77777777" w:rsidR="00CC3CD0" w:rsidRPr="00EE21A9" w:rsidRDefault="00CC3CD0" w:rsidP="00CC3CD0">
      <w:pPr>
        <w:spacing w:line="192" w:lineRule="auto"/>
        <w:jc w:val="both"/>
        <w:rPr>
          <w:rFonts w:cstheme="minorHAnsi"/>
          <w:bCs/>
        </w:rPr>
      </w:pPr>
    </w:p>
    <w:p w14:paraId="1AFA3E64" w14:textId="77777777" w:rsidR="00CC3CD0" w:rsidRPr="00EE21A9" w:rsidRDefault="00CC3CD0" w:rsidP="00CC3CD0">
      <w:pPr>
        <w:spacing w:line="192" w:lineRule="auto"/>
        <w:jc w:val="both"/>
        <w:rPr>
          <w:rFonts w:cstheme="minorHAnsi"/>
          <w:bCs/>
        </w:rPr>
      </w:pPr>
      <w:r w:rsidRPr="00EE21A9">
        <w:rPr>
          <w:rFonts w:cstheme="minorHAnsi"/>
          <w:bCs/>
        </w:rPr>
        <w:t xml:space="preserve"> (3) Yerli üretim dalının</w:t>
      </w:r>
      <w:r w:rsidRPr="00EE21A9">
        <w:rPr>
          <w:rFonts w:cstheme="minorHAnsi"/>
        </w:rPr>
        <w:t xml:space="preserve"> s</w:t>
      </w:r>
      <w:r w:rsidRPr="00EE21A9">
        <w:rPr>
          <w:rFonts w:cstheme="minorHAnsi"/>
          <w:bCs/>
        </w:rPr>
        <w:t>oruşturma konusu üründe yurt içi satışlarından elde ettiği birim kârlılık endeksi 2018 yılı 100 birim olarak kabul edildiğinde, 2019 yılında 79 birim olarak, 2020 yılında 118 birim olarak gerçekleşmiştir.</w:t>
      </w:r>
    </w:p>
    <w:p w14:paraId="0D38471E" w14:textId="77777777" w:rsidR="00CC3CD0" w:rsidRPr="00EE21A9" w:rsidRDefault="00CC3CD0" w:rsidP="00CC3CD0">
      <w:pPr>
        <w:spacing w:line="192" w:lineRule="auto"/>
        <w:jc w:val="both"/>
        <w:rPr>
          <w:rFonts w:cstheme="minorHAnsi"/>
          <w:bCs/>
        </w:rPr>
      </w:pPr>
    </w:p>
    <w:p w14:paraId="430CF3A2" w14:textId="77777777" w:rsidR="00CC3CD0" w:rsidRPr="00EE21A9" w:rsidRDefault="00CC3CD0" w:rsidP="00CC3CD0">
      <w:pPr>
        <w:spacing w:line="192" w:lineRule="auto"/>
        <w:jc w:val="both"/>
        <w:rPr>
          <w:rFonts w:cstheme="minorHAnsi"/>
          <w:bCs/>
        </w:rPr>
      </w:pPr>
      <w:r w:rsidRPr="00EE21A9">
        <w:rPr>
          <w:rFonts w:cstheme="minorHAnsi"/>
          <w:bCs/>
        </w:rPr>
        <w:t>(4) Yerli üretim dalının soruşturma konusu üründe toplam satışların birim kârlılık endeksi 2018 yılı 100 birim olarak kabul edildiğinde, 2019 yılında 79 birim, 2020 yılında 118 birim olarak gerçekleşmiştir.</w:t>
      </w:r>
    </w:p>
    <w:p w14:paraId="62EB6E5B" w14:textId="77777777" w:rsidR="00CC3CD0" w:rsidRPr="00EE21A9" w:rsidRDefault="00CC3CD0" w:rsidP="00CC3CD0">
      <w:pPr>
        <w:spacing w:line="192" w:lineRule="auto"/>
        <w:jc w:val="both"/>
        <w:rPr>
          <w:rFonts w:cstheme="minorHAnsi"/>
          <w:bCs/>
          <w:u w:val="single"/>
        </w:rPr>
      </w:pPr>
      <w:r w:rsidRPr="00EE21A9">
        <w:rPr>
          <w:rFonts w:cstheme="minorHAnsi"/>
          <w:bCs/>
          <w:u w:val="single"/>
        </w:rPr>
        <w:t xml:space="preserve">e) Stoklar </w:t>
      </w:r>
    </w:p>
    <w:p w14:paraId="7CF59776" w14:textId="77777777" w:rsidR="00CC3CD0" w:rsidRPr="00EE21A9" w:rsidRDefault="00CC3CD0" w:rsidP="00CC3CD0">
      <w:pPr>
        <w:spacing w:line="192" w:lineRule="auto"/>
        <w:jc w:val="both"/>
        <w:rPr>
          <w:rFonts w:cstheme="minorHAnsi"/>
        </w:rPr>
      </w:pPr>
      <w:r w:rsidRPr="00EE21A9">
        <w:rPr>
          <w:rFonts w:cstheme="minorHAnsi"/>
          <w:bCs/>
        </w:rPr>
        <w:t xml:space="preserve">(1) Yerli üretim dalının soruşturma konusu üründe dönem sonu stoku bulunmamaktadır. </w:t>
      </w:r>
    </w:p>
    <w:p w14:paraId="74C0741D" w14:textId="77777777" w:rsidR="00CC3CD0" w:rsidRPr="00EE21A9" w:rsidRDefault="00CC3CD0" w:rsidP="00CC3CD0">
      <w:pPr>
        <w:pStyle w:val="GvdeMetni"/>
        <w:spacing w:line="192" w:lineRule="auto"/>
        <w:rPr>
          <w:rFonts w:asciiTheme="minorHAnsi" w:hAnsiTheme="minorHAnsi" w:cstheme="minorHAnsi"/>
          <w:sz w:val="22"/>
          <w:szCs w:val="22"/>
        </w:rPr>
      </w:pPr>
    </w:p>
    <w:p w14:paraId="16336C42" w14:textId="77777777" w:rsidR="00CC3CD0" w:rsidRPr="00EE21A9" w:rsidRDefault="00CC3CD0" w:rsidP="00CC3CD0">
      <w:pPr>
        <w:spacing w:line="192" w:lineRule="auto"/>
        <w:jc w:val="both"/>
        <w:rPr>
          <w:rFonts w:cstheme="minorHAnsi"/>
          <w:bCs/>
          <w:u w:val="single"/>
        </w:rPr>
      </w:pPr>
      <w:r w:rsidRPr="00EE21A9">
        <w:rPr>
          <w:rFonts w:cstheme="minorHAnsi"/>
          <w:bCs/>
          <w:u w:val="single"/>
        </w:rPr>
        <w:t xml:space="preserve">f) İstihdam </w:t>
      </w:r>
    </w:p>
    <w:p w14:paraId="4DCCCCDC" w14:textId="77777777" w:rsidR="00CC3CD0" w:rsidRPr="00EE21A9" w:rsidRDefault="00CC3CD0" w:rsidP="00CC3CD0">
      <w:pPr>
        <w:spacing w:line="192" w:lineRule="auto"/>
        <w:jc w:val="both"/>
        <w:rPr>
          <w:rFonts w:cstheme="minorHAnsi"/>
          <w:bCs/>
        </w:rPr>
      </w:pPr>
      <w:r w:rsidRPr="00EE21A9">
        <w:rPr>
          <w:rFonts w:cstheme="minorHAnsi"/>
          <w:bCs/>
        </w:rPr>
        <w:t>(1) Yerli üretim dalının soruşturma konusu ürün üretiminde çalışan direkt işçi sayısına ilişkin endeks değeri 2018 yılı 100 birim olarak kabul edildiğinde, 2019 yılında 129 birim, 2020 yılında 143 birim olarak gerçekleşmiştir.</w:t>
      </w:r>
    </w:p>
    <w:p w14:paraId="44DBE631" w14:textId="77777777" w:rsidR="00CC3CD0" w:rsidRPr="00EE21A9" w:rsidRDefault="00CC3CD0" w:rsidP="00CC3CD0">
      <w:pPr>
        <w:spacing w:line="192" w:lineRule="auto"/>
        <w:jc w:val="both"/>
        <w:rPr>
          <w:rFonts w:cstheme="minorHAnsi"/>
          <w:bCs/>
        </w:rPr>
      </w:pPr>
    </w:p>
    <w:p w14:paraId="431AD093" w14:textId="77777777" w:rsidR="00CC3CD0" w:rsidRPr="00EE21A9" w:rsidRDefault="00CC3CD0" w:rsidP="00CC3CD0">
      <w:pPr>
        <w:spacing w:line="192" w:lineRule="auto"/>
        <w:jc w:val="both"/>
        <w:rPr>
          <w:rFonts w:cstheme="minorHAnsi"/>
          <w:bCs/>
          <w:u w:val="single"/>
        </w:rPr>
      </w:pPr>
      <w:r w:rsidRPr="00EE21A9">
        <w:rPr>
          <w:rFonts w:cstheme="minorHAnsi"/>
          <w:bCs/>
          <w:u w:val="single"/>
        </w:rPr>
        <w:t>g) Ücretler</w:t>
      </w:r>
    </w:p>
    <w:p w14:paraId="76C06B05" w14:textId="77777777" w:rsidR="00CC3CD0" w:rsidRPr="00EE21A9" w:rsidRDefault="00CC3CD0" w:rsidP="00CC3CD0">
      <w:pPr>
        <w:spacing w:line="192" w:lineRule="auto"/>
        <w:jc w:val="both"/>
        <w:rPr>
          <w:rFonts w:cstheme="minorHAnsi"/>
          <w:bCs/>
        </w:rPr>
      </w:pPr>
      <w:r w:rsidRPr="00EE21A9">
        <w:rPr>
          <w:rFonts w:cstheme="minorHAnsi"/>
          <w:bCs/>
        </w:rPr>
        <w:t>(1) Yerli üretim dalının bütün faaliyetleri için çalışan işçilerin aylık ücretleri endeksi 2018 yılı 100 birim olarak kabul edildiğinde, 2019 yılında 112 birim, 2020 yılında 116 birim olarak gerçekleşmiştir.</w:t>
      </w:r>
      <w:r w:rsidRPr="00EE21A9">
        <w:rPr>
          <w:rFonts w:cstheme="minorHAnsi"/>
          <w:noProof/>
        </w:rPr>
        <w:t xml:space="preserve"> </w:t>
      </w:r>
    </w:p>
    <w:p w14:paraId="4ED693EE" w14:textId="77777777" w:rsidR="00CC3CD0" w:rsidRPr="00EE21A9" w:rsidRDefault="00CC3CD0" w:rsidP="00CC3CD0">
      <w:pPr>
        <w:spacing w:line="192" w:lineRule="auto"/>
        <w:jc w:val="both"/>
        <w:rPr>
          <w:rFonts w:cstheme="minorHAnsi"/>
          <w:bCs/>
        </w:rPr>
      </w:pPr>
    </w:p>
    <w:p w14:paraId="18F5E7B5" w14:textId="77777777" w:rsidR="00CC3CD0" w:rsidRPr="00EE21A9" w:rsidRDefault="00CC3CD0" w:rsidP="00CC3CD0">
      <w:pPr>
        <w:spacing w:line="192" w:lineRule="auto"/>
        <w:jc w:val="both"/>
        <w:rPr>
          <w:rFonts w:cstheme="minorHAnsi"/>
          <w:bCs/>
          <w:u w:val="single"/>
        </w:rPr>
      </w:pPr>
      <w:r w:rsidRPr="00EE21A9">
        <w:rPr>
          <w:rFonts w:cstheme="minorHAnsi"/>
          <w:bCs/>
          <w:u w:val="single"/>
        </w:rPr>
        <w:t>ğ) Verimlilik</w:t>
      </w:r>
    </w:p>
    <w:p w14:paraId="2CC6C0DB" w14:textId="77777777" w:rsidR="00CC3CD0" w:rsidRPr="00EE21A9" w:rsidRDefault="00CC3CD0" w:rsidP="00CC3CD0">
      <w:pPr>
        <w:spacing w:line="192" w:lineRule="auto"/>
        <w:jc w:val="both"/>
        <w:rPr>
          <w:rFonts w:cstheme="minorHAnsi"/>
          <w:bCs/>
        </w:rPr>
      </w:pPr>
      <w:r w:rsidRPr="00EE21A9">
        <w:rPr>
          <w:rFonts w:cstheme="minorHAnsi"/>
          <w:bCs/>
        </w:rPr>
        <w:t>(1) Soruşturma konusu ürünün üretiminde çalışan işçi başına üretim miktarını gösteren verimlilik endeksi 2018 yılı 100 birim olarak kabul edildiğinde, 2019 yılında 96 birim, 2020 yılında 81 birim olarak gerçekleşmiştir.</w:t>
      </w:r>
    </w:p>
    <w:p w14:paraId="5FE14A94" w14:textId="77777777" w:rsidR="00CC3CD0" w:rsidRPr="00EE21A9" w:rsidRDefault="00CC3CD0" w:rsidP="00CC3CD0">
      <w:pPr>
        <w:spacing w:line="192" w:lineRule="auto"/>
        <w:jc w:val="both"/>
        <w:rPr>
          <w:rFonts w:cstheme="minorHAnsi"/>
          <w:bCs/>
        </w:rPr>
      </w:pPr>
    </w:p>
    <w:p w14:paraId="60F6F25F" w14:textId="77777777" w:rsidR="00CC3CD0" w:rsidRPr="00EE21A9" w:rsidRDefault="00CC3CD0" w:rsidP="00CC3CD0">
      <w:pPr>
        <w:spacing w:line="192" w:lineRule="auto"/>
        <w:jc w:val="both"/>
        <w:rPr>
          <w:rFonts w:cstheme="minorHAnsi"/>
          <w:bCs/>
          <w:u w:val="single"/>
        </w:rPr>
      </w:pPr>
      <w:r w:rsidRPr="00EE21A9">
        <w:rPr>
          <w:rFonts w:cstheme="minorHAnsi"/>
          <w:bCs/>
          <w:u w:val="single"/>
        </w:rPr>
        <w:t xml:space="preserve"> h) Nakit akışı</w:t>
      </w:r>
    </w:p>
    <w:p w14:paraId="7CBD01D9" w14:textId="77777777" w:rsidR="00CC3CD0" w:rsidRPr="00EE21A9" w:rsidRDefault="00CC3CD0" w:rsidP="00CC3CD0">
      <w:pPr>
        <w:spacing w:line="192" w:lineRule="auto"/>
        <w:jc w:val="both"/>
        <w:rPr>
          <w:rFonts w:cstheme="minorHAnsi"/>
          <w:bCs/>
        </w:rPr>
      </w:pPr>
      <w:r w:rsidRPr="00EE21A9">
        <w:rPr>
          <w:rFonts w:cstheme="minorHAnsi"/>
          <w:bCs/>
        </w:rPr>
        <w:t>(1) Yerli üretim dalının soruşturma konusu ürünün üretim ve satışı ile sağladığı reel nakit akışı endeksi 2018 yılı 100 birim olarak kabul edildiğinde, 2019 yılında 100 birim, 2020 yılında 137 birim olarak gerçekleşmiştir.</w:t>
      </w:r>
    </w:p>
    <w:p w14:paraId="79FCCBC7" w14:textId="77777777" w:rsidR="00CC3CD0" w:rsidRPr="00EE21A9" w:rsidRDefault="00CC3CD0" w:rsidP="00CC3CD0">
      <w:pPr>
        <w:spacing w:line="192" w:lineRule="auto"/>
        <w:jc w:val="both"/>
        <w:rPr>
          <w:rFonts w:cstheme="minorHAnsi"/>
          <w:bCs/>
        </w:rPr>
      </w:pPr>
    </w:p>
    <w:p w14:paraId="72228B80" w14:textId="77777777" w:rsidR="00CC3CD0" w:rsidRPr="00EE21A9" w:rsidRDefault="00CC3CD0" w:rsidP="00CC3CD0">
      <w:pPr>
        <w:spacing w:line="192" w:lineRule="auto"/>
        <w:jc w:val="both"/>
        <w:rPr>
          <w:rFonts w:cstheme="minorHAnsi"/>
          <w:bCs/>
          <w:u w:val="single"/>
        </w:rPr>
      </w:pPr>
      <w:r w:rsidRPr="00EE21A9">
        <w:rPr>
          <w:rFonts w:cstheme="minorHAnsi"/>
          <w:bCs/>
          <w:u w:val="single"/>
        </w:rPr>
        <w:t>ı) Büyüme</w:t>
      </w:r>
    </w:p>
    <w:p w14:paraId="324E913B" w14:textId="77777777" w:rsidR="00CC3CD0" w:rsidRPr="00EE21A9" w:rsidRDefault="00CC3CD0" w:rsidP="00CC3CD0">
      <w:pPr>
        <w:spacing w:line="192" w:lineRule="auto"/>
        <w:jc w:val="both"/>
        <w:rPr>
          <w:rFonts w:cstheme="minorHAnsi"/>
          <w:bCs/>
        </w:rPr>
      </w:pPr>
      <w:r w:rsidRPr="00EE21A9">
        <w:rPr>
          <w:rFonts w:cstheme="minorHAnsi"/>
          <w:bCs/>
        </w:rPr>
        <w:t>(1) Yerli üretim dalının bütün faaliyetlerini kapsayan aktif büyüklük endeksi 2018 yılı 100 birim olarak kabul edildiğinde, 2019 yılında 121 birim, 2020 yılında 168 birim olarak gerçekleşmiştir.</w:t>
      </w:r>
    </w:p>
    <w:p w14:paraId="0B265549" w14:textId="77777777" w:rsidR="00CC3CD0" w:rsidRPr="00EE21A9" w:rsidRDefault="00CC3CD0" w:rsidP="00CC3CD0">
      <w:pPr>
        <w:spacing w:line="192" w:lineRule="auto"/>
        <w:jc w:val="both"/>
        <w:rPr>
          <w:rFonts w:cstheme="minorHAnsi"/>
          <w:bCs/>
        </w:rPr>
      </w:pPr>
    </w:p>
    <w:p w14:paraId="58A2849F" w14:textId="77777777" w:rsidR="00CC3CD0" w:rsidRPr="00EE21A9" w:rsidRDefault="00CC3CD0" w:rsidP="00CC3CD0">
      <w:pPr>
        <w:spacing w:line="192" w:lineRule="auto"/>
        <w:jc w:val="both"/>
        <w:rPr>
          <w:rFonts w:cstheme="minorHAnsi"/>
          <w:bCs/>
        </w:rPr>
      </w:pPr>
      <w:r w:rsidRPr="00EE21A9">
        <w:rPr>
          <w:rFonts w:cstheme="minorHAnsi"/>
          <w:bCs/>
          <w:u w:val="single"/>
        </w:rPr>
        <w:t>i) Sermaye arttırma yeteneği</w:t>
      </w:r>
    </w:p>
    <w:p w14:paraId="6DC69CF4" w14:textId="77777777" w:rsidR="00CC3CD0" w:rsidRPr="00EE21A9" w:rsidRDefault="00CC3CD0" w:rsidP="00CC3CD0">
      <w:pPr>
        <w:spacing w:line="192" w:lineRule="auto"/>
        <w:jc w:val="both"/>
        <w:rPr>
          <w:rFonts w:cstheme="minorHAnsi"/>
          <w:bCs/>
        </w:rPr>
      </w:pPr>
      <w:r w:rsidRPr="00EE21A9">
        <w:rPr>
          <w:rFonts w:cstheme="minorHAnsi"/>
          <w:bCs/>
        </w:rPr>
        <w:t>(1) Yerli üretim dalının bütün faaliyetleri ile ilgili öz sermaye büyüklük endeksi 2018 yılı 100 birim olarak kabul edildiğinde, 2019 yılında 112 birim, 2020 yılında 159 birim olarak gerçekleşmiştir.</w:t>
      </w:r>
    </w:p>
    <w:p w14:paraId="77802AA2" w14:textId="77777777" w:rsidR="00CC3CD0" w:rsidRPr="00EE21A9" w:rsidRDefault="00CC3CD0" w:rsidP="00CC3CD0">
      <w:pPr>
        <w:spacing w:line="192" w:lineRule="auto"/>
        <w:jc w:val="both"/>
        <w:rPr>
          <w:rFonts w:cstheme="minorHAnsi"/>
          <w:bCs/>
        </w:rPr>
      </w:pPr>
    </w:p>
    <w:p w14:paraId="0AF07B92" w14:textId="77777777" w:rsidR="00CC3CD0" w:rsidRPr="00EE21A9" w:rsidRDefault="00CC3CD0" w:rsidP="00CC3CD0">
      <w:pPr>
        <w:spacing w:line="192" w:lineRule="auto"/>
        <w:jc w:val="both"/>
        <w:rPr>
          <w:rFonts w:cstheme="minorHAnsi"/>
          <w:bCs/>
          <w:u w:val="single"/>
        </w:rPr>
      </w:pPr>
      <w:r w:rsidRPr="00EE21A9">
        <w:rPr>
          <w:rFonts w:cstheme="minorHAnsi"/>
          <w:bCs/>
          <w:u w:val="single"/>
        </w:rPr>
        <w:t xml:space="preserve">j) Yatırımları arttırma yeteneği </w:t>
      </w:r>
    </w:p>
    <w:p w14:paraId="46C1471C" w14:textId="77777777" w:rsidR="00CC3CD0" w:rsidRPr="00EE21A9" w:rsidRDefault="00CC3CD0" w:rsidP="00CC3CD0">
      <w:pPr>
        <w:spacing w:line="192" w:lineRule="auto"/>
        <w:jc w:val="both"/>
        <w:rPr>
          <w:rFonts w:cstheme="minorHAnsi"/>
        </w:rPr>
      </w:pPr>
      <w:r w:rsidRPr="00EE21A9">
        <w:rPr>
          <w:rFonts w:cstheme="minorHAnsi"/>
        </w:rPr>
        <w:t xml:space="preserve">(1) Yerli üretim dalının yenileme yatırımları endeksi 2018 yılında 100 birim, 2019 yılında 320 birim, 2020 yılında 204 birim olarak gerçekleşmiştir. </w:t>
      </w:r>
    </w:p>
    <w:p w14:paraId="7FD1EA6A" w14:textId="77777777" w:rsidR="00CC3CD0" w:rsidRPr="00EE21A9" w:rsidRDefault="00CC3CD0" w:rsidP="00CC3CD0">
      <w:pPr>
        <w:spacing w:line="192" w:lineRule="auto"/>
        <w:jc w:val="both"/>
        <w:rPr>
          <w:rFonts w:cstheme="minorHAnsi"/>
        </w:rPr>
      </w:pPr>
    </w:p>
    <w:p w14:paraId="331ADE44" w14:textId="77777777" w:rsidR="00CC3CD0" w:rsidRPr="00EE21A9" w:rsidRDefault="00CC3CD0" w:rsidP="00CC3CD0">
      <w:pPr>
        <w:tabs>
          <w:tab w:val="left" w:pos="360"/>
        </w:tabs>
        <w:spacing w:line="192" w:lineRule="auto"/>
        <w:jc w:val="both"/>
        <w:rPr>
          <w:rFonts w:cstheme="minorHAnsi"/>
          <w:bCs/>
          <w:spacing w:val="-2"/>
        </w:rPr>
      </w:pPr>
      <w:r w:rsidRPr="00EE21A9">
        <w:rPr>
          <w:rFonts w:cstheme="minorHAnsi"/>
          <w:bCs/>
          <w:spacing w:val="-2"/>
        </w:rPr>
        <w:t>(2) Yatırımların geri dönüş oranı (dönem karı-zararı/öz sermaye) endeksi 2018 yılında 100</w:t>
      </w:r>
      <w:r w:rsidRPr="00EE21A9">
        <w:rPr>
          <w:rFonts w:cstheme="minorHAnsi"/>
          <w:bCs/>
        </w:rPr>
        <w:t xml:space="preserve"> birim</w:t>
      </w:r>
      <w:r w:rsidRPr="00EE21A9">
        <w:rPr>
          <w:rFonts w:cstheme="minorHAnsi"/>
          <w:bCs/>
          <w:spacing w:val="-2"/>
        </w:rPr>
        <w:t xml:space="preserve"> iken, 2019 yılında 89</w:t>
      </w:r>
      <w:r w:rsidRPr="00EE21A9">
        <w:rPr>
          <w:rFonts w:cstheme="minorHAnsi"/>
          <w:bCs/>
        </w:rPr>
        <w:t xml:space="preserve"> birim</w:t>
      </w:r>
      <w:r w:rsidRPr="00EE21A9">
        <w:rPr>
          <w:rFonts w:cstheme="minorHAnsi"/>
          <w:bCs/>
          <w:spacing w:val="-2"/>
        </w:rPr>
        <w:t xml:space="preserve">, 2020 yılında ise 86 </w:t>
      </w:r>
      <w:r w:rsidRPr="00EE21A9">
        <w:rPr>
          <w:rFonts w:cstheme="minorHAnsi"/>
          <w:bCs/>
        </w:rPr>
        <w:t>birim</w:t>
      </w:r>
      <w:r w:rsidRPr="00EE21A9">
        <w:rPr>
          <w:rFonts w:cstheme="minorHAnsi"/>
          <w:bCs/>
          <w:spacing w:val="-2"/>
        </w:rPr>
        <w:t xml:space="preserve"> olarak gerçekleşmiştir.</w:t>
      </w:r>
    </w:p>
    <w:p w14:paraId="28CDB6FD" w14:textId="77777777" w:rsidR="00CC3CD0" w:rsidRPr="00EE21A9" w:rsidRDefault="00CC3CD0" w:rsidP="00CC3CD0">
      <w:pPr>
        <w:tabs>
          <w:tab w:val="left" w:pos="360"/>
        </w:tabs>
        <w:spacing w:line="192" w:lineRule="auto"/>
        <w:jc w:val="both"/>
        <w:rPr>
          <w:rFonts w:cstheme="minorHAnsi"/>
          <w:bCs/>
          <w:spacing w:val="-2"/>
        </w:rPr>
      </w:pPr>
    </w:p>
    <w:p w14:paraId="76F1CB0B" w14:textId="219ED433" w:rsidR="00CC3CD0" w:rsidRPr="00EE21A9" w:rsidRDefault="00CC3CD0" w:rsidP="00CC3CD0">
      <w:pPr>
        <w:pStyle w:val="Balk2"/>
        <w:spacing w:before="0" w:line="192" w:lineRule="auto"/>
        <w:contextualSpacing/>
        <w:rPr>
          <w:rFonts w:asciiTheme="minorHAnsi" w:eastAsia="Times New Roman" w:hAnsiTheme="minorHAnsi" w:cstheme="minorHAnsi"/>
          <w:color w:val="000000"/>
          <w:sz w:val="22"/>
          <w:szCs w:val="22"/>
          <w:lang w:eastAsia="tr-TR"/>
        </w:rPr>
      </w:pPr>
      <w:bookmarkStart w:id="16" w:name="_Toc25743000"/>
      <w:r w:rsidRPr="00EE21A9">
        <w:rPr>
          <w:rFonts w:asciiTheme="minorHAnsi" w:eastAsia="Times New Roman" w:hAnsiTheme="minorHAnsi" w:cstheme="minorHAnsi"/>
          <w:color w:val="000000"/>
          <w:sz w:val="22"/>
          <w:szCs w:val="22"/>
          <w:lang w:eastAsia="tr-TR"/>
        </w:rPr>
        <w:t>4.6. Yerli üretim dalının ekonomik göstergelerinin değerlendirilmesi</w:t>
      </w:r>
      <w:bookmarkEnd w:id="16"/>
    </w:p>
    <w:p w14:paraId="35075B9C" w14:textId="77777777" w:rsidR="00CC3CD0" w:rsidRPr="00EE21A9" w:rsidRDefault="00CC3CD0" w:rsidP="00CC3CD0">
      <w:pPr>
        <w:pStyle w:val="Default"/>
        <w:spacing w:line="192" w:lineRule="auto"/>
        <w:jc w:val="both"/>
        <w:rPr>
          <w:rFonts w:asciiTheme="minorHAnsi" w:hAnsiTheme="minorHAnsi" w:cstheme="minorHAnsi"/>
          <w:bCs/>
          <w:color w:val="auto"/>
          <w:spacing w:val="-2"/>
          <w:sz w:val="22"/>
          <w:szCs w:val="22"/>
        </w:rPr>
      </w:pPr>
      <w:r w:rsidRPr="00EE21A9">
        <w:rPr>
          <w:rFonts w:asciiTheme="minorHAnsi" w:hAnsiTheme="minorHAnsi" w:cstheme="minorHAnsi"/>
          <w:bCs/>
          <w:color w:val="auto"/>
          <w:spacing w:val="-2"/>
          <w:sz w:val="22"/>
          <w:szCs w:val="22"/>
        </w:rPr>
        <w:t xml:space="preserve">(1) Yukarıdaki veriler ışığında yerli üretim dalının verimlilik ve yatırımların geri dönüş oranı endeks değerlerinde olumsuzluklar olduğu gözlemlenmektedir. </w:t>
      </w:r>
    </w:p>
    <w:p w14:paraId="765237D3" w14:textId="77777777" w:rsidR="00CC3CD0" w:rsidRPr="00EE21A9" w:rsidRDefault="00CC3CD0" w:rsidP="00CC3CD0">
      <w:pPr>
        <w:pStyle w:val="Default"/>
        <w:spacing w:line="192" w:lineRule="auto"/>
        <w:ind w:left="644"/>
        <w:contextualSpacing/>
        <w:jc w:val="both"/>
        <w:rPr>
          <w:rFonts w:asciiTheme="minorHAnsi" w:hAnsiTheme="minorHAnsi" w:cstheme="minorHAnsi"/>
          <w:bCs/>
          <w:color w:val="auto"/>
          <w:spacing w:val="-2"/>
          <w:sz w:val="22"/>
          <w:szCs w:val="22"/>
        </w:rPr>
      </w:pPr>
    </w:p>
    <w:p w14:paraId="4B3496C8" w14:textId="77777777" w:rsidR="00CC3CD0" w:rsidRPr="00EE21A9" w:rsidRDefault="00CC3CD0" w:rsidP="00CC3CD0">
      <w:pPr>
        <w:pStyle w:val="Default"/>
        <w:spacing w:line="192" w:lineRule="auto"/>
        <w:jc w:val="both"/>
        <w:rPr>
          <w:rFonts w:asciiTheme="minorHAnsi" w:hAnsiTheme="minorHAnsi" w:cstheme="minorHAnsi"/>
          <w:bCs/>
          <w:color w:val="auto"/>
          <w:spacing w:val="-2"/>
          <w:sz w:val="22"/>
          <w:szCs w:val="22"/>
        </w:rPr>
      </w:pPr>
      <w:r w:rsidRPr="00EE21A9">
        <w:rPr>
          <w:rFonts w:asciiTheme="minorHAnsi" w:hAnsiTheme="minorHAnsi" w:cstheme="minorHAnsi"/>
          <w:bCs/>
          <w:color w:val="auto"/>
          <w:spacing w:val="-2"/>
          <w:sz w:val="22"/>
          <w:szCs w:val="22"/>
        </w:rPr>
        <w:t xml:space="preserve">(2) Diğer taraftan, yerli üretim dalının üretim, KKO, yurt içi satışlar, istihdam, ücretler gibi endeks değerlerinde ise iyileşme olduğu görülmektedir. </w:t>
      </w:r>
    </w:p>
    <w:p w14:paraId="3B895DAF" w14:textId="77777777" w:rsidR="00CC3CD0" w:rsidRPr="00EE21A9" w:rsidRDefault="00CC3CD0" w:rsidP="00CC3CD0">
      <w:pPr>
        <w:spacing w:line="192" w:lineRule="auto"/>
        <w:jc w:val="both"/>
        <w:rPr>
          <w:rFonts w:cstheme="minorHAnsi"/>
          <w:bCs/>
          <w:spacing w:val="-2"/>
        </w:rPr>
      </w:pPr>
    </w:p>
    <w:p w14:paraId="1FDBD30D" w14:textId="4BF875AE" w:rsidR="00CC3CD0" w:rsidRPr="00EE21A9" w:rsidRDefault="00CC3CD0" w:rsidP="00CC3CD0">
      <w:pPr>
        <w:spacing w:line="192" w:lineRule="auto"/>
        <w:jc w:val="both"/>
        <w:rPr>
          <w:rFonts w:cstheme="minorHAnsi"/>
          <w:b/>
          <w:color w:val="000000"/>
        </w:rPr>
      </w:pPr>
      <w:r w:rsidRPr="00EE21A9">
        <w:rPr>
          <w:rFonts w:cstheme="minorHAnsi"/>
          <w:b/>
          <w:color w:val="000000"/>
        </w:rPr>
        <w:t>4.7. Zararın devamı veya yeniden meydana gelmesi ihtimali</w:t>
      </w:r>
    </w:p>
    <w:p w14:paraId="4F3C5058" w14:textId="77777777" w:rsidR="00CC3CD0" w:rsidRPr="00EE21A9" w:rsidRDefault="00CC3CD0" w:rsidP="00CC3CD0">
      <w:pPr>
        <w:spacing w:line="192" w:lineRule="auto"/>
        <w:jc w:val="both"/>
        <w:rPr>
          <w:rFonts w:cstheme="minorHAnsi"/>
          <w:color w:val="000000"/>
        </w:rPr>
      </w:pPr>
      <w:r w:rsidRPr="00EE21A9">
        <w:rPr>
          <w:rFonts w:cstheme="minorHAnsi"/>
          <w:color w:val="000000"/>
        </w:rPr>
        <w:t>(1) Uygulanmakta olan dampinge karşı önlemin sona ermesi halinde zararın devam edip etmeyeceği veya yeniden meydana gelmesinin muhtemel olup olmadığı konusu incelenmiş olup, yapılan inceleme neticesinde aşağıdaki hususlar değerlendirilmiştir.</w:t>
      </w:r>
    </w:p>
    <w:p w14:paraId="57E329C4" w14:textId="77777777" w:rsidR="00CC3CD0" w:rsidRPr="00EE21A9" w:rsidRDefault="00CC3CD0" w:rsidP="00CC3CD0">
      <w:pPr>
        <w:spacing w:line="192" w:lineRule="auto"/>
        <w:jc w:val="both"/>
        <w:rPr>
          <w:rFonts w:cstheme="minorHAnsi"/>
          <w:color w:val="000000"/>
        </w:rPr>
      </w:pPr>
    </w:p>
    <w:p w14:paraId="40C63053" w14:textId="77777777" w:rsidR="00CC3CD0" w:rsidRPr="00EE21A9" w:rsidRDefault="00CC3CD0" w:rsidP="00CC3CD0">
      <w:pPr>
        <w:spacing w:line="192" w:lineRule="auto"/>
        <w:jc w:val="both"/>
        <w:rPr>
          <w:rFonts w:cstheme="minorHAnsi"/>
          <w:color w:val="0D0D0D"/>
        </w:rPr>
      </w:pPr>
      <w:r w:rsidRPr="00EE21A9">
        <w:rPr>
          <w:rFonts w:cstheme="minorHAnsi"/>
          <w:color w:val="0D0D0D"/>
        </w:rPr>
        <w:t>(2) Önleme tabi ülkenin önemli bir ihracat kabiliyetine sahip olmasından ötürü, önlemin yokluğunda ihracatını başvuru konusu üründe önemli bir pazar olan Türkiye’ye kolayca yönlendirebileceği düşünülmektedir.</w:t>
      </w:r>
    </w:p>
    <w:p w14:paraId="0E38BE1E" w14:textId="77777777" w:rsidR="00CC3CD0" w:rsidRPr="00EE21A9" w:rsidRDefault="00CC3CD0" w:rsidP="00CC3CD0">
      <w:pPr>
        <w:spacing w:line="192" w:lineRule="auto"/>
        <w:ind w:firstLine="708"/>
        <w:jc w:val="both"/>
        <w:rPr>
          <w:rFonts w:cstheme="minorHAnsi"/>
          <w:color w:val="000000"/>
        </w:rPr>
      </w:pPr>
    </w:p>
    <w:p w14:paraId="31E22FD5" w14:textId="77777777" w:rsidR="00CC3CD0" w:rsidRPr="00EE21A9" w:rsidRDefault="00CC3CD0" w:rsidP="00CC3CD0">
      <w:pPr>
        <w:spacing w:line="192" w:lineRule="auto"/>
        <w:jc w:val="both"/>
        <w:rPr>
          <w:rFonts w:cstheme="minorHAnsi"/>
          <w:color w:val="000000"/>
        </w:rPr>
      </w:pPr>
      <w:r w:rsidRPr="00EE21A9">
        <w:rPr>
          <w:rFonts w:cstheme="minorHAnsi"/>
          <w:color w:val="000000"/>
        </w:rPr>
        <w:t xml:space="preserve">(3) ÇHC menşeli ithalatın pazar payının arttığı belirlenmiştir. </w:t>
      </w:r>
    </w:p>
    <w:p w14:paraId="4D51DB4A" w14:textId="77777777" w:rsidR="00CC3CD0" w:rsidRPr="00EE21A9" w:rsidRDefault="00CC3CD0" w:rsidP="00CC3CD0">
      <w:pPr>
        <w:spacing w:line="192" w:lineRule="auto"/>
        <w:jc w:val="both"/>
        <w:rPr>
          <w:rFonts w:cstheme="minorHAnsi"/>
          <w:color w:val="000000"/>
        </w:rPr>
      </w:pPr>
    </w:p>
    <w:p w14:paraId="585688B6" w14:textId="77777777" w:rsidR="00CC3CD0" w:rsidRPr="00EE21A9" w:rsidRDefault="00CC3CD0" w:rsidP="00CC3CD0">
      <w:pPr>
        <w:spacing w:line="192" w:lineRule="auto"/>
        <w:jc w:val="both"/>
        <w:rPr>
          <w:rFonts w:cstheme="minorHAnsi"/>
          <w:color w:val="000000"/>
        </w:rPr>
      </w:pPr>
      <w:r w:rsidRPr="00EE21A9">
        <w:rPr>
          <w:rFonts w:cstheme="minorHAnsi"/>
          <w:color w:val="000000"/>
        </w:rPr>
        <w:t>(4) Önleme tabi üründe yerli üretim dalının pazar payının 2020 yılında azaldığı belirlenmiştir.</w:t>
      </w:r>
    </w:p>
    <w:p w14:paraId="0AC79E5D" w14:textId="77777777" w:rsidR="00CC3CD0" w:rsidRPr="00EE21A9" w:rsidRDefault="00CC3CD0" w:rsidP="00CC3CD0">
      <w:pPr>
        <w:spacing w:line="192" w:lineRule="auto"/>
        <w:jc w:val="both"/>
        <w:rPr>
          <w:rFonts w:cstheme="minorHAnsi"/>
          <w:color w:val="000000"/>
        </w:rPr>
      </w:pPr>
    </w:p>
    <w:p w14:paraId="27130D02" w14:textId="77777777" w:rsidR="00CC3CD0" w:rsidRPr="00EE21A9" w:rsidRDefault="00CC3CD0" w:rsidP="00CC3CD0">
      <w:pPr>
        <w:spacing w:line="192" w:lineRule="auto"/>
        <w:jc w:val="both"/>
        <w:rPr>
          <w:rFonts w:cstheme="minorHAnsi"/>
          <w:color w:val="000000"/>
        </w:rPr>
      </w:pPr>
      <w:r w:rsidRPr="00EE21A9">
        <w:rPr>
          <w:rFonts w:cstheme="minorHAnsi"/>
          <w:color w:val="000000"/>
        </w:rPr>
        <w:t xml:space="preserve">(5) ÇHC menşeli soruşturma konusu ürünün ithalatının Türkiye piyasasına giriş fiyatlarının, yerli üretim dalının iç piyasa satış fiyatlarını kırdığı ve baskıladığı anlaşılmaktadır. </w:t>
      </w:r>
    </w:p>
    <w:p w14:paraId="20E6DA8C" w14:textId="77777777" w:rsidR="00CC3CD0" w:rsidRPr="00EE21A9" w:rsidRDefault="00CC3CD0" w:rsidP="00CC3CD0">
      <w:pPr>
        <w:pStyle w:val="Default"/>
        <w:spacing w:line="192" w:lineRule="auto"/>
        <w:jc w:val="both"/>
        <w:rPr>
          <w:rFonts w:asciiTheme="minorHAnsi" w:hAnsiTheme="minorHAnsi" w:cstheme="minorHAnsi"/>
          <w:sz w:val="22"/>
          <w:szCs w:val="22"/>
        </w:rPr>
      </w:pPr>
    </w:p>
    <w:p w14:paraId="535AF803" w14:textId="77777777" w:rsidR="00CC3CD0" w:rsidRPr="00EE21A9" w:rsidRDefault="00CC3CD0" w:rsidP="00CC3CD0">
      <w:pPr>
        <w:pStyle w:val="Default"/>
        <w:spacing w:line="192" w:lineRule="auto"/>
        <w:jc w:val="both"/>
        <w:rPr>
          <w:rFonts w:asciiTheme="minorHAnsi" w:hAnsiTheme="minorHAnsi" w:cstheme="minorHAnsi"/>
          <w:sz w:val="22"/>
          <w:szCs w:val="22"/>
        </w:rPr>
      </w:pPr>
      <w:r w:rsidRPr="00EE21A9">
        <w:rPr>
          <w:rFonts w:asciiTheme="minorHAnsi" w:hAnsiTheme="minorHAnsi" w:cstheme="minorHAnsi"/>
          <w:bCs/>
          <w:color w:val="auto"/>
          <w:sz w:val="22"/>
          <w:szCs w:val="22"/>
        </w:rPr>
        <w:t xml:space="preserve">(6) </w:t>
      </w:r>
      <w:r w:rsidRPr="00EE21A9">
        <w:rPr>
          <w:rFonts w:asciiTheme="minorHAnsi" w:hAnsiTheme="minorHAnsi" w:cstheme="minorHAnsi"/>
          <w:sz w:val="22"/>
          <w:szCs w:val="22"/>
        </w:rPr>
        <w:t>Yerli üretim dalının çeşitli ekonomik göstergelerinde önleme rağmen olumsuzlukların devam ettiği görülmektedir. Yerli üretim dalının çeşitli ekonomik göstergelerinde görülen kısmi olumlu seyrin ise önlemin ortadan kalkması ile bozulabileceği değerlendirilmektedir.</w:t>
      </w:r>
    </w:p>
    <w:p w14:paraId="63E96C0C" w14:textId="77777777" w:rsidR="00CC3CD0" w:rsidRPr="00EE21A9" w:rsidRDefault="00CC3CD0" w:rsidP="00CC3CD0">
      <w:pPr>
        <w:pStyle w:val="Default"/>
        <w:spacing w:line="192" w:lineRule="auto"/>
        <w:jc w:val="both"/>
        <w:rPr>
          <w:rFonts w:asciiTheme="minorHAnsi" w:hAnsiTheme="minorHAnsi" w:cstheme="minorHAnsi"/>
          <w:sz w:val="22"/>
          <w:szCs w:val="22"/>
        </w:rPr>
      </w:pPr>
    </w:p>
    <w:p w14:paraId="0CE2E3DA" w14:textId="77777777" w:rsidR="00CC3CD0" w:rsidRPr="00EE21A9" w:rsidRDefault="00CC3CD0" w:rsidP="00CC3CD0">
      <w:pPr>
        <w:spacing w:line="192" w:lineRule="auto"/>
        <w:jc w:val="both"/>
        <w:rPr>
          <w:rFonts w:cstheme="minorHAnsi"/>
          <w:bCs/>
          <w:color w:val="000000"/>
        </w:rPr>
      </w:pPr>
      <w:r w:rsidRPr="00EE21A9">
        <w:rPr>
          <w:rFonts w:cstheme="minorHAnsi"/>
          <w:bCs/>
          <w:color w:val="000000"/>
        </w:rPr>
        <w:t>(7) Bu bölümde incelenen hususların bir bütün olarak değerlendirilmesi neticesinde, meri önlemin yürürlükten kalkması halinde soruşturma konusu ülke menşeli ürünlerin ithalatı kaynaklı zararın devam etmesinin veya yeniden meydana gelmesinin muhtemel olduğu değerlendirilmektedir.</w:t>
      </w:r>
    </w:p>
    <w:p w14:paraId="774BCD5A" w14:textId="77777777" w:rsidR="00CC3CD0" w:rsidRPr="00EE21A9" w:rsidRDefault="00CC3CD0" w:rsidP="00CC3CD0">
      <w:pPr>
        <w:spacing w:line="192" w:lineRule="auto"/>
        <w:jc w:val="both"/>
        <w:rPr>
          <w:rFonts w:cstheme="minorHAnsi"/>
          <w:bCs/>
          <w:color w:val="000000"/>
        </w:rPr>
      </w:pPr>
    </w:p>
    <w:p w14:paraId="3211E783" w14:textId="77777777" w:rsidR="00CC3CD0" w:rsidRPr="00EE21A9" w:rsidRDefault="00CC3CD0" w:rsidP="00CC3CD0">
      <w:pPr>
        <w:pStyle w:val="Balk1"/>
        <w:spacing w:before="0" w:after="0" w:line="192" w:lineRule="auto"/>
        <w:rPr>
          <w:rFonts w:asciiTheme="minorHAnsi" w:hAnsiTheme="minorHAnsi" w:cstheme="minorHAnsi"/>
          <w:sz w:val="22"/>
          <w:szCs w:val="22"/>
        </w:rPr>
      </w:pPr>
      <w:r w:rsidRPr="00EE21A9">
        <w:rPr>
          <w:rFonts w:asciiTheme="minorHAnsi" w:hAnsiTheme="minorHAnsi" w:cstheme="minorHAnsi"/>
          <w:sz w:val="22"/>
          <w:szCs w:val="22"/>
        </w:rPr>
        <w:t>5. DEĞERLENDİRME VE Sonuç</w:t>
      </w:r>
    </w:p>
    <w:p w14:paraId="73EB6321" w14:textId="77777777" w:rsidR="00CC3CD0" w:rsidRPr="00EE21A9" w:rsidRDefault="00CC3CD0" w:rsidP="00CC3CD0">
      <w:pPr>
        <w:pStyle w:val="Default"/>
        <w:spacing w:line="192" w:lineRule="auto"/>
        <w:jc w:val="both"/>
        <w:rPr>
          <w:rFonts w:asciiTheme="minorHAnsi" w:hAnsiTheme="minorHAnsi" w:cstheme="minorHAnsi"/>
          <w:bCs/>
          <w:sz w:val="22"/>
          <w:szCs w:val="22"/>
          <w:lang w:eastAsia="en-US"/>
        </w:rPr>
      </w:pPr>
      <w:r w:rsidRPr="00EE21A9">
        <w:rPr>
          <w:rFonts w:asciiTheme="minorHAnsi" w:hAnsiTheme="minorHAnsi" w:cstheme="minorHAnsi"/>
          <w:bCs/>
          <w:sz w:val="22"/>
          <w:szCs w:val="22"/>
          <w:lang w:eastAsia="en-US"/>
        </w:rPr>
        <w:t>(1) Yürütülen soruşturma esnasında elde edilen bilgi ve bulgular çerçevesinde, yürürlükteki önlemin ortadan kalkm</w:t>
      </w:r>
      <w:bookmarkStart w:id="17" w:name="_GoBack"/>
      <w:bookmarkEnd w:id="17"/>
      <w:r w:rsidRPr="00EE21A9">
        <w:rPr>
          <w:rFonts w:asciiTheme="minorHAnsi" w:hAnsiTheme="minorHAnsi" w:cstheme="minorHAnsi"/>
          <w:bCs/>
          <w:sz w:val="22"/>
          <w:szCs w:val="22"/>
          <w:lang w:eastAsia="en-US"/>
        </w:rPr>
        <w:t>ası durumunda dampingin ve zararın devam etmesinin veya yeniden meydana gelmesinin muhtemel olduğu değerlendirilmiştir.</w:t>
      </w:r>
    </w:p>
    <w:p w14:paraId="2846E153" w14:textId="77777777" w:rsidR="00CC3CD0" w:rsidRPr="00EE21A9" w:rsidRDefault="00CC3CD0" w:rsidP="00CC3CD0">
      <w:pPr>
        <w:pStyle w:val="Default"/>
        <w:spacing w:line="192" w:lineRule="auto"/>
        <w:jc w:val="both"/>
        <w:rPr>
          <w:rFonts w:asciiTheme="minorHAnsi" w:hAnsiTheme="minorHAnsi" w:cstheme="minorHAnsi"/>
          <w:bCs/>
          <w:sz w:val="22"/>
          <w:szCs w:val="22"/>
          <w:lang w:eastAsia="en-US"/>
        </w:rPr>
      </w:pPr>
    </w:p>
    <w:p w14:paraId="423EFC34" w14:textId="77777777" w:rsidR="00CC3CD0" w:rsidRPr="00EE21A9" w:rsidRDefault="00CC3CD0" w:rsidP="00CC3CD0">
      <w:pPr>
        <w:pStyle w:val="Default"/>
        <w:spacing w:line="192" w:lineRule="auto"/>
        <w:jc w:val="both"/>
        <w:rPr>
          <w:rFonts w:asciiTheme="minorHAnsi" w:hAnsiTheme="minorHAnsi" w:cstheme="minorHAnsi"/>
          <w:bCs/>
          <w:sz w:val="22"/>
          <w:szCs w:val="22"/>
          <w:lang w:eastAsia="en-US"/>
        </w:rPr>
      </w:pPr>
      <w:r w:rsidRPr="00EE21A9">
        <w:rPr>
          <w:rFonts w:asciiTheme="minorHAnsi" w:hAnsiTheme="minorHAnsi" w:cstheme="minorHAnsi"/>
          <w:bCs/>
          <w:sz w:val="22"/>
          <w:szCs w:val="22"/>
          <w:lang w:eastAsia="en-US"/>
        </w:rPr>
        <w:t xml:space="preserve">(2) Bu çerçevede, soruşturma neticesinde ulaşılan tespitleri değerlendiren Kurulun kararı ve Ticaret Bakanının onayı ile İthalatta Haksız Rekabetin Önlenmesine İlişkin Tebliğ (Tebliğ No: 2016/16) ile ÇHC menşeli </w:t>
      </w:r>
      <w:r w:rsidRPr="00EE21A9">
        <w:rPr>
          <w:rFonts w:asciiTheme="minorHAnsi" w:hAnsiTheme="minorHAnsi" w:cstheme="minorHAnsi"/>
          <w:sz w:val="22"/>
          <w:szCs w:val="22"/>
        </w:rPr>
        <w:t>8418.69 gümrük tarife pozisyonu (GTP) altında sınıflandırılan “Diğerleri - yalnızca merkezi iklimlendirme ve proses suyunun soğutulmasında kullanılan chiller (absorbsiyon ve santrifüj kompresörlü olanlar hariç)</w:t>
      </w:r>
      <w:r w:rsidRPr="00EE21A9">
        <w:rPr>
          <w:rFonts w:asciiTheme="minorHAnsi" w:hAnsiTheme="minorHAnsi" w:cstheme="minorHAnsi"/>
          <w:bCs/>
          <w:sz w:val="22"/>
          <w:szCs w:val="22"/>
          <w:lang w:eastAsia="en-US"/>
        </w:rPr>
        <w:t xml:space="preserve"> ürününün ithalatında yürürlükte bulunan dampinge karşı önlemin, Yönetmeliğin 42 nci maddesi çerçevesinde aşağıdaki tabloda gösterildiği şekilde uygulanmaya devam edilmesine karar verilmiştir. </w:t>
      </w:r>
    </w:p>
    <w:p w14:paraId="055E2292" w14:textId="77777777" w:rsidR="00CC3CD0" w:rsidRPr="00EE21A9" w:rsidRDefault="00CC3CD0" w:rsidP="00CC3CD0">
      <w:pPr>
        <w:pStyle w:val="Default"/>
        <w:spacing w:line="192" w:lineRule="auto"/>
        <w:jc w:val="both"/>
        <w:rPr>
          <w:rFonts w:asciiTheme="minorHAnsi" w:eastAsiaTheme="minorHAnsi" w:hAnsiTheme="minorHAnsi" w:cstheme="minorHAnsi"/>
          <w:bCs/>
          <w:color w:val="auto"/>
          <w:spacing w:val="-2"/>
          <w:sz w:val="22"/>
          <w:szCs w:val="22"/>
          <w:lang w:eastAsia="en-US"/>
        </w:rPr>
      </w:pPr>
    </w:p>
    <w:tbl>
      <w:tblPr>
        <w:tblW w:w="5036" w:type="pct"/>
        <w:tblCellMar>
          <w:left w:w="70" w:type="dxa"/>
          <w:right w:w="70" w:type="dxa"/>
        </w:tblCellMar>
        <w:tblLook w:val="04A0" w:firstRow="1" w:lastRow="0" w:firstColumn="1" w:lastColumn="0" w:noHBand="0" w:noVBand="1"/>
      </w:tblPr>
      <w:tblGrid>
        <w:gridCol w:w="1836"/>
        <w:gridCol w:w="2838"/>
        <w:gridCol w:w="1418"/>
        <w:gridCol w:w="1586"/>
        <w:gridCol w:w="1449"/>
      </w:tblGrid>
      <w:tr w:rsidR="00CC3CD0" w:rsidRPr="00EE21A9" w14:paraId="3072DD64" w14:textId="77777777" w:rsidTr="00CC3CD0">
        <w:trPr>
          <w:trHeight w:val="33"/>
        </w:trPr>
        <w:tc>
          <w:tcPr>
            <w:tcW w:w="1005" w:type="pct"/>
            <w:tcBorders>
              <w:top w:val="single" w:sz="4" w:space="0" w:color="auto"/>
              <w:left w:val="single" w:sz="4" w:space="0" w:color="auto"/>
              <w:bottom w:val="single" w:sz="4" w:space="0" w:color="auto"/>
              <w:right w:val="single" w:sz="4" w:space="0" w:color="auto"/>
            </w:tcBorders>
            <w:vAlign w:val="center"/>
            <w:hideMark/>
          </w:tcPr>
          <w:p w14:paraId="0761000D" w14:textId="77777777" w:rsidR="00CC3CD0" w:rsidRPr="00EE21A9" w:rsidRDefault="00CC3CD0">
            <w:pPr>
              <w:spacing w:line="192" w:lineRule="auto"/>
              <w:jc w:val="center"/>
              <w:rPr>
                <w:rFonts w:eastAsia="Times New Roman" w:cstheme="minorHAnsi"/>
                <w:b/>
                <w:bCs/>
                <w:color w:val="000000"/>
                <w:lang w:eastAsia="tr-TR"/>
              </w:rPr>
            </w:pPr>
            <w:r w:rsidRPr="00EE21A9">
              <w:rPr>
                <w:rFonts w:cstheme="minorHAnsi"/>
                <w:b/>
                <w:bCs/>
                <w:color w:val="000000"/>
              </w:rPr>
              <w:t>GTİP</w:t>
            </w:r>
          </w:p>
        </w:tc>
        <w:tc>
          <w:tcPr>
            <w:tcW w:w="1555" w:type="pct"/>
            <w:tcBorders>
              <w:top w:val="single" w:sz="4" w:space="0" w:color="auto"/>
              <w:left w:val="nil"/>
              <w:bottom w:val="single" w:sz="4" w:space="0" w:color="auto"/>
              <w:right w:val="single" w:sz="4" w:space="0" w:color="auto"/>
            </w:tcBorders>
            <w:vAlign w:val="center"/>
            <w:hideMark/>
          </w:tcPr>
          <w:p w14:paraId="2F4BB15D" w14:textId="77777777" w:rsidR="00CC3CD0" w:rsidRPr="00EE21A9" w:rsidRDefault="00CC3CD0">
            <w:pPr>
              <w:spacing w:line="192" w:lineRule="auto"/>
              <w:jc w:val="center"/>
              <w:rPr>
                <w:rFonts w:cstheme="minorHAnsi"/>
                <w:b/>
                <w:bCs/>
                <w:color w:val="000000"/>
              </w:rPr>
            </w:pPr>
            <w:r w:rsidRPr="00EE21A9">
              <w:rPr>
                <w:rFonts w:cstheme="minorHAnsi"/>
                <w:b/>
                <w:bCs/>
                <w:color w:val="000000"/>
              </w:rPr>
              <w:t>Eşyanın Tanımı</w:t>
            </w:r>
          </w:p>
        </w:tc>
        <w:tc>
          <w:tcPr>
            <w:tcW w:w="777" w:type="pct"/>
            <w:tcBorders>
              <w:top w:val="single" w:sz="4" w:space="0" w:color="auto"/>
              <w:left w:val="nil"/>
              <w:bottom w:val="single" w:sz="4" w:space="0" w:color="auto"/>
              <w:right w:val="single" w:sz="4" w:space="0" w:color="auto"/>
            </w:tcBorders>
            <w:vAlign w:val="center"/>
            <w:hideMark/>
          </w:tcPr>
          <w:p w14:paraId="05E010EF" w14:textId="77777777" w:rsidR="00CC3CD0" w:rsidRPr="00EE21A9" w:rsidRDefault="00CC3CD0">
            <w:pPr>
              <w:spacing w:line="192" w:lineRule="auto"/>
              <w:jc w:val="center"/>
              <w:rPr>
                <w:rFonts w:cstheme="minorHAnsi"/>
                <w:b/>
                <w:bCs/>
                <w:color w:val="000000"/>
              </w:rPr>
            </w:pPr>
            <w:r w:rsidRPr="00EE21A9">
              <w:rPr>
                <w:rFonts w:cstheme="minorHAnsi"/>
                <w:b/>
                <w:bCs/>
                <w:color w:val="000000"/>
              </w:rPr>
              <w:t>Menşe Ülke</w:t>
            </w:r>
          </w:p>
        </w:tc>
        <w:tc>
          <w:tcPr>
            <w:tcW w:w="869" w:type="pct"/>
            <w:tcBorders>
              <w:top w:val="single" w:sz="4" w:space="0" w:color="auto"/>
              <w:left w:val="nil"/>
              <w:bottom w:val="single" w:sz="4" w:space="0" w:color="auto"/>
              <w:right w:val="single" w:sz="4" w:space="0" w:color="auto"/>
            </w:tcBorders>
            <w:vAlign w:val="center"/>
            <w:hideMark/>
          </w:tcPr>
          <w:p w14:paraId="7FF6539F" w14:textId="77777777" w:rsidR="00CC3CD0" w:rsidRPr="00EE21A9" w:rsidRDefault="00CC3CD0">
            <w:pPr>
              <w:spacing w:line="192" w:lineRule="auto"/>
              <w:jc w:val="center"/>
              <w:rPr>
                <w:rFonts w:cstheme="minorHAnsi"/>
                <w:b/>
                <w:bCs/>
                <w:color w:val="000000"/>
              </w:rPr>
            </w:pPr>
            <w:r w:rsidRPr="00EE21A9">
              <w:rPr>
                <w:rFonts w:cstheme="minorHAnsi"/>
                <w:b/>
                <w:bCs/>
                <w:color w:val="000000"/>
              </w:rPr>
              <w:t>Üretici Firma</w:t>
            </w:r>
          </w:p>
        </w:tc>
        <w:tc>
          <w:tcPr>
            <w:tcW w:w="794" w:type="pct"/>
            <w:tcBorders>
              <w:top w:val="single" w:sz="4" w:space="0" w:color="auto"/>
              <w:left w:val="nil"/>
              <w:bottom w:val="single" w:sz="4" w:space="0" w:color="auto"/>
              <w:right w:val="single" w:sz="4" w:space="0" w:color="auto"/>
            </w:tcBorders>
            <w:vAlign w:val="center"/>
            <w:hideMark/>
          </w:tcPr>
          <w:p w14:paraId="27F300CF" w14:textId="77777777" w:rsidR="00CC3CD0" w:rsidRPr="00EE21A9" w:rsidRDefault="00CC3CD0">
            <w:pPr>
              <w:spacing w:line="192" w:lineRule="auto"/>
              <w:jc w:val="center"/>
              <w:rPr>
                <w:rFonts w:cstheme="minorHAnsi"/>
                <w:b/>
                <w:bCs/>
                <w:color w:val="000000"/>
              </w:rPr>
            </w:pPr>
            <w:r w:rsidRPr="00EE21A9">
              <w:rPr>
                <w:rFonts w:cstheme="minorHAnsi"/>
                <w:b/>
                <w:bCs/>
                <w:color w:val="000000"/>
              </w:rPr>
              <w:t>Damping Marjı (CIF Bedelin %)</w:t>
            </w:r>
          </w:p>
        </w:tc>
      </w:tr>
      <w:tr w:rsidR="00CC3CD0" w:rsidRPr="00EE21A9" w14:paraId="00AC6CD4" w14:textId="77777777" w:rsidTr="00CC3CD0">
        <w:trPr>
          <w:trHeight w:val="131"/>
        </w:trPr>
        <w:tc>
          <w:tcPr>
            <w:tcW w:w="1005" w:type="pct"/>
            <w:tcBorders>
              <w:top w:val="nil"/>
              <w:left w:val="single" w:sz="4" w:space="0" w:color="auto"/>
              <w:bottom w:val="single" w:sz="4" w:space="0" w:color="auto"/>
              <w:right w:val="single" w:sz="4" w:space="0" w:color="auto"/>
            </w:tcBorders>
            <w:vAlign w:val="center"/>
            <w:hideMark/>
          </w:tcPr>
          <w:p w14:paraId="41A41726" w14:textId="77777777" w:rsidR="00CC3CD0" w:rsidRPr="00EE21A9" w:rsidRDefault="00CC3CD0">
            <w:pPr>
              <w:spacing w:line="192" w:lineRule="auto"/>
              <w:jc w:val="center"/>
              <w:rPr>
                <w:rFonts w:cstheme="minorHAnsi"/>
                <w:color w:val="000000"/>
              </w:rPr>
            </w:pPr>
            <w:r w:rsidRPr="00EE21A9">
              <w:rPr>
                <w:rFonts w:cstheme="minorHAnsi"/>
                <w:color w:val="000000"/>
              </w:rPr>
              <w:t>8418.69.00.91.00</w:t>
            </w:r>
          </w:p>
        </w:tc>
        <w:tc>
          <w:tcPr>
            <w:tcW w:w="1555" w:type="pct"/>
            <w:tcBorders>
              <w:top w:val="nil"/>
              <w:left w:val="single" w:sz="4" w:space="0" w:color="auto"/>
              <w:bottom w:val="single" w:sz="4" w:space="0" w:color="auto"/>
              <w:right w:val="single" w:sz="4" w:space="0" w:color="auto"/>
            </w:tcBorders>
            <w:vAlign w:val="center"/>
            <w:hideMark/>
          </w:tcPr>
          <w:p w14:paraId="4F18F421" w14:textId="77777777" w:rsidR="00CC3CD0" w:rsidRPr="00EE21A9" w:rsidRDefault="00CC3CD0">
            <w:pPr>
              <w:spacing w:line="192" w:lineRule="auto"/>
              <w:rPr>
                <w:rFonts w:cstheme="minorHAnsi"/>
                <w:color w:val="000000"/>
              </w:rPr>
            </w:pPr>
            <w:r w:rsidRPr="00EE21A9">
              <w:rPr>
                <w:rFonts w:cstheme="minorHAnsi"/>
                <w:color w:val="000000"/>
              </w:rPr>
              <w:t>Komple soğutma tesisleri (yalnızca merkezi iklimlendirme ve proses suyunun soğutulmasında kullanılan chiller - absorbsiyon ve santrifüj kompresörlü olanlar hariç)</w:t>
            </w:r>
          </w:p>
        </w:tc>
        <w:tc>
          <w:tcPr>
            <w:tcW w:w="777" w:type="pct"/>
            <w:vMerge w:val="restart"/>
            <w:tcBorders>
              <w:top w:val="nil"/>
              <w:left w:val="single" w:sz="4" w:space="0" w:color="auto"/>
              <w:bottom w:val="single" w:sz="4" w:space="0" w:color="auto"/>
              <w:right w:val="single" w:sz="4" w:space="0" w:color="auto"/>
            </w:tcBorders>
            <w:vAlign w:val="center"/>
            <w:hideMark/>
          </w:tcPr>
          <w:p w14:paraId="0B5A8257" w14:textId="77777777" w:rsidR="00CC3CD0" w:rsidRPr="00EE21A9" w:rsidRDefault="00CC3CD0">
            <w:pPr>
              <w:spacing w:line="192" w:lineRule="auto"/>
              <w:jc w:val="center"/>
              <w:rPr>
                <w:rFonts w:cstheme="minorHAnsi"/>
                <w:color w:val="000000"/>
              </w:rPr>
            </w:pPr>
            <w:r w:rsidRPr="00EE21A9">
              <w:rPr>
                <w:rFonts w:cstheme="minorHAnsi"/>
                <w:color w:val="000000"/>
              </w:rPr>
              <w:t>Çin Halk Cumhuriyeti</w:t>
            </w:r>
          </w:p>
        </w:tc>
        <w:tc>
          <w:tcPr>
            <w:tcW w:w="869" w:type="pct"/>
            <w:tcBorders>
              <w:top w:val="nil"/>
              <w:left w:val="nil"/>
              <w:bottom w:val="single" w:sz="4" w:space="0" w:color="auto"/>
              <w:right w:val="single" w:sz="4" w:space="0" w:color="auto"/>
            </w:tcBorders>
            <w:vAlign w:val="center"/>
            <w:hideMark/>
          </w:tcPr>
          <w:p w14:paraId="2A46E9BF" w14:textId="77777777" w:rsidR="00CC3CD0" w:rsidRPr="00EE21A9" w:rsidRDefault="00CC3CD0">
            <w:pPr>
              <w:spacing w:line="192" w:lineRule="auto"/>
              <w:jc w:val="center"/>
              <w:rPr>
                <w:rFonts w:cstheme="minorHAnsi"/>
                <w:color w:val="000000"/>
              </w:rPr>
            </w:pPr>
            <w:r w:rsidRPr="00EE21A9">
              <w:rPr>
                <w:rFonts w:cstheme="minorHAnsi"/>
                <w:color w:val="000000"/>
              </w:rPr>
              <w:t>Chongqing Midea General Refrigeration Equipment Co. Ltd.</w:t>
            </w:r>
          </w:p>
        </w:tc>
        <w:tc>
          <w:tcPr>
            <w:tcW w:w="794" w:type="pct"/>
            <w:tcBorders>
              <w:top w:val="nil"/>
              <w:left w:val="nil"/>
              <w:bottom w:val="single" w:sz="4" w:space="0" w:color="auto"/>
              <w:right w:val="single" w:sz="4" w:space="0" w:color="auto"/>
            </w:tcBorders>
            <w:noWrap/>
            <w:vAlign w:val="center"/>
            <w:hideMark/>
          </w:tcPr>
          <w:p w14:paraId="7D820951" w14:textId="77777777" w:rsidR="00CC3CD0" w:rsidRPr="00EE21A9" w:rsidRDefault="00CC3CD0">
            <w:pPr>
              <w:spacing w:line="192" w:lineRule="auto"/>
              <w:jc w:val="center"/>
              <w:rPr>
                <w:rFonts w:cstheme="minorHAnsi"/>
                <w:color w:val="000000"/>
              </w:rPr>
            </w:pPr>
            <w:r w:rsidRPr="00EE21A9">
              <w:rPr>
                <w:rFonts w:cstheme="minorHAnsi"/>
                <w:color w:val="000000"/>
              </w:rPr>
              <w:t>36,63</w:t>
            </w:r>
          </w:p>
        </w:tc>
      </w:tr>
      <w:tr w:rsidR="00CC3CD0" w:rsidRPr="00EE21A9" w14:paraId="1872E484" w14:textId="77777777" w:rsidTr="00CC3CD0">
        <w:trPr>
          <w:trHeight w:val="16"/>
        </w:trPr>
        <w:tc>
          <w:tcPr>
            <w:tcW w:w="1005" w:type="pct"/>
            <w:tcBorders>
              <w:top w:val="nil"/>
              <w:left w:val="single" w:sz="4" w:space="0" w:color="auto"/>
              <w:bottom w:val="single" w:sz="4" w:space="0" w:color="auto"/>
              <w:right w:val="single" w:sz="4" w:space="0" w:color="auto"/>
            </w:tcBorders>
            <w:vAlign w:val="center"/>
            <w:hideMark/>
          </w:tcPr>
          <w:p w14:paraId="71D7B2FD" w14:textId="77777777" w:rsidR="00CC3CD0" w:rsidRPr="00EE21A9" w:rsidRDefault="00CC3CD0">
            <w:pPr>
              <w:spacing w:line="192" w:lineRule="auto"/>
              <w:jc w:val="center"/>
              <w:rPr>
                <w:rFonts w:cstheme="minorHAnsi"/>
                <w:color w:val="000000"/>
              </w:rPr>
            </w:pPr>
            <w:r w:rsidRPr="00EE21A9">
              <w:rPr>
                <w:rFonts w:cstheme="minorHAnsi"/>
                <w:color w:val="000000"/>
              </w:rPr>
              <w:t>8418.69.00.99.19</w:t>
            </w:r>
          </w:p>
        </w:tc>
        <w:tc>
          <w:tcPr>
            <w:tcW w:w="1555" w:type="pct"/>
            <w:tcBorders>
              <w:top w:val="nil"/>
              <w:left w:val="single" w:sz="4" w:space="0" w:color="auto"/>
              <w:bottom w:val="single" w:sz="4" w:space="0" w:color="auto"/>
              <w:right w:val="single" w:sz="4" w:space="0" w:color="auto"/>
            </w:tcBorders>
            <w:vAlign w:val="center"/>
            <w:hideMark/>
          </w:tcPr>
          <w:p w14:paraId="7AFA9A08" w14:textId="77777777" w:rsidR="00CC3CD0" w:rsidRPr="00EE21A9" w:rsidRDefault="00CC3CD0">
            <w:pPr>
              <w:spacing w:line="192" w:lineRule="auto"/>
              <w:rPr>
                <w:rFonts w:cstheme="minorHAnsi"/>
                <w:color w:val="000000"/>
              </w:rPr>
            </w:pPr>
            <w:r w:rsidRPr="00EE21A9">
              <w:rPr>
                <w:rFonts w:cstheme="minorHAnsi"/>
                <w:color w:val="000000"/>
              </w:rPr>
              <w:t>Diğerleri (yalnızca merkezi iklimlendirme ve proses suyunun soğutulmasında kullanılan chiller - absorbsiyon ve santrifüj kompresörlü olanlar hariç)</w:t>
            </w:r>
          </w:p>
        </w:tc>
        <w:tc>
          <w:tcPr>
            <w:tcW w:w="0" w:type="auto"/>
            <w:vMerge/>
            <w:tcBorders>
              <w:top w:val="nil"/>
              <w:left w:val="single" w:sz="4" w:space="0" w:color="auto"/>
              <w:bottom w:val="single" w:sz="4" w:space="0" w:color="auto"/>
              <w:right w:val="single" w:sz="4" w:space="0" w:color="auto"/>
            </w:tcBorders>
            <w:vAlign w:val="center"/>
            <w:hideMark/>
          </w:tcPr>
          <w:p w14:paraId="7AF40F87" w14:textId="77777777" w:rsidR="00CC3CD0" w:rsidRPr="00EE21A9" w:rsidRDefault="00CC3CD0">
            <w:pPr>
              <w:spacing w:line="256" w:lineRule="auto"/>
              <w:rPr>
                <w:rFonts w:eastAsia="Times New Roman" w:cstheme="minorHAnsi"/>
                <w:color w:val="000000"/>
              </w:rPr>
            </w:pPr>
          </w:p>
        </w:tc>
        <w:tc>
          <w:tcPr>
            <w:tcW w:w="869" w:type="pct"/>
            <w:tcBorders>
              <w:top w:val="nil"/>
              <w:left w:val="nil"/>
              <w:bottom w:val="single" w:sz="4" w:space="0" w:color="auto"/>
              <w:right w:val="single" w:sz="4" w:space="0" w:color="auto"/>
            </w:tcBorders>
            <w:noWrap/>
            <w:vAlign w:val="center"/>
            <w:hideMark/>
          </w:tcPr>
          <w:p w14:paraId="00049A2B" w14:textId="77777777" w:rsidR="00CC3CD0" w:rsidRPr="00EE21A9" w:rsidRDefault="00CC3CD0">
            <w:pPr>
              <w:spacing w:line="192" w:lineRule="auto"/>
              <w:jc w:val="center"/>
              <w:rPr>
                <w:rFonts w:cstheme="minorHAnsi"/>
                <w:color w:val="000000"/>
              </w:rPr>
            </w:pPr>
            <w:r w:rsidRPr="00EE21A9">
              <w:rPr>
                <w:rFonts w:cstheme="minorHAnsi"/>
                <w:color w:val="000000"/>
              </w:rPr>
              <w:t>Diğerleri</w:t>
            </w:r>
          </w:p>
        </w:tc>
        <w:tc>
          <w:tcPr>
            <w:tcW w:w="794" w:type="pct"/>
            <w:tcBorders>
              <w:top w:val="nil"/>
              <w:left w:val="nil"/>
              <w:bottom w:val="single" w:sz="4" w:space="0" w:color="auto"/>
              <w:right w:val="single" w:sz="4" w:space="0" w:color="auto"/>
            </w:tcBorders>
            <w:noWrap/>
            <w:vAlign w:val="center"/>
            <w:hideMark/>
          </w:tcPr>
          <w:p w14:paraId="4B9B1B4B" w14:textId="77777777" w:rsidR="00CC3CD0" w:rsidRPr="00EE21A9" w:rsidRDefault="00CC3CD0">
            <w:pPr>
              <w:spacing w:line="192" w:lineRule="auto"/>
              <w:jc w:val="center"/>
              <w:rPr>
                <w:rFonts w:cstheme="minorHAnsi"/>
                <w:color w:val="000000"/>
              </w:rPr>
            </w:pPr>
            <w:r w:rsidRPr="00EE21A9">
              <w:rPr>
                <w:rFonts w:cstheme="minorHAnsi"/>
                <w:color w:val="000000"/>
              </w:rPr>
              <w:t>49,64</w:t>
            </w:r>
          </w:p>
        </w:tc>
      </w:tr>
    </w:tbl>
    <w:p w14:paraId="0AB55C3F" w14:textId="77777777" w:rsidR="00CC3CD0" w:rsidRPr="00EE21A9" w:rsidRDefault="00CC3CD0" w:rsidP="00CC3CD0">
      <w:pPr>
        <w:tabs>
          <w:tab w:val="left" w:pos="709"/>
        </w:tabs>
        <w:spacing w:line="192" w:lineRule="auto"/>
        <w:rPr>
          <w:rFonts w:eastAsia="Times New Roman" w:cstheme="minorHAnsi"/>
        </w:rPr>
      </w:pPr>
    </w:p>
    <w:p w14:paraId="6AA08A84" w14:textId="77777777" w:rsidR="00CC3CD0" w:rsidRPr="00EE21A9" w:rsidRDefault="00CC3CD0" w:rsidP="00CC3CD0">
      <w:pPr>
        <w:spacing w:line="192" w:lineRule="auto"/>
        <w:rPr>
          <w:rFonts w:cstheme="minorHAnsi"/>
        </w:rPr>
      </w:pPr>
    </w:p>
    <w:p w14:paraId="6C35BDE4" w14:textId="77777777" w:rsidR="0050252D" w:rsidRPr="00EE21A9" w:rsidRDefault="0050252D" w:rsidP="00F859D9">
      <w:pPr>
        <w:spacing w:after="0" w:line="216" w:lineRule="auto"/>
        <w:rPr>
          <w:rFonts w:cstheme="minorHAnsi"/>
        </w:rPr>
      </w:pPr>
    </w:p>
    <w:sectPr w:rsidR="0050252D" w:rsidRPr="00EE21A9" w:rsidSect="00736449">
      <w:headerReference w:type="even" r:id="rId8"/>
      <w:headerReference w:type="default" r:id="rId9"/>
      <w:footerReference w:type="even" r:id="rId10"/>
      <w:footerReference w:type="default" r:id="rId11"/>
      <w:headerReference w:type="first" r:id="rId12"/>
      <w:footerReference w:type="first" r:id="rId13"/>
      <w:pgSz w:w="11906" w:h="16838"/>
      <w:pgMar w:top="1276" w:right="1417" w:bottom="709"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9005ED" w14:textId="77777777" w:rsidR="00E74BC5" w:rsidRDefault="00E74BC5">
      <w:pPr>
        <w:spacing w:after="0" w:line="240" w:lineRule="auto"/>
      </w:pPr>
      <w:r>
        <w:separator/>
      </w:r>
    </w:p>
  </w:endnote>
  <w:endnote w:type="continuationSeparator" w:id="0">
    <w:p w14:paraId="20D7B298" w14:textId="77777777" w:rsidR="00E74BC5" w:rsidRDefault="00E7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46746" w14:textId="77777777" w:rsidR="00AC3404" w:rsidRDefault="00AC3404">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08AD4" w14:textId="77777777" w:rsidR="00736449" w:rsidRPr="00AC3404" w:rsidRDefault="00936DBC" w:rsidP="00736449">
    <w:pPr>
      <w:pStyle w:val="Altbilgi"/>
      <w:jc w:val="right"/>
      <w:rPr>
        <w:sz w:val="18"/>
      </w:rPr>
    </w:pPr>
    <w:r w:rsidRPr="00AC3404">
      <w:rPr>
        <w:sz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D75E2" w14:textId="77777777" w:rsidR="00736449" w:rsidRPr="00AC3404" w:rsidRDefault="00936DBC" w:rsidP="00736449">
    <w:pPr>
      <w:pStyle w:val="Altbilgi"/>
      <w:jc w:val="right"/>
      <w:rPr>
        <w:sz w:val="18"/>
      </w:rPr>
    </w:pPr>
    <w:r w:rsidRPr="00AC3404">
      <w:rPr>
        <w:sz w:val="18"/>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BC415" w14:textId="77777777" w:rsidR="00E74BC5" w:rsidRDefault="00E74BC5">
      <w:pPr>
        <w:spacing w:after="0" w:line="240" w:lineRule="auto"/>
      </w:pPr>
      <w:r>
        <w:separator/>
      </w:r>
    </w:p>
  </w:footnote>
  <w:footnote w:type="continuationSeparator" w:id="0">
    <w:p w14:paraId="728861A8" w14:textId="77777777" w:rsidR="00E74BC5" w:rsidRDefault="00E74B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4E7D0" w14:textId="77777777" w:rsidR="00AC3404" w:rsidRDefault="00AC3404">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99B9F" w14:textId="77777777" w:rsidR="00AC3404" w:rsidRDefault="00AC3404">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ED017" w14:textId="77777777" w:rsidR="00AC3404" w:rsidRDefault="00AC34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44746C"/>
    <w:multiLevelType w:val="hybridMultilevel"/>
    <w:tmpl w:val="3D542E92"/>
    <w:lvl w:ilvl="0" w:tplc="B8A05B70">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F19"/>
    <w:rsid w:val="0003384A"/>
    <w:rsid w:val="0007331B"/>
    <w:rsid w:val="00092086"/>
    <w:rsid w:val="000B6322"/>
    <w:rsid w:val="000F2DE8"/>
    <w:rsid w:val="00103971"/>
    <w:rsid w:val="00114ACA"/>
    <w:rsid w:val="00131930"/>
    <w:rsid w:val="00152F57"/>
    <w:rsid w:val="001627D8"/>
    <w:rsid w:val="00167CD7"/>
    <w:rsid w:val="001A7E67"/>
    <w:rsid w:val="001E4B21"/>
    <w:rsid w:val="002056AA"/>
    <w:rsid w:val="00211724"/>
    <w:rsid w:val="0025455F"/>
    <w:rsid w:val="00271AEA"/>
    <w:rsid w:val="00281779"/>
    <w:rsid w:val="00287F10"/>
    <w:rsid w:val="002979D5"/>
    <w:rsid w:val="002B2205"/>
    <w:rsid w:val="002E2156"/>
    <w:rsid w:val="00327F79"/>
    <w:rsid w:val="00331C0E"/>
    <w:rsid w:val="0035295B"/>
    <w:rsid w:val="00354607"/>
    <w:rsid w:val="0039320A"/>
    <w:rsid w:val="003A50EC"/>
    <w:rsid w:val="003D2D5D"/>
    <w:rsid w:val="003D6DCA"/>
    <w:rsid w:val="003F588D"/>
    <w:rsid w:val="003F6E47"/>
    <w:rsid w:val="00404D62"/>
    <w:rsid w:val="00415A3F"/>
    <w:rsid w:val="00420266"/>
    <w:rsid w:val="004278B4"/>
    <w:rsid w:val="0044281C"/>
    <w:rsid w:val="004500C0"/>
    <w:rsid w:val="00482DCA"/>
    <w:rsid w:val="00486AD2"/>
    <w:rsid w:val="00492A2F"/>
    <w:rsid w:val="004A4176"/>
    <w:rsid w:val="004B04F9"/>
    <w:rsid w:val="004C05C1"/>
    <w:rsid w:val="004E7654"/>
    <w:rsid w:val="00500F19"/>
    <w:rsid w:val="0050252D"/>
    <w:rsid w:val="005259F2"/>
    <w:rsid w:val="0054122F"/>
    <w:rsid w:val="00551CD1"/>
    <w:rsid w:val="00557E87"/>
    <w:rsid w:val="00564ACB"/>
    <w:rsid w:val="00576E9F"/>
    <w:rsid w:val="005A5CE4"/>
    <w:rsid w:val="005C66AC"/>
    <w:rsid w:val="005E3083"/>
    <w:rsid w:val="0060415C"/>
    <w:rsid w:val="006366E0"/>
    <w:rsid w:val="006522F5"/>
    <w:rsid w:val="006C3BD0"/>
    <w:rsid w:val="006E52F7"/>
    <w:rsid w:val="006F235E"/>
    <w:rsid w:val="00706089"/>
    <w:rsid w:val="00706D9D"/>
    <w:rsid w:val="00713DF8"/>
    <w:rsid w:val="007A51CE"/>
    <w:rsid w:val="007B0281"/>
    <w:rsid w:val="007D7A39"/>
    <w:rsid w:val="0082468E"/>
    <w:rsid w:val="00833123"/>
    <w:rsid w:val="008668EF"/>
    <w:rsid w:val="008679A5"/>
    <w:rsid w:val="00880A73"/>
    <w:rsid w:val="008C38E8"/>
    <w:rsid w:val="008D5483"/>
    <w:rsid w:val="009274F8"/>
    <w:rsid w:val="00936DBC"/>
    <w:rsid w:val="00951D57"/>
    <w:rsid w:val="009770DB"/>
    <w:rsid w:val="00977324"/>
    <w:rsid w:val="009A3919"/>
    <w:rsid w:val="009A3D9A"/>
    <w:rsid w:val="009C14AE"/>
    <w:rsid w:val="009C18D8"/>
    <w:rsid w:val="009C5F81"/>
    <w:rsid w:val="009E2B20"/>
    <w:rsid w:val="009E3008"/>
    <w:rsid w:val="009E6C18"/>
    <w:rsid w:val="00A017A7"/>
    <w:rsid w:val="00A41903"/>
    <w:rsid w:val="00A44C3F"/>
    <w:rsid w:val="00A6010F"/>
    <w:rsid w:val="00A826CA"/>
    <w:rsid w:val="00AC3404"/>
    <w:rsid w:val="00B3639E"/>
    <w:rsid w:val="00B53688"/>
    <w:rsid w:val="00B85194"/>
    <w:rsid w:val="00B91E22"/>
    <w:rsid w:val="00B964A9"/>
    <w:rsid w:val="00BA18E2"/>
    <w:rsid w:val="00BC1B1B"/>
    <w:rsid w:val="00BE1767"/>
    <w:rsid w:val="00BE397C"/>
    <w:rsid w:val="00C41414"/>
    <w:rsid w:val="00C440BC"/>
    <w:rsid w:val="00C90649"/>
    <w:rsid w:val="00C915C6"/>
    <w:rsid w:val="00CC2DDE"/>
    <w:rsid w:val="00CC3CD0"/>
    <w:rsid w:val="00CD794A"/>
    <w:rsid w:val="00CF2285"/>
    <w:rsid w:val="00D153DC"/>
    <w:rsid w:val="00D338F3"/>
    <w:rsid w:val="00D67A84"/>
    <w:rsid w:val="00D86B14"/>
    <w:rsid w:val="00D96E35"/>
    <w:rsid w:val="00DA0AA4"/>
    <w:rsid w:val="00DA6A1D"/>
    <w:rsid w:val="00DA7AEB"/>
    <w:rsid w:val="00DB0C07"/>
    <w:rsid w:val="00DD4082"/>
    <w:rsid w:val="00DE1E40"/>
    <w:rsid w:val="00DE4D70"/>
    <w:rsid w:val="00DF07DC"/>
    <w:rsid w:val="00E11985"/>
    <w:rsid w:val="00E16FD9"/>
    <w:rsid w:val="00E35F75"/>
    <w:rsid w:val="00E42199"/>
    <w:rsid w:val="00E427FB"/>
    <w:rsid w:val="00E468FA"/>
    <w:rsid w:val="00E70C05"/>
    <w:rsid w:val="00E74BC5"/>
    <w:rsid w:val="00EC545A"/>
    <w:rsid w:val="00ED0377"/>
    <w:rsid w:val="00EE21A9"/>
    <w:rsid w:val="00F6262A"/>
    <w:rsid w:val="00F859D9"/>
    <w:rsid w:val="00F94152"/>
    <w:rsid w:val="00F97F9D"/>
    <w:rsid w:val="00FA627D"/>
    <w:rsid w:val="00FB2118"/>
    <w:rsid w:val="00FB6703"/>
    <w:rsid w:val="00FB7C6C"/>
    <w:rsid w:val="00FD0134"/>
    <w:rsid w:val="00FE010C"/>
    <w:rsid w:val="00FE5673"/>
    <w:rsid w:val="00FE5C8B"/>
    <w:rsid w:val="00FF2C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BF6E2"/>
  <w15:chartTrackingRefBased/>
  <w15:docId w15:val="{20526F0A-ED48-4067-8873-06CFB352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F19"/>
    <w:pPr>
      <w:spacing w:after="200" w:line="276" w:lineRule="auto"/>
    </w:pPr>
  </w:style>
  <w:style w:type="paragraph" w:styleId="Balk1">
    <w:name w:val="heading 1"/>
    <w:basedOn w:val="Normal"/>
    <w:next w:val="Normal"/>
    <w:link w:val="Balk1Char"/>
    <w:uiPriority w:val="9"/>
    <w:qFormat/>
    <w:rsid w:val="00CC3CD0"/>
    <w:pPr>
      <w:keepNext/>
      <w:keepLines/>
      <w:spacing w:before="240" w:after="240" w:line="240" w:lineRule="auto"/>
      <w:outlineLvl w:val="0"/>
    </w:pPr>
    <w:rPr>
      <w:rFonts w:asciiTheme="majorHAnsi" w:eastAsiaTheme="majorEastAsia" w:hAnsiTheme="majorHAnsi" w:cstheme="majorBidi"/>
      <w:b/>
      <w:bCs/>
      <w:caps/>
      <w:sz w:val="28"/>
      <w:szCs w:val="28"/>
      <w:lang w:eastAsia="tr-TR"/>
    </w:rPr>
  </w:style>
  <w:style w:type="paragraph" w:styleId="Balk2">
    <w:name w:val="heading 2"/>
    <w:basedOn w:val="Normal"/>
    <w:next w:val="Normal"/>
    <w:link w:val="Balk2Char"/>
    <w:uiPriority w:val="9"/>
    <w:semiHidden/>
    <w:unhideWhenUsed/>
    <w:qFormat/>
    <w:rsid w:val="00CC3CD0"/>
    <w:pPr>
      <w:keepNext/>
      <w:keepLines/>
      <w:spacing w:before="240" w:after="0" w:line="240" w:lineRule="auto"/>
      <w:outlineLvl w:val="1"/>
    </w:pPr>
    <w:rPr>
      <w:rFonts w:ascii="Times New Roman" w:eastAsiaTheme="majorEastAsia" w:hAnsi="Times New Roman" w:cstheme="majorBidi"/>
      <w:b/>
      <w:sz w:val="24"/>
      <w:szCs w:val="26"/>
    </w:rPr>
  </w:style>
  <w:style w:type="paragraph" w:styleId="Balk3">
    <w:name w:val="heading 3"/>
    <w:basedOn w:val="Normal"/>
    <w:next w:val="Normal"/>
    <w:link w:val="Balk3Char"/>
    <w:uiPriority w:val="9"/>
    <w:semiHidden/>
    <w:unhideWhenUsed/>
    <w:qFormat/>
    <w:rsid w:val="00CC3CD0"/>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500F1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00F19"/>
  </w:style>
  <w:style w:type="paragraph" w:styleId="ListeParagraf">
    <w:name w:val="List Paragraph"/>
    <w:basedOn w:val="Normal"/>
    <w:uiPriority w:val="34"/>
    <w:qFormat/>
    <w:rsid w:val="00500F19"/>
    <w:pPr>
      <w:ind w:left="720"/>
      <w:contextualSpacing/>
    </w:pPr>
  </w:style>
  <w:style w:type="paragraph" w:styleId="stbilgi">
    <w:name w:val="header"/>
    <w:basedOn w:val="Normal"/>
    <w:link w:val="stbilgiChar"/>
    <w:uiPriority w:val="99"/>
    <w:unhideWhenUsed/>
    <w:rsid w:val="00AC340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C3404"/>
  </w:style>
  <w:style w:type="character" w:styleId="AklamaBavurusu">
    <w:name w:val="annotation reference"/>
    <w:basedOn w:val="VarsaylanParagrafYazTipi"/>
    <w:uiPriority w:val="99"/>
    <w:semiHidden/>
    <w:unhideWhenUsed/>
    <w:rsid w:val="00B53688"/>
    <w:rPr>
      <w:sz w:val="16"/>
      <w:szCs w:val="16"/>
    </w:rPr>
  </w:style>
  <w:style w:type="paragraph" w:styleId="AklamaMetni">
    <w:name w:val="annotation text"/>
    <w:basedOn w:val="Normal"/>
    <w:link w:val="AklamaMetniChar"/>
    <w:uiPriority w:val="99"/>
    <w:semiHidden/>
    <w:unhideWhenUsed/>
    <w:rsid w:val="00B5368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53688"/>
    <w:rPr>
      <w:sz w:val="20"/>
      <w:szCs w:val="20"/>
    </w:rPr>
  </w:style>
  <w:style w:type="paragraph" w:styleId="AklamaKonusu">
    <w:name w:val="annotation subject"/>
    <w:basedOn w:val="AklamaMetni"/>
    <w:next w:val="AklamaMetni"/>
    <w:link w:val="AklamaKonusuChar"/>
    <w:uiPriority w:val="99"/>
    <w:semiHidden/>
    <w:unhideWhenUsed/>
    <w:rsid w:val="00B53688"/>
    <w:rPr>
      <w:b/>
      <w:bCs/>
    </w:rPr>
  </w:style>
  <w:style w:type="character" w:customStyle="1" w:styleId="AklamaKonusuChar">
    <w:name w:val="Açıklama Konusu Char"/>
    <w:basedOn w:val="AklamaMetniChar"/>
    <w:link w:val="AklamaKonusu"/>
    <w:uiPriority w:val="99"/>
    <w:semiHidden/>
    <w:rsid w:val="00B53688"/>
    <w:rPr>
      <w:b/>
      <w:bCs/>
      <w:sz w:val="20"/>
      <w:szCs w:val="20"/>
    </w:rPr>
  </w:style>
  <w:style w:type="paragraph" w:styleId="BalonMetni">
    <w:name w:val="Balloon Text"/>
    <w:basedOn w:val="Normal"/>
    <w:link w:val="BalonMetniChar"/>
    <w:uiPriority w:val="99"/>
    <w:semiHidden/>
    <w:unhideWhenUsed/>
    <w:rsid w:val="00B5368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3688"/>
    <w:rPr>
      <w:rFonts w:ascii="Segoe UI" w:hAnsi="Segoe UI" w:cs="Segoe UI"/>
      <w:sz w:val="18"/>
      <w:szCs w:val="18"/>
    </w:rPr>
  </w:style>
  <w:style w:type="character" w:customStyle="1" w:styleId="Balk1Char">
    <w:name w:val="Başlık 1 Char"/>
    <w:basedOn w:val="VarsaylanParagrafYazTipi"/>
    <w:link w:val="Balk1"/>
    <w:uiPriority w:val="9"/>
    <w:rsid w:val="00CC3CD0"/>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semiHidden/>
    <w:rsid w:val="00CC3CD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semiHidden/>
    <w:rsid w:val="00CC3CD0"/>
    <w:rPr>
      <w:rFonts w:asciiTheme="majorHAnsi" w:eastAsiaTheme="majorEastAsia" w:hAnsiTheme="majorHAnsi" w:cstheme="majorBidi"/>
      <w:b/>
      <w:bCs/>
      <w:color w:val="5B9BD5" w:themeColor="accent1"/>
      <w:sz w:val="24"/>
      <w:szCs w:val="24"/>
      <w:lang w:eastAsia="tr-TR"/>
    </w:rPr>
  </w:style>
  <w:style w:type="paragraph" w:styleId="NormalWeb">
    <w:name w:val="Normal (Web)"/>
    <w:basedOn w:val="Normal"/>
    <w:semiHidden/>
    <w:unhideWhenUsed/>
    <w:rsid w:val="00CC3CD0"/>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GvdeMetni">
    <w:name w:val="Body Text"/>
    <w:basedOn w:val="Normal"/>
    <w:link w:val="GvdeMetniChar"/>
    <w:semiHidden/>
    <w:unhideWhenUsed/>
    <w:rsid w:val="00CC3CD0"/>
    <w:pPr>
      <w:shd w:val="clear" w:color="auto" w:fill="FFFFFF"/>
      <w:spacing w:after="0" w:line="240" w:lineRule="auto"/>
      <w:jc w:val="both"/>
    </w:pPr>
    <w:rPr>
      <w:rFonts w:ascii="Times New Roman" w:eastAsia="Times New Roman" w:hAnsi="Times New Roman" w:cs="Times New Roman"/>
      <w:color w:val="FF0000"/>
      <w:sz w:val="24"/>
      <w:szCs w:val="24"/>
    </w:rPr>
  </w:style>
  <w:style w:type="character" w:customStyle="1" w:styleId="GvdeMetniChar">
    <w:name w:val="Gövde Metni Char"/>
    <w:basedOn w:val="VarsaylanParagrafYazTipi"/>
    <w:link w:val="GvdeMetni"/>
    <w:semiHidden/>
    <w:rsid w:val="00CC3CD0"/>
    <w:rPr>
      <w:rFonts w:ascii="Times New Roman" w:eastAsia="Times New Roman" w:hAnsi="Times New Roman" w:cs="Times New Roman"/>
      <w:color w:val="FF0000"/>
      <w:sz w:val="24"/>
      <w:szCs w:val="24"/>
      <w:shd w:val="clear" w:color="auto" w:fill="FFFFFF"/>
    </w:rPr>
  </w:style>
  <w:style w:type="paragraph" w:customStyle="1" w:styleId="Default">
    <w:name w:val="Default"/>
    <w:rsid w:val="00CC3CD0"/>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11491">
      <w:bodyDiv w:val="1"/>
      <w:marLeft w:val="0"/>
      <w:marRight w:val="0"/>
      <w:marTop w:val="0"/>
      <w:marBottom w:val="0"/>
      <w:divBdr>
        <w:top w:val="none" w:sz="0" w:space="0" w:color="auto"/>
        <w:left w:val="none" w:sz="0" w:space="0" w:color="auto"/>
        <w:bottom w:val="none" w:sz="0" w:space="0" w:color="auto"/>
        <w:right w:val="none" w:sz="0" w:space="0" w:color="auto"/>
      </w:divBdr>
    </w:div>
    <w:div w:id="271980271">
      <w:bodyDiv w:val="1"/>
      <w:marLeft w:val="0"/>
      <w:marRight w:val="0"/>
      <w:marTop w:val="0"/>
      <w:marBottom w:val="0"/>
      <w:divBdr>
        <w:top w:val="none" w:sz="0" w:space="0" w:color="auto"/>
        <w:left w:val="none" w:sz="0" w:space="0" w:color="auto"/>
        <w:bottom w:val="none" w:sz="0" w:space="0" w:color="auto"/>
        <w:right w:val="none" w:sz="0" w:space="0" w:color="auto"/>
      </w:divBdr>
    </w:div>
    <w:div w:id="678893250">
      <w:bodyDiv w:val="1"/>
      <w:marLeft w:val="0"/>
      <w:marRight w:val="0"/>
      <w:marTop w:val="0"/>
      <w:marBottom w:val="0"/>
      <w:divBdr>
        <w:top w:val="none" w:sz="0" w:space="0" w:color="auto"/>
        <w:left w:val="none" w:sz="0" w:space="0" w:color="auto"/>
        <w:bottom w:val="none" w:sz="0" w:space="0" w:color="auto"/>
        <w:right w:val="none" w:sz="0" w:space="0" w:color="auto"/>
      </w:divBdr>
    </w:div>
    <w:div w:id="1615868286">
      <w:bodyDiv w:val="1"/>
      <w:marLeft w:val="0"/>
      <w:marRight w:val="0"/>
      <w:marTop w:val="0"/>
      <w:marBottom w:val="0"/>
      <w:divBdr>
        <w:top w:val="none" w:sz="0" w:space="0" w:color="auto"/>
        <w:left w:val="none" w:sz="0" w:space="0" w:color="auto"/>
        <w:bottom w:val="none" w:sz="0" w:space="0" w:color="auto"/>
        <w:right w:val="none" w:sz="0" w:space="0" w:color="auto"/>
      </w:divBdr>
    </w:div>
    <w:div w:id="1743137496">
      <w:bodyDiv w:val="1"/>
      <w:marLeft w:val="0"/>
      <w:marRight w:val="0"/>
      <w:marTop w:val="0"/>
      <w:marBottom w:val="0"/>
      <w:divBdr>
        <w:top w:val="none" w:sz="0" w:space="0" w:color="auto"/>
        <w:left w:val="none" w:sz="0" w:space="0" w:color="auto"/>
        <w:bottom w:val="none" w:sz="0" w:space="0" w:color="auto"/>
        <w:right w:val="none" w:sz="0" w:space="0" w:color="auto"/>
      </w:divBdr>
    </w:div>
    <w:div w:id="184944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49676-52CD-43BC-B6A0-B28F2D195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3700</Words>
  <Characters>21092</Characters>
  <Application>Microsoft Office Word</Application>
  <DocSecurity>0</DocSecurity>
  <Lines>175</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T.C. Ekonomi Bakanlığı</Company>
  <LinksUpToDate>false</LinksUpToDate>
  <CharactersWithSpaces>24743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Miray BAĞCI</dc:creator>
  <cp:keywords/>
  <dc:description/>
  <cp:lastModifiedBy>Derya GÜNER</cp:lastModifiedBy>
  <cp:revision>2</cp:revision>
  <dcterms:created xsi:type="dcterms:W3CDTF">2022-06-14T07:08:00Z</dcterms:created>
  <dcterms:modified xsi:type="dcterms:W3CDTF">2022-06-14T07:08:00Z</dcterms:modified>
</cp:coreProperties>
</file>