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2DFA" w:rsidRPr="006144AB" w:rsidRDefault="00282DFA" w:rsidP="00F859D9">
      <w:pPr>
        <w:spacing w:after="0" w:line="216" w:lineRule="auto"/>
        <w:rPr>
          <w:rFonts w:ascii="Times New Roman" w:hAnsi="Times New Roman" w:cs="Times New Roman"/>
          <w:sz w:val="24"/>
          <w:szCs w:val="24"/>
        </w:rPr>
      </w:pPr>
      <w:bookmarkStart w:id="0" w:name="_GoBack"/>
      <w:bookmarkEnd w:id="0"/>
    </w:p>
    <w:p w:rsidR="00282DFA" w:rsidRPr="006144AB" w:rsidRDefault="00282DFA" w:rsidP="00986561">
      <w:pPr>
        <w:spacing w:line="216" w:lineRule="auto"/>
        <w:ind w:firstLine="8222"/>
        <w:jc w:val="both"/>
        <w:rPr>
          <w:rFonts w:ascii="Times New Roman" w:hAnsi="Times New Roman" w:cs="Times New Roman"/>
          <w:b/>
          <w:caps/>
          <w:sz w:val="24"/>
          <w:szCs w:val="24"/>
        </w:rPr>
      </w:pPr>
      <w:r w:rsidRPr="006144AB">
        <w:rPr>
          <w:rFonts w:ascii="Times New Roman" w:hAnsi="Times New Roman" w:cs="Times New Roman"/>
          <w:b/>
          <w:caps/>
          <w:sz w:val="24"/>
          <w:szCs w:val="24"/>
        </w:rPr>
        <w:t>EK</w:t>
      </w:r>
    </w:p>
    <w:p w:rsidR="00282DFA" w:rsidRPr="006144AB" w:rsidRDefault="00282DFA" w:rsidP="00282DFA">
      <w:pPr>
        <w:spacing w:line="216" w:lineRule="auto"/>
        <w:jc w:val="center"/>
        <w:rPr>
          <w:rFonts w:ascii="Times New Roman" w:hAnsi="Times New Roman" w:cs="Times New Roman"/>
          <w:b/>
          <w:caps/>
          <w:sz w:val="24"/>
          <w:szCs w:val="24"/>
        </w:rPr>
      </w:pPr>
      <w:r w:rsidRPr="006144AB">
        <w:rPr>
          <w:rFonts w:ascii="Times New Roman" w:hAnsi="Times New Roman" w:cs="Times New Roman"/>
          <w:b/>
          <w:caps/>
          <w:sz w:val="24"/>
          <w:szCs w:val="24"/>
        </w:rPr>
        <w:t>2021/18 SaYILI İTHALATTA HAKSIZ REKABETİN ÖNLENMESİNE İLİŞKİN TEBLİĞE DAİR BİLGİLENDİRME RAPORU</w:t>
      </w:r>
    </w:p>
    <w:p w:rsidR="00282DFA" w:rsidRPr="00B65777" w:rsidRDefault="00282DFA" w:rsidP="00282DFA">
      <w:pPr>
        <w:pStyle w:val="Balk1"/>
        <w:numPr>
          <w:ilvl w:val="0"/>
          <w:numId w:val="2"/>
        </w:numPr>
        <w:spacing w:before="120" w:after="120" w:line="276" w:lineRule="auto"/>
        <w:rPr>
          <w:rFonts w:ascii="Times New Roman" w:hAnsi="Times New Roman" w:cs="Times New Roman"/>
          <w:color w:val="0D0D0D" w:themeColor="text1" w:themeTint="F2"/>
          <w:sz w:val="24"/>
          <w:szCs w:val="24"/>
        </w:rPr>
      </w:pPr>
      <w:r w:rsidRPr="00B65777">
        <w:rPr>
          <w:rFonts w:ascii="Times New Roman" w:hAnsi="Times New Roman" w:cs="Times New Roman"/>
          <w:color w:val="0D0D0D" w:themeColor="text1" w:themeTint="F2"/>
          <w:sz w:val="24"/>
          <w:szCs w:val="24"/>
        </w:rPr>
        <w:t>SORUŞTURMAYA İLİŞKİN Bilgi ve İşlemler</w:t>
      </w:r>
    </w:p>
    <w:p w:rsidR="00282DFA" w:rsidRPr="00B65777" w:rsidRDefault="00282DFA" w:rsidP="00282DFA">
      <w:pPr>
        <w:pStyle w:val="Balk2"/>
        <w:numPr>
          <w:ilvl w:val="1"/>
          <w:numId w:val="2"/>
        </w:numPr>
        <w:spacing w:before="120" w:after="120" w:line="276" w:lineRule="auto"/>
        <w:ind w:left="426"/>
        <w:rPr>
          <w:rFonts w:cs="Times New Roman"/>
          <w:color w:val="0D0D0D" w:themeColor="text1" w:themeTint="F2"/>
          <w:szCs w:val="24"/>
        </w:rPr>
      </w:pPr>
      <w:r w:rsidRPr="00B65777">
        <w:rPr>
          <w:rFonts w:cs="Times New Roman"/>
          <w:color w:val="0D0D0D" w:themeColor="text1" w:themeTint="F2"/>
          <w:szCs w:val="24"/>
        </w:rPr>
        <w:t>Mevcut Önlem ve Geçmişi</w:t>
      </w:r>
    </w:p>
    <w:p w:rsidR="00282DFA" w:rsidRPr="00B65777" w:rsidRDefault="00282DFA" w:rsidP="00282DFA">
      <w:pPr>
        <w:pStyle w:val="Default"/>
        <w:spacing w:before="120" w:after="120" w:line="276" w:lineRule="auto"/>
        <w:jc w:val="both"/>
        <w:rPr>
          <w:color w:val="0D0D0D" w:themeColor="text1" w:themeTint="F2"/>
        </w:rPr>
      </w:pPr>
      <w:r w:rsidRPr="00B65777">
        <w:rPr>
          <w:color w:val="0D0D0D" w:themeColor="text1" w:themeTint="F2"/>
        </w:rPr>
        <w:t>(1) 18/4/2009 tarihli ve 27204 sayılı Resmî Gazete’de yayımlanan İthalatta Haksız Rekabetin Önlenmesine İlişkin Tebliğ (2009/12) ile Çin Halk Cumhuriyeti (ÇHC) menşeli 5603.14 gümrük tarife pozisyonunda (GTP) yer alan “koagüle suni deri” olarak da bilinen “Yalnız, poliüretanla kaplanmış, sıvanmış veya lamine edilmiş dokumaya elverişli suni ve sentetik liflerden m</w:t>
      </w:r>
      <w:r w:rsidRPr="00B65777">
        <w:rPr>
          <w:color w:val="0D0D0D" w:themeColor="text1" w:themeTint="F2"/>
          <w:vertAlign w:val="superscript"/>
        </w:rPr>
        <w:t>2</w:t>
      </w:r>
      <w:r w:rsidRPr="00B65777">
        <w:rPr>
          <w:color w:val="0D0D0D" w:themeColor="text1" w:themeTint="F2"/>
        </w:rPr>
        <w:t xml:space="preserve"> ağırlığı 150 gr’ı geçen dokunmamış mensucat” ithalatında </w:t>
      </w:r>
      <w:r w:rsidRPr="00B65777">
        <w:t>1,9 ABD doları/kg</w:t>
      </w:r>
      <w:r w:rsidRPr="00B65777">
        <w:rPr>
          <w:color w:val="0D0D0D" w:themeColor="text1" w:themeTint="F2"/>
        </w:rPr>
        <w:t xml:space="preserve"> dampinge karşı kesin önlem yürürlüğe konulmuştur. </w:t>
      </w:r>
    </w:p>
    <w:p w:rsidR="00282DFA" w:rsidRPr="00B65777" w:rsidRDefault="00282DFA" w:rsidP="00282DFA">
      <w:pPr>
        <w:pStyle w:val="Default"/>
        <w:spacing w:before="120" w:after="120" w:line="276" w:lineRule="auto"/>
        <w:jc w:val="both"/>
        <w:rPr>
          <w:color w:val="0D0D0D" w:themeColor="text1" w:themeTint="F2"/>
        </w:rPr>
      </w:pPr>
      <w:r w:rsidRPr="00B65777">
        <w:rPr>
          <w:color w:val="0D0D0D" w:themeColor="text1" w:themeTint="F2"/>
        </w:rPr>
        <w:t>(2) 12/4/2015 tarihli ve 29324 sayılı Resmî Gazete’de yayımlanan İthalatta Haksız Rekabetin Önlenmesine İlişkin Tebliğ (Tebliğ No: 2015/9) ile tamamlanan nihai gözden geçirme soruşturmasında (NGGS), yürürlükte olan dampinge karşı önlemin aynen uygulanmaya devam edilmesine karar verilmiştir.</w:t>
      </w:r>
    </w:p>
    <w:p w:rsidR="00282DFA" w:rsidRPr="00B65777" w:rsidRDefault="00282DFA" w:rsidP="00282DFA">
      <w:pPr>
        <w:pStyle w:val="Default"/>
        <w:spacing w:before="120" w:after="120" w:line="276" w:lineRule="auto"/>
        <w:jc w:val="both"/>
        <w:rPr>
          <w:color w:val="0D0D0D" w:themeColor="text1" w:themeTint="F2"/>
        </w:rPr>
      </w:pPr>
      <w:r w:rsidRPr="00B65777">
        <w:rPr>
          <w:color w:val="0D0D0D" w:themeColor="text1" w:themeTint="F2"/>
        </w:rPr>
        <w:t xml:space="preserve">(3) Dampinge karşı önleme tabi koagüle suni deri ithalatının 3921.13 GTP'den de gerçekleştirilmeye başlandığının anlaşılması üzerine yapılan inceleme neticesinde 16/10/2018 tarihli ve 30567 sayılı Resmî Gazete’de yayımlanan İthalatta Haksız Rekabetin Önlenmesine İlişkin Tebliğ (Tebliğ No: 2015/9)’de Değişiklik Yapılmasına Dair Tebliğ ile mevcut önlemin kapsamına 3921.13 GTP’si de eklenerek önlem uygulanmaya devam edilmiştir. </w:t>
      </w:r>
    </w:p>
    <w:p w:rsidR="00282DFA" w:rsidRPr="00B65777" w:rsidRDefault="00282DFA" w:rsidP="00282DFA">
      <w:pPr>
        <w:pStyle w:val="Balk2"/>
        <w:numPr>
          <w:ilvl w:val="1"/>
          <w:numId w:val="2"/>
        </w:numPr>
        <w:spacing w:before="120" w:after="120" w:line="276" w:lineRule="auto"/>
        <w:ind w:left="426"/>
        <w:rPr>
          <w:rFonts w:cs="Times New Roman"/>
          <w:color w:val="0D0D0D" w:themeColor="text1" w:themeTint="F2"/>
          <w:szCs w:val="24"/>
        </w:rPr>
      </w:pPr>
      <w:r w:rsidRPr="00B65777">
        <w:rPr>
          <w:rFonts w:cs="Times New Roman"/>
          <w:color w:val="0D0D0D" w:themeColor="text1" w:themeTint="F2"/>
          <w:szCs w:val="24"/>
        </w:rPr>
        <w:t>Soruşturma</w:t>
      </w:r>
    </w:p>
    <w:p w:rsidR="00282DFA" w:rsidRPr="00B65777" w:rsidRDefault="00282DFA" w:rsidP="00282DFA">
      <w:pPr>
        <w:pStyle w:val="Default"/>
        <w:numPr>
          <w:ilvl w:val="0"/>
          <w:numId w:val="10"/>
        </w:numPr>
        <w:spacing w:before="120" w:after="120" w:line="276" w:lineRule="auto"/>
        <w:ind w:firstLine="0"/>
        <w:jc w:val="both"/>
        <w:rPr>
          <w:color w:val="0D0D0D" w:themeColor="text1" w:themeTint="F2"/>
        </w:rPr>
      </w:pPr>
      <w:r w:rsidRPr="00B65777">
        <w:rPr>
          <w:color w:val="0D0D0D"/>
        </w:rPr>
        <w:t>İthalatta Haksız Rekabetin Önlenmesi Hakkında Yönetmeliğin (Yönetmelik) 35 inci maddesinin ikinci fıkrası hükmünce, 28/8/2019 tarihli ve 30872 sayılı Resmî Gazete’de yayımlanan İthalatta Haksız Rekabetin Önlenmesine İlişkin Tebliğ (Tebliğ No: 2019/27)  ile mevcut önlemlerin yürürlükte kalma sürelerinin sona ereceği ilan edilmiştir. İlgili ürünün yerli üreticileri tarafından mevzuatta öngörülen süreler içinde, önlemin sona ermesinin damping ve zararın devam etmesine veya yeniden meydana gelmesine yol açacağı iddiasını içeren yeterli delillerle desteklenmiş bir başvuru ile NGGS açılması talebinde bulunabilecekleri duyurulmuştur.</w:t>
      </w:r>
    </w:p>
    <w:p w:rsidR="00282DFA" w:rsidRPr="00B65777" w:rsidRDefault="00282DFA" w:rsidP="00282DFA">
      <w:pPr>
        <w:pStyle w:val="Default"/>
        <w:numPr>
          <w:ilvl w:val="0"/>
          <w:numId w:val="10"/>
        </w:numPr>
        <w:spacing w:before="120" w:after="120" w:line="276" w:lineRule="auto"/>
        <w:ind w:firstLine="0"/>
        <w:jc w:val="both"/>
        <w:rPr>
          <w:color w:val="0D0D0D"/>
        </w:rPr>
      </w:pPr>
      <w:r w:rsidRPr="00B65777">
        <w:rPr>
          <w:color w:val="0D0D0D"/>
        </w:rPr>
        <w:t>Bu çerçevede, Depar Deri Plastik San. ve Tic. A.Ş. ve Doğuş Suni Deri Kösele San. ve Tic. A.Ş., ÇHC menşeli “koagüle suni deri” ithalatına karşı NGGS açılması başvurusunda bulunmuştur. Söz konusu başvuru Flokser Tekstil San. ve Tic. A.Ş. tarafından desteklenmiştir.</w:t>
      </w:r>
    </w:p>
    <w:p w:rsidR="00282DFA" w:rsidRPr="00B65777" w:rsidRDefault="00282DFA" w:rsidP="00282DFA">
      <w:pPr>
        <w:pStyle w:val="Default"/>
        <w:numPr>
          <w:ilvl w:val="0"/>
          <w:numId w:val="10"/>
        </w:numPr>
        <w:spacing w:before="120" w:after="120" w:line="276" w:lineRule="auto"/>
        <w:ind w:firstLine="0"/>
        <w:jc w:val="both"/>
        <w:rPr>
          <w:color w:val="0D0D0D" w:themeColor="text1" w:themeTint="F2"/>
        </w:rPr>
      </w:pPr>
      <w:r w:rsidRPr="00B65777">
        <w:rPr>
          <w:color w:val="0D0D0D" w:themeColor="text1" w:themeTint="F2"/>
        </w:rPr>
        <w:t>Başvuru kapsamında sunulan bilgi ve belgeler, İthalatta Haksız Rekabeti Değerlendirme Kurulu (Kurul) tarafından değerlendirilmiş ve bir NGGS açılmasını haklı kılacak yeterlilikte delillerin mevcudiyetine kanaat getirilmiştir. Bu çerçevede, 8/4/2020 tarihli ve 31093 sayılı Resmî Gazete’de yayımlanan İthalatta Haksız Rekabetin Önlenmesine İlişkin Tebliğ (Tebliğ No: 2020/6) ile ÇHC menşeli 5603.14 ve 3921.13 GTP’lerde yer alan “koagüle suni deri” ithalatına yönelik bir NGGS açılmıştır.</w:t>
      </w:r>
    </w:p>
    <w:p w:rsidR="00282DFA" w:rsidRPr="00B65777" w:rsidRDefault="00282DFA" w:rsidP="00282DFA">
      <w:pPr>
        <w:pStyle w:val="Default"/>
        <w:numPr>
          <w:ilvl w:val="0"/>
          <w:numId w:val="10"/>
        </w:numPr>
        <w:spacing w:before="120" w:after="120" w:line="276" w:lineRule="auto"/>
        <w:ind w:firstLine="0"/>
        <w:jc w:val="both"/>
        <w:rPr>
          <w:color w:val="0D0D0D" w:themeColor="text1" w:themeTint="F2"/>
        </w:rPr>
      </w:pPr>
      <w:r w:rsidRPr="00B65777">
        <w:rPr>
          <w:color w:val="0D0D0D" w:themeColor="text1" w:themeTint="F2"/>
        </w:rPr>
        <w:t>T.C. Ticaret Bakanlığı (Bakanlık) İthalat Genel Müdürlüğü (Genel Müdürlük) tarafından yürütülen NGGS tamamlanmıştır.</w:t>
      </w:r>
    </w:p>
    <w:p w:rsidR="00282DFA" w:rsidRPr="00B65777" w:rsidRDefault="00282DFA" w:rsidP="00282DFA">
      <w:pPr>
        <w:pStyle w:val="Balk2"/>
        <w:numPr>
          <w:ilvl w:val="1"/>
          <w:numId w:val="2"/>
        </w:numPr>
        <w:spacing w:before="120" w:after="120" w:line="276" w:lineRule="auto"/>
        <w:ind w:left="426"/>
        <w:rPr>
          <w:rFonts w:cs="Times New Roman"/>
          <w:color w:val="0D0D0D" w:themeColor="text1" w:themeTint="F2"/>
          <w:szCs w:val="24"/>
        </w:rPr>
      </w:pPr>
      <w:r w:rsidRPr="00B65777">
        <w:rPr>
          <w:rFonts w:cs="Times New Roman"/>
          <w:color w:val="0D0D0D" w:themeColor="text1" w:themeTint="F2"/>
          <w:szCs w:val="24"/>
        </w:rPr>
        <w:lastRenderedPageBreak/>
        <w:t>Yerli Üretim Dalının Temsil Niteliği</w:t>
      </w:r>
    </w:p>
    <w:p w:rsidR="00282DFA" w:rsidRPr="006144AB" w:rsidRDefault="00282DFA" w:rsidP="00282DFA">
      <w:pPr>
        <w:spacing w:before="120" w:after="120"/>
        <w:jc w:val="both"/>
        <w:rPr>
          <w:rFonts w:ascii="Times New Roman" w:hAnsi="Times New Roman" w:cs="Times New Roman"/>
          <w:color w:val="0D0D0D" w:themeColor="text1" w:themeTint="F2"/>
          <w:sz w:val="24"/>
          <w:szCs w:val="24"/>
        </w:rPr>
      </w:pPr>
      <w:r w:rsidRPr="006144AB">
        <w:rPr>
          <w:rFonts w:ascii="Times New Roman" w:hAnsi="Times New Roman" w:cs="Times New Roman"/>
          <w:color w:val="0D0D0D" w:themeColor="text1" w:themeTint="F2"/>
          <w:sz w:val="24"/>
          <w:szCs w:val="24"/>
        </w:rPr>
        <w:t xml:space="preserve">(1) </w:t>
      </w:r>
      <w:r w:rsidRPr="006144AB">
        <w:rPr>
          <w:rFonts w:ascii="Times New Roman" w:hAnsi="Times New Roman" w:cs="Times New Roman"/>
          <w:noProof/>
          <w:color w:val="0D0D0D" w:themeColor="text1" w:themeTint="F2"/>
          <w:sz w:val="24"/>
          <w:szCs w:val="24"/>
        </w:rPr>
        <w:t xml:space="preserve">Yerli üretim dalının temsil kabiliyeti incelenirken, başvuru sahibi yerli üreticilerin </w:t>
      </w:r>
      <w:r w:rsidRPr="006144AB">
        <w:rPr>
          <w:rFonts w:ascii="Times New Roman" w:hAnsi="Times New Roman" w:cs="Times New Roman"/>
          <w:color w:val="0D0D0D" w:themeColor="text1" w:themeTint="F2"/>
          <w:sz w:val="24"/>
          <w:szCs w:val="24"/>
        </w:rPr>
        <w:t xml:space="preserve">2019 yılında </w:t>
      </w:r>
      <w:r w:rsidRPr="006144AB">
        <w:rPr>
          <w:rFonts w:ascii="Times New Roman" w:hAnsi="Times New Roman" w:cs="Times New Roman"/>
          <w:noProof/>
          <w:color w:val="0D0D0D" w:themeColor="text1" w:themeTint="F2"/>
          <w:sz w:val="24"/>
          <w:szCs w:val="24"/>
        </w:rPr>
        <w:t>soruşturma konusu üründeki üretim rakamları ile aynı ürünün toplam Türkiye üretimi kıyaslanmaktadır. Yapılan incelemede, Yönetmeliğin 18 inci ve 20 nci maddeleri uyarınca başvuruda bulunan yerli üreticilerin yerli üretim dalını temsil etme niteliğini haiz olduğu anlaşılmış olup anılan firmalar işbu raporun ilgili bölümlerinde “yerli üretim dalı” olarak anılacaktır.</w:t>
      </w:r>
    </w:p>
    <w:p w:rsidR="00282DFA" w:rsidRPr="00B65777" w:rsidRDefault="00282DFA" w:rsidP="00282DFA">
      <w:pPr>
        <w:pStyle w:val="Balk2"/>
        <w:numPr>
          <w:ilvl w:val="1"/>
          <w:numId w:val="2"/>
        </w:numPr>
        <w:spacing w:before="120" w:after="120" w:line="276" w:lineRule="auto"/>
        <w:ind w:left="426"/>
        <w:rPr>
          <w:rFonts w:cs="Times New Roman"/>
          <w:color w:val="0D0D0D" w:themeColor="text1" w:themeTint="F2"/>
          <w:szCs w:val="24"/>
        </w:rPr>
      </w:pPr>
      <w:r w:rsidRPr="00B65777">
        <w:rPr>
          <w:rFonts w:cs="Times New Roman"/>
          <w:color w:val="0D0D0D" w:themeColor="text1" w:themeTint="F2"/>
          <w:szCs w:val="24"/>
        </w:rPr>
        <w:t xml:space="preserve">Gözden Geçirme Dönemi </w:t>
      </w:r>
    </w:p>
    <w:p w:rsidR="00282DFA" w:rsidRPr="00B65777" w:rsidRDefault="00282DFA" w:rsidP="00282DFA">
      <w:pPr>
        <w:pStyle w:val="Default"/>
        <w:numPr>
          <w:ilvl w:val="0"/>
          <w:numId w:val="3"/>
        </w:numPr>
        <w:spacing w:before="120" w:after="120" w:line="276" w:lineRule="auto"/>
        <w:ind w:firstLine="0"/>
        <w:jc w:val="both"/>
        <w:rPr>
          <w:color w:val="0D0D0D" w:themeColor="text1" w:themeTint="F2"/>
        </w:rPr>
      </w:pPr>
      <w:bookmarkStart w:id="1" w:name="_Toc317854276"/>
      <w:r w:rsidRPr="00B65777">
        <w:rPr>
          <w:color w:val="0D0D0D" w:themeColor="text1" w:themeTint="F2"/>
        </w:rPr>
        <w:t>Mevcut önlemlerin yürürlükten kalkması durumunda, dampingin ve zararın devam etmesinin veya yeniden meydana gelmesinin muhtemel olup olmadığının tespiti için 1/1/2017-31/12/2019 arasındaki dönem gözden geçirme dönemi olarak alınmıştır.</w:t>
      </w:r>
    </w:p>
    <w:p w:rsidR="00282DFA" w:rsidRPr="00B65777" w:rsidRDefault="00282DFA" w:rsidP="00282DFA">
      <w:pPr>
        <w:pStyle w:val="Balk2"/>
        <w:numPr>
          <w:ilvl w:val="1"/>
          <w:numId w:val="2"/>
        </w:numPr>
        <w:spacing w:before="120" w:after="120" w:line="276" w:lineRule="auto"/>
        <w:ind w:left="426"/>
        <w:rPr>
          <w:rFonts w:cs="Times New Roman"/>
          <w:color w:val="0D0D0D" w:themeColor="text1" w:themeTint="F2"/>
          <w:szCs w:val="24"/>
        </w:rPr>
      </w:pPr>
      <w:bookmarkStart w:id="2" w:name="_Toc317854277"/>
      <w:bookmarkEnd w:id="1"/>
      <w:r w:rsidRPr="00B65777">
        <w:rPr>
          <w:rFonts w:cs="Times New Roman"/>
          <w:color w:val="0D0D0D" w:themeColor="text1" w:themeTint="F2"/>
          <w:szCs w:val="24"/>
        </w:rPr>
        <w:t>İlgili Tarafların Bilgilendirilmesi, Dinlenmesi ve Bilgilerin Değerlendirilmesi</w:t>
      </w:r>
      <w:bookmarkEnd w:id="2"/>
    </w:p>
    <w:p w:rsidR="00282DFA" w:rsidRPr="00B65777" w:rsidRDefault="00282DFA" w:rsidP="00282DFA">
      <w:pPr>
        <w:pStyle w:val="Default"/>
        <w:numPr>
          <w:ilvl w:val="0"/>
          <w:numId w:val="4"/>
        </w:numPr>
        <w:spacing w:before="120" w:after="120" w:line="276" w:lineRule="auto"/>
        <w:ind w:firstLine="0"/>
        <w:jc w:val="both"/>
        <w:rPr>
          <w:color w:val="0D0D0D" w:themeColor="text1" w:themeTint="F2"/>
        </w:rPr>
      </w:pPr>
      <w:r w:rsidRPr="00B65777">
        <w:rPr>
          <w:color w:val="0D0D0D" w:themeColor="text1" w:themeTint="F2"/>
        </w:rPr>
        <w:t>Soruşturma açılmasını müteakip, soruşturma konusu ürünün Bakanlık tarafından tespit edilen ÇHC’de yerleşik üreticilerine/ihracatçılarına, Türkiye’de yerleşik ithalatçılarına ve ayrıca mezkûr ülkelerde yerleşik diğer üreticilere/ihracatçılara iletilebilmesini teminen ÇHC’nin Ankara Büyükelçiliği’ne soruşturmanın açılışına ilişkin bildirimde bulunulmuştur.</w:t>
      </w:r>
    </w:p>
    <w:p w:rsidR="00282DFA" w:rsidRPr="00B65777" w:rsidRDefault="00282DFA" w:rsidP="00282DFA">
      <w:pPr>
        <w:pStyle w:val="Default"/>
        <w:numPr>
          <w:ilvl w:val="0"/>
          <w:numId w:val="4"/>
        </w:numPr>
        <w:spacing w:before="120" w:after="120" w:line="276" w:lineRule="auto"/>
        <w:ind w:firstLine="0"/>
        <w:jc w:val="both"/>
        <w:rPr>
          <w:color w:val="0D0D0D" w:themeColor="text1" w:themeTint="F2"/>
        </w:rPr>
      </w:pPr>
      <w:r w:rsidRPr="00B65777">
        <w:rPr>
          <w:color w:val="0D0D0D" w:themeColor="text1" w:themeTint="F2"/>
        </w:rPr>
        <w:t>Bildirimde, soruşturma açılış Tebliğine, başvurunun gizli olmayan özetine ve soru formlarına nereden erişilebileceği hususunda bilgi verilmiştir.</w:t>
      </w:r>
    </w:p>
    <w:p w:rsidR="00282DFA" w:rsidRPr="00B65777" w:rsidRDefault="00282DFA" w:rsidP="00282DFA">
      <w:pPr>
        <w:pStyle w:val="Default"/>
        <w:numPr>
          <w:ilvl w:val="0"/>
          <w:numId w:val="4"/>
        </w:numPr>
        <w:spacing w:before="120" w:after="120" w:line="276" w:lineRule="auto"/>
        <w:ind w:firstLine="0"/>
        <w:jc w:val="both"/>
        <w:rPr>
          <w:color w:val="0D0D0D" w:themeColor="text1" w:themeTint="F2"/>
        </w:rPr>
      </w:pPr>
      <w:r w:rsidRPr="00B65777">
        <w:rPr>
          <w:color w:val="0D0D0D" w:themeColor="text1" w:themeTint="F2"/>
        </w:rPr>
        <w:t>Taraflara görüşlerini bildirme ve soru formlarını yanıtlamaları için posta süresi dâhil 37 gün süre tanınmıştır.</w:t>
      </w:r>
    </w:p>
    <w:p w:rsidR="00282DFA" w:rsidRPr="00B65777" w:rsidRDefault="00282DFA" w:rsidP="00282DFA">
      <w:pPr>
        <w:pStyle w:val="Default"/>
        <w:numPr>
          <w:ilvl w:val="0"/>
          <w:numId w:val="4"/>
        </w:numPr>
        <w:spacing w:before="120" w:after="120" w:line="276" w:lineRule="auto"/>
        <w:ind w:firstLine="0"/>
        <w:jc w:val="both"/>
        <w:rPr>
          <w:color w:val="0D0D0D" w:themeColor="text1" w:themeTint="F2"/>
        </w:rPr>
      </w:pPr>
      <w:r w:rsidRPr="00B65777">
        <w:rPr>
          <w:color w:val="0D0D0D" w:themeColor="text1" w:themeTint="F2"/>
        </w:rPr>
        <w:t xml:space="preserve">Yerli üretim dalı, soruşturma süresi boyunca Bakanlık ile işbirliği içinde olmuş ve gerektiğinde talep edilen ilave bilgileri temin etmiştir. </w:t>
      </w:r>
    </w:p>
    <w:p w:rsidR="00282DFA" w:rsidRPr="00B65777" w:rsidRDefault="00282DFA" w:rsidP="00282DFA">
      <w:pPr>
        <w:pStyle w:val="Default"/>
        <w:numPr>
          <w:ilvl w:val="0"/>
          <w:numId w:val="4"/>
        </w:numPr>
        <w:spacing w:before="120" w:after="120" w:line="276" w:lineRule="auto"/>
        <w:ind w:firstLine="0"/>
        <w:jc w:val="both"/>
        <w:rPr>
          <w:color w:val="0D0D0D" w:themeColor="text1" w:themeTint="F2"/>
        </w:rPr>
      </w:pPr>
      <w:r w:rsidRPr="00B65777">
        <w:rPr>
          <w:color w:val="0D0D0D" w:themeColor="text1" w:themeTint="F2"/>
        </w:rPr>
        <w:t>Soruşturma konusu ürün ithalatı gerçekleştiren firmalardan 5 tanesi soru formlarını zamanında yanıtlayarak Bakanlığa iletmiştir. Diğer taraftan, İstanbul Tekstil ve Hammaddeleri İhracatçıları Birliği (İTHİB) soruşturma kapsamında görüş bildirmiştir.</w:t>
      </w:r>
    </w:p>
    <w:p w:rsidR="00282DFA" w:rsidRPr="00B65777" w:rsidRDefault="00282DFA" w:rsidP="00282DFA">
      <w:pPr>
        <w:pStyle w:val="Default"/>
        <w:numPr>
          <w:ilvl w:val="0"/>
          <w:numId w:val="4"/>
        </w:numPr>
        <w:spacing w:before="120" w:after="120" w:line="276" w:lineRule="auto"/>
        <w:ind w:firstLine="0"/>
        <w:jc w:val="both"/>
        <w:rPr>
          <w:color w:val="0D0D0D" w:themeColor="text1" w:themeTint="F2"/>
        </w:rPr>
      </w:pPr>
      <w:r w:rsidRPr="00B65777">
        <w:rPr>
          <w:color w:val="0D0D0D" w:themeColor="text1" w:themeTint="F2"/>
        </w:rPr>
        <w:t xml:space="preserve">İlgili soru formunu yanıtlayan üretici/ihracatçı firma olmamıştır. </w:t>
      </w:r>
    </w:p>
    <w:p w:rsidR="00282DFA" w:rsidRPr="00B65777" w:rsidRDefault="00282DFA" w:rsidP="00282DFA">
      <w:pPr>
        <w:pStyle w:val="Default"/>
        <w:numPr>
          <w:ilvl w:val="0"/>
          <w:numId w:val="4"/>
        </w:numPr>
        <w:spacing w:before="120" w:after="120" w:line="276" w:lineRule="auto"/>
        <w:ind w:firstLine="0"/>
        <w:jc w:val="both"/>
        <w:rPr>
          <w:color w:val="0D0D0D" w:themeColor="text1" w:themeTint="F2"/>
        </w:rPr>
      </w:pPr>
      <w:r w:rsidRPr="00B65777">
        <w:rPr>
          <w:color w:val="0D0D0D" w:themeColor="text1" w:themeTint="F2"/>
        </w:rPr>
        <w:t>Soruşturma sonucunda alınacak karara esas teşkil edecek bilgi, bulgu, tespit ve değerlendirmeleri içeren nihai bildirim raporu ÇHC’nin diplomatik misyonuna, işbirliğinde bulunan ithalatçı firmalara, yerli üreticilere ve İTHİB’e iletilmiştir.</w:t>
      </w:r>
    </w:p>
    <w:p w:rsidR="00282DFA" w:rsidRPr="00B65777" w:rsidRDefault="00282DFA" w:rsidP="00282DFA">
      <w:pPr>
        <w:pStyle w:val="Default"/>
        <w:numPr>
          <w:ilvl w:val="0"/>
          <w:numId w:val="4"/>
        </w:numPr>
        <w:spacing w:before="120" w:after="120" w:line="276" w:lineRule="auto"/>
        <w:ind w:firstLine="0"/>
        <w:jc w:val="both"/>
        <w:rPr>
          <w:color w:val="0D0D0D" w:themeColor="text1" w:themeTint="F2"/>
        </w:rPr>
      </w:pPr>
      <w:r w:rsidRPr="00B65777">
        <w:rPr>
          <w:color w:val="0D0D0D" w:themeColor="text1" w:themeTint="F2"/>
        </w:rPr>
        <w:t>Nihai bildirim sonrasında, ilgili tarafların nihai bildirime ilişkin görüşlerini sözlü olarak da sunmalarına imkân tanımak amacıyla 18/3/2021 tarihinde kamu dinleme toplantısı yapılmıştır.</w:t>
      </w:r>
    </w:p>
    <w:p w:rsidR="00282DFA" w:rsidRPr="00B65777" w:rsidRDefault="00282DFA" w:rsidP="00282DFA">
      <w:pPr>
        <w:pStyle w:val="Default"/>
        <w:numPr>
          <w:ilvl w:val="0"/>
          <w:numId w:val="4"/>
        </w:numPr>
        <w:spacing w:before="120" w:after="120" w:line="276" w:lineRule="auto"/>
        <w:ind w:firstLine="0"/>
        <w:jc w:val="both"/>
        <w:rPr>
          <w:color w:val="0D0D0D" w:themeColor="text1" w:themeTint="F2"/>
        </w:rPr>
      </w:pPr>
      <w:r w:rsidRPr="00B65777">
        <w:rPr>
          <w:color w:val="0D0D0D" w:themeColor="text1" w:themeTint="F2"/>
        </w:rPr>
        <w:t xml:space="preserve"> Tarafların işbu soruşturma boyunca ortaya koyduğu tüm bilgi, belge ve görüşler incelenmiş olup mezkûr görüşlerden mevzuat kapsamında değerlendirilebilecek olanlara bu raporun ilgili bölümlerinde yer verilmiştir.</w:t>
      </w:r>
      <w:bookmarkStart w:id="3" w:name="_Toc317854278"/>
    </w:p>
    <w:p w:rsidR="00282DFA" w:rsidRPr="00B65777" w:rsidRDefault="00282DFA" w:rsidP="00282DFA">
      <w:pPr>
        <w:pStyle w:val="Balk2"/>
        <w:numPr>
          <w:ilvl w:val="1"/>
          <w:numId w:val="2"/>
        </w:numPr>
        <w:spacing w:before="120" w:after="120" w:line="276" w:lineRule="auto"/>
        <w:ind w:left="426"/>
        <w:rPr>
          <w:rFonts w:cs="Times New Roman"/>
          <w:color w:val="0D0D0D" w:themeColor="text1" w:themeTint="F2"/>
          <w:szCs w:val="24"/>
        </w:rPr>
      </w:pPr>
      <w:r w:rsidRPr="00B65777">
        <w:rPr>
          <w:rFonts w:cs="Times New Roman"/>
          <w:color w:val="0D0D0D" w:themeColor="text1" w:themeTint="F2"/>
          <w:szCs w:val="24"/>
        </w:rPr>
        <w:t xml:space="preserve">Yerinde Doğrulama </w:t>
      </w:r>
      <w:bookmarkEnd w:id="3"/>
      <w:r w:rsidRPr="00B65777">
        <w:rPr>
          <w:rFonts w:cs="Times New Roman"/>
          <w:color w:val="0D0D0D" w:themeColor="text1" w:themeTint="F2"/>
          <w:szCs w:val="24"/>
        </w:rPr>
        <w:t>İncelemesi</w:t>
      </w:r>
    </w:p>
    <w:p w:rsidR="00C42757" w:rsidRDefault="00282DFA" w:rsidP="00282DFA">
      <w:pPr>
        <w:pStyle w:val="Default"/>
        <w:numPr>
          <w:ilvl w:val="0"/>
          <w:numId w:val="5"/>
        </w:numPr>
        <w:spacing w:before="120" w:after="120" w:line="276" w:lineRule="auto"/>
        <w:ind w:firstLine="0"/>
        <w:jc w:val="both"/>
        <w:rPr>
          <w:color w:val="0D0D0D" w:themeColor="text1" w:themeTint="F2"/>
        </w:rPr>
      </w:pPr>
      <w:r w:rsidRPr="00B65777">
        <w:rPr>
          <w:color w:val="0D0D0D" w:themeColor="text1" w:themeTint="F2"/>
        </w:rPr>
        <w:t>Yönetmeliğin 21 inci maddesi çerçevesinde, yerli üreticiler Depar Deri Plastik San. ve Tic. A.Ş. ve Doğuş Suni Deri Kösele San. ve Tic. A.Ş. nezdinde çevrim içi doğrulama gerçekleştirilmiştir.</w:t>
      </w:r>
    </w:p>
    <w:p w:rsidR="00282DFA" w:rsidRPr="00C42757" w:rsidRDefault="00282DFA" w:rsidP="00C42757">
      <w:pPr>
        <w:jc w:val="right"/>
        <w:rPr>
          <w:lang w:eastAsia="tr-TR"/>
        </w:rPr>
      </w:pPr>
    </w:p>
    <w:p w:rsidR="00282DFA" w:rsidRPr="00B65777" w:rsidRDefault="00282DFA" w:rsidP="00282DFA">
      <w:pPr>
        <w:pStyle w:val="Balk1"/>
        <w:numPr>
          <w:ilvl w:val="0"/>
          <w:numId w:val="2"/>
        </w:numPr>
        <w:spacing w:before="120" w:after="120" w:line="276" w:lineRule="auto"/>
        <w:rPr>
          <w:rFonts w:ascii="Times New Roman" w:hAnsi="Times New Roman" w:cs="Times New Roman"/>
          <w:color w:val="0D0D0D" w:themeColor="text1" w:themeTint="F2"/>
          <w:sz w:val="24"/>
          <w:szCs w:val="24"/>
        </w:rPr>
      </w:pPr>
      <w:r w:rsidRPr="00B65777">
        <w:rPr>
          <w:rFonts w:ascii="Times New Roman" w:hAnsi="Times New Roman" w:cs="Times New Roman"/>
          <w:color w:val="0D0D0D" w:themeColor="text1" w:themeTint="F2"/>
          <w:sz w:val="24"/>
          <w:szCs w:val="24"/>
        </w:rPr>
        <w:lastRenderedPageBreak/>
        <w:t>Soruşturma Konusu Ürün ve Benzer Ürün</w:t>
      </w:r>
    </w:p>
    <w:p w:rsidR="00282DFA" w:rsidRPr="00B65777" w:rsidRDefault="00282DFA" w:rsidP="00282DFA">
      <w:pPr>
        <w:pStyle w:val="Balk2"/>
        <w:numPr>
          <w:ilvl w:val="1"/>
          <w:numId w:val="2"/>
        </w:numPr>
        <w:spacing w:before="120" w:after="120" w:line="276" w:lineRule="auto"/>
        <w:ind w:left="426"/>
        <w:rPr>
          <w:rFonts w:cs="Times New Roman"/>
          <w:color w:val="0D0D0D" w:themeColor="text1" w:themeTint="F2"/>
          <w:szCs w:val="24"/>
        </w:rPr>
      </w:pPr>
      <w:r w:rsidRPr="00B65777">
        <w:rPr>
          <w:rFonts w:cs="Times New Roman"/>
          <w:color w:val="0D0D0D" w:themeColor="text1" w:themeTint="F2"/>
          <w:szCs w:val="24"/>
        </w:rPr>
        <w:t>Soruşturma konusu ürün ve benzer ürün</w:t>
      </w:r>
    </w:p>
    <w:p w:rsidR="00282DFA" w:rsidRPr="006144AB" w:rsidRDefault="00282DFA" w:rsidP="00282DFA">
      <w:pPr>
        <w:pStyle w:val="ListeParagraf"/>
        <w:numPr>
          <w:ilvl w:val="0"/>
          <w:numId w:val="6"/>
        </w:numPr>
        <w:spacing w:before="120" w:after="120"/>
        <w:ind w:firstLine="0"/>
        <w:contextualSpacing w:val="0"/>
        <w:jc w:val="both"/>
        <w:rPr>
          <w:rFonts w:ascii="Times New Roman" w:hAnsi="Times New Roman" w:cs="Times New Roman"/>
          <w:color w:val="0D0D0D" w:themeColor="text1" w:themeTint="F2"/>
          <w:sz w:val="24"/>
          <w:szCs w:val="24"/>
          <w:lang w:eastAsia="tr-TR"/>
        </w:rPr>
      </w:pPr>
      <w:r w:rsidRPr="006144AB">
        <w:rPr>
          <w:rFonts w:ascii="Times New Roman" w:hAnsi="Times New Roman" w:cs="Times New Roman"/>
          <w:color w:val="0D0D0D" w:themeColor="text1" w:themeTint="F2"/>
          <w:sz w:val="24"/>
          <w:szCs w:val="24"/>
          <w:lang w:eastAsia="tr-TR"/>
        </w:rPr>
        <w:t xml:space="preserve">Soruşturma konusu ürün, 5603.14 GTP altında yer alan </w:t>
      </w:r>
      <w:r w:rsidRPr="005E7FED">
        <w:rPr>
          <w:rFonts w:ascii="Times New Roman" w:hAnsi="Times New Roman" w:cs="Times New Roman"/>
          <w:sz w:val="24"/>
          <w:szCs w:val="24"/>
          <w:lang w:eastAsia="tr-TR"/>
        </w:rPr>
        <w:t>“</w:t>
      </w:r>
      <w:r w:rsidR="00D523A4" w:rsidRPr="00B65777">
        <w:rPr>
          <w:rFonts w:ascii="Times New Roman" w:eastAsia="Times New Roman" w:hAnsi="Times New Roman" w:cs="Times New Roman"/>
          <w:sz w:val="24"/>
          <w:szCs w:val="24"/>
          <w:lang w:eastAsia="tr-TR"/>
        </w:rPr>
        <w:t>Yalnız, poliüretanla kaplanmış, sıvanmış veya lamine edilmiş dokumaya elverişli suni ve sentetik liflerden m</w:t>
      </w:r>
      <w:r w:rsidR="00D523A4" w:rsidRPr="00B65777">
        <w:rPr>
          <w:rFonts w:ascii="Times New Roman" w:eastAsia="Times New Roman" w:hAnsi="Times New Roman" w:cs="Times New Roman"/>
          <w:sz w:val="24"/>
          <w:szCs w:val="24"/>
          <w:vertAlign w:val="superscript"/>
          <w:lang w:eastAsia="tr-TR"/>
        </w:rPr>
        <w:t>2</w:t>
      </w:r>
      <w:r w:rsidR="00D523A4" w:rsidRPr="00B65777">
        <w:rPr>
          <w:rFonts w:ascii="Times New Roman" w:eastAsia="Times New Roman" w:hAnsi="Times New Roman" w:cs="Times New Roman"/>
          <w:sz w:val="24"/>
          <w:szCs w:val="24"/>
          <w:lang w:eastAsia="tr-TR"/>
        </w:rPr>
        <w:t xml:space="preserve"> ağırlığı 150 gr’ı geçen dokunmamış mensucat</w:t>
      </w:r>
      <w:r w:rsidRPr="005E7FED">
        <w:rPr>
          <w:rFonts w:ascii="Times New Roman" w:hAnsi="Times New Roman" w:cs="Times New Roman"/>
          <w:sz w:val="24"/>
          <w:szCs w:val="24"/>
          <w:lang w:eastAsia="tr-TR"/>
        </w:rPr>
        <w:t>”</w:t>
      </w:r>
      <w:r w:rsidRPr="006144AB">
        <w:rPr>
          <w:rFonts w:ascii="Times New Roman" w:hAnsi="Times New Roman" w:cs="Times New Roman"/>
          <w:color w:val="0D0D0D" w:themeColor="text1" w:themeTint="F2"/>
          <w:sz w:val="24"/>
          <w:szCs w:val="24"/>
          <w:lang w:eastAsia="tr-TR"/>
        </w:rPr>
        <w:t xml:space="preserve"> ve 3921.13 GTP altında yer alan “Dokumaya elverişli maddelerden mesnedi bulunan, m</w:t>
      </w:r>
      <w:r w:rsidRPr="006144AB">
        <w:rPr>
          <w:rFonts w:ascii="Times New Roman" w:hAnsi="Times New Roman" w:cs="Times New Roman"/>
          <w:color w:val="0D0D0D" w:themeColor="text1" w:themeTint="F2"/>
          <w:sz w:val="24"/>
          <w:szCs w:val="24"/>
          <w:vertAlign w:val="superscript"/>
          <w:lang w:eastAsia="tr-TR"/>
        </w:rPr>
        <w:t xml:space="preserve">2 </w:t>
      </w:r>
      <w:r w:rsidRPr="006144AB">
        <w:rPr>
          <w:rFonts w:ascii="Times New Roman" w:hAnsi="Times New Roman" w:cs="Times New Roman"/>
          <w:color w:val="0D0D0D" w:themeColor="text1" w:themeTint="F2"/>
          <w:sz w:val="24"/>
          <w:szCs w:val="24"/>
          <w:lang w:eastAsia="tr-TR"/>
        </w:rPr>
        <w:t xml:space="preserve">ağırlığı 150 gr’ı geçen deri taklitleri” olup anılan ürünler “koagüle suni deri” olarak da bilinmektedir. </w:t>
      </w:r>
    </w:p>
    <w:p w:rsidR="00282DFA" w:rsidRPr="006144AB" w:rsidRDefault="00282DFA" w:rsidP="00282DFA">
      <w:pPr>
        <w:pStyle w:val="ListeParagraf"/>
        <w:numPr>
          <w:ilvl w:val="0"/>
          <w:numId w:val="6"/>
        </w:numPr>
        <w:spacing w:before="120" w:after="120"/>
        <w:ind w:firstLine="0"/>
        <w:contextualSpacing w:val="0"/>
        <w:jc w:val="both"/>
        <w:rPr>
          <w:rFonts w:ascii="Times New Roman" w:hAnsi="Times New Roman" w:cs="Times New Roman"/>
          <w:color w:val="0D0D0D" w:themeColor="text1" w:themeTint="F2"/>
          <w:sz w:val="24"/>
          <w:szCs w:val="24"/>
          <w:lang w:eastAsia="tr-TR"/>
        </w:rPr>
      </w:pPr>
      <w:r w:rsidRPr="006144AB">
        <w:rPr>
          <w:rFonts w:ascii="Times New Roman" w:hAnsi="Times New Roman" w:cs="Times New Roman"/>
          <w:color w:val="0D0D0D" w:themeColor="text1" w:themeTint="F2"/>
          <w:sz w:val="24"/>
          <w:szCs w:val="24"/>
          <w:lang w:eastAsia="tr-TR"/>
        </w:rPr>
        <w:t>Aşınmaya dayanıklılık, hava geçirme, dikilebilme ve yapıştırılabilme özellikleri dolayısıyla koagüle ile üretilen suni deriler, doğal deriye çok yakın özelliklere sahip olduklarından dolayı ayakkabı sanayiinde ayakkabı sayası olarak, saraciye sektöründe çanta ve valiz imalinde, mobilya ve otomotiv sektörlerinde döşeme malzemesi olarak çok yaygın bir şekilde kullanılmaktadır. Bunun yanında, ince ve yumuşak koagülelerle imal edilen suni derilerin konfeksiyon sanayiinde kullanımı da giderek artmaktadır.</w:t>
      </w:r>
    </w:p>
    <w:p w:rsidR="00282DFA" w:rsidRPr="006144AB" w:rsidRDefault="00282DFA" w:rsidP="00282DFA">
      <w:pPr>
        <w:pStyle w:val="ListeParagraf"/>
        <w:numPr>
          <w:ilvl w:val="0"/>
          <w:numId w:val="6"/>
        </w:numPr>
        <w:spacing w:before="120" w:after="120"/>
        <w:ind w:firstLine="0"/>
        <w:contextualSpacing w:val="0"/>
        <w:jc w:val="both"/>
        <w:rPr>
          <w:rFonts w:ascii="Times New Roman" w:hAnsi="Times New Roman" w:cs="Times New Roman"/>
          <w:color w:val="0D0D0D" w:themeColor="text1" w:themeTint="F2"/>
          <w:sz w:val="24"/>
          <w:szCs w:val="24"/>
          <w:lang w:eastAsia="tr-TR"/>
        </w:rPr>
      </w:pPr>
      <w:r w:rsidRPr="006144AB">
        <w:rPr>
          <w:rFonts w:ascii="Times New Roman" w:hAnsi="Times New Roman" w:cs="Times New Roman"/>
          <w:color w:val="0D0D0D" w:themeColor="text1" w:themeTint="F2"/>
          <w:sz w:val="24"/>
          <w:szCs w:val="24"/>
          <w:lang w:eastAsia="tr-TR"/>
        </w:rPr>
        <w:t>Şikâyete konu olan ürün, dokunmamış mensucatın üzerine poliüretan kaplanması suretiyle elde edilen bir çeşit sentetik kumaş olup suni deri üretiminde takviye malzemesi olarak kullanılmaktadır. Koagüle suni deri üretiminde, öncelikle üretilecek ürünün kalitesine bağlı olarak uygun formülasyonda karışım kazanlarda hazırlanmakta ve yine üretilecek ürünün kalitesi ve kullanım yerine göre uygun bez, keçe, tela veya dokunmamış (nonwoven) kumaş seçilmektedir. Koagüle makinesinde bu taşıyıcı zeminlerin üzerine hazırlanan karışım sıvama veya daldırma yöntemi ile temas ettirilmekte, sonrasında üzeri hamurlu taşıyıcı zemin koagüle banyosuna alınarak, burada hamurun taşıyıcı zemin üzerinde pıhtılaşması sağlanmaktadır. Sonraki aşamada, pıhtılaşma ile oluşan cildin yıkama banyolarında iyice yıkanarak içerdiği solventten arınması söz konusudur. Ürün kuruduktan sonra, istenen görünümü elde etmek için çeşitli aşamalardan geçmektedir. Bu aşamalar; zımpara makinesi, gofraj makinesi ya da sıvama hattı olabilmektedir. Ürün bu aşamaların birinde işlem görebileceği gibi bir kaçında da işlem görebilir.</w:t>
      </w:r>
    </w:p>
    <w:p w:rsidR="00282DFA" w:rsidRPr="006144AB" w:rsidRDefault="00282DFA" w:rsidP="00282DFA">
      <w:pPr>
        <w:pStyle w:val="ListeParagraf"/>
        <w:numPr>
          <w:ilvl w:val="0"/>
          <w:numId w:val="6"/>
        </w:numPr>
        <w:spacing w:before="120" w:after="120"/>
        <w:ind w:firstLine="0"/>
        <w:contextualSpacing w:val="0"/>
        <w:jc w:val="both"/>
        <w:rPr>
          <w:rFonts w:ascii="Times New Roman" w:hAnsi="Times New Roman" w:cs="Times New Roman"/>
          <w:color w:val="0D0D0D" w:themeColor="text1" w:themeTint="F2"/>
          <w:sz w:val="24"/>
          <w:szCs w:val="24"/>
          <w:lang w:eastAsia="tr-TR"/>
        </w:rPr>
      </w:pPr>
      <w:r w:rsidRPr="006144AB">
        <w:rPr>
          <w:rFonts w:ascii="Times New Roman" w:hAnsi="Times New Roman" w:cs="Times New Roman"/>
          <w:color w:val="0D0D0D" w:themeColor="text1" w:themeTint="F2"/>
          <w:sz w:val="24"/>
          <w:szCs w:val="24"/>
          <w:lang w:eastAsia="tr-TR"/>
        </w:rPr>
        <w:t>Yapılan başvuruda, yerli üretim dalı tarafından üretilen ürün ile soruşturma konusu ithal ürün arasında teknik ve fiziki özellikler ile ürünün temel kullanım alanları bakımından bir fark bulunmadığı belirtilmiştir. Bu nedenle, Yönetmeliğin 4 üncü maddesi çerçevesinde, soruşturma konusu ürün ile yerli üretim dalı tarafından üretilen ürününün esas soruşturmada ve daha önceki nihai gözden geçirme soruşturmasında yapılan benzer ürün olarak kabul edilebileceği tespiti geçerliliğini korumaktadır.</w:t>
      </w:r>
    </w:p>
    <w:p w:rsidR="00282DFA" w:rsidRPr="006144AB" w:rsidRDefault="00282DFA" w:rsidP="00282DFA">
      <w:pPr>
        <w:pStyle w:val="ListeParagraf"/>
        <w:numPr>
          <w:ilvl w:val="0"/>
          <w:numId w:val="6"/>
        </w:numPr>
        <w:spacing w:before="120" w:after="120"/>
        <w:ind w:firstLine="0"/>
        <w:contextualSpacing w:val="0"/>
        <w:jc w:val="both"/>
        <w:rPr>
          <w:rFonts w:ascii="Times New Roman" w:hAnsi="Times New Roman" w:cs="Times New Roman"/>
          <w:color w:val="0D0D0D" w:themeColor="text1" w:themeTint="F2"/>
          <w:sz w:val="24"/>
          <w:szCs w:val="24"/>
        </w:rPr>
      </w:pPr>
      <w:r w:rsidRPr="006144AB">
        <w:rPr>
          <w:rFonts w:ascii="Times New Roman" w:hAnsi="Times New Roman" w:cs="Times New Roman"/>
          <w:color w:val="0D0D0D" w:themeColor="text1" w:themeTint="F2"/>
          <w:sz w:val="24"/>
          <w:szCs w:val="24"/>
        </w:rPr>
        <w:t>Soruşturma konusu ürün ve benzer ürün ile ilgili açıklamalar bağlayıcı nitelikte olmayıp genel içerikli ve bilgi amaçlıdır.</w:t>
      </w:r>
    </w:p>
    <w:p w:rsidR="00282DFA" w:rsidRPr="00B65777" w:rsidRDefault="00282DFA" w:rsidP="00282DFA">
      <w:pPr>
        <w:pStyle w:val="Balk2"/>
        <w:numPr>
          <w:ilvl w:val="1"/>
          <w:numId w:val="2"/>
        </w:numPr>
        <w:spacing w:before="120" w:after="120" w:line="276" w:lineRule="auto"/>
        <w:ind w:left="426"/>
        <w:rPr>
          <w:rFonts w:cs="Times New Roman"/>
          <w:color w:val="0D0D0D" w:themeColor="text1" w:themeTint="F2"/>
          <w:szCs w:val="24"/>
        </w:rPr>
      </w:pPr>
      <w:bookmarkStart w:id="4" w:name="_Toc519505558"/>
      <w:r w:rsidRPr="00B65777">
        <w:rPr>
          <w:rFonts w:cs="Times New Roman"/>
          <w:color w:val="0D0D0D" w:themeColor="text1" w:themeTint="F2"/>
          <w:szCs w:val="24"/>
        </w:rPr>
        <w:t xml:space="preserve">Ürünün İthalinde Uygulanan </w:t>
      </w:r>
      <w:bookmarkEnd w:id="4"/>
      <w:r w:rsidRPr="00B65777">
        <w:rPr>
          <w:rFonts w:cs="Times New Roman"/>
          <w:color w:val="0D0D0D" w:themeColor="text1" w:themeTint="F2"/>
          <w:szCs w:val="24"/>
        </w:rPr>
        <w:t>Vergi Oranları ve Diğer Yükümlülükler</w:t>
      </w:r>
    </w:p>
    <w:p w:rsidR="00282DFA" w:rsidRPr="00B65777" w:rsidRDefault="00282DFA" w:rsidP="00282DFA">
      <w:pPr>
        <w:pStyle w:val="GvdeMetniGirintisi2"/>
        <w:numPr>
          <w:ilvl w:val="0"/>
          <w:numId w:val="11"/>
        </w:numPr>
        <w:spacing w:before="120" w:after="120" w:line="276" w:lineRule="auto"/>
        <w:ind w:firstLine="0"/>
        <w:rPr>
          <w:color w:val="0D0D0D" w:themeColor="text1" w:themeTint="F2"/>
        </w:rPr>
      </w:pPr>
      <w:r w:rsidRPr="00B65777">
        <w:rPr>
          <w:color w:val="0D0D0D" w:themeColor="text1" w:themeTint="F2"/>
        </w:rPr>
        <w:t>Soruşturma konusu ürün için meri İthalat Rejimi Kararı çerçevesinde ÇHC menşeli 5603.14 GTP altında yer alan ürünler için % 4,3; 3921.13 GTP altında yer alan ürünler için % 6,5 oranında gümrük vergisi ve söz konusu ürünlere yönelik % 8 - %18 katma değer vergisi uygulanmaktadır.</w:t>
      </w:r>
    </w:p>
    <w:p w:rsidR="00282DFA" w:rsidRPr="00B65777" w:rsidRDefault="00282DFA" w:rsidP="00282DFA">
      <w:pPr>
        <w:pStyle w:val="GvdeMetniGirintisi2"/>
        <w:numPr>
          <w:ilvl w:val="0"/>
          <w:numId w:val="11"/>
        </w:numPr>
        <w:spacing w:before="120" w:after="120" w:line="276" w:lineRule="auto"/>
        <w:ind w:firstLine="0"/>
        <w:rPr>
          <w:noProof/>
          <w:color w:val="0D0D0D" w:themeColor="text1" w:themeTint="F2"/>
          <w:lang w:eastAsia="tr-TR"/>
        </w:rPr>
      </w:pPr>
      <w:r w:rsidRPr="00B65777">
        <w:rPr>
          <w:bCs/>
        </w:rPr>
        <w:t xml:space="preserve">31/12/2020 tarihli ve 3351 sayılı Cumhurbaşkanı Kararı ile yürürlüğe konulan İthalatta İlave Gümrük Vergisi Uygulanmasına İlişkin Karar ile 5603.14 GTP altında (5603.14.90.00.13 </w:t>
      </w:r>
      <w:r w:rsidRPr="00B65777">
        <w:rPr>
          <w:bCs/>
        </w:rPr>
        <w:lastRenderedPageBreak/>
        <w:t>GTİP hariç) yer alan ÇHC menşeli ürünler için %20, 3921.13 GTP altında yer alan ÇHC menşeli ürünler için %10 İGV uygulanmaktadır.</w:t>
      </w:r>
    </w:p>
    <w:p w:rsidR="00282DFA" w:rsidRPr="00B65777" w:rsidRDefault="00282DFA" w:rsidP="00282DFA">
      <w:pPr>
        <w:pStyle w:val="GvdeMetniGirintisi2"/>
        <w:numPr>
          <w:ilvl w:val="0"/>
          <w:numId w:val="11"/>
        </w:numPr>
        <w:spacing w:before="120" w:after="120" w:line="276" w:lineRule="auto"/>
        <w:ind w:firstLine="0"/>
        <w:rPr>
          <w:noProof/>
          <w:color w:val="0D0D0D" w:themeColor="text1" w:themeTint="F2"/>
          <w:lang w:eastAsia="tr-TR"/>
        </w:rPr>
      </w:pPr>
      <w:r w:rsidRPr="00B65777">
        <w:rPr>
          <w:bCs/>
        </w:rPr>
        <w:t>Diğer taraftan, soruşturma konusu ürünlerin serbest dolaşıma girişinde gümrük beyannamelerinin tescilinde menşe ayrımı yapılmaksızın gümrük idarelerince "Kayıt Belgesi” aranmakta olup 25/12/2020 tarihli ve 31</w:t>
      </w:r>
      <w:r w:rsidR="006F43AE">
        <w:rPr>
          <w:bCs/>
        </w:rPr>
        <w:t>3</w:t>
      </w:r>
      <w:r w:rsidRPr="00B65777">
        <w:rPr>
          <w:bCs/>
        </w:rPr>
        <w:t xml:space="preserve">45 sayılı </w:t>
      </w:r>
      <w:r w:rsidRPr="00B65777">
        <w:rPr>
          <w:color w:val="0D0D0D" w:themeColor="text1" w:themeTint="F2"/>
        </w:rPr>
        <w:t xml:space="preserve">Resmî Gazete’de yayımlanan </w:t>
      </w:r>
      <w:r w:rsidRPr="00B65777">
        <w:rPr>
          <w:bCs/>
        </w:rPr>
        <w:t xml:space="preserve">İthalatta Gözetim Uygulanmasına İlişkin Tebliğ (Tebliğ No: 2020/9) kapsamında gözetim uygulaması mevcuttur. </w:t>
      </w:r>
    </w:p>
    <w:p w:rsidR="00282DFA" w:rsidRPr="00B65777" w:rsidRDefault="00282DFA" w:rsidP="00282DFA">
      <w:pPr>
        <w:pStyle w:val="Balk1"/>
        <w:numPr>
          <w:ilvl w:val="0"/>
          <w:numId w:val="2"/>
        </w:numPr>
        <w:spacing w:before="120" w:after="120" w:line="276" w:lineRule="auto"/>
        <w:jc w:val="both"/>
        <w:rPr>
          <w:rFonts w:ascii="Times New Roman" w:hAnsi="Times New Roman" w:cs="Times New Roman"/>
          <w:color w:val="0D0D0D" w:themeColor="text1" w:themeTint="F2"/>
          <w:sz w:val="24"/>
          <w:szCs w:val="24"/>
        </w:rPr>
      </w:pPr>
      <w:r w:rsidRPr="00B65777">
        <w:rPr>
          <w:rFonts w:ascii="Times New Roman" w:hAnsi="Times New Roman" w:cs="Times New Roman"/>
          <w:color w:val="0D0D0D" w:themeColor="text1" w:themeTint="F2"/>
          <w:sz w:val="24"/>
          <w:szCs w:val="24"/>
        </w:rPr>
        <w:t>Dampingin Devamı veya Yeniden Meydana Gelmesi İhtimali</w:t>
      </w:r>
      <w:bookmarkStart w:id="5" w:name="_Toc317854285"/>
    </w:p>
    <w:p w:rsidR="00282DFA" w:rsidRPr="00B65777" w:rsidRDefault="00282DFA" w:rsidP="00282DFA">
      <w:pPr>
        <w:pStyle w:val="Balk2"/>
        <w:numPr>
          <w:ilvl w:val="1"/>
          <w:numId w:val="2"/>
        </w:numPr>
        <w:spacing w:before="120" w:after="120" w:line="276" w:lineRule="auto"/>
        <w:ind w:left="426"/>
        <w:rPr>
          <w:rFonts w:cs="Times New Roman"/>
          <w:color w:val="0D0D0D" w:themeColor="text1" w:themeTint="F2"/>
          <w:szCs w:val="24"/>
        </w:rPr>
      </w:pPr>
      <w:r w:rsidRPr="00B65777">
        <w:rPr>
          <w:rFonts w:cs="Times New Roman"/>
          <w:color w:val="0D0D0D" w:themeColor="text1" w:themeTint="F2"/>
          <w:szCs w:val="24"/>
        </w:rPr>
        <w:t>Genel Açıklamalar</w:t>
      </w:r>
    </w:p>
    <w:p w:rsidR="00282DFA" w:rsidRPr="00B65777" w:rsidRDefault="00282DFA" w:rsidP="00282DFA">
      <w:pPr>
        <w:pStyle w:val="Default"/>
        <w:numPr>
          <w:ilvl w:val="0"/>
          <w:numId w:val="7"/>
        </w:numPr>
        <w:spacing w:before="120" w:after="120" w:line="276" w:lineRule="auto"/>
        <w:ind w:firstLine="0"/>
        <w:jc w:val="both"/>
        <w:rPr>
          <w:b/>
          <w:color w:val="0D0D0D" w:themeColor="text1" w:themeTint="F2"/>
        </w:rPr>
      </w:pPr>
      <w:r w:rsidRPr="00B65777">
        <w:rPr>
          <w:bCs/>
          <w:color w:val="0D0D0D" w:themeColor="text1" w:themeTint="F2"/>
        </w:rPr>
        <w:t xml:space="preserve">Yönetmeliğin 35 inci maddesi çerçevesinde, önlemlerin yürürlükten kalkması halinde soruşturma konusu ülke kaynaklı dampingin devam etmesinin veya yeniden meydana gelmesinin muhtemel olup olmadığı incelenmiştir. </w:t>
      </w:r>
    </w:p>
    <w:p w:rsidR="00282DFA" w:rsidRPr="00B65777" w:rsidRDefault="00282DFA" w:rsidP="00282DFA">
      <w:pPr>
        <w:pStyle w:val="Balk2"/>
        <w:rPr>
          <w:rFonts w:cs="Times New Roman"/>
          <w:bCs/>
          <w:color w:val="0D0D0D" w:themeColor="text1" w:themeTint="F2"/>
          <w:szCs w:val="24"/>
        </w:rPr>
      </w:pPr>
      <w:r w:rsidRPr="00B65777">
        <w:rPr>
          <w:rFonts w:cs="Times New Roman"/>
          <w:color w:val="0D0D0D" w:themeColor="text1" w:themeTint="F2"/>
          <w:szCs w:val="24"/>
        </w:rPr>
        <w:t>3.2. Dampingin Devam Edip Etmediği</w:t>
      </w:r>
    </w:p>
    <w:p w:rsidR="00282DFA" w:rsidRPr="006144AB" w:rsidRDefault="00282DFA" w:rsidP="00282DFA">
      <w:pPr>
        <w:spacing w:before="120" w:after="120"/>
        <w:jc w:val="both"/>
        <w:rPr>
          <w:rFonts w:ascii="Times New Roman" w:hAnsi="Times New Roman" w:cs="Times New Roman"/>
          <w:color w:val="0D0D0D" w:themeColor="text1" w:themeTint="F2"/>
          <w:sz w:val="24"/>
          <w:szCs w:val="24"/>
        </w:rPr>
      </w:pPr>
      <w:r w:rsidRPr="006144AB">
        <w:rPr>
          <w:rFonts w:ascii="Times New Roman" w:hAnsi="Times New Roman" w:cs="Times New Roman"/>
          <w:bCs/>
          <w:color w:val="0D0D0D" w:themeColor="text1" w:themeTint="F2"/>
          <w:sz w:val="24"/>
          <w:szCs w:val="24"/>
        </w:rPr>
        <w:t>(1) ÇHC’de yerleşik firmalardan işbirliğinde bulunan olmamıştır. Yönetmeliğin 26 ncı maddesi hükümlerince, ilgili taraflardan birinin, verilen süreler içinde gerekli bilgiyi sağlamaması ya da bu bilgiye ulaşılmasını reddetmesi veya soruşturmayı engellediğinin anlaşılması veya yanlış ya da yanıltıcı bilgi vermesi hallerinde söz konusu taraf işbirliğine gelmemiş addedilir. Bu durumda geçici veya nihai belirlemeler, olumlu ya da olumsuz, mevcut verilere göre yapılabilir. Bu kapsamda, ÇHC’de yerleşik üretici/ihracatçı firmaların işbirliğinde bulunmaması üzerine, damping marjı Yönetmeliğin 26 ncı maddesi uyarınca mevcut veriler kullanılarak hesaplanmıştır.</w:t>
      </w:r>
    </w:p>
    <w:p w:rsidR="00282DFA" w:rsidRPr="00B65777" w:rsidRDefault="00282DFA" w:rsidP="00282DFA">
      <w:pPr>
        <w:pStyle w:val="Default"/>
        <w:spacing w:before="120" w:after="120" w:line="276" w:lineRule="auto"/>
        <w:jc w:val="both"/>
        <w:rPr>
          <w:b/>
          <w:bCs/>
          <w:i/>
          <w:color w:val="0D0D0D" w:themeColor="text1" w:themeTint="F2"/>
        </w:rPr>
      </w:pPr>
      <w:r w:rsidRPr="00B65777">
        <w:rPr>
          <w:b/>
          <w:bCs/>
          <w:i/>
          <w:color w:val="0D0D0D" w:themeColor="text1" w:themeTint="F2"/>
        </w:rPr>
        <w:t>3.2.1. Normal değerin belirlenmesi</w:t>
      </w:r>
    </w:p>
    <w:p w:rsidR="00282DFA" w:rsidRPr="006144AB" w:rsidRDefault="00282DFA" w:rsidP="00282DFA">
      <w:pPr>
        <w:autoSpaceDE w:val="0"/>
        <w:autoSpaceDN w:val="0"/>
        <w:adjustRightInd w:val="0"/>
        <w:jc w:val="both"/>
        <w:rPr>
          <w:rFonts w:ascii="Times New Roman" w:hAnsi="Times New Roman" w:cs="Times New Roman"/>
          <w:bCs/>
          <w:color w:val="0D0D0D" w:themeColor="text1" w:themeTint="F2"/>
          <w:sz w:val="24"/>
          <w:szCs w:val="24"/>
        </w:rPr>
      </w:pPr>
      <w:r w:rsidRPr="006144AB">
        <w:rPr>
          <w:rFonts w:ascii="Times New Roman" w:hAnsi="Times New Roman" w:cs="Times New Roman"/>
          <w:bCs/>
          <w:color w:val="0D0D0D" w:themeColor="text1" w:themeTint="F2"/>
          <w:sz w:val="24"/>
          <w:szCs w:val="24"/>
        </w:rPr>
        <w:t>(1) Bu çerçevede, Yönetmeliğin 7 nci maddesi uyarıca, Türkiye’de benzer malın birim imalat maliyetine genel, idari ve satış giderleri ile makul bir kar eklenerek normal değer hesaplanmıştır.</w:t>
      </w:r>
    </w:p>
    <w:p w:rsidR="00282DFA" w:rsidRPr="00B65777" w:rsidRDefault="00282DFA" w:rsidP="00282DFA">
      <w:pPr>
        <w:pStyle w:val="Default"/>
        <w:spacing w:before="120" w:after="120" w:line="276" w:lineRule="auto"/>
        <w:jc w:val="both"/>
        <w:outlineLvl w:val="3"/>
        <w:rPr>
          <w:b/>
          <w:bCs/>
          <w:i/>
          <w:color w:val="0D0D0D" w:themeColor="text1" w:themeTint="F2"/>
        </w:rPr>
      </w:pPr>
      <w:r w:rsidRPr="00B65777">
        <w:rPr>
          <w:b/>
          <w:bCs/>
          <w:i/>
          <w:color w:val="0D0D0D" w:themeColor="text1" w:themeTint="F2"/>
        </w:rPr>
        <w:t>3.2.2. İhraç fiyatının belirlenmesi</w:t>
      </w:r>
    </w:p>
    <w:p w:rsidR="00282DFA" w:rsidRPr="006144AB" w:rsidRDefault="00282DFA" w:rsidP="00282DFA">
      <w:pPr>
        <w:spacing w:before="120" w:after="120"/>
        <w:jc w:val="both"/>
        <w:rPr>
          <w:rFonts w:ascii="Times New Roman" w:hAnsi="Times New Roman" w:cs="Times New Roman"/>
          <w:b/>
          <w:bCs/>
          <w:color w:val="0D0D0D" w:themeColor="text1" w:themeTint="F2"/>
          <w:sz w:val="24"/>
          <w:szCs w:val="24"/>
        </w:rPr>
      </w:pPr>
      <w:r w:rsidRPr="006144AB">
        <w:rPr>
          <w:rFonts w:ascii="Times New Roman" w:hAnsi="Times New Roman" w:cs="Times New Roman"/>
          <w:bCs/>
          <w:color w:val="0D0D0D" w:themeColor="text1" w:themeTint="F2"/>
          <w:sz w:val="24"/>
          <w:szCs w:val="24"/>
        </w:rPr>
        <w:t xml:space="preserve">(1) </w:t>
      </w:r>
      <w:r w:rsidRPr="006144AB">
        <w:rPr>
          <w:rFonts w:ascii="Times New Roman" w:hAnsi="Times New Roman" w:cs="Times New Roman"/>
          <w:color w:val="0D0D0D" w:themeColor="text1" w:themeTint="F2"/>
          <w:sz w:val="24"/>
          <w:szCs w:val="24"/>
        </w:rPr>
        <w:t>TÜİK verileri esas alınarak, 2019 yılı için başvuruda beyan edilen ÇHC menşeli ürüne ait faturadan elde edilen Türkiye’ye gerçekleştirilen ihracatın FOB birim fiyatı üzerine navlun ve sigorta bedelleri eklenerek ortalama CIF birim fiyatı elde edilmiş ve oluşan değer ihraç fiyatı olarak kabul edilmiştir.</w:t>
      </w:r>
    </w:p>
    <w:p w:rsidR="00282DFA" w:rsidRPr="00B65777" w:rsidRDefault="00282DFA" w:rsidP="00282DFA">
      <w:pPr>
        <w:pStyle w:val="Default"/>
        <w:spacing w:before="120" w:after="120" w:line="276" w:lineRule="auto"/>
        <w:jc w:val="both"/>
        <w:outlineLvl w:val="3"/>
        <w:rPr>
          <w:b/>
          <w:bCs/>
          <w:i/>
          <w:color w:val="0D0D0D" w:themeColor="text1" w:themeTint="F2"/>
        </w:rPr>
      </w:pPr>
      <w:r w:rsidRPr="00B65777">
        <w:rPr>
          <w:b/>
          <w:bCs/>
          <w:i/>
          <w:color w:val="0D0D0D" w:themeColor="text1" w:themeTint="F2"/>
        </w:rPr>
        <w:t>3.2.3. Fiyat karşılaştırması</w:t>
      </w:r>
    </w:p>
    <w:p w:rsidR="00282DFA" w:rsidRPr="006144AB" w:rsidRDefault="00282DFA" w:rsidP="00282DFA">
      <w:pPr>
        <w:spacing w:before="120" w:after="120"/>
        <w:jc w:val="both"/>
        <w:rPr>
          <w:rFonts w:ascii="Times New Roman" w:hAnsi="Times New Roman" w:cs="Times New Roman"/>
          <w:b/>
          <w:bCs/>
          <w:color w:val="0D0D0D" w:themeColor="text1" w:themeTint="F2"/>
          <w:sz w:val="24"/>
          <w:szCs w:val="24"/>
        </w:rPr>
      </w:pPr>
      <w:r w:rsidRPr="006144AB">
        <w:rPr>
          <w:rFonts w:ascii="Times New Roman" w:hAnsi="Times New Roman" w:cs="Times New Roman"/>
          <w:bCs/>
          <w:color w:val="0D0D0D" w:themeColor="text1" w:themeTint="F2"/>
          <w:sz w:val="24"/>
          <w:szCs w:val="24"/>
        </w:rPr>
        <w:t>(1) Adil bir karşılaştırmanın yapılabilmesini teminen, normal değer ile ihraç fiyatı mümkün olduğu ölçüde fabrika çıkış aşamasına getirilerek aynı ticari aşamada karşılaştırılmıştır.</w:t>
      </w:r>
    </w:p>
    <w:p w:rsidR="00282DFA" w:rsidRPr="00B65777" w:rsidRDefault="00282DFA" w:rsidP="00282DFA">
      <w:pPr>
        <w:pStyle w:val="Default"/>
        <w:spacing w:before="120" w:after="120" w:line="276" w:lineRule="auto"/>
        <w:jc w:val="both"/>
        <w:outlineLvl w:val="3"/>
        <w:rPr>
          <w:b/>
          <w:bCs/>
          <w:i/>
          <w:color w:val="0D0D0D" w:themeColor="text1" w:themeTint="F2"/>
        </w:rPr>
      </w:pPr>
      <w:r w:rsidRPr="00B65777">
        <w:rPr>
          <w:b/>
          <w:bCs/>
          <w:i/>
          <w:color w:val="0D0D0D" w:themeColor="text1" w:themeTint="F2"/>
        </w:rPr>
        <w:t>3.2.4. Tespit edilen damping marjı</w:t>
      </w:r>
    </w:p>
    <w:p w:rsidR="00282DFA" w:rsidRPr="006144AB" w:rsidRDefault="00282DFA" w:rsidP="00282DFA">
      <w:pPr>
        <w:spacing w:before="120" w:after="120"/>
        <w:jc w:val="both"/>
        <w:rPr>
          <w:rFonts w:ascii="Times New Roman" w:hAnsi="Times New Roman" w:cs="Times New Roman"/>
          <w:bCs/>
          <w:color w:val="0D0D0D" w:themeColor="text1" w:themeTint="F2"/>
          <w:sz w:val="24"/>
          <w:szCs w:val="24"/>
        </w:rPr>
      </w:pPr>
      <w:r w:rsidRPr="006144AB">
        <w:rPr>
          <w:rFonts w:ascii="Times New Roman" w:hAnsi="Times New Roman" w:cs="Times New Roman"/>
          <w:bCs/>
          <w:color w:val="0D0D0D" w:themeColor="text1" w:themeTint="F2"/>
          <w:sz w:val="24"/>
          <w:szCs w:val="24"/>
        </w:rPr>
        <w:t>(1) Yönetmeliğin 11 inci maddesi çerçevesinde damping marjı, normal değer ile ihraç fiyatının ağırlıklı ortalamasının karşılaştırılması suretiyle hesaplanmıştır. Buna göre, mevcut verilere göre yapılan hesaplamalar sonucunda ÇHC için mutlak olarak 1,74 ABD doları/kg, nispî olarak ise CIF değerin %50,5’i oranında damping marjı tespit edilmiştir</w:t>
      </w:r>
    </w:p>
    <w:p w:rsidR="00282DFA" w:rsidRPr="00B65777" w:rsidRDefault="00282DFA" w:rsidP="00282DFA">
      <w:pPr>
        <w:pStyle w:val="Balk2"/>
        <w:rPr>
          <w:rFonts w:cs="Times New Roman"/>
          <w:color w:val="0D0D0D" w:themeColor="text1" w:themeTint="F2"/>
          <w:szCs w:val="24"/>
        </w:rPr>
      </w:pPr>
      <w:r w:rsidRPr="00B65777">
        <w:rPr>
          <w:rFonts w:cs="Times New Roman"/>
          <w:color w:val="0D0D0D" w:themeColor="text1" w:themeTint="F2"/>
          <w:szCs w:val="24"/>
        </w:rPr>
        <w:lastRenderedPageBreak/>
        <w:t>3.3. Dampingin Yeniden Meydana Gelmesi İhtimali</w:t>
      </w:r>
    </w:p>
    <w:p w:rsidR="00282DFA" w:rsidRPr="006144AB" w:rsidRDefault="00282DFA" w:rsidP="00282DFA">
      <w:pPr>
        <w:spacing w:before="120" w:after="120"/>
        <w:jc w:val="both"/>
        <w:rPr>
          <w:rFonts w:ascii="Times New Roman" w:hAnsi="Times New Roman" w:cs="Times New Roman"/>
          <w:sz w:val="24"/>
          <w:szCs w:val="24"/>
        </w:rPr>
      </w:pPr>
      <w:r w:rsidRPr="006144AB">
        <w:rPr>
          <w:rFonts w:ascii="Times New Roman" w:hAnsi="Times New Roman" w:cs="Times New Roman"/>
          <w:color w:val="0D0D0D" w:themeColor="text1" w:themeTint="F2"/>
          <w:sz w:val="24"/>
          <w:szCs w:val="24"/>
        </w:rPr>
        <w:t xml:space="preserve"> (1) </w:t>
      </w:r>
      <w:r w:rsidRPr="006144AB">
        <w:rPr>
          <w:rFonts w:ascii="Times New Roman" w:hAnsi="Times New Roman" w:cs="Times New Roman"/>
          <w:sz w:val="24"/>
          <w:szCs w:val="24"/>
        </w:rPr>
        <w:t xml:space="preserve">İhracatçı firmaların davranışlarını ve devam etmesi muhtemel olan dampingi göstermesi açısından soruşturma konusu ülkenin Türkiye’ye yönlendirebilecek üretim ve ihracat kapasitesi ile fiyatları, </w:t>
      </w:r>
      <w:r w:rsidRPr="006144AB">
        <w:rPr>
          <w:rFonts w:ascii="Times New Roman" w:hAnsi="Times New Roman" w:cs="Times New Roman"/>
          <w:bCs/>
          <w:color w:val="000000"/>
          <w:sz w:val="24"/>
          <w:szCs w:val="24"/>
        </w:rPr>
        <w:t>esas soruşturmada hesaplanan damping marjları ve diğer ülkeler tarafından uygulanmakta olan önlemler</w:t>
      </w:r>
      <w:r w:rsidRPr="006144AB">
        <w:rPr>
          <w:rFonts w:ascii="Times New Roman" w:hAnsi="Times New Roman" w:cs="Times New Roman"/>
          <w:sz w:val="24"/>
          <w:szCs w:val="24"/>
        </w:rPr>
        <w:t xml:space="preserve"> önem arz etmektedir. Soruşturma konusu ülkenin ihracat kabiliyeti Uluslararası Ticaret Merkezi (International Trade Center) verileri kapsamında incelenmiştir.</w:t>
      </w:r>
    </w:p>
    <w:p w:rsidR="00282DFA" w:rsidRPr="006144AB" w:rsidRDefault="00282DFA" w:rsidP="00282DFA">
      <w:pPr>
        <w:spacing w:before="120" w:after="120"/>
        <w:jc w:val="both"/>
        <w:rPr>
          <w:rFonts w:ascii="Times New Roman" w:hAnsi="Times New Roman" w:cs="Times New Roman"/>
          <w:b/>
          <w:i/>
          <w:color w:val="0D0D0D" w:themeColor="text1" w:themeTint="F2"/>
          <w:sz w:val="24"/>
          <w:szCs w:val="24"/>
        </w:rPr>
      </w:pPr>
      <w:r w:rsidRPr="006144AB">
        <w:rPr>
          <w:rFonts w:ascii="Times New Roman" w:hAnsi="Times New Roman" w:cs="Times New Roman"/>
          <w:b/>
          <w:i/>
          <w:color w:val="0D0D0D" w:themeColor="text1" w:themeTint="F2"/>
          <w:sz w:val="24"/>
          <w:szCs w:val="24"/>
        </w:rPr>
        <w:t>3.3.1 Soruşturma Konusu Ülkedeki İhracat Kabiliyeti ve İhraç Fiyatlarının Seyri</w:t>
      </w:r>
    </w:p>
    <w:p w:rsidR="00282DFA" w:rsidRPr="006144AB" w:rsidRDefault="00282DFA" w:rsidP="00282DFA">
      <w:pPr>
        <w:spacing w:before="120" w:after="120"/>
        <w:jc w:val="both"/>
        <w:rPr>
          <w:rFonts w:ascii="Times New Roman" w:hAnsi="Times New Roman" w:cs="Times New Roman"/>
          <w:b/>
          <w:color w:val="0D0D0D" w:themeColor="text1" w:themeTint="F2"/>
          <w:sz w:val="24"/>
          <w:szCs w:val="24"/>
        </w:rPr>
      </w:pPr>
      <w:r w:rsidRPr="006144AB">
        <w:rPr>
          <w:rFonts w:ascii="Times New Roman" w:hAnsi="Times New Roman" w:cs="Times New Roman"/>
          <w:color w:val="0D0D0D" w:themeColor="text1" w:themeTint="F2"/>
          <w:sz w:val="24"/>
          <w:szCs w:val="24"/>
        </w:rPr>
        <w:t xml:space="preserve">(1) 2017 yılında dünya ihracatı 429 bin ton iken 2018 ve 2019 yıllarında sırasıyla 456 bin ton ve 419 bin ton seviyesinde gerçekleşmiştir. Bahse konu ihracatın birim fiyatları 2017-2019 yıllarında sırasıyla 5.348 ABD doları/ton, 5.501 ABD doları/ton ve 5.884 ABD doları/ton seviyesinde gerçekleşerek yıllar itibarıyla artış göstermiştir. </w:t>
      </w:r>
    </w:p>
    <w:p w:rsidR="00282DFA" w:rsidRPr="006144AB" w:rsidRDefault="00282DFA" w:rsidP="00282DFA">
      <w:pPr>
        <w:spacing w:before="120" w:after="120"/>
        <w:jc w:val="both"/>
        <w:rPr>
          <w:rFonts w:ascii="Times New Roman" w:hAnsi="Times New Roman" w:cs="Times New Roman"/>
          <w:color w:val="0D0D0D" w:themeColor="text1" w:themeTint="F2"/>
          <w:sz w:val="24"/>
          <w:szCs w:val="24"/>
        </w:rPr>
      </w:pPr>
      <w:r w:rsidRPr="006144AB">
        <w:rPr>
          <w:rFonts w:ascii="Times New Roman" w:hAnsi="Times New Roman" w:cs="Times New Roman"/>
          <w:color w:val="0D0D0D" w:themeColor="text1" w:themeTint="F2"/>
          <w:sz w:val="24"/>
          <w:szCs w:val="24"/>
        </w:rPr>
        <w:t>(2) ÇHC’nin ihracatı 2017 yılında 53 bin ton, 2018 yılında 51 bin ton ve 2019 yılında 58 bin ton olurken, söz konusu ihracatın birim fiyatları sırasıyla 3.176 ABD doları/ton, 3.574 ABD doları/ton ve 3.724 ABD doları/ton olmuştur. Söz konusu ülkenin birim ihraç fiyatları 2017-2019 yıllarında dünya birim ihraç fiyatlarının oldukça altında seyretmiştir. ÇHC 2019 yılında %13,9 pay ile Almanya ve İtalya’dan sonra incelenen ürünün dünya ihracatında üçüncü sırada yer almaktadır.</w:t>
      </w:r>
    </w:p>
    <w:p w:rsidR="00282DFA" w:rsidRPr="006144AB" w:rsidRDefault="00282DFA" w:rsidP="00282DFA">
      <w:pPr>
        <w:spacing w:before="120" w:after="120"/>
        <w:jc w:val="both"/>
        <w:rPr>
          <w:rFonts w:ascii="Times New Roman" w:hAnsi="Times New Roman" w:cs="Times New Roman"/>
          <w:b/>
          <w:i/>
          <w:color w:val="0D0D0D" w:themeColor="text1" w:themeTint="F2"/>
          <w:sz w:val="24"/>
          <w:szCs w:val="24"/>
        </w:rPr>
      </w:pPr>
      <w:r w:rsidRPr="006144AB">
        <w:rPr>
          <w:rFonts w:ascii="Times New Roman" w:hAnsi="Times New Roman" w:cs="Times New Roman"/>
          <w:b/>
          <w:i/>
          <w:color w:val="0D0D0D" w:themeColor="text1" w:themeTint="F2"/>
          <w:sz w:val="24"/>
          <w:szCs w:val="24"/>
        </w:rPr>
        <w:t>3.3.2 Diğer Ülkeler Tarafından Uygulanmakta Olan Önlemler</w:t>
      </w:r>
    </w:p>
    <w:p w:rsidR="00282DFA" w:rsidRPr="006144AB" w:rsidRDefault="00282DFA" w:rsidP="00282DFA">
      <w:pPr>
        <w:tabs>
          <w:tab w:val="left" w:pos="360"/>
          <w:tab w:val="left" w:pos="540"/>
        </w:tabs>
        <w:jc w:val="both"/>
        <w:rPr>
          <w:rFonts w:ascii="Times New Roman" w:hAnsi="Times New Roman" w:cs="Times New Roman"/>
          <w:bCs/>
          <w:color w:val="0D0D0D"/>
          <w:sz w:val="24"/>
          <w:szCs w:val="24"/>
        </w:rPr>
      </w:pPr>
      <w:r w:rsidRPr="006144AB">
        <w:rPr>
          <w:rFonts w:ascii="Times New Roman" w:hAnsi="Times New Roman" w:cs="Times New Roman"/>
          <w:bCs/>
          <w:color w:val="0D0D0D"/>
          <w:sz w:val="24"/>
          <w:szCs w:val="24"/>
        </w:rPr>
        <w:t>(1) Soruşturma konusu üründe soruşturma konusu ülkelere diğer ülkeler tarafından uygulanan önlemler, ihracatçı firmaların davranışlarını ve muhtemel olan dampingli ithalatı göstermesi açısından önem taşımaktadır.</w:t>
      </w:r>
    </w:p>
    <w:p w:rsidR="00282DFA" w:rsidRPr="006144AB" w:rsidRDefault="00282DFA" w:rsidP="00282DFA">
      <w:pPr>
        <w:tabs>
          <w:tab w:val="left" w:pos="360"/>
          <w:tab w:val="left" w:pos="540"/>
        </w:tabs>
        <w:jc w:val="both"/>
        <w:rPr>
          <w:rFonts w:ascii="Times New Roman" w:hAnsi="Times New Roman" w:cs="Times New Roman"/>
          <w:bCs/>
          <w:color w:val="0D0D0D"/>
          <w:sz w:val="24"/>
          <w:szCs w:val="24"/>
        </w:rPr>
      </w:pPr>
      <w:r w:rsidRPr="006144AB">
        <w:rPr>
          <w:rFonts w:ascii="Times New Roman" w:hAnsi="Times New Roman" w:cs="Times New Roman"/>
          <w:bCs/>
          <w:color w:val="0D0D0D"/>
          <w:sz w:val="24"/>
          <w:szCs w:val="24"/>
        </w:rPr>
        <w:t>(2) Bu çerçevede, Brezilya tarafından 2016 yılında anılan ülkeye karşı damping soruşturması yürütülmüş ve önlemsiz kapatılmış, Hindistan tarafından ise anılan ürünün m</w:t>
      </w:r>
      <w:r w:rsidRPr="006144AB">
        <w:rPr>
          <w:rFonts w:ascii="Times New Roman" w:hAnsi="Times New Roman" w:cs="Times New Roman"/>
          <w:bCs/>
          <w:color w:val="0D0D0D"/>
          <w:sz w:val="24"/>
          <w:szCs w:val="24"/>
          <w:vertAlign w:val="superscript"/>
        </w:rPr>
        <w:t xml:space="preserve">2 </w:t>
      </w:r>
      <w:r w:rsidRPr="006144AB">
        <w:rPr>
          <w:rFonts w:ascii="Times New Roman" w:hAnsi="Times New Roman" w:cs="Times New Roman"/>
          <w:bCs/>
          <w:color w:val="0D0D0D"/>
          <w:sz w:val="24"/>
          <w:szCs w:val="24"/>
        </w:rPr>
        <w:t>ağırlığı 70 gr’ı geçen fakat 150 gr’ı geçmeyen olanlarına yönelik 2012-2016 yılları arasında damping önlemi uygulanmıştır.</w:t>
      </w:r>
      <w:r w:rsidRPr="006144AB">
        <w:rPr>
          <w:rStyle w:val="DipnotBavurusu"/>
          <w:rFonts w:ascii="Times New Roman" w:hAnsi="Times New Roman" w:cs="Times New Roman"/>
          <w:bCs/>
          <w:color w:val="0D0D0D"/>
          <w:sz w:val="24"/>
          <w:szCs w:val="24"/>
        </w:rPr>
        <w:footnoteReference w:id="1"/>
      </w:r>
    </w:p>
    <w:p w:rsidR="00282DFA" w:rsidRPr="006144AB" w:rsidRDefault="00282DFA" w:rsidP="00282DFA">
      <w:pPr>
        <w:tabs>
          <w:tab w:val="left" w:pos="360"/>
          <w:tab w:val="left" w:pos="540"/>
        </w:tabs>
        <w:jc w:val="both"/>
        <w:rPr>
          <w:rFonts w:ascii="Times New Roman" w:hAnsi="Times New Roman" w:cs="Times New Roman"/>
          <w:b/>
          <w:bCs/>
          <w:i/>
          <w:sz w:val="24"/>
          <w:szCs w:val="24"/>
        </w:rPr>
      </w:pPr>
      <w:r w:rsidRPr="006144AB">
        <w:rPr>
          <w:rFonts w:ascii="Times New Roman" w:hAnsi="Times New Roman" w:cs="Times New Roman"/>
          <w:b/>
          <w:bCs/>
          <w:i/>
          <w:sz w:val="24"/>
          <w:szCs w:val="24"/>
        </w:rPr>
        <w:t>3.3.3 Esas Soruşturmada Tespit Edilen Damping Marjı</w:t>
      </w:r>
    </w:p>
    <w:p w:rsidR="00282DFA" w:rsidRPr="006144AB" w:rsidRDefault="00282DFA" w:rsidP="00282DFA">
      <w:pPr>
        <w:spacing w:after="240"/>
        <w:jc w:val="both"/>
        <w:rPr>
          <w:rFonts w:ascii="Times New Roman" w:hAnsi="Times New Roman" w:cs="Times New Roman"/>
          <w:bCs/>
          <w:color w:val="0D0D0D"/>
          <w:sz w:val="24"/>
          <w:szCs w:val="24"/>
        </w:rPr>
      </w:pPr>
      <w:r w:rsidRPr="006144AB">
        <w:rPr>
          <w:rFonts w:ascii="Times New Roman" w:hAnsi="Times New Roman" w:cs="Times New Roman"/>
          <w:bCs/>
          <w:color w:val="0D0D0D"/>
          <w:sz w:val="24"/>
          <w:szCs w:val="24"/>
        </w:rPr>
        <w:t xml:space="preserve">(1) Mevcut dampinge karşı önlemin hukuki ve idari altyapısını teşkil eden esas damping soruşturmasında tespit edilen damping marjı, uygulanan önlemin kalkması halinde ÇHC menşeli ithalatın muhtemel davranışını yansıtması bakımından önemli bir gösterge niteliği taşımaktadır. </w:t>
      </w:r>
    </w:p>
    <w:p w:rsidR="00282DFA" w:rsidRPr="006144AB" w:rsidRDefault="00282DFA" w:rsidP="00282DFA">
      <w:pPr>
        <w:tabs>
          <w:tab w:val="left" w:pos="360"/>
          <w:tab w:val="left" w:pos="540"/>
        </w:tabs>
        <w:jc w:val="both"/>
        <w:rPr>
          <w:rFonts w:ascii="Times New Roman" w:hAnsi="Times New Roman" w:cs="Times New Roman"/>
          <w:bCs/>
          <w:color w:val="0D0D0D"/>
          <w:sz w:val="24"/>
          <w:szCs w:val="24"/>
        </w:rPr>
      </w:pPr>
      <w:r w:rsidRPr="006144AB">
        <w:rPr>
          <w:rFonts w:ascii="Times New Roman" w:hAnsi="Times New Roman" w:cs="Times New Roman"/>
          <w:bCs/>
          <w:color w:val="0D0D0D"/>
          <w:sz w:val="24"/>
          <w:szCs w:val="24"/>
        </w:rPr>
        <w:t>(2)</w:t>
      </w:r>
      <w:r w:rsidRPr="006144AB">
        <w:rPr>
          <w:rFonts w:ascii="Times New Roman" w:hAnsi="Times New Roman" w:cs="Times New Roman"/>
          <w:bCs/>
          <w:color w:val="0D0D0D"/>
          <w:sz w:val="24"/>
          <w:szCs w:val="24"/>
        </w:rPr>
        <w:tab/>
        <w:t>Buna göre, ÇHC için CIF bedelinin % 141’i veya spesifik olarak 4 ABD doları/kg damping marjı hesaplanmıştır.</w:t>
      </w:r>
    </w:p>
    <w:p w:rsidR="00282DFA" w:rsidRPr="006144AB" w:rsidRDefault="00282DFA" w:rsidP="00282DFA">
      <w:pPr>
        <w:tabs>
          <w:tab w:val="left" w:pos="360"/>
          <w:tab w:val="left" w:pos="540"/>
        </w:tabs>
        <w:jc w:val="both"/>
        <w:rPr>
          <w:rFonts w:ascii="Times New Roman" w:hAnsi="Times New Roman" w:cs="Times New Roman"/>
          <w:color w:val="0D0D0D"/>
          <w:sz w:val="24"/>
          <w:szCs w:val="24"/>
        </w:rPr>
      </w:pPr>
      <w:r w:rsidRPr="006144AB">
        <w:rPr>
          <w:rFonts w:ascii="Times New Roman" w:hAnsi="Times New Roman" w:cs="Times New Roman"/>
          <w:bCs/>
          <w:color w:val="0D0D0D"/>
          <w:sz w:val="24"/>
          <w:szCs w:val="24"/>
        </w:rPr>
        <w:t xml:space="preserve">(3) </w:t>
      </w:r>
      <w:r w:rsidRPr="006144AB">
        <w:rPr>
          <w:rFonts w:ascii="Times New Roman" w:hAnsi="Times New Roman" w:cs="Times New Roman"/>
          <w:color w:val="0D0D0D"/>
          <w:sz w:val="24"/>
          <w:szCs w:val="24"/>
        </w:rPr>
        <w:t xml:space="preserve">İstanbul Tekstil ve Hammaddeleri İhracatçıları Birliği (İTHİB), soruşturma kapsamında ilettiği görüşünde, mevcut damping önleminin (1,9 ABD doları/kg) esas soruşturmada tespit edilen damping marjı seviyesine çıkarılarak devam etmesi gerektiği görüşünü iletmişlerdir. Esas soruşturmada damping marjı miktarından daha az miktarda önlem uygulanması ile </w:t>
      </w:r>
      <w:r w:rsidRPr="00F17722">
        <w:rPr>
          <w:rFonts w:ascii="Times New Roman" w:hAnsi="Times New Roman" w:cs="Times New Roman"/>
          <w:sz w:val="24"/>
          <w:szCs w:val="24"/>
        </w:rPr>
        <w:t>İthalatta Haksız Rekabetin Önlenmesi Hakkında Kararın</w:t>
      </w:r>
      <w:r w:rsidR="00D523A4">
        <w:rPr>
          <w:rFonts w:ascii="Times New Roman" w:hAnsi="Times New Roman" w:cs="Times New Roman"/>
          <w:sz w:val="24"/>
          <w:szCs w:val="24"/>
        </w:rPr>
        <w:t xml:space="preserve"> (Karar)</w:t>
      </w:r>
      <w:r w:rsidRPr="006144AB">
        <w:rPr>
          <w:rFonts w:ascii="Times New Roman" w:hAnsi="Times New Roman" w:cs="Times New Roman"/>
          <w:color w:val="0D0D0D"/>
          <w:sz w:val="24"/>
          <w:szCs w:val="24"/>
        </w:rPr>
        <w:t xml:space="preserve"> 4 üncü maddesi gereği zararı </w:t>
      </w:r>
      <w:r w:rsidRPr="006144AB">
        <w:rPr>
          <w:rFonts w:ascii="Times New Roman" w:hAnsi="Times New Roman" w:cs="Times New Roman"/>
          <w:color w:val="0D0D0D"/>
          <w:sz w:val="24"/>
          <w:szCs w:val="24"/>
        </w:rPr>
        <w:lastRenderedPageBreak/>
        <w:t>ortadan kaldıracak daha az bir oran veya miktarda dampinge karşı vergi uygulanması amaçlanmıştır. Bu çerçevede, zararı ortadan kaldıracak oranın belirlenmesinde dikkate alınan fiyat kırılması ve baskısı değerlerine bakıldığında 2019 yılında anılan değerlerin mevcut önlemin altında kaldıkları dolayısıyla önlem konusu ithal birim fiyatların yerli üretim dalı fiyatları üzerindeki etkisini bertaraf edecek miktarda önlemin mevcut olduğu ve anılan ürünlerin kullanıcı sektörler açısından girdi niteliğinde olması durumu dikkate alındığında talebin makul olmadığı değerlendirilmiştir.</w:t>
      </w:r>
    </w:p>
    <w:p w:rsidR="00282DFA" w:rsidRPr="00B65777" w:rsidRDefault="00282DFA" w:rsidP="00282DFA">
      <w:pPr>
        <w:pStyle w:val="Balk2"/>
        <w:rPr>
          <w:rFonts w:cs="Times New Roman"/>
          <w:bCs/>
          <w:color w:val="0D0D0D" w:themeColor="text1" w:themeTint="F2"/>
          <w:szCs w:val="24"/>
        </w:rPr>
      </w:pPr>
      <w:r w:rsidRPr="00B65777">
        <w:rPr>
          <w:rFonts w:cs="Times New Roman"/>
          <w:bCs/>
          <w:color w:val="0D0D0D" w:themeColor="text1" w:themeTint="F2"/>
          <w:szCs w:val="24"/>
        </w:rPr>
        <w:t>3.4. Değerlendirme</w:t>
      </w:r>
    </w:p>
    <w:p w:rsidR="00282DFA" w:rsidRPr="006144AB" w:rsidRDefault="00282DFA" w:rsidP="00282DFA">
      <w:pPr>
        <w:spacing w:before="120" w:after="120"/>
        <w:jc w:val="both"/>
        <w:rPr>
          <w:rFonts w:ascii="Times New Roman" w:hAnsi="Times New Roman" w:cs="Times New Roman"/>
          <w:color w:val="0D0D0D" w:themeColor="text1" w:themeTint="F2"/>
          <w:sz w:val="24"/>
          <w:szCs w:val="24"/>
        </w:rPr>
      </w:pPr>
      <w:r w:rsidRPr="006144AB">
        <w:rPr>
          <w:rFonts w:ascii="Times New Roman" w:hAnsi="Times New Roman" w:cs="Times New Roman"/>
          <w:color w:val="0D0D0D" w:themeColor="text1" w:themeTint="F2"/>
          <w:sz w:val="24"/>
          <w:szCs w:val="24"/>
        </w:rPr>
        <w:t>(1) Önlemin kalkması halinde;</w:t>
      </w:r>
    </w:p>
    <w:p w:rsidR="00282DFA" w:rsidRPr="006144AB" w:rsidRDefault="00282DFA" w:rsidP="00282DFA">
      <w:pPr>
        <w:pStyle w:val="ListeParagraf"/>
        <w:numPr>
          <w:ilvl w:val="0"/>
          <w:numId w:val="12"/>
        </w:numPr>
        <w:spacing w:before="120" w:after="120"/>
        <w:ind w:left="993" w:hanging="284"/>
        <w:contextualSpacing w:val="0"/>
        <w:jc w:val="both"/>
        <w:rPr>
          <w:rFonts w:ascii="Times New Roman" w:hAnsi="Times New Roman" w:cs="Times New Roman"/>
          <w:color w:val="0D0D0D" w:themeColor="text1" w:themeTint="F2"/>
          <w:sz w:val="24"/>
          <w:szCs w:val="24"/>
        </w:rPr>
      </w:pPr>
      <w:r w:rsidRPr="006144AB">
        <w:rPr>
          <w:rFonts w:ascii="Times New Roman" w:hAnsi="Times New Roman" w:cs="Times New Roman"/>
          <w:color w:val="0D0D0D" w:themeColor="text1" w:themeTint="F2"/>
          <w:sz w:val="24"/>
          <w:szCs w:val="24"/>
        </w:rPr>
        <w:t xml:space="preserve">Soruşturma konusu ülkenin davranışlarını göstermesi açısından önemli bir gösterge olan hesaplanan damping marjının CIF bedelin %50,5’i oranında; esas soruşturmada tespit edilen damping marjlarının da %141’i oranında olduğu, </w:t>
      </w:r>
    </w:p>
    <w:p w:rsidR="00282DFA" w:rsidRPr="006144AB" w:rsidRDefault="00282DFA" w:rsidP="00282DFA">
      <w:pPr>
        <w:pStyle w:val="ListeParagraf"/>
        <w:numPr>
          <w:ilvl w:val="0"/>
          <w:numId w:val="12"/>
        </w:numPr>
        <w:spacing w:before="120" w:after="120"/>
        <w:ind w:left="993" w:hanging="284"/>
        <w:contextualSpacing w:val="0"/>
        <w:jc w:val="both"/>
        <w:rPr>
          <w:rFonts w:ascii="Times New Roman" w:hAnsi="Times New Roman" w:cs="Times New Roman"/>
          <w:color w:val="0D0D0D" w:themeColor="text1" w:themeTint="F2"/>
          <w:sz w:val="24"/>
          <w:szCs w:val="24"/>
        </w:rPr>
      </w:pPr>
      <w:r w:rsidRPr="006144AB">
        <w:rPr>
          <w:rFonts w:ascii="Times New Roman" w:hAnsi="Times New Roman" w:cs="Times New Roman"/>
          <w:color w:val="0D0D0D" w:themeColor="text1" w:themeTint="F2"/>
          <w:sz w:val="24"/>
          <w:szCs w:val="24"/>
        </w:rPr>
        <w:t>Söz konusu üründe ÇHC’nin, dünya ihracatında 3. sırada yer aldığı;</w:t>
      </w:r>
    </w:p>
    <w:p w:rsidR="00282DFA" w:rsidRPr="006144AB" w:rsidRDefault="00282DFA" w:rsidP="00282DFA">
      <w:pPr>
        <w:pStyle w:val="ListeParagraf"/>
        <w:numPr>
          <w:ilvl w:val="0"/>
          <w:numId w:val="12"/>
        </w:numPr>
        <w:spacing w:before="120" w:after="120"/>
        <w:ind w:left="993" w:hanging="284"/>
        <w:contextualSpacing w:val="0"/>
        <w:jc w:val="both"/>
        <w:rPr>
          <w:rFonts w:ascii="Times New Roman" w:hAnsi="Times New Roman" w:cs="Times New Roman"/>
          <w:color w:val="0D0D0D" w:themeColor="text1" w:themeTint="F2"/>
          <w:sz w:val="24"/>
          <w:szCs w:val="24"/>
        </w:rPr>
      </w:pPr>
      <w:r w:rsidRPr="006144AB">
        <w:rPr>
          <w:rFonts w:ascii="Times New Roman" w:hAnsi="Times New Roman" w:cs="Times New Roman"/>
          <w:color w:val="0D0D0D" w:themeColor="text1" w:themeTint="F2"/>
          <w:sz w:val="24"/>
          <w:szCs w:val="24"/>
        </w:rPr>
        <w:t xml:space="preserve">ÇHC’nin Türkiye’ye yönlendirebileceği ciddi kapasitesinin bulunduğu, </w:t>
      </w:r>
    </w:p>
    <w:p w:rsidR="00282DFA" w:rsidRPr="006144AB" w:rsidRDefault="00282DFA" w:rsidP="00282DFA">
      <w:pPr>
        <w:pStyle w:val="ListeParagraf"/>
        <w:numPr>
          <w:ilvl w:val="0"/>
          <w:numId w:val="12"/>
        </w:numPr>
        <w:spacing w:before="120" w:after="120"/>
        <w:ind w:left="993" w:hanging="284"/>
        <w:contextualSpacing w:val="0"/>
        <w:jc w:val="both"/>
        <w:rPr>
          <w:rFonts w:ascii="Times New Roman" w:hAnsi="Times New Roman" w:cs="Times New Roman"/>
          <w:color w:val="0D0D0D" w:themeColor="text1" w:themeTint="F2"/>
          <w:sz w:val="24"/>
          <w:szCs w:val="24"/>
        </w:rPr>
      </w:pPr>
      <w:r w:rsidRPr="006144AB">
        <w:rPr>
          <w:rFonts w:ascii="Times New Roman" w:hAnsi="Times New Roman" w:cs="Times New Roman"/>
          <w:color w:val="0D0D0D" w:themeColor="text1" w:themeTint="F2"/>
          <w:sz w:val="24"/>
          <w:szCs w:val="24"/>
        </w:rPr>
        <w:t>ÇHC’nin birim ihraç fiyatlarının dünya birim ihraç fiyatlarının oldukça gerisinde kaldığı;</w:t>
      </w:r>
    </w:p>
    <w:p w:rsidR="00282DFA" w:rsidRPr="006144AB" w:rsidRDefault="00282DFA" w:rsidP="00282DFA">
      <w:pPr>
        <w:pStyle w:val="ListeParagraf"/>
        <w:numPr>
          <w:ilvl w:val="0"/>
          <w:numId w:val="12"/>
        </w:numPr>
        <w:spacing w:before="120" w:after="120"/>
        <w:ind w:left="993" w:hanging="284"/>
        <w:contextualSpacing w:val="0"/>
        <w:jc w:val="both"/>
        <w:rPr>
          <w:rFonts w:ascii="Times New Roman" w:hAnsi="Times New Roman" w:cs="Times New Roman"/>
          <w:color w:val="0D0D0D" w:themeColor="text1" w:themeTint="F2"/>
          <w:sz w:val="24"/>
          <w:szCs w:val="24"/>
        </w:rPr>
      </w:pPr>
      <w:r w:rsidRPr="006144AB">
        <w:rPr>
          <w:rFonts w:ascii="Times New Roman" w:hAnsi="Times New Roman" w:cs="Times New Roman"/>
          <w:color w:val="0D0D0D" w:themeColor="text1" w:themeTint="F2"/>
          <w:sz w:val="24"/>
          <w:szCs w:val="24"/>
        </w:rPr>
        <w:t>Fiyata duyarlı söz konusu ürün ithalatının büyük miktarlarda ve kolaylıkla Türkiye pazarına yönlendirilebileceği,</w:t>
      </w:r>
    </w:p>
    <w:p w:rsidR="00282DFA" w:rsidRPr="006144AB" w:rsidRDefault="00282DFA" w:rsidP="00282DFA">
      <w:pPr>
        <w:pStyle w:val="ListeParagraf"/>
        <w:numPr>
          <w:ilvl w:val="0"/>
          <w:numId w:val="12"/>
        </w:numPr>
        <w:spacing w:before="120" w:after="120"/>
        <w:ind w:left="993" w:hanging="284"/>
        <w:contextualSpacing w:val="0"/>
        <w:jc w:val="both"/>
        <w:rPr>
          <w:rFonts w:ascii="Times New Roman" w:hAnsi="Times New Roman" w:cs="Times New Roman"/>
          <w:color w:val="0D0D0D" w:themeColor="text1" w:themeTint="F2"/>
          <w:sz w:val="24"/>
          <w:szCs w:val="24"/>
        </w:rPr>
      </w:pPr>
      <w:r w:rsidRPr="006144AB">
        <w:rPr>
          <w:rFonts w:ascii="Times New Roman" w:hAnsi="Times New Roman" w:cs="Times New Roman"/>
          <w:color w:val="0D0D0D" w:themeColor="text1" w:themeTint="F2"/>
          <w:sz w:val="24"/>
          <w:szCs w:val="24"/>
        </w:rPr>
        <w:t>Türkiye pazarının büyüklüğü ve ithalatçı ile ihracatçıların birbirlerini tanımaları nedeniyle Türkiye pazarının soruşturma konusu ülke için çekici bir pazar olduğu,</w:t>
      </w:r>
    </w:p>
    <w:p w:rsidR="00282DFA" w:rsidRPr="006144AB" w:rsidRDefault="00282DFA" w:rsidP="00282DFA">
      <w:pPr>
        <w:jc w:val="both"/>
        <w:rPr>
          <w:rFonts w:ascii="Times New Roman" w:hAnsi="Times New Roman" w:cs="Times New Roman"/>
          <w:color w:val="000000"/>
          <w:sz w:val="24"/>
          <w:szCs w:val="24"/>
        </w:rPr>
      </w:pPr>
      <w:r w:rsidRPr="006144AB">
        <w:rPr>
          <w:rFonts w:ascii="Times New Roman" w:hAnsi="Times New Roman" w:cs="Times New Roman"/>
          <w:color w:val="000000"/>
          <w:sz w:val="24"/>
          <w:szCs w:val="24"/>
        </w:rPr>
        <w:t xml:space="preserve">hususları birlikte değerlendirildiğinde, yürürlükteki önlemin kalkması halinde dampingli ithalatın devam etmesinin veya tekrar etmesinin muhtemel olduğu değerlendirilmektedir. </w:t>
      </w:r>
    </w:p>
    <w:bookmarkEnd w:id="5"/>
    <w:p w:rsidR="00282DFA" w:rsidRPr="00B65777" w:rsidRDefault="00282DFA" w:rsidP="00282DFA">
      <w:pPr>
        <w:pStyle w:val="Balk1"/>
        <w:numPr>
          <w:ilvl w:val="0"/>
          <w:numId w:val="2"/>
        </w:numPr>
        <w:spacing w:before="120" w:after="120" w:line="276" w:lineRule="auto"/>
        <w:jc w:val="both"/>
        <w:rPr>
          <w:rFonts w:ascii="Times New Roman" w:hAnsi="Times New Roman" w:cs="Times New Roman"/>
          <w:color w:val="0D0D0D" w:themeColor="text1" w:themeTint="F2"/>
          <w:sz w:val="24"/>
          <w:szCs w:val="24"/>
        </w:rPr>
      </w:pPr>
      <w:r w:rsidRPr="00B65777">
        <w:rPr>
          <w:rFonts w:ascii="Times New Roman" w:hAnsi="Times New Roman" w:cs="Times New Roman"/>
          <w:color w:val="0D0D0D" w:themeColor="text1" w:themeTint="F2"/>
          <w:sz w:val="24"/>
          <w:szCs w:val="24"/>
        </w:rPr>
        <w:t>Zararın Devamı veya Yeniden Meydana Gelmesi İhtimali</w:t>
      </w:r>
    </w:p>
    <w:p w:rsidR="00282DFA" w:rsidRPr="00B65777" w:rsidRDefault="00282DFA" w:rsidP="00282DFA">
      <w:pPr>
        <w:pStyle w:val="Balk2"/>
        <w:numPr>
          <w:ilvl w:val="1"/>
          <w:numId w:val="2"/>
        </w:numPr>
        <w:spacing w:before="120" w:after="120" w:line="276" w:lineRule="auto"/>
        <w:ind w:left="426"/>
        <w:rPr>
          <w:rFonts w:cs="Times New Roman"/>
          <w:color w:val="0D0D0D" w:themeColor="text1" w:themeTint="F2"/>
          <w:szCs w:val="24"/>
        </w:rPr>
      </w:pPr>
      <w:bookmarkStart w:id="6" w:name="_Toc317854287"/>
      <w:r w:rsidRPr="00B65777">
        <w:rPr>
          <w:rFonts w:cs="Times New Roman"/>
          <w:color w:val="0D0D0D" w:themeColor="text1" w:themeTint="F2"/>
          <w:szCs w:val="24"/>
        </w:rPr>
        <w:t xml:space="preserve"> Genel Açıklamalar</w:t>
      </w:r>
      <w:bookmarkEnd w:id="6"/>
    </w:p>
    <w:p w:rsidR="00282DFA" w:rsidRPr="00B65777" w:rsidRDefault="00282DFA" w:rsidP="00282DFA">
      <w:pPr>
        <w:pStyle w:val="Default"/>
        <w:numPr>
          <w:ilvl w:val="0"/>
          <w:numId w:val="8"/>
        </w:numPr>
        <w:spacing w:before="120" w:after="120" w:line="276" w:lineRule="auto"/>
        <w:ind w:firstLine="0"/>
        <w:jc w:val="both"/>
        <w:rPr>
          <w:color w:val="0D0D0D" w:themeColor="text1" w:themeTint="F2"/>
        </w:rPr>
      </w:pPr>
      <w:r w:rsidRPr="00B65777">
        <w:rPr>
          <w:color w:val="0D0D0D" w:themeColor="text1" w:themeTint="F2"/>
        </w:rPr>
        <w:t xml:space="preserve">Yönetmeliğin 35 inci maddesi çerçevesinde, gözden geçirme döneminde yerli üretim dalının ekonomik göstergeleri ve önlemlerin yürürlükten kalkması halinde zararın devam etmesinin veya yeniden meydana gelmesinin muhtemel olup olmadığı incelenmiştir. Bu kapsamda, ithalatın mutlak ve nispi olarak gelişimi, ithalat fiyatlarının gelişimi ile yerli üretim dalının ekonomik göstergeleri değerlendirilmiştir. </w:t>
      </w:r>
    </w:p>
    <w:p w:rsidR="00282DFA" w:rsidRPr="00B65777" w:rsidRDefault="00282DFA" w:rsidP="00282DFA">
      <w:pPr>
        <w:pStyle w:val="Default"/>
        <w:numPr>
          <w:ilvl w:val="0"/>
          <w:numId w:val="8"/>
        </w:numPr>
        <w:spacing w:before="120" w:after="120" w:line="276" w:lineRule="auto"/>
        <w:ind w:firstLine="0"/>
        <w:jc w:val="both"/>
        <w:rPr>
          <w:color w:val="0D0D0D" w:themeColor="text1" w:themeTint="F2"/>
        </w:rPr>
      </w:pPr>
      <w:r w:rsidRPr="00B65777">
        <w:rPr>
          <w:color w:val="0D0D0D" w:themeColor="text1" w:themeTint="F2"/>
        </w:rPr>
        <w:t>Soruşturma konusu ürünün genel ithalatı ve soruşturma konusu ülkelerden ithalatının incelenmesinde TÜİK verileri kullanılmıştır.</w:t>
      </w:r>
    </w:p>
    <w:p w:rsidR="00282DFA" w:rsidRPr="00B65777" w:rsidRDefault="00282DFA" w:rsidP="00282DFA">
      <w:pPr>
        <w:pStyle w:val="Balk2"/>
        <w:numPr>
          <w:ilvl w:val="1"/>
          <w:numId w:val="2"/>
        </w:numPr>
        <w:spacing w:before="120" w:after="120" w:line="276" w:lineRule="auto"/>
        <w:ind w:left="426"/>
        <w:rPr>
          <w:rFonts w:cs="Times New Roman"/>
          <w:color w:val="0D0D0D" w:themeColor="text1" w:themeTint="F2"/>
          <w:szCs w:val="24"/>
        </w:rPr>
      </w:pPr>
      <w:r w:rsidRPr="00B65777">
        <w:rPr>
          <w:rFonts w:cs="Times New Roman"/>
          <w:color w:val="0D0D0D" w:themeColor="text1" w:themeTint="F2"/>
          <w:szCs w:val="24"/>
        </w:rPr>
        <w:t xml:space="preserve"> Ürünün Genel İthalatının Mutlak Gelişimi ve Fiyatları </w:t>
      </w:r>
    </w:p>
    <w:p w:rsidR="00282DFA" w:rsidRPr="006144AB" w:rsidRDefault="00282DFA" w:rsidP="00282DFA">
      <w:pPr>
        <w:jc w:val="both"/>
        <w:rPr>
          <w:rFonts w:ascii="Times New Roman" w:hAnsi="Times New Roman" w:cs="Times New Roman"/>
          <w:sz w:val="24"/>
          <w:szCs w:val="24"/>
        </w:rPr>
      </w:pPr>
      <w:r w:rsidRPr="006144AB">
        <w:rPr>
          <w:rFonts w:ascii="Times New Roman" w:hAnsi="Times New Roman" w:cs="Times New Roman"/>
          <w:sz w:val="24"/>
          <w:szCs w:val="24"/>
        </w:rPr>
        <w:t xml:space="preserve">(1) Soruşturma konusu ürüne ilişkin genel ithalat istatistiklerine bakıldığında, ürünün 2017 yılında 10.752.488 kg (61,7 milyon ABD doları) olan ithalat miktarının, 2018 yılında 8.177.208 kg (40,4 milyon ABD doları) ve 2019 yılında 10.725.684 kg (51 milyon ABD doları) seviyesinde gerçekleştiği görülmektedir. </w:t>
      </w:r>
    </w:p>
    <w:p w:rsidR="00282DFA" w:rsidRPr="006144AB" w:rsidRDefault="00282DFA" w:rsidP="00282DFA">
      <w:pPr>
        <w:jc w:val="both"/>
        <w:rPr>
          <w:rFonts w:ascii="Times New Roman" w:hAnsi="Times New Roman" w:cs="Times New Roman"/>
          <w:sz w:val="24"/>
          <w:szCs w:val="24"/>
        </w:rPr>
      </w:pPr>
      <w:r w:rsidRPr="006144AB">
        <w:rPr>
          <w:rFonts w:ascii="Times New Roman" w:hAnsi="Times New Roman" w:cs="Times New Roman"/>
          <w:sz w:val="24"/>
          <w:szCs w:val="24"/>
        </w:rPr>
        <w:t>(2) Söz konusu ithalatın ortalama birim fiyatları, 2017-2019 yıllarında sırasıyla 5,7 ABD doları/kg, 4,9 ABD doları/kg ve 4,7 ABD doları/kg olarak gerçekleşmiştir.</w:t>
      </w:r>
    </w:p>
    <w:p w:rsidR="00282DFA" w:rsidRPr="00B65777" w:rsidRDefault="00282DFA" w:rsidP="00282DFA">
      <w:pPr>
        <w:pStyle w:val="Balk2"/>
        <w:numPr>
          <w:ilvl w:val="1"/>
          <w:numId w:val="2"/>
        </w:numPr>
        <w:spacing w:before="120" w:after="120" w:line="276" w:lineRule="auto"/>
        <w:ind w:left="426"/>
        <w:rPr>
          <w:rFonts w:cs="Times New Roman"/>
          <w:color w:val="0D0D0D" w:themeColor="text1" w:themeTint="F2"/>
          <w:szCs w:val="24"/>
        </w:rPr>
      </w:pPr>
      <w:r w:rsidRPr="00B65777">
        <w:rPr>
          <w:rFonts w:cs="Times New Roman"/>
          <w:color w:val="0D0D0D" w:themeColor="text1" w:themeTint="F2"/>
          <w:szCs w:val="24"/>
        </w:rPr>
        <w:lastRenderedPageBreak/>
        <w:t xml:space="preserve">Soruşturma Konusu Ülkeden İthalatın Mutlak Gelişimi ve Fiyatları </w:t>
      </w:r>
    </w:p>
    <w:p w:rsidR="00282DFA" w:rsidRPr="006144AB" w:rsidRDefault="00282DFA" w:rsidP="00282DFA">
      <w:pPr>
        <w:jc w:val="both"/>
        <w:rPr>
          <w:rFonts w:ascii="Times New Roman" w:hAnsi="Times New Roman" w:cs="Times New Roman"/>
          <w:sz w:val="24"/>
          <w:szCs w:val="24"/>
        </w:rPr>
      </w:pPr>
      <w:r w:rsidRPr="006144AB">
        <w:rPr>
          <w:rFonts w:ascii="Times New Roman" w:hAnsi="Times New Roman" w:cs="Times New Roman"/>
          <w:sz w:val="24"/>
          <w:szCs w:val="24"/>
        </w:rPr>
        <w:t xml:space="preserve">(1) ÇHC menşeli soruşturma konusu ürün ithalatı, 2017 yılında 1.627.979 kg iken (9,9 milyon ABD doları), 2018 yılında 1.186.987 kg (4,3 milyon ABD doları) seviyesine gerilemiş, 2019 yılında ise 604.613 kg (3,3 milyon ABD doları) seviyesinde gerçekleşmiştir. </w:t>
      </w:r>
    </w:p>
    <w:p w:rsidR="00282DFA" w:rsidRPr="006144AB" w:rsidRDefault="00282DFA" w:rsidP="00282DFA">
      <w:pPr>
        <w:jc w:val="both"/>
        <w:rPr>
          <w:rFonts w:ascii="Times New Roman" w:hAnsi="Times New Roman" w:cs="Times New Roman"/>
          <w:sz w:val="24"/>
          <w:szCs w:val="24"/>
        </w:rPr>
      </w:pPr>
      <w:r w:rsidRPr="006144AB">
        <w:rPr>
          <w:rFonts w:ascii="Times New Roman" w:hAnsi="Times New Roman" w:cs="Times New Roman"/>
          <w:sz w:val="24"/>
          <w:szCs w:val="24"/>
        </w:rPr>
        <w:t xml:space="preserve">(2) Söz konusu ithalatın birim fiyatları incelenen dönemde sırasıyla 6,07 ABD doları/kg, 3,63 ABD doları/kg, 5,55 ABD doları/kg olarak gerçekleşmiş ve dalgalı bir seyir izlemiştir. </w:t>
      </w:r>
    </w:p>
    <w:p w:rsidR="00282DFA" w:rsidRPr="006144AB" w:rsidRDefault="00282DFA" w:rsidP="00282DFA">
      <w:pPr>
        <w:jc w:val="both"/>
        <w:rPr>
          <w:rFonts w:ascii="Times New Roman" w:hAnsi="Times New Roman" w:cs="Times New Roman"/>
          <w:sz w:val="24"/>
          <w:szCs w:val="24"/>
        </w:rPr>
      </w:pPr>
      <w:r w:rsidRPr="006144AB">
        <w:rPr>
          <w:rFonts w:ascii="Times New Roman" w:hAnsi="Times New Roman" w:cs="Times New Roman"/>
          <w:sz w:val="24"/>
          <w:szCs w:val="24"/>
        </w:rPr>
        <w:t>(3) ÇHC menşeli ürün ithalatının toplam ithalat içindeki payı ise 2017 ve 2018 yılında %15 iken, 2019 yılında %6 olmuştur.</w:t>
      </w:r>
    </w:p>
    <w:p w:rsidR="00282DFA" w:rsidRPr="00B65777" w:rsidRDefault="00282DFA" w:rsidP="00282DFA">
      <w:pPr>
        <w:pStyle w:val="Balk2"/>
        <w:numPr>
          <w:ilvl w:val="1"/>
          <w:numId w:val="2"/>
        </w:numPr>
        <w:spacing w:before="120" w:after="120" w:line="276" w:lineRule="auto"/>
        <w:ind w:left="426"/>
        <w:rPr>
          <w:rFonts w:cs="Times New Roman"/>
          <w:color w:val="0D0D0D" w:themeColor="text1" w:themeTint="F2"/>
          <w:szCs w:val="24"/>
        </w:rPr>
      </w:pPr>
      <w:r w:rsidRPr="00B65777">
        <w:rPr>
          <w:rFonts w:cs="Times New Roman"/>
          <w:color w:val="0D0D0D" w:themeColor="text1" w:themeTint="F2"/>
          <w:szCs w:val="24"/>
        </w:rPr>
        <w:t xml:space="preserve">Diğer Ülkelerden İthalatın Mutlak Gelişimi ve Fiyatları </w:t>
      </w:r>
    </w:p>
    <w:p w:rsidR="00282DFA" w:rsidRPr="006144AB" w:rsidRDefault="00282DFA" w:rsidP="00282DFA">
      <w:pPr>
        <w:jc w:val="both"/>
        <w:rPr>
          <w:rFonts w:ascii="Times New Roman" w:hAnsi="Times New Roman" w:cs="Times New Roman"/>
          <w:bCs/>
          <w:sz w:val="24"/>
          <w:szCs w:val="24"/>
        </w:rPr>
      </w:pPr>
      <w:r w:rsidRPr="006144AB">
        <w:rPr>
          <w:rFonts w:ascii="Times New Roman" w:hAnsi="Times New Roman" w:cs="Times New Roman"/>
          <w:bCs/>
          <w:sz w:val="24"/>
          <w:szCs w:val="24"/>
        </w:rPr>
        <w:t>(1) Soruşturma konusu ürünün diğer ülkelerden ithalatı, 2017 yılında 9.124.509 kg</w:t>
      </w:r>
      <w:r w:rsidRPr="006144AB">
        <w:rPr>
          <w:rFonts w:ascii="Times New Roman" w:hAnsi="Times New Roman" w:cs="Times New Roman"/>
          <w:bCs/>
          <w:spacing w:val="-2"/>
          <w:sz w:val="24"/>
          <w:szCs w:val="24"/>
        </w:rPr>
        <w:t xml:space="preserve"> (51,8</w:t>
      </w:r>
      <w:r w:rsidRPr="006144AB">
        <w:rPr>
          <w:rFonts w:ascii="Times New Roman" w:hAnsi="Times New Roman" w:cs="Times New Roman"/>
          <w:bCs/>
          <w:sz w:val="24"/>
          <w:szCs w:val="24"/>
        </w:rPr>
        <w:t xml:space="preserve"> milyon ABD doları)</w:t>
      </w:r>
      <w:r w:rsidRPr="006144AB">
        <w:rPr>
          <w:rFonts w:ascii="Times New Roman" w:hAnsi="Times New Roman" w:cs="Times New Roman"/>
          <w:bCs/>
          <w:spacing w:val="-2"/>
          <w:sz w:val="24"/>
          <w:szCs w:val="24"/>
        </w:rPr>
        <w:t xml:space="preserve">, </w:t>
      </w:r>
      <w:r w:rsidRPr="006144AB">
        <w:rPr>
          <w:rFonts w:ascii="Times New Roman" w:hAnsi="Times New Roman" w:cs="Times New Roman"/>
          <w:bCs/>
          <w:sz w:val="24"/>
          <w:szCs w:val="24"/>
        </w:rPr>
        <w:t>2018 yılında 6.930.222</w:t>
      </w:r>
      <w:r w:rsidRPr="006144AB">
        <w:rPr>
          <w:rFonts w:ascii="Times New Roman" w:hAnsi="Times New Roman" w:cs="Times New Roman"/>
          <w:bCs/>
          <w:spacing w:val="-2"/>
          <w:sz w:val="24"/>
          <w:szCs w:val="24"/>
        </w:rPr>
        <w:t xml:space="preserve"> kg (36</w:t>
      </w:r>
      <w:r w:rsidRPr="006144AB">
        <w:rPr>
          <w:rFonts w:ascii="Times New Roman" w:hAnsi="Times New Roman" w:cs="Times New Roman"/>
          <w:bCs/>
          <w:sz w:val="24"/>
          <w:szCs w:val="24"/>
        </w:rPr>
        <w:t xml:space="preserve"> milyon ABD doları),</w:t>
      </w:r>
      <w:r w:rsidRPr="006144AB">
        <w:rPr>
          <w:rFonts w:ascii="Times New Roman" w:hAnsi="Times New Roman" w:cs="Times New Roman"/>
          <w:bCs/>
          <w:spacing w:val="-2"/>
          <w:sz w:val="24"/>
          <w:szCs w:val="24"/>
        </w:rPr>
        <w:t xml:space="preserve"> </w:t>
      </w:r>
      <w:r w:rsidRPr="006144AB">
        <w:rPr>
          <w:rFonts w:ascii="Times New Roman" w:hAnsi="Times New Roman" w:cs="Times New Roman"/>
          <w:bCs/>
          <w:sz w:val="24"/>
          <w:szCs w:val="24"/>
        </w:rPr>
        <w:t>2019 yılında 10.121.071 kg</w:t>
      </w:r>
      <w:r w:rsidRPr="006144AB">
        <w:rPr>
          <w:rFonts w:ascii="Times New Roman" w:hAnsi="Times New Roman" w:cs="Times New Roman"/>
          <w:bCs/>
          <w:spacing w:val="-2"/>
          <w:sz w:val="24"/>
          <w:szCs w:val="24"/>
        </w:rPr>
        <w:t xml:space="preserve"> (47,7</w:t>
      </w:r>
      <w:r w:rsidRPr="006144AB">
        <w:rPr>
          <w:rFonts w:ascii="Times New Roman" w:hAnsi="Times New Roman" w:cs="Times New Roman"/>
          <w:bCs/>
          <w:sz w:val="24"/>
          <w:szCs w:val="24"/>
        </w:rPr>
        <w:t xml:space="preserve"> milyon ABD doları)</w:t>
      </w:r>
      <w:r w:rsidRPr="006144AB">
        <w:rPr>
          <w:rFonts w:ascii="Times New Roman" w:hAnsi="Times New Roman" w:cs="Times New Roman"/>
          <w:bCs/>
          <w:spacing w:val="-2"/>
          <w:sz w:val="24"/>
          <w:szCs w:val="24"/>
        </w:rPr>
        <w:t xml:space="preserve"> olarak gerçekleşmiştir.</w:t>
      </w:r>
      <w:r w:rsidRPr="006144AB">
        <w:rPr>
          <w:rFonts w:ascii="Times New Roman" w:hAnsi="Times New Roman" w:cs="Times New Roman"/>
          <w:bCs/>
          <w:sz w:val="24"/>
          <w:szCs w:val="24"/>
        </w:rPr>
        <w:t xml:space="preserve">  </w:t>
      </w:r>
    </w:p>
    <w:p w:rsidR="00282DFA" w:rsidRPr="006144AB" w:rsidRDefault="00282DFA" w:rsidP="00282DFA">
      <w:pPr>
        <w:jc w:val="both"/>
        <w:rPr>
          <w:rFonts w:ascii="Times New Roman" w:hAnsi="Times New Roman" w:cs="Times New Roman"/>
          <w:sz w:val="24"/>
          <w:szCs w:val="24"/>
        </w:rPr>
      </w:pPr>
      <w:r w:rsidRPr="006144AB">
        <w:rPr>
          <w:rFonts w:ascii="Times New Roman" w:hAnsi="Times New Roman" w:cs="Times New Roman"/>
          <w:bCs/>
          <w:sz w:val="24"/>
          <w:szCs w:val="24"/>
        </w:rPr>
        <w:t>(2) Söz konusu ithalatın ortalama birim fiyatları, incelenen dönem itibar</w:t>
      </w:r>
      <w:r w:rsidR="00FF3BF6">
        <w:rPr>
          <w:rFonts w:ascii="Times New Roman" w:hAnsi="Times New Roman" w:cs="Times New Roman"/>
          <w:bCs/>
          <w:sz w:val="24"/>
          <w:szCs w:val="24"/>
        </w:rPr>
        <w:t>ı</w:t>
      </w:r>
      <w:r w:rsidRPr="006144AB">
        <w:rPr>
          <w:rFonts w:ascii="Times New Roman" w:hAnsi="Times New Roman" w:cs="Times New Roman"/>
          <w:bCs/>
          <w:sz w:val="24"/>
          <w:szCs w:val="24"/>
        </w:rPr>
        <w:t>yl</w:t>
      </w:r>
      <w:r w:rsidR="00FF3BF6">
        <w:rPr>
          <w:rFonts w:ascii="Times New Roman" w:hAnsi="Times New Roman" w:cs="Times New Roman"/>
          <w:bCs/>
          <w:sz w:val="24"/>
          <w:szCs w:val="24"/>
        </w:rPr>
        <w:t>a</w:t>
      </w:r>
      <w:r w:rsidRPr="006144AB">
        <w:rPr>
          <w:rFonts w:ascii="Times New Roman" w:hAnsi="Times New Roman" w:cs="Times New Roman"/>
          <w:bCs/>
          <w:sz w:val="24"/>
          <w:szCs w:val="24"/>
        </w:rPr>
        <w:t xml:space="preserve"> sırasıyla 5,7 ABD doları/kg, 5,2 ABD doları/kg, 4,7 ABD doları/kg olmuştur.</w:t>
      </w:r>
      <w:r w:rsidRPr="006144AB">
        <w:rPr>
          <w:rFonts w:ascii="Times New Roman" w:hAnsi="Times New Roman" w:cs="Times New Roman"/>
          <w:sz w:val="24"/>
          <w:szCs w:val="24"/>
        </w:rPr>
        <w:t xml:space="preserve"> </w:t>
      </w:r>
      <w:r w:rsidRPr="006144AB">
        <w:rPr>
          <w:rFonts w:ascii="Times New Roman" w:hAnsi="Times New Roman" w:cs="Times New Roman"/>
          <w:bCs/>
          <w:spacing w:val="-2"/>
          <w:sz w:val="24"/>
          <w:szCs w:val="24"/>
        </w:rPr>
        <w:t>Söz konusu ithalatın toplam ithalat içindeki payı 2017-2019 yıllarında sırasıyla %85, %85 ve %94 seviyelerindedir.</w:t>
      </w:r>
    </w:p>
    <w:p w:rsidR="00282DFA" w:rsidRPr="00B65777" w:rsidRDefault="00282DFA" w:rsidP="00282DFA">
      <w:pPr>
        <w:pStyle w:val="Balk2"/>
        <w:numPr>
          <w:ilvl w:val="1"/>
          <w:numId w:val="2"/>
        </w:numPr>
        <w:spacing w:before="120" w:after="120" w:line="276" w:lineRule="auto"/>
        <w:ind w:left="426"/>
        <w:rPr>
          <w:rFonts w:cs="Times New Roman"/>
          <w:color w:val="0D0D0D" w:themeColor="text1" w:themeTint="F2"/>
          <w:szCs w:val="24"/>
        </w:rPr>
      </w:pPr>
      <w:r w:rsidRPr="00B65777">
        <w:rPr>
          <w:rFonts w:cs="Times New Roman"/>
          <w:color w:val="0D0D0D" w:themeColor="text1" w:themeTint="F2"/>
          <w:szCs w:val="24"/>
        </w:rPr>
        <w:t xml:space="preserve">İthalatın Nispi Gelişimi </w:t>
      </w:r>
    </w:p>
    <w:p w:rsidR="00282DFA" w:rsidRPr="006144AB" w:rsidRDefault="00282DFA" w:rsidP="00282DFA">
      <w:pPr>
        <w:tabs>
          <w:tab w:val="left" w:pos="360"/>
          <w:tab w:val="left" w:pos="720"/>
        </w:tabs>
        <w:jc w:val="both"/>
        <w:rPr>
          <w:rFonts w:ascii="Times New Roman" w:hAnsi="Times New Roman" w:cs="Times New Roman"/>
          <w:sz w:val="24"/>
          <w:szCs w:val="24"/>
        </w:rPr>
      </w:pPr>
      <w:r w:rsidRPr="006144AB">
        <w:rPr>
          <w:rFonts w:ascii="Times New Roman" w:hAnsi="Times New Roman" w:cs="Times New Roman"/>
          <w:sz w:val="24"/>
          <w:szCs w:val="24"/>
        </w:rPr>
        <w:t xml:space="preserve">(1) </w:t>
      </w:r>
      <w:r w:rsidRPr="006144AB">
        <w:rPr>
          <w:rFonts w:ascii="Times New Roman" w:hAnsi="Times New Roman" w:cs="Times New Roman"/>
          <w:color w:val="0D0D0D"/>
          <w:sz w:val="24"/>
          <w:szCs w:val="24"/>
        </w:rPr>
        <w:t xml:space="preserve">Önlem konusu ürünün Türkiye toplam benzer mal tüketimi içindeki payı hesaplanırken, başvuru sahibi ve başvuruyu destekleyen yerli üreticilerin yurt içi satışları ile genel ithalat miktarı toplanmıştır. Yerli üretim dalının yurt içi satışlarının ve önlem konusu ülkelerden gerçekleştirilen ithalatın toplam tüketime oranlanmasıyla pazar payları hesaplanmıştır. İncelenen </w:t>
      </w:r>
      <w:r w:rsidRPr="006144AB">
        <w:rPr>
          <w:rFonts w:ascii="Times New Roman" w:hAnsi="Times New Roman" w:cs="Times New Roman"/>
          <w:noProof/>
          <w:color w:val="0D0D0D"/>
          <w:sz w:val="24"/>
          <w:szCs w:val="24"/>
        </w:rPr>
        <w:t xml:space="preserve">veriler 2017 yılı=100 olacak şekilde </w:t>
      </w:r>
      <w:r w:rsidRPr="006144AB">
        <w:rPr>
          <w:rFonts w:ascii="Times New Roman" w:hAnsi="Times New Roman" w:cs="Times New Roman"/>
          <w:color w:val="0D0D0D"/>
          <w:sz w:val="24"/>
          <w:szCs w:val="24"/>
        </w:rPr>
        <w:t xml:space="preserve">endekslenmiştir. </w:t>
      </w:r>
    </w:p>
    <w:p w:rsidR="00282DFA" w:rsidRPr="006144AB" w:rsidRDefault="00282DFA" w:rsidP="00282DFA">
      <w:pPr>
        <w:tabs>
          <w:tab w:val="left" w:pos="360"/>
          <w:tab w:val="left" w:pos="720"/>
        </w:tabs>
        <w:jc w:val="both"/>
        <w:rPr>
          <w:rFonts w:ascii="Times New Roman" w:hAnsi="Times New Roman" w:cs="Times New Roman"/>
          <w:sz w:val="24"/>
          <w:szCs w:val="24"/>
        </w:rPr>
      </w:pPr>
      <w:r w:rsidRPr="006144AB">
        <w:rPr>
          <w:rFonts w:ascii="Times New Roman" w:hAnsi="Times New Roman" w:cs="Times New Roman"/>
          <w:sz w:val="24"/>
          <w:szCs w:val="24"/>
        </w:rPr>
        <w:t>(2)</w:t>
      </w:r>
      <w:r w:rsidRPr="006144AB">
        <w:rPr>
          <w:rFonts w:ascii="Times New Roman" w:hAnsi="Times New Roman" w:cs="Times New Roman"/>
          <w:sz w:val="24"/>
          <w:szCs w:val="24"/>
        </w:rPr>
        <w:tab/>
        <w:t xml:space="preserve"> Bu çerçevede, yurt içi tüketim endeksi 2017-2019 yıllarında sırasıyla 100, 78, ve 101 birim olarak gerçekleşmiştir.</w:t>
      </w:r>
    </w:p>
    <w:p w:rsidR="00282DFA" w:rsidRPr="006144AB" w:rsidRDefault="00282DFA" w:rsidP="00282DFA">
      <w:pPr>
        <w:tabs>
          <w:tab w:val="left" w:pos="360"/>
          <w:tab w:val="left" w:pos="720"/>
        </w:tabs>
        <w:jc w:val="both"/>
        <w:rPr>
          <w:rFonts w:ascii="Times New Roman" w:hAnsi="Times New Roman" w:cs="Times New Roman"/>
          <w:sz w:val="24"/>
          <w:szCs w:val="24"/>
        </w:rPr>
      </w:pPr>
      <w:r w:rsidRPr="006144AB">
        <w:rPr>
          <w:rFonts w:ascii="Times New Roman" w:hAnsi="Times New Roman" w:cs="Times New Roman"/>
          <w:sz w:val="24"/>
          <w:szCs w:val="24"/>
        </w:rPr>
        <w:t>(3) ÇHC menşeli ithalatın 2017 yılında 100 birim olan pazar payı endeksi 2018 yılında 93 birim, 2019 yılında ise 37 birim olarak gerçekleşmiştir.</w:t>
      </w:r>
    </w:p>
    <w:p w:rsidR="00282DFA" w:rsidRPr="006144AB" w:rsidRDefault="00282DFA" w:rsidP="00282DFA">
      <w:pPr>
        <w:tabs>
          <w:tab w:val="left" w:pos="360"/>
          <w:tab w:val="left" w:pos="720"/>
        </w:tabs>
        <w:jc w:val="both"/>
        <w:rPr>
          <w:rFonts w:ascii="Times New Roman" w:hAnsi="Times New Roman" w:cs="Times New Roman"/>
          <w:sz w:val="24"/>
          <w:szCs w:val="24"/>
        </w:rPr>
      </w:pPr>
      <w:r w:rsidRPr="006144AB">
        <w:rPr>
          <w:rFonts w:ascii="Times New Roman" w:hAnsi="Times New Roman" w:cs="Times New Roman"/>
          <w:sz w:val="24"/>
          <w:szCs w:val="24"/>
        </w:rPr>
        <w:t>(4) Diğer ülkeler menşeli ithalatın 2017 yılında 100 birim olan pazar payı endeksi 2018 ve 2019 yıllarında 97 ve 110 birim olmuştur.</w:t>
      </w:r>
    </w:p>
    <w:p w:rsidR="00282DFA" w:rsidRPr="006144AB" w:rsidRDefault="00282DFA" w:rsidP="00282DFA">
      <w:pPr>
        <w:tabs>
          <w:tab w:val="left" w:pos="360"/>
          <w:tab w:val="left" w:pos="720"/>
        </w:tabs>
        <w:jc w:val="both"/>
        <w:rPr>
          <w:rFonts w:ascii="Times New Roman" w:hAnsi="Times New Roman" w:cs="Times New Roman"/>
          <w:sz w:val="24"/>
          <w:szCs w:val="24"/>
        </w:rPr>
      </w:pPr>
      <w:r w:rsidRPr="006144AB">
        <w:rPr>
          <w:rFonts w:ascii="Times New Roman" w:hAnsi="Times New Roman" w:cs="Times New Roman"/>
          <w:sz w:val="24"/>
          <w:szCs w:val="24"/>
        </w:rPr>
        <w:t xml:space="preserve">(5) Yerli üretim dalının pazar payı endeksi 2017-2019 yıllarında sırasıyla 100, 120 ve 106 birim olarak gerçekleşmiştir. </w:t>
      </w:r>
    </w:p>
    <w:p w:rsidR="00282DFA" w:rsidRPr="00B65777" w:rsidRDefault="00282DFA" w:rsidP="00282DFA">
      <w:pPr>
        <w:pStyle w:val="Balk2"/>
        <w:numPr>
          <w:ilvl w:val="1"/>
          <w:numId w:val="2"/>
        </w:numPr>
        <w:spacing w:before="120" w:after="120" w:line="276" w:lineRule="auto"/>
        <w:ind w:left="426"/>
        <w:rPr>
          <w:rFonts w:cs="Times New Roman"/>
          <w:color w:val="0D0D0D" w:themeColor="text1" w:themeTint="F2"/>
          <w:szCs w:val="24"/>
        </w:rPr>
      </w:pPr>
      <w:r w:rsidRPr="00B65777">
        <w:rPr>
          <w:rFonts w:cs="Times New Roman"/>
          <w:color w:val="0D0D0D" w:themeColor="text1" w:themeTint="F2"/>
          <w:szCs w:val="24"/>
        </w:rPr>
        <w:t xml:space="preserve"> Fiyat Kırılması ve Baskısı </w:t>
      </w:r>
    </w:p>
    <w:p w:rsidR="00282DFA" w:rsidRPr="006144AB" w:rsidRDefault="00282DFA" w:rsidP="00282DFA">
      <w:pPr>
        <w:spacing w:before="120" w:after="120"/>
        <w:jc w:val="both"/>
        <w:rPr>
          <w:rFonts w:ascii="Times New Roman" w:hAnsi="Times New Roman" w:cs="Times New Roman"/>
          <w:color w:val="0D0D0D" w:themeColor="text1" w:themeTint="F2"/>
          <w:sz w:val="24"/>
          <w:szCs w:val="24"/>
        </w:rPr>
      </w:pPr>
      <w:r w:rsidRPr="006144AB">
        <w:rPr>
          <w:rFonts w:ascii="Times New Roman" w:hAnsi="Times New Roman" w:cs="Times New Roman"/>
          <w:color w:val="0D0D0D" w:themeColor="text1" w:themeTint="F2"/>
          <w:sz w:val="24"/>
          <w:szCs w:val="24"/>
        </w:rPr>
        <w:t xml:space="preserve">(1) Yönetmeliğin 17 nci maddesinin ilgili hükümleri çerçevesinde, dampingli olduğu iddia edilen ithalatın yerli üretim dalının yurt içi satış fiyatları üzerindeki etkisi değerlendirilirken fiyat kırılması ve fiyat baskısı incelenmiştir. </w:t>
      </w:r>
    </w:p>
    <w:p w:rsidR="00282DFA" w:rsidRPr="006144AB" w:rsidRDefault="00282DFA" w:rsidP="00282DFA">
      <w:pPr>
        <w:spacing w:before="120" w:after="120"/>
        <w:jc w:val="both"/>
        <w:rPr>
          <w:rFonts w:ascii="Times New Roman" w:hAnsi="Times New Roman" w:cs="Times New Roman"/>
          <w:bCs/>
          <w:color w:val="0D0D0D" w:themeColor="text1" w:themeTint="F2"/>
          <w:sz w:val="24"/>
          <w:szCs w:val="24"/>
        </w:rPr>
      </w:pPr>
      <w:r w:rsidRPr="006144AB">
        <w:rPr>
          <w:rFonts w:ascii="Times New Roman" w:hAnsi="Times New Roman" w:cs="Times New Roman"/>
          <w:color w:val="0D0D0D" w:themeColor="text1" w:themeTint="F2"/>
          <w:sz w:val="24"/>
          <w:szCs w:val="24"/>
        </w:rPr>
        <w:t xml:space="preserve">(2) Fiyat kırılması, soruşturma konusu ithal ürün fiyatlarının Türkiye piyasasında yerli üretim dalının yurt içi birim satış fiyatlarının yüzde olarak ne kadar altında kaldığını göstermektedir. </w:t>
      </w:r>
      <w:r w:rsidRPr="006144AB">
        <w:rPr>
          <w:rFonts w:ascii="Times New Roman" w:hAnsi="Times New Roman" w:cs="Times New Roman"/>
          <w:bCs/>
          <w:color w:val="0D0D0D" w:themeColor="text1" w:themeTint="F2"/>
          <w:sz w:val="24"/>
          <w:szCs w:val="24"/>
        </w:rPr>
        <w:t xml:space="preserve">Fiyat baskısı ise yerli üretim dalının fiyatlarının dampingli olduğu öne sürülen ithalat sebebiyle </w:t>
      </w:r>
      <w:r w:rsidRPr="006144AB">
        <w:rPr>
          <w:rFonts w:ascii="Times New Roman" w:hAnsi="Times New Roman" w:cs="Times New Roman"/>
          <w:bCs/>
          <w:color w:val="0D0D0D" w:themeColor="text1" w:themeTint="F2"/>
          <w:sz w:val="24"/>
          <w:szCs w:val="24"/>
        </w:rPr>
        <w:lastRenderedPageBreak/>
        <w:t xml:space="preserve">baskı altında bulunması ve yerli üreticinin fiyatlarını makul kâr elde edecek şekilde belirleyememesi durumunu ifade etmektedir. </w:t>
      </w:r>
    </w:p>
    <w:p w:rsidR="00282DFA" w:rsidRPr="006144AB" w:rsidRDefault="00282DFA" w:rsidP="00282DFA">
      <w:pPr>
        <w:spacing w:before="120" w:after="120"/>
        <w:jc w:val="both"/>
        <w:rPr>
          <w:rFonts w:ascii="Times New Roman" w:hAnsi="Times New Roman" w:cs="Times New Roman"/>
          <w:color w:val="0D0D0D" w:themeColor="text1" w:themeTint="F2"/>
          <w:sz w:val="24"/>
          <w:szCs w:val="24"/>
        </w:rPr>
      </w:pPr>
      <w:r w:rsidRPr="006144AB">
        <w:rPr>
          <w:rFonts w:ascii="Times New Roman" w:hAnsi="Times New Roman" w:cs="Times New Roman"/>
          <w:color w:val="0D0D0D" w:themeColor="text1" w:themeTint="F2"/>
          <w:sz w:val="24"/>
          <w:szCs w:val="24"/>
        </w:rPr>
        <w:t>(3) Fiyat kırılması hesap edilirken, yerli üretim dalının yıllık ortalama yurt içi birim satış fiyatı ve fiyat baskısı hesap edilirken yerli üretim dalının olması gereken yurt içi birim satış fiyatı ile soruşturma konusu ürünün Türkiye pazarına ağırlıklı ortalama giriş fiyatı karşılaştırılmıştır.</w:t>
      </w:r>
    </w:p>
    <w:p w:rsidR="00282DFA" w:rsidRPr="00B65777" w:rsidRDefault="00282DFA" w:rsidP="00282DFA">
      <w:pPr>
        <w:pStyle w:val="GvdeMetni2"/>
        <w:spacing w:before="120" w:line="276" w:lineRule="auto"/>
        <w:jc w:val="both"/>
        <w:rPr>
          <w:bCs/>
          <w:color w:val="0D0D0D" w:themeColor="text1" w:themeTint="F2"/>
          <w:spacing w:val="-2"/>
        </w:rPr>
      </w:pPr>
      <w:r w:rsidRPr="00B65777">
        <w:rPr>
          <w:bCs/>
          <w:color w:val="0D0D0D" w:themeColor="text1" w:themeTint="F2"/>
          <w:spacing w:val="-2"/>
        </w:rPr>
        <w:t xml:space="preserve">(4) Dampinge karşı önlemlerin söz konusu olmadığı bir ortamda fiyatların hangi düzeyde oluşacağına ilişkin değerlendirmeyi mümkün kılmak amacıyla anılan fiyatlara dampinge karşı önlemler eklenmemiştir. </w:t>
      </w:r>
    </w:p>
    <w:p w:rsidR="00282DFA" w:rsidRPr="00B65777" w:rsidRDefault="00282DFA" w:rsidP="00282DFA">
      <w:pPr>
        <w:pStyle w:val="GvdeMetni2"/>
        <w:spacing w:before="120" w:line="276" w:lineRule="auto"/>
        <w:jc w:val="both"/>
        <w:rPr>
          <w:bCs/>
          <w:color w:val="0D0D0D" w:themeColor="text1" w:themeTint="F2"/>
          <w:spacing w:val="-2"/>
        </w:rPr>
      </w:pPr>
      <w:r w:rsidRPr="00B65777">
        <w:rPr>
          <w:bCs/>
          <w:color w:val="0D0D0D" w:themeColor="text1" w:themeTint="F2"/>
          <w:spacing w:val="-2"/>
        </w:rPr>
        <w:t>(5) Bu kapsamda, 2019 yılında ÇHC menşeli ithalatın yerli üretim dalının yurt içi satış fiyatını CIF fiyatının %5 ile %10 arasında bir oranda kırdığı ve %30 ile %35 arası bir oranda baskıladığı tespit edilmiştir.</w:t>
      </w:r>
    </w:p>
    <w:p w:rsidR="00282DFA" w:rsidRPr="00B65777" w:rsidRDefault="00282DFA" w:rsidP="00282DFA">
      <w:pPr>
        <w:pStyle w:val="Balk2"/>
        <w:numPr>
          <w:ilvl w:val="1"/>
          <w:numId w:val="2"/>
        </w:numPr>
        <w:spacing w:before="120" w:after="120" w:line="276" w:lineRule="auto"/>
        <w:ind w:left="426"/>
        <w:rPr>
          <w:rFonts w:cs="Times New Roman"/>
          <w:color w:val="0D0D0D" w:themeColor="text1" w:themeTint="F2"/>
          <w:szCs w:val="24"/>
        </w:rPr>
      </w:pPr>
      <w:r w:rsidRPr="00B65777">
        <w:rPr>
          <w:rFonts w:cs="Times New Roman"/>
          <w:color w:val="0D0D0D" w:themeColor="text1" w:themeTint="F2"/>
          <w:szCs w:val="24"/>
        </w:rPr>
        <w:t xml:space="preserve">Yerli Üretim Dalının Ekonomik Göstergeleri </w:t>
      </w:r>
    </w:p>
    <w:p w:rsidR="00282DFA" w:rsidRPr="00B65777" w:rsidRDefault="00282DFA" w:rsidP="00282DFA">
      <w:pPr>
        <w:pStyle w:val="Default"/>
        <w:spacing w:before="120" w:after="120" w:line="276" w:lineRule="auto"/>
        <w:jc w:val="both"/>
        <w:rPr>
          <w:bCs/>
          <w:color w:val="0D0D0D" w:themeColor="text1" w:themeTint="F2"/>
          <w:spacing w:val="-2"/>
        </w:rPr>
      </w:pPr>
      <w:bookmarkStart w:id="7" w:name="_Toc239072708"/>
      <w:bookmarkStart w:id="8" w:name="_Toc239072760"/>
      <w:r w:rsidRPr="00B65777">
        <w:rPr>
          <w:color w:val="0D0D0D" w:themeColor="text1" w:themeTint="F2"/>
        </w:rPr>
        <w:t>(1) Yerli üretim dalının ekonomik göstergeleri, yerli üretim dalının 2017-2019 yıllarına ilişkin verileri esas alınarak incelenmiştir. Diğer taraftan, eğilimin sağlıklı bir şekilde incelenmesi amacıyla Türk Lirası bazındaki veriler için on iki aylık ortalama Üretici Fiyat Endeksi (ÜFE) kullanılarak enflasyondan arındırılmış reel değerler kullanılmıştır.</w:t>
      </w:r>
      <w:bookmarkEnd w:id="7"/>
      <w:bookmarkEnd w:id="8"/>
      <w:r w:rsidRPr="00B65777">
        <w:rPr>
          <w:bCs/>
          <w:color w:val="0D0D0D" w:themeColor="text1" w:themeTint="F2"/>
          <w:spacing w:val="-2"/>
        </w:rPr>
        <w:t xml:space="preserve"> </w:t>
      </w:r>
    </w:p>
    <w:p w:rsidR="00282DFA" w:rsidRPr="006144AB" w:rsidRDefault="00282DFA" w:rsidP="00282DFA">
      <w:pPr>
        <w:pStyle w:val="ListeParagraf"/>
        <w:numPr>
          <w:ilvl w:val="0"/>
          <w:numId w:val="13"/>
        </w:numPr>
        <w:tabs>
          <w:tab w:val="left" w:pos="360"/>
        </w:tabs>
        <w:spacing w:before="120" w:after="120"/>
        <w:ind w:left="284" w:hanging="284"/>
        <w:contextualSpacing w:val="0"/>
        <w:jc w:val="both"/>
        <w:rPr>
          <w:rFonts w:ascii="Times New Roman" w:hAnsi="Times New Roman" w:cs="Times New Roman"/>
          <w:bCs/>
          <w:color w:val="0D0D0D" w:themeColor="text1" w:themeTint="F2"/>
          <w:spacing w:val="-2"/>
          <w:sz w:val="24"/>
          <w:szCs w:val="24"/>
          <w:u w:val="single"/>
        </w:rPr>
      </w:pPr>
      <w:r w:rsidRPr="006144AB">
        <w:rPr>
          <w:rFonts w:ascii="Times New Roman" w:hAnsi="Times New Roman" w:cs="Times New Roman"/>
          <w:bCs/>
          <w:color w:val="0D0D0D" w:themeColor="text1" w:themeTint="F2"/>
          <w:spacing w:val="-2"/>
          <w:sz w:val="24"/>
          <w:szCs w:val="24"/>
          <w:u w:val="single"/>
        </w:rPr>
        <w:t>Üretim, Kapasite ve Kapasite Kullanım Oranı (KKO)</w:t>
      </w:r>
    </w:p>
    <w:p w:rsidR="00282DFA" w:rsidRPr="006144AB" w:rsidRDefault="00282DFA" w:rsidP="00282DFA">
      <w:pPr>
        <w:shd w:val="clear" w:color="auto" w:fill="FFFFFF"/>
        <w:spacing w:before="120" w:after="120"/>
        <w:jc w:val="both"/>
        <w:rPr>
          <w:rFonts w:ascii="Times New Roman" w:hAnsi="Times New Roman" w:cs="Times New Roman"/>
          <w:bCs/>
          <w:color w:val="0D0D0D" w:themeColor="text1" w:themeTint="F2"/>
          <w:spacing w:val="-2"/>
          <w:sz w:val="24"/>
          <w:szCs w:val="24"/>
        </w:rPr>
      </w:pPr>
      <w:r w:rsidRPr="006144AB">
        <w:rPr>
          <w:rFonts w:ascii="Times New Roman" w:hAnsi="Times New Roman" w:cs="Times New Roman"/>
          <w:bCs/>
          <w:color w:val="0D0D0D" w:themeColor="text1" w:themeTint="F2"/>
          <w:sz w:val="24"/>
          <w:szCs w:val="24"/>
        </w:rPr>
        <w:t xml:space="preserve">(1) </w:t>
      </w:r>
      <w:r w:rsidRPr="006144AB">
        <w:rPr>
          <w:rFonts w:ascii="Times New Roman" w:hAnsi="Times New Roman" w:cs="Times New Roman"/>
          <w:noProof/>
          <w:color w:val="0D0D0D" w:themeColor="text1" w:themeTint="F2"/>
          <w:sz w:val="24"/>
          <w:szCs w:val="24"/>
        </w:rPr>
        <w:t>Yerli üretim dalının</w:t>
      </w:r>
      <w:r w:rsidRPr="006144AB">
        <w:rPr>
          <w:rFonts w:ascii="Times New Roman" w:hAnsi="Times New Roman" w:cs="Times New Roman"/>
          <w:bCs/>
          <w:color w:val="0D0D0D" w:themeColor="text1" w:themeTint="F2"/>
          <w:sz w:val="24"/>
          <w:szCs w:val="24"/>
        </w:rPr>
        <w:t xml:space="preserve"> soruşturma konusu ürün için 2017 yılında 100 birim olan üretim miktar endeksi, 2018 yılında 98 birim, 2019 yılında 111 birim seviyesindedir. Y</w:t>
      </w:r>
      <w:r w:rsidRPr="006144AB">
        <w:rPr>
          <w:rFonts w:ascii="Times New Roman" w:hAnsi="Times New Roman" w:cs="Times New Roman"/>
          <w:noProof/>
          <w:color w:val="0D0D0D" w:themeColor="text1" w:themeTint="F2"/>
          <w:sz w:val="24"/>
          <w:szCs w:val="24"/>
        </w:rPr>
        <w:t>erli üretim dalının</w:t>
      </w:r>
      <w:r w:rsidRPr="006144AB">
        <w:rPr>
          <w:rFonts w:ascii="Times New Roman" w:hAnsi="Times New Roman" w:cs="Times New Roman"/>
          <w:bCs/>
          <w:color w:val="0D0D0D" w:themeColor="text1" w:themeTint="F2"/>
          <w:sz w:val="24"/>
          <w:szCs w:val="24"/>
        </w:rPr>
        <w:t xml:space="preserve"> kapasite endeksi soruşturma döneminde değişmezken, KKO endeksi ise 2017-2019 yıllarında sırasıyla 100, 98 ve 111 birim olarak gerçekleşmiştir. </w:t>
      </w:r>
    </w:p>
    <w:p w:rsidR="00282DFA" w:rsidRPr="006144AB" w:rsidRDefault="00282DFA" w:rsidP="00282DFA">
      <w:pPr>
        <w:pStyle w:val="ListeParagraf"/>
        <w:numPr>
          <w:ilvl w:val="0"/>
          <w:numId w:val="13"/>
        </w:numPr>
        <w:tabs>
          <w:tab w:val="left" w:pos="360"/>
        </w:tabs>
        <w:spacing w:before="120" w:after="120"/>
        <w:ind w:left="284" w:hanging="284"/>
        <w:contextualSpacing w:val="0"/>
        <w:jc w:val="both"/>
        <w:rPr>
          <w:rFonts w:ascii="Times New Roman" w:hAnsi="Times New Roman" w:cs="Times New Roman"/>
          <w:bCs/>
          <w:color w:val="0D0D0D" w:themeColor="text1" w:themeTint="F2"/>
          <w:spacing w:val="-2"/>
          <w:sz w:val="24"/>
          <w:szCs w:val="24"/>
        </w:rPr>
      </w:pPr>
      <w:r w:rsidRPr="006144AB">
        <w:rPr>
          <w:rFonts w:ascii="Times New Roman" w:hAnsi="Times New Roman" w:cs="Times New Roman"/>
          <w:bCs/>
          <w:color w:val="0D0D0D" w:themeColor="text1" w:themeTint="F2"/>
          <w:spacing w:val="-2"/>
          <w:sz w:val="24"/>
          <w:szCs w:val="24"/>
          <w:u w:val="single"/>
        </w:rPr>
        <w:t>Yurt İçi Satışlar</w:t>
      </w:r>
      <w:r w:rsidRPr="006144AB">
        <w:rPr>
          <w:rFonts w:ascii="Times New Roman" w:hAnsi="Times New Roman" w:cs="Times New Roman"/>
          <w:bCs/>
          <w:color w:val="0D0D0D" w:themeColor="text1" w:themeTint="F2"/>
          <w:spacing w:val="-2"/>
          <w:sz w:val="24"/>
          <w:szCs w:val="24"/>
        </w:rPr>
        <w:tab/>
      </w:r>
    </w:p>
    <w:p w:rsidR="00282DFA" w:rsidRPr="006144AB" w:rsidRDefault="00282DFA" w:rsidP="00282DFA">
      <w:pPr>
        <w:tabs>
          <w:tab w:val="left" w:pos="142"/>
        </w:tabs>
        <w:spacing w:before="120" w:after="120"/>
        <w:jc w:val="both"/>
        <w:rPr>
          <w:rFonts w:ascii="Times New Roman" w:hAnsi="Times New Roman" w:cs="Times New Roman"/>
          <w:bCs/>
          <w:color w:val="0D0D0D" w:themeColor="text1" w:themeTint="F2"/>
          <w:spacing w:val="-2"/>
          <w:sz w:val="24"/>
          <w:szCs w:val="24"/>
        </w:rPr>
      </w:pPr>
      <w:r w:rsidRPr="006144AB">
        <w:rPr>
          <w:rFonts w:ascii="Times New Roman" w:hAnsi="Times New Roman" w:cs="Times New Roman"/>
          <w:bCs/>
          <w:color w:val="0D0D0D" w:themeColor="text1" w:themeTint="F2"/>
          <w:spacing w:val="-2"/>
          <w:sz w:val="24"/>
          <w:szCs w:val="24"/>
        </w:rPr>
        <w:t xml:space="preserve">(1) 2017 yılında 100 birim olarak kabul edilen yurt içi satış miktarı endeksi 2018 yılında 94 birim ve </w:t>
      </w:r>
      <w:r w:rsidRPr="006144AB">
        <w:rPr>
          <w:rFonts w:ascii="Times New Roman" w:hAnsi="Times New Roman" w:cs="Times New Roman"/>
          <w:bCs/>
          <w:color w:val="0D0D0D" w:themeColor="text1" w:themeTint="F2"/>
          <w:sz w:val="24"/>
          <w:szCs w:val="24"/>
        </w:rPr>
        <w:t>2019 yılında 107 birim olurken, a</w:t>
      </w:r>
      <w:r w:rsidRPr="006144AB">
        <w:rPr>
          <w:rFonts w:ascii="Times New Roman" w:hAnsi="Times New Roman" w:cs="Times New Roman"/>
          <w:bCs/>
          <w:color w:val="0D0D0D" w:themeColor="text1" w:themeTint="F2"/>
          <w:spacing w:val="-2"/>
          <w:sz w:val="24"/>
          <w:szCs w:val="24"/>
        </w:rPr>
        <w:t xml:space="preserve">ynı dönemde yurt içi satış hasılası endeksi ise sırasıyla 100, 99 ve 110 birim olarak gerçekleşmiştir.  </w:t>
      </w:r>
    </w:p>
    <w:p w:rsidR="00282DFA" w:rsidRPr="006144AB" w:rsidRDefault="00282DFA" w:rsidP="00282DFA">
      <w:pPr>
        <w:tabs>
          <w:tab w:val="left" w:pos="360"/>
        </w:tabs>
        <w:spacing w:before="120" w:after="120"/>
        <w:jc w:val="both"/>
        <w:rPr>
          <w:rFonts w:ascii="Times New Roman" w:hAnsi="Times New Roman" w:cs="Times New Roman"/>
          <w:bCs/>
          <w:color w:val="0D0D0D" w:themeColor="text1" w:themeTint="F2"/>
          <w:spacing w:val="-2"/>
          <w:sz w:val="24"/>
          <w:szCs w:val="24"/>
          <w:u w:val="single"/>
        </w:rPr>
      </w:pPr>
      <w:r w:rsidRPr="006144AB">
        <w:rPr>
          <w:rFonts w:ascii="Times New Roman" w:hAnsi="Times New Roman" w:cs="Times New Roman"/>
          <w:bCs/>
          <w:color w:val="0D0D0D" w:themeColor="text1" w:themeTint="F2"/>
          <w:spacing w:val="-2"/>
          <w:sz w:val="24"/>
          <w:szCs w:val="24"/>
          <w:u w:val="single"/>
        </w:rPr>
        <w:t>c) Yurt İçi Fiyatlar</w:t>
      </w:r>
    </w:p>
    <w:p w:rsidR="00936F3D" w:rsidRDefault="00282DFA" w:rsidP="00282DFA">
      <w:pPr>
        <w:tabs>
          <w:tab w:val="left" w:pos="360"/>
        </w:tabs>
        <w:spacing w:before="120" w:after="120"/>
        <w:jc w:val="both"/>
        <w:rPr>
          <w:rFonts w:ascii="Times New Roman" w:hAnsi="Times New Roman" w:cs="Times New Roman"/>
          <w:bCs/>
          <w:color w:val="0D0D0D" w:themeColor="text1" w:themeTint="F2"/>
          <w:spacing w:val="-2"/>
          <w:sz w:val="24"/>
          <w:szCs w:val="24"/>
          <w:u w:val="single"/>
        </w:rPr>
      </w:pPr>
      <w:r w:rsidRPr="006144AB">
        <w:rPr>
          <w:rFonts w:ascii="Times New Roman" w:hAnsi="Times New Roman" w:cs="Times New Roman"/>
          <w:bCs/>
          <w:color w:val="0D0D0D" w:themeColor="text1" w:themeTint="F2"/>
          <w:spacing w:val="-2"/>
          <w:sz w:val="24"/>
          <w:szCs w:val="24"/>
        </w:rPr>
        <w:t xml:space="preserve">(1) </w:t>
      </w:r>
      <w:r w:rsidRPr="006144AB">
        <w:rPr>
          <w:rFonts w:ascii="Times New Roman" w:hAnsi="Times New Roman" w:cs="Times New Roman"/>
          <w:noProof/>
          <w:color w:val="0D0D0D" w:themeColor="text1" w:themeTint="F2"/>
          <w:sz w:val="24"/>
          <w:szCs w:val="24"/>
        </w:rPr>
        <w:t>Yerli üretim dalının</w:t>
      </w:r>
      <w:r w:rsidRPr="006144AB">
        <w:rPr>
          <w:rFonts w:ascii="Times New Roman" w:hAnsi="Times New Roman" w:cs="Times New Roman"/>
          <w:bCs/>
          <w:color w:val="0D0D0D" w:themeColor="text1" w:themeTint="F2"/>
          <w:spacing w:val="-2"/>
          <w:sz w:val="24"/>
          <w:szCs w:val="24"/>
        </w:rPr>
        <w:t xml:space="preserve"> soruşturma konusu ürün için yurt içi satış fiyatı endeksi 2017 yılında 100 birim, izleyen yıllarda ise sırasıyla 106 ve </w:t>
      </w:r>
      <w:r w:rsidRPr="006144AB">
        <w:rPr>
          <w:rFonts w:ascii="Times New Roman" w:hAnsi="Times New Roman" w:cs="Times New Roman"/>
          <w:bCs/>
          <w:color w:val="0D0D0D" w:themeColor="text1" w:themeTint="F2"/>
          <w:sz w:val="24"/>
          <w:szCs w:val="24"/>
        </w:rPr>
        <w:t xml:space="preserve">103 birim </w:t>
      </w:r>
      <w:r w:rsidRPr="006144AB">
        <w:rPr>
          <w:rFonts w:ascii="Times New Roman" w:hAnsi="Times New Roman" w:cs="Times New Roman"/>
          <w:bCs/>
          <w:color w:val="0D0D0D" w:themeColor="text1" w:themeTint="F2"/>
          <w:spacing w:val="-2"/>
          <w:sz w:val="24"/>
          <w:szCs w:val="24"/>
        </w:rPr>
        <w:t xml:space="preserve">olarak gerçekleşmiştir. </w:t>
      </w:r>
    </w:p>
    <w:p w:rsidR="00282DFA" w:rsidRPr="006144AB" w:rsidRDefault="00282DFA" w:rsidP="00282DFA">
      <w:pPr>
        <w:tabs>
          <w:tab w:val="left" w:pos="360"/>
        </w:tabs>
        <w:spacing w:before="120" w:after="120"/>
        <w:jc w:val="both"/>
        <w:rPr>
          <w:rFonts w:ascii="Times New Roman" w:hAnsi="Times New Roman" w:cs="Times New Roman"/>
          <w:bCs/>
          <w:color w:val="0D0D0D" w:themeColor="text1" w:themeTint="F2"/>
          <w:spacing w:val="-2"/>
          <w:sz w:val="24"/>
          <w:szCs w:val="24"/>
        </w:rPr>
      </w:pPr>
      <w:r w:rsidRPr="006144AB">
        <w:rPr>
          <w:rFonts w:ascii="Times New Roman" w:hAnsi="Times New Roman" w:cs="Times New Roman"/>
          <w:bCs/>
          <w:color w:val="0D0D0D" w:themeColor="text1" w:themeTint="F2"/>
          <w:spacing w:val="-2"/>
          <w:sz w:val="24"/>
          <w:szCs w:val="24"/>
          <w:u w:val="single"/>
        </w:rPr>
        <w:t>ç) İhracat</w:t>
      </w:r>
      <w:r w:rsidRPr="006144AB">
        <w:rPr>
          <w:rFonts w:ascii="Times New Roman" w:hAnsi="Times New Roman" w:cs="Times New Roman"/>
          <w:bCs/>
          <w:color w:val="0D0D0D" w:themeColor="text1" w:themeTint="F2"/>
          <w:spacing w:val="-2"/>
          <w:sz w:val="24"/>
          <w:szCs w:val="24"/>
        </w:rPr>
        <w:tab/>
      </w:r>
    </w:p>
    <w:p w:rsidR="00282DFA" w:rsidRPr="006144AB" w:rsidRDefault="00282DFA" w:rsidP="00282DFA">
      <w:pPr>
        <w:tabs>
          <w:tab w:val="left" w:pos="360"/>
        </w:tabs>
        <w:spacing w:before="120" w:after="120"/>
        <w:jc w:val="both"/>
        <w:rPr>
          <w:rFonts w:ascii="Times New Roman" w:hAnsi="Times New Roman" w:cs="Times New Roman"/>
          <w:bCs/>
          <w:color w:val="0D0D0D" w:themeColor="text1" w:themeTint="F2"/>
          <w:spacing w:val="-2"/>
          <w:sz w:val="24"/>
          <w:szCs w:val="24"/>
        </w:rPr>
      </w:pPr>
      <w:r w:rsidRPr="006144AB">
        <w:rPr>
          <w:rFonts w:ascii="Times New Roman" w:hAnsi="Times New Roman" w:cs="Times New Roman"/>
          <w:bCs/>
          <w:color w:val="0D0D0D" w:themeColor="text1" w:themeTint="F2"/>
          <w:spacing w:val="-2"/>
          <w:sz w:val="24"/>
          <w:szCs w:val="24"/>
        </w:rPr>
        <w:t xml:space="preserve">(1) </w:t>
      </w:r>
      <w:r w:rsidRPr="006144AB">
        <w:rPr>
          <w:rFonts w:ascii="Times New Roman" w:hAnsi="Times New Roman" w:cs="Times New Roman"/>
          <w:noProof/>
          <w:color w:val="0D0D0D" w:themeColor="text1" w:themeTint="F2"/>
          <w:sz w:val="24"/>
          <w:szCs w:val="24"/>
        </w:rPr>
        <w:t>Yerli üretim dalının</w:t>
      </w:r>
      <w:r w:rsidRPr="006144AB">
        <w:rPr>
          <w:rFonts w:ascii="Times New Roman" w:hAnsi="Times New Roman" w:cs="Times New Roman"/>
          <w:bCs/>
          <w:color w:val="0D0D0D" w:themeColor="text1" w:themeTint="F2"/>
          <w:spacing w:val="-2"/>
          <w:sz w:val="24"/>
          <w:szCs w:val="24"/>
        </w:rPr>
        <w:t xml:space="preserve"> ihracat miktar endeksi 2017 yılında 100 birim iken, 2018 yılında 37 birime ve </w:t>
      </w:r>
      <w:r w:rsidRPr="006144AB">
        <w:rPr>
          <w:rFonts w:ascii="Times New Roman" w:hAnsi="Times New Roman" w:cs="Times New Roman"/>
          <w:bCs/>
          <w:color w:val="0D0D0D" w:themeColor="text1" w:themeTint="F2"/>
          <w:sz w:val="24"/>
          <w:szCs w:val="24"/>
        </w:rPr>
        <w:t>2019 yılında</w:t>
      </w:r>
      <w:r w:rsidRPr="006144AB">
        <w:rPr>
          <w:rFonts w:ascii="Times New Roman" w:hAnsi="Times New Roman" w:cs="Times New Roman"/>
          <w:bCs/>
          <w:color w:val="0D0D0D" w:themeColor="text1" w:themeTint="F2"/>
          <w:spacing w:val="-2"/>
          <w:sz w:val="24"/>
          <w:szCs w:val="24"/>
        </w:rPr>
        <w:t xml:space="preserve"> ise 20 birime gerilemiştir.   </w:t>
      </w:r>
    </w:p>
    <w:p w:rsidR="00282DFA" w:rsidRPr="006144AB" w:rsidRDefault="00282DFA" w:rsidP="00282DFA">
      <w:pPr>
        <w:tabs>
          <w:tab w:val="left" w:pos="360"/>
        </w:tabs>
        <w:spacing w:before="120" w:after="120"/>
        <w:jc w:val="both"/>
        <w:rPr>
          <w:rFonts w:ascii="Times New Roman" w:hAnsi="Times New Roman" w:cs="Times New Roman"/>
          <w:bCs/>
          <w:color w:val="0D0D0D" w:themeColor="text1" w:themeTint="F2"/>
          <w:spacing w:val="-2"/>
          <w:sz w:val="24"/>
          <w:szCs w:val="24"/>
        </w:rPr>
      </w:pPr>
      <w:r w:rsidRPr="006144AB">
        <w:rPr>
          <w:rFonts w:ascii="Times New Roman" w:hAnsi="Times New Roman" w:cs="Times New Roman"/>
          <w:bCs/>
          <w:color w:val="0D0D0D" w:themeColor="text1" w:themeTint="F2"/>
          <w:spacing w:val="-2"/>
          <w:sz w:val="24"/>
          <w:szCs w:val="24"/>
          <w:u w:val="single"/>
        </w:rPr>
        <w:t>d) Pazar Payı</w:t>
      </w:r>
      <w:r w:rsidRPr="006144AB">
        <w:rPr>
          <w:rFonts w:ascii="Times New Roman" w:hAnsi="Times New Roman" w:cs="Times New Roman"/>
          <w:bCs/>
          <w:color w:val="0D0D0D" w:themeColor="text1" w:themeTint="F2"/>
          <w:spacing w:val="-2"/>
          <w:sz w:val="24"/>
          <w:szCs w:val="24"/>
        </w:rPr>
        <w:tab/>
      </w:r>
    </w:p>
    <w:p w:rsidR="00282DFA" w:rsidRPr="006144AB" w:rsidRDefault="00282DFA" w:rsidP="00282DFA">
      <w:pPr>
        <w:tabs>
          <w:tab w:val="left" w:pos="360"/>
        </w:tabs>
        <w:spacing w:before="120" w:after="120"/>
        <w:jc w:val="both"/>
        <w:rPr>
          <w:rFonts w:ascii="Times New Roman" w:hAnsi="Times New Roman" w:cs="Times New Roman"/>
          <w:bCs/>
          <w:color w:val="0D0D0D" w:themeColor="text1" w:themeTint="F2"/>
          <w:spacing w:val="-2"/>
          <w:sz w:val="24"/>
          <w:szCs w:val="24"/>
        </w:rPr>
      </w:pPr>
      <w:r w:rsidRPr="006144AB">
        <w:rPr>
          <w:rFonts w:ascii="Times New Roman" w:hAnsi="Times New Roman" w:cs="Times New Roman"/>
          <w:bCs/>
          <w:color w:val="0D0D0D" w:themeColor="text1" w:themeTint="F2"/>
          <w:spacing w:val="-2"/>
          <w:sz w:val="24"/>
          <w:szCs w:val="24"/>
        </w:rPr>
        <w:t xml:space="preserve">(1) </w:t>
      </w:r>
      <w:r w:rsidRPr="006144AB">
        <w:rPr>
          <w:rFonts w:ascii="Times New Roman" w:hAnsi="Times New Roman" w:cs="Times New Roman"/>
          <w:noProof/>
          <w:color w:val="0D0D0D" w:themeColor="text1" w:themeTint="F2"/>
          <w:sz w:val="24"/>
          <w:szCs w:val="24"/>
        </w:rPr>
        <w:t>Yerli üretim dalının</w:t>
      </w:r>
      <w:r w:rsidRPr="006144AB">
        <w:rPr>
          <w:rFonts w:ascii="Times New Roman" w:hAnsi="Times New Roman" w:cs="Times New Roman"/>
          <w:bCs/>
          <w:color w:val="0D0D0D" w:themeColor="text1" w:themeTint="F2"/>
          <w:spacing w:val="-2"/>
          <w:sz w:val="24"/>
          <w:szCs w:val="24"/>
        </w:rPr>
        <w:t xml:space="preserve"> pazar payı endeksi gözden geçirme döneminde sırasıyla 100, 120 ve </w:t>
      </w:r>
      <w:r w:rsidRPr="006144AB">
        <w:rPr>
          <w:rFonts w:ascii="Times New Roman" w:hAnsi="Times New Roman" w:cs="Times New Roman"/>
          <w:bCs/>
          <w:color w:val="0D0D0D" w:themeColor="text1" w:themeTint="F2"/>
          <w:sz w:val="24"/>
          <w:szCs w:val="24"/>
        </w:rPr>
        <w:t>106 birim olarak gerçekleşmiştir.</w:t>
      </w:r>
    </w:p>
    <w:p w:rsidR="00282DFA" w:rsidRPr="006144AB" w:rsidRDefault="00282DFA" w:rsidP="00282DFA">
      <w:pPr>
        <w:tabs>
          <w:tab w:val="left" w:pos="360"/>
        </w:tabs>
        <w:spacing w:before="120" w:after="120"/>
        <w:jc w:val="both"/>
        <w:rPr>
          <w:rFonts w:ascii="Times New Roman" w:hAnsi="Times New Roman" w:cs="Times New Roman"/>
          <w:bCs/>
          <w:color w:val="0D0D0D" w:themeColor="text1" w:themeTint="F2"/>
          <w:spacing w:val="-2"/>
          <w:sz w:val="24"/>
          <w:szCs w:val="24"/>
        </w:rPr>
      </w:pPr>
      <w:r w:rsidRPr="006144AB">
        <w:rPr>
          <w:rFonts w:ascii="Times New Roman" w:hAnsi="Times New Roman" w:cs="Times New Roman"/>
          <w:bCs/>
          <w:color w:val="0D0D0D" w:themeColor="text1" w:themeTint="F2"/>
          <w:spacing w:val="-2"/>
          <w:sz w:val="24"/>
          <w:szCs w:val="24"/>
          <w:u w:val="single"/>
        </w:rPr>
        <w:t>e) Maliyet</w:t>
      </w:r>
      <w:r w:rsidRPr="006144AB">
        <w:rPr>
          <w:rFonts w:ascii="Times New Roman" w:hAnsi="Times New Roman" w:cs="Times New Roman"/>
          <w:bCs/>
          <w:color w:val="0D0D0D" w:themeColor="text1" w:themeTint="F2"/>
          <w:spacing w:val="-2"/>
          <w:sz w:val="24"/>
          <w:szCs w:val="24"/>
        </w:rPr>
        <w:tab/>
      </w:r>
    </w:p>
    <w:p w:rsidR="00282DFA" w:rsidRDefault="00282DFA" w:rsidP="00282DFA">
      <w:pPr>
        <w:tabs>
          <w:tab w:val="left" w:pos="360"/>
        </w:tabs>
        <w:spacing w:before="120" w:after="120"/>
        <w:jc w:val="both"/>
        <w:rPr>
          <w:rFonts w:ascii="Times New Roman" w:hAnsi="Times New Roman" w:cs="Times New Roman"/>
          <w:bCs/>
          <w:color w:val="0D0D0D" w:themeColor="text1" w:themeTint="F2"/>
          <w:spacing w:val="-2"/>
          <w:sz w:val="24"/>
          <w:szCs w:val="24"/>
        </w:rPr>
      </w:pPr>
      <w:r w:rsidRPr="006144AB">
        <w:rPr>
          <w:rFonts w:ascii="Times New Roman" w:hAnsi="Times New Roman" w:cs="Times New Roman"/>
          <w:bCs/>
          <w:color w:val="0D0D0D" w:themeColor="text1" w:themeTint="F2"/>
          <w:spacing w:val="-2"/>
          <w:sz w:val="24"/>
          <w:szCs w:val="24"/>
        </w:rPr>
        <w:t xml:space="preserve">(1) </w:t>
      </w:r>
      <w:r w:rsidRPr="006144AB">
        <w:rPr>
          <w:rFonts w:ascii="Times New Roman" w:hAnsi="Times New Roman" w:cs="Times New Roman"/>
          <w:noProof/>
          <w:color w:val="0D0D0D" w:themeColor="text1" w:themeTint="F2"/>
          <w:sz w:val="24"/>
          <w:szCs w:val="24"/>
        </w:rPr>
        <w:t>Yerli üretim dalının</w:t>
      </w:r>
      <w:r w:rsidRPr="006144AB">
        <w:rPr>
          <w:rFonts w:ascii="Times New Roman" w:hAnsi="Times New Roman" w:cs="Times New Roman"/>
          <w:bCs/>
          <w:color w:val="0D0D0D" w:themeColor="text1" w:themeTint="F2"/>
          <w:spacing w:val="-2"/>
          <w:sz w:val="24"/>
          <w:szCs w:val="24"/>
        </w:rPr>
        <w:t xml:space="preserve"> soruşturma konusu ürün için 2017 yılında reel olarak 100 birim kabul edilen birim ticari maliyet endeksi 2018 ve 2019 yıllarında 106 birim ve 104 birim olmuştur. </w:t>
      </w:r>
    </w:p>
    <w:p w:rsidR="006351D5" w:rsidRPr="006144AB" w:rsidRDefault="006351D5" w:rsidP="00282DFA">
      <w:pPr>
        <w:tabs>
          <w:tab w:val="left" w:pos="360"/>
        </w:tabs>
        <w:spacing w:before="120" w:after="120"/>
        <w:jc w:val="both"/>
        <w:rPr>
          <w:rFonts w:ascii="Times New Roman" w:hAnsi="Times New Roman" w:cs="Times New Roman"/>
          <w:bCs/>
          <w:color w:val="0D0D0D" w:themeColor="text1" w:themeTint="F2"/>
          <w:spacing w:val="-2"/>
          <w:sz w:val="24"/>
          <w:szCs w:val="24"/>
        </w:rPr>
      </w:pPr>
    </w:p>
    <w:p w:rsidR="00282DFA" w:rsidRPr="006144AB" w:rsidRDefault="00282DFA" w:rsidP="00282DFA">
      <w:pPr>
        <w:tabs>
          <w:tab w:val="left" w:pos="360"/>
        </w:tabs>
        <w:spacing w:before="120" w:after="120"/>
        <w:jc w:val="both"/>
        <w:rPr>
          <w:rFonts w:ascii="Times New Roman" w:hAnsi="Times New Roman" w:cs="Times New Roman"/>
          <w:bCs/>
          <w:color w:val="0D0D0D" w:themeColor="text1" w:themeTint="F2"/>
          <w:spacing w:val="-2"/>
          <w:sz w:val="24"/>
          <w:szCs w:val="24"/>
        </w:rPr>
      </w:pPr>
      <w:r w:rsidRPr="006144AB">
        <w:rPr>
          <w:rFonts w:ascii="Times New Roman" w:hAnsi="Times New Roman" w:cs="Times New Roman"/>
          <w:bCs/>
          <w:color w:val="0D0D0D" w:themeColor="text1" w:themeTint="F2"/>
          <w:spacing w:val="-2"/>
          <w:sz w:val="24"/>
          <w:szCs w:val="24"/>
          <w:u w:val="single"/>
        </w:rPr>
        <w:lastRenderedPageBreak/>
        <w:t xml:space="preserve">f) Karlılık </w:t>
      </w:r>
      <w:r w:rsidRPr="006144AB">
        <w:rPr>
          <w:rFonts w:ascii="Times New Roman" w:hAnsi="Times New Roman" w:cs="Times New Roman"/>
          <w:bCs/>
          <w:color w:val="0D0D0D" w:themeColor="text1" w:themeTint="F2"/>
          <w:spacing w:val="-2"/>
          <w:sz w:val="24"/>
          <w:szCs w:val="24"/>
        </w:rPr>
        <w:tab/>
      </w:r>
    </w:p>
    <w:p w:rsidR="00282DFA" w:rsidRPr="006144AB" w:rsidRDefault="00282DFA" w:rsidP="00282DFA">
      <w:pPr>
        <w:tabs>
          <w:tab w:val="left" w:pos="360"/>
        </w:tabs>
        <w:spacing w:before="120" w:after="120"/>
        <w:jc w:val="both"/>
        <w:rPr>
          <w:rFonts w:ascii="Times New Roman" w:hAnsi="Times New Roman" w:cs="Times New Roman"/>
          <w:bCs/>
          <w:color w:val="0D0D0D" w:themeColor="text1" w:themeTint="F2"/>
          <w:spacing w:val="-2"/>
          <w:sz w:val="24"/>
          <w:szCs w:val="24"/>
        </w:rPr>
      </w:pPr>
      <w:r w:rsidRPr="006144AB">
        <w:rPr>
          <w:rFonts w:ascii="Times New Roman" w:hAnsi="Times New Roman" w:cs="Times New Roman"/>
          <w:bCs/>
          <w:color w:val="0D0D0D" w:themeColor="text1" w:themeTint="F2"/>
          <w:spacing w:val="-2"/>
          <w:sz w:val="24"/>
          <w:szCs w:val="24"/>
        </w:rPr>
        <w:t xml:space="preserve">(1) </w:t>
      </w:r>
      <w:r w:rsidRPr="006144AB">
        <w:rPr>
          <w:rFonts w:ascii="Times New Roman" w:hAnsi="Times New Roman" w:cs="Times New Roman"/>
          <w:noProof/>
          <w:color w:val="0D0D0D" w:themeColor="text1" w:themeTint="F2"/>
          <w:sz w:val="24"/>
          <w:szCs w:val="24"/>
        </w:rPr>
        <w:t>Yerli üretim dalının</w:t>
      </w:r>
      <w:r w:rsidRPr="006144AB">
        <w:rPr>
          <w:rFonts w:ascii="Times New Roman" w:hAnsi="Times New Roman" w:cs="Times New Roman"/>
          <w:bCs/>
          <w:color w:val="0D0D0D" w:themeColor="text1" w:themeTint="F2"/>
          <w:spacing w:val="-2"/>
          <w:sz w:val="24"/>
          <w:szCs w:val="24"/>
        </w:rPr>
        <w:t xml:space="preserve"> yurt içi satışlardan elde ettiği birim karlılık endeksi 2017 yılında -100 birim, 2018 yılında -109 ve 2019 yılında -123 birim seviyesindedir. Toplam satışlardan elde edilen birim karlılık ise gözden geçirme döneminde sırasıyla -100, -95 ve -105 birim olarak gerçekleşmiştir.</w:t>
      </w:r>
    </w:p>
    <w:p w:rsidR="00282DFA" w:rsidRPr="006144AB" w:rsidRDefault="00282DFA" w:rsidP="00282DFA">
      <w:pPr>
        <w:tabs>
          <w:tab w:val="left" w:pos="360"/>
        </w:tabs>
        <w:spacing w:before="120" w:after="120"/>
        <w:jc w:val="both"/>
        <w:rPr>
          <w:rFonts w:ascii="Times New Roman" w:hAnsi="Times New Roman" w:cs="Times New Roman"/>
          <w:bCs/>
          <w:color w:val="0D0D0D" w:themeColor="text1" w:themeTint="F2"/>
          <w:spacing w:val="-2"/>
          <w:sz w:val="24"/>
          <w:szCs w:val="24"/>
        </w:rPr>
      </w:pPr>
      <w:r w:rsidRPr="006144AB">
        <w:rPr>
          <w:rFonts w:ascii="Times New Roman" w:hAnsi="Times New Roman" w:cs="Times New Roman"/>
          <w:bCs/>
          <w:color w:val="0D0D0D" w:themeColor="text1" w:themeTint="F2"/>
          <w:spacing w:val="-2"/>
          <w:sz w:val="24"/>
          <w:szCs w:val="24"/>
          <w:u w:val="single"/>
        </w:rPr>
        <w:t>g) Stoklar</w:t>
      </w:r>
      <w:r w:rsidRPr="006144AB">
        <w:rPr>
          <w:rFonts w:ascii="Times New Roman" w:hAnsi="Times New Roman" w:cs="Times New Roman"/>
          <w:bCs/>
          <w:color w:val="0D0D0D" w:themeColor="text1" w:themeTint="F2"/>
          <w:spacing w:val="-2"/>
          <w:sz w:val="24"/>
          <w:szCs w:val="24"/>
        </w:rPr>
        <w:tab/>
      </w:r>
    </w:p>
    <w:p w:rsidR="00282DFA" w:rsidRPr="006144AB" w:rsidRDefault="00282DFA" w:rsidP="00282DFA">
      <w:pPr>
        <w:tabs>
          <w:tab w:val="left" w:pos="360"/>
        </w:tabs>
        <w:spacing w:before="120" w:after="120"/>
        <w:jc w:val="both"/>
        <w:rPr>
          <w:rFonts w:ascii="Times New Roman" w:hAnsi="Times New Roman" w:cs="Times New Roman"/>
          <w:bCs/>
          <w:color w:val="0D0D0D" w:themeColor="text1" w:themeTint="F2"/>
          <w:spacing w:val="-2"/>
          <w:sz w:val="24"/>
          <w:szCs w:val="24"/>
        </w:rPr>
      </w:pPr>
      <w:r w:rsidRPr="006144AB">
        <w:rPr>
          <w:rFonts w:ascii="Times New Roman" w:hAnsi="Times New Roman" w:cs="Times New Roman"/>
          <w:bCs/>
          <w:color w:val="0D0D0D" w:themeColor="text1" w:themeTint="F2"/>
          <w:spacing w:val="-2"/>
          <w:sz w:val="24"/>
          <w:szCs w:val="24"/>
        </w:rPr>
        <w:t xml:space="preserve">(1) </w:t>
      </w:r>
      <w:r w:rsidRPr="006144AB">
        <w:rPr>
          <w:rFonts w:ascii="Times New Roman" w:hAnsi="Times New Roman" w:cs="Times New Roman"/>
          <w:noProof/>
          <w:color w:val="0D0D0D" w:themeColor="text1" w:themeTint="F2"/>
          <w:sz w:val="24"/>
          <w:szCs w:val="24"/>
        </w:rPr>
        <w:t>Yerli üretim dalının</w:t>
      </w:r>
      <w:r w:rsidRPr="006144AB">
        <w:rPr>
          <w:rFonts w:ascii="Times New Roman" w:hAnsi="Times New Roman" w:cs="Times New Roman"/>
          <w:bCs/>
          <w:color w:val="0D0D0D" w:themeColor="text1" w:themeTint="F2"/>
          <w:spacing w:val="-2"/>
          <w:sz w:val="24"/>
          <w:szCs w:val="24"/>
        </w:rPr>
        <w:t xml:space="preserve"> 2017 yılında 100 birim olan dönem sonu stok miktarı endeksi, 2018 yılında 246 birim, </w:t>
      </w:r>
      <w:r w:rsidRPr="006144AB">
        <w:rPr>
          <w:rFonts w:ascii="Times New Roman" w:hAnsi="Times New Roman" w:cs="Times New Roman"/>
          <w:bCs/>
          <w:color w:val="0D0D0D" w:themeColor="text1" w:themeTint="F2"/>
          <w:sz w:val="24"/>
          <w:szCs w:val="24"/>
        </w:rPr>
        <w:t>2019 yılında</w:t>
      </w:r>
      <w:r w:rsidRPr="006144AB">
        <w:rPr>
          <w:rFonts w:ascii="Times New Roman" w:hAnsi="Times New Roman" w:cs="Times New Roman"/>
          <w:bCs/>
          <w:color w:val="0D0D0D" w:themeColor="text1" w:themeTint="F2"/>
          <w:spacing w:val="-2"/>
          <w:sz w:val="24"/>
          <w:szCs w:val="24"/>
        </w:rPr>
        <w:t xml:space="preserve"> ise 187 birim seviyesindedir. </w:t>
      </w:r>
    </w:p>
    <w:p w:rsidR="00282DFA" w:rsidRPr="006144AB" w:rsidRDefault="00282DFA" w:rsidP="00282DFA">
      <w:pPr>
        <w:tabs>
          <w:tab w:val="left" w:pos="360"/>
        </w:tabs>
        <w:spacing w:before="120" w:after="120"/>
        <w:jc w:val="both"/>
        <w:rPr>
          <w:rFonts w:ascii="Times New Roman" w:hAnsi="Times New Roman" w:cs="Times New Roman"/>
          <w:bCs/>
          <w:color w:val="0D0D0D" w:themeColor="text1" w:themeTint="F2"/>
          <w:spacing w:val="-2"/>
          <w:sz w:val="24"/>
          <w:szCs w:val="24"/>
        </w:rPr>
      </w:pPr>
      <w:r w:rsidRPr="006144AB">
        <w:rPr>
          <w:rFonts w:ascii="Times New Roman" w:hAnsi="Times New Roman" w:cs="Times New Roman"/>
          <w:bCs/>
          <w:color w:val="0D0D0D" w:themeColor="text1" w:themeTint="F2"/>
          <w:spacing w:val="-2"/>
          <w:sz w:val="24"/>
          <w:szCs w:val="24"/>
          <w:u w:val="single"/>
        </w:rPr>
        <w:t>ğ) İstihdam</w:t>
      </w:r>
      <w:r w:rsidRPr="006144AB">
        <w:rPr>
          <w:rFonts w:ascii="Times New Roman" w:hAnsi="Times New Roman" w:cs="Times New Roman"/>
          <w:bCs/>
          <w:color w:val="0D0D0D" w:themeColor="text1" w:themeTint="F2"/>
          <w:spacing w:val="-2"/>
          <w:sz w:val="24"/>
          <w:szCs w:val="24"/>
        </w:rPr>
        <w:tab/>
      </w:r>
    </w:p>
    <w:p w:rsidR="00282DFA" w:rsidRPr="006144AB" w:rsidRDefault="00282DFA" w:rsidP="00282DFA">
      <w:pPr>
        <w:tabs>
          <w:tab w:val="left" w:pos="360"/>
        </w:tabs>
        <w:spacing w:before="120" w:after="120"/>
        <w:jc w:val="both"/>
        <w:rPr>
          <w:rFonts w:ascii="Times New Roman" w:hAnsi="Times New Roman" w:cs="Times New Roman"/>
          <w:bCs/>
          <w:color w:val="0D0D0D" w:themeColor="text1" w:themeTint="F2"/>
          <w:sz w:val="24"/>
          <w:szCs w:val="24"/>
        </w:rPr>
      </w:pPr>
      <w:r w:rsidRPr="006144AB">
        <w:rPr>
          <w:rFonts w:ascii="Times New Roman" w:hAnsi="Times New Roman" w:cs="Times New Roman"/>
          <w:bCs/>
          <w:color w:val="0D0D0D" w:themeColor="text1" w:themeTint="F2"/>
          <w:spacing w:val="-2"/>
          <w:sz w:val="24"/>
          <w:szCs w:val="24"/>
        </w:rPr>
        <w:t xml:space="preserve">(1) </w:t>
      </w:r>
      <w:r w:rsidRPr="006144AB">
        <w:rPr>
          <w:rFonts w:ascii="Times New Roman" w:hAnsi="Times New Roman" w:cs="Times New Roman"/>
          <w:noProof/>
          <w:color w:val="0D0D0D" w:themeColor="text1" w:themeTint="F2"/>
          <w:sz w:val="24"/>
          <w:szCs w:val="24"/>
        </w:rPr>
        <w:t>Yerli üretim dalının</w:t>
      </w:r>
      <w:r w:rsidRPr="006144AB">
        <w:rPr>
          <w:rFonts w:ascii="Times New Roman" w:hAnsi="Times New Roman" w:cs="Times New Roman"/>
          <w:bCs/>
          <w:color w:val="0D0D0D" w:themeColor="text1" w:themeTint="F2"/>
          <w:spacing w:val="-2"/>
          <w:sz w:val="24"/>
          <w:szCs w:val="24"/>
        </w:rPr>
        <w:t xml:space="preserve"> 2017 yılında 100 birim olarak kabul edilen soruşturma konusu ürün üretiminde çalışan doğrudan işçi sayısı endeksi, izleyen yıllarda 92 ve 91</w:t>
      </w:r>
      <w:r w:rsidRPr="006144AB">
        <w:rPr>
          <w:rFonts w:ascii="Times New Roman" w:hAnsi="Times New Roman" w:cs="Times New Roman"/>
          <w:bCs/>
          <w:color w:val="0D0D0D" w:themeColor="text1" w:themeTint="F2"/>
          <w:sz w:val="24"/>
          <w:szCs w:val="24"/>
        </w:rPr>
        <w:t xml:space="preserve"> birim olmuştur.</w:t>
      </w:r>
    </w:p>
    <w:p w:rsidR="00282DFA" w:rsidRPr="006144AB" w:rsidRDefault="00282DFA" w:rsidP="00282DFA">
      <w:pPr>
        <w:tabs>
          <w:tab w:val="left" w:pos="360"/>
        </w:tabs>
        <w:spacing w:before="120" w:after="120"/>
        <w:jc w:val="both"/>
        <w:rPr>
          <w:rFonts w:ascii="Times New Roman" w:hAnsi="Times New Roman" w:cs="Times New Roman"/>
          <w:bCs/>
          <w:color w:val="0D0D0D" w:themeColor="text1" w:themeTint="F2"/>
          <w:spacing w:val="-2"/>
          <w:sz w:val="24"/>
          <w:szCs w:val="24"/>
        </w:rPr>
      </w:pPr>
      <w:r w:rsidRPr="006144AB">
        <w:rPr>
          <w:rFonts w:ascii="Times New Roman" w:hAnsi="Times New Roman" w:cs="Times New Roman"/>
          <w:bCs/>
          <w:color w:val="0D0D0D" w:themeColor="text1" w:themeTint="F2"/>
          <w:spacing w:val="-2"/>
          <w:sz w:val="24"/>
          <w:szCs w:val="24"/>
          <w:u w:val="single"/>
        </w:rPr>
        <w:t>h) Ücretler</w:t>
      </w:r>
      <w:r w:rsidRPr="006144AB">
        <w:rPr>
          <w:rFonts w:ascii="Times New Roman" w:hAnsi="Times New Roman" w:cs="Times New Roman"/>
          <w:bCs/>
          <w:color w:val="0D0D0D" w:themeColor="text1" w:themeTint="F2"/>
          <w:spacing w:val="-2"/>
          <w:sz w:val="24"/>
          <w:szCs w:val="24"/>
        </w:rPr>
        <w:tab/>
      </w:r>
    </w:p>
    <w:p w:rsidR="00282DFA" w:rsidRPr="006144AB" w:rsidRDefault="00282DFA" w:rsidP="00282DFA">
      <w:pPr>
        <w:tabs>
          <w:tab w:val="left" w:pos="360"/>
        </w:tabs>
        <w:spacing w:before="120" w:after="120"/>
        <w:jc w:val="both"/>
        <w:rPr>
          <w:rFonts w:ascii="Times New Roman" w:hAnsi="Times New Roman" w:cs="Times New Roman"/>
          <w:bCs/>
          <w:color w:val="0D0D0D" w:themeColor="text1" w:themeTint="F2"/>
          <w:spacing w:val="-2"/>
          <w:sz w:val="24"/>
          <w:szCs w:val="24"/>
        </w:rPr>
      </w:pPr>
      <w:r w:rsidRPr="006144AB">
        <w:rPr>
          <w:rFonts w:ascii="Times New Roman" w:hAnsi="Times New Roman" w:cs="Times New Roman"/>
          <w:bCs/>
          <w:color w:val="0D0D0D" w:themeColor="text1" w:themeTint="F2"/>
          <w:spacing w:val="-2"/>
          <w:sz w:val="24"/>
          <w:szCs w:val="24"/>
        </w:rPr>
        <w:t xml:space="preserve">(1) </w:t>
      </w:r>
      <w:r w:rsidRPr="006144AB">
        <w:rPr>
          <w:rFonts w:ascii="Times New Roman" w:hAnsi="Times New Roman" w:cs="Times New Roman"/>
          <w:noProof/>
          <w:color w:val="0D0D0D" w:themeColor="text1" w:themeTint="F2"/>
          <w:sz w:val="24"/>
          <w:szCs w:val="24"/>
        </w:rPr>
        <w:t>Soruşturma konusu ürün üretiminde çalışan</w:t>
      </w:r>
      <w:r w:rsidRPr="006144AB">
        <w:rPr>
          <w:rFonts w:ascii="Times New Roman" w:hAnsi="Times New Roman" w:cs="Times New Roman"/>
          <w:bCs/>
          <w:color w:val="0D0D0D" w:themeColor="text1" w:themeTint="F2"/>
          <w:spacing w:val="-2"/>
          <w:sz w:val="24"/>
          <w:szCs w:val="24"/>
        </w:rPr>
        <w:t xml:space="preserve"> işçilerin aylık ortalama ücret endeksi 2017 yılında 100 birim, 2018 yılında 83 birim ve </w:t>
      </w:r>
      <w:r w:rsidRPr="006144AB">
        <w:rPr>
          <w:rFonts w:ascii="Times New Roman" w:hAnsi="Times New Roman" w:cs="Times New Roman"/>
          <w:bCs/>
          <w:color w:val="0D0D0D" w:themeColor="text1" w:themeTint="F2"/>
          <w:sz w:val="24"/>
          <w:szCs w:val="24"/>
        </w:rPr>
        <w:t>2019 yılında</w:t>
      </w:r>
      <w:r w:rsidRPr="006144AB">
        <w:rPr>
          <w:rFonts w:ascii="Times New Roman" w:hAnsi="Times New Roman" w:cs="Times New Roman"/>
          <w:bCs/>
          <w:color w:val="0D0D0D" w:themeColor="text1" w:themeTint="F2"/>
          <w:spacing w:val="-2"/>
          <w:sz w:val="24"/>
          <w:szCs w:val="24"/>
        </w:rPr>
        <w:t xml:space="preserve"> ise 84 seviyesinde gerçekleşmiştir.       </w:t>
      </w:r>
    </w:p>
    <w:p w:rsidR="00282DFA" w:rsidRPr="006144AB" w:rsidRDefault="00282DFA" w:rsidP="00282DFA">
      <w:pPr>
        <w:tabs>
          <w:tab w:val="left" w:pos="360"/>
        </w:tabs>
        <w:spacing w:before="120" w:after="120"/>
        <w:jc w:val="both"/>
        <w:rPr>
          <w:rFonts w:ascii="Times New Roman" w:hAnsi="Times New Roman" w:cs="Times New Roman"/>
          <w:bCs/>
          <w:color w:val="0D0D0D" w:themeColor="text1" w:themeTint="F2"/>
          <w:spacing w:val="-2"/>
          <w:sz w:val="24"/>
          <w:szCs w:val="24"/>
        </w:rPr>
      </w:pPr>
      <w:r w:rsidRPr="006144AB">
        <w:rPr>
          <w:rFonts w:ascii="Times New Roman" w:hAnsi="Times New Roman" w:cs="Times New Roman"/>
          <w:bCs/>
          <w:color w:val="0D0D0D" w:themeColor="text1" w:themeTint="F2"/>
          <w:spacing w:val="-2"/>
          <w:sz w:val="24"/>
          <w:szCs w:val="24"/>
          <w:u w:val="single"/>
        </w:rPr>
        <w:t>ı) Verimlilik</w:t>
      </w:r>
      <w:r w:rsidRPr="006144AB">
        <w:rPr>
          <w:rFonts w:ascii="Times New Roman" w:hAnsi="Times New Roman" w:cs="Times New Roman"/>
          <w:bCs/>
          <w:color w:val="0D0D0D" w:themeColor="text1" w:themeTint="F2"/>
          <w:spacing w:val="-2"/>
          <w:sz w:val="24"/>
          <w:szCs w:val="24"/>
        </w:rPr>
        <w:tab/>
      </w:r>
    </w:p>
    <w:p w:rsidR="00282DFA" w:rsidRPr="006144AB" w:rsidRDefault="00282DFA" w:rsidP="00282DFA">
      <w:pPr>
        <w:tabs>
          <w:tab w:val="left" w:pos="360"/>
        </w:tabs>
        <w:spacing w:before="120" w:after="120"/>
        <w:jc w:val="both"/>
        <w:rPr>
          <w:rFonts w:ascii="Times New Roman" w:hAnsi="Times New Roman" w:cs="Times New Roman"/>
          <w:bCs/>
          <w:color w:val="0D0D0D" w:themeColor="text1" w:themeTint="F2"/>
          <w:sz w:val="24"/>
          <w:szCs w:val="24"/>
        </w:rPr>
      </w:pPr>
      <w:r w:rsidRPr="006144AB">
        <w:rPr>
          <w:rFonts w:ascii="Times New Roman" w:hAnsi="Times New Roman" w:cs="Times New Roman"/>
          <w:bCs/>
          <w:color w:val="0D0D0D" w:themeColor="text1" w:themeTint="F2"/>
          <w:spacing w:val="-2"/>
          <w:sz w:val="24"/>
          <w:szCs w:val="24"/>
        </w:rPr>
        <w:t xml:space="preserve">(1) Soruşturma konusu ürün üretimde çalışan işçi başına düşen üretim miktarını gösteren verimlilik endeksi, 2017 yılında 100 birim iken 2018 ve 2019 yıllarında 109 birim ve </w:t>
      </w:r>
      <w:r w:rsidRPr="006144AB">
        <w:rPr>
          <w:rFonts w:ascii="Times New Roman" w:hAnsi="Times New Roman" w:cs="Times New Roman"/>
          <w:bCs/>
          <w:color w:val="0D0D0D" w:themeColor="text1" w:themeTint="F2"/>
          <w:sz w:val="24"/>
          <w:szCs w:val="24"/>
        </w:rPr>
        <w:t>124 birim olmuştur.</w:t>
      </w:r>
    </w:p>
    <w:p w:rsidR="00282DFA" w:rsidRPr="006144AB" w:rsidRDefault="00282DFA" w:rsidP="00282DFA">
      <w:pPr>
        <w:tabs>
          <w:tab w:val="left" w:pos="360"/>
        </w:tabs>
        <w:spacing w:before="120" w:after="120"/>
        <w:jc w:val="both"/>
        <w:rPr>
          <w:rFonts w:ascii="Times New Roman" w:hAnsi="Times New Roman" w:cs="Times New Roman"/>
          <w:bCs/>
          <w:color w:val="0D0D0D" w:themeColor="text1" w:themeTint="F2"/>
          <w:spacing w:val="-2"/>
          <w:sz w:val="24"/>
          <w:szCs w:val="24"/>
        </w:rPr>
      </w:pPr>
      <w:r w:rsidRPr="006144AB">
        <w:rPr>
          <w:rFonts w:ascii="Times New Roman" w:hAnsi="Times New Roman" w:cs="Times New Roman"/>
          <w:bCs/>
          <w:color w:val="0D0D0D" w:themeColor="text1" w:themeTint="F2"/>
          <w:spacing w:val="-2"/>
          <w:sz w:val="24"/>
          <w:szCs w:val="24"/>
          <w:u w:val="single"/>
        </w:rPr>
        <w:t xml:space="preserve">i) Nakit Akışı </w:t>
      </w:r>
      <w:r w:rsidRPr="006144AB">
        <w:rPr>
          <w:rFonts w:ascii="Times New Roman" w:hAnsi="Times New Roman" w:cs="Times New Roman"/>
          <w:bCs/>
          <w:color w:val="0D0D0D" w:themeColor="text1" w:themeTint="F2"/>
          <w:spacing w:val="-2"/>
          <w:sz w:val="24"/>
          <w:szCs w:val="24"/>
        </w:rPr>
        <w:tab/>
      </w:r>
    </w:p>
    <w:p w:rsidR="00282DFA" w:rsidRPr="006144AB" w:rsidRDefault="00282DFA" w:rsidP="00282DFA">
      <w:pPr>
        <w:tabs>
          <w:tab w:val="left" w:pos="360"/>
        </w:tabs>
        <w:spacing w:before="120" w:after="120"/>
        <w:jc w:val="both"/>
        <w:rPr>
          <w:rFonts w:ascii="Times New Roman" w:hAnsi="Times New Roman" w:cs="Times New Roman"/>
          <w:bCs/>
          <w:color w:val="0D0D0D" w:themeColor="text1" w:themeTint="F2"/>
          <w:spacing w:val="-2"/>
          <w:sz w:val="24"/>
          <w:szCs w:val="24"/>
        </w:rPr>
      </w:pPr>
      <w:r w:rsidRPr="006144AB">
        <w:rPr>
          <w:rFonts w:ascii="Times New Roman" w:hAnsi="Times New Roman" w:cs="Times New Roman"/>
          <w:bCs/>
          <w:color w:val="0D0D0D" w:themeColor="text1" w:themeTint="F2"/>
          <w:spacing w:val="-2"/>
          <w:sz w:val="24"/>
          <w:szCs w:val="24"/>
        </w:rPr>
        <w:t xml:space="preserve">(1) </w:t>
      </w:r>
      <w:r w:rsidRPr="006144AB">
        <w:rPr>
          <w:rFonts w:ascii="Times New Roman" w:hAnsi="Times New Roman" w:cs="Times New Roman"/>
          <w:noProof/>
          <w:color w:val="0D0D0D" w:themeColor="text1" w:themeTint="F2"/>
          <w:sz w:val="24"/>
          <w:szCs w:val="24"/>
        </w:rPr>
        <w:t>Yerli üretim dalının</w:t>
      </w:r>
      <w:r w:rsidRPr="006144AB">
        <w:rPr>
          <w:rFonts w:ascii="Times New Roman" w:hAnsi="Times New Roman" w:cs="Times New Roman"/>
          <w:bCs/>
          <w:color w:val="0D0D0D" w:themeColor="text1" w:themeTint="F2"/>
          <w:spacing w:val="-2"/>
          <w:sz w:val="24"/>
          <w:szCs w:val="24"/>
        </w:rPr>
        <w:t xml:space="preserve"> soruşturma konusu ürün üretim ve satışı ile sağladığı nakit akışı endeksi, 2017-2019 yıllarında sırasıyla -100, -103 ve -125 birim olarak gerçekleşmiştir.</w:t>
      </w:r>
    </w:p>
    <w:p w:rsidR="00282DFA" w:rsidRPr="006144AB" w:rsidRDefault="00282DFA" w:rsidP="00282DFA">
      <w:pPr>
        <w:tabs>
          <w:tab w:val="left" w:pos="360"/>
        </w:tabs>
        <w:spacing w:before="120" w:after="120"/>
        <w:jc w:val="both"/>
        <w:rPr>
          <w:rFonts w:ascii="Times New Roman" w:hAnsi="Times New Roman" w:cs="Times New Roman"/>
          <w:bCs/>
          <w:color w:val="0D0D0D" w:themeColor="text1" w:themeTint="F2"/>
          <w:spacing w:val="-2"/>
          <w:sz w:val="24"/>
          <w:szCs w:val="24"/>
          <w:u w:val="single"/>
        </w:rPr>
      </w:pPr>
      <w:r w:rsidRPr="006144AB">
        <w:rPr>
          <w:rFonts w:ascii="Times New Roman" w:hAnsi="Times New Roman" w:cs="Times New Roman"/>
          <w:bCs/>
          <w:color w:val="0D0D0D" w:themeColor="text1" w:themeTint="F2"/>
          <w:spacing w:val="-2"/>
          <w:sz w:val="24"/>
          <w:szCs w:val="24"/>
          <w:u w:val="single"/>
        </w:rPr>
        <w:t>j) Büyüme</w:t>
      </w:r>
    </w:p>
    <w:p w:rsidR="00282DFA" w:rsidRPr="006144AB" w:rsidRDefault="00282DFA" w:rsidP="00282DFA">
      <w:pPr>
        <w:tabs>
          <w:tab w:val="left" w:pos="360"/>
        </w:tabs>
        <w:spacing w:before="120" w:after="120"/>
        <w:jc w:val="both"/>
        <w:rPr>
          <w:rFonts w:ascii="Times New Roman" w:hAnsi="Times New Roman" w:cs="Times New Roman"/>
          <w:bCs/>
          <w:color w:val="0D0D0D" w:themeColor="text1" w:themeTint="F2"/>
          <w:spacing w:val="-2"/>
          <w:sz w:val="24"/>
          <w:szCs w:val="24"/>
        </w:rPr>
      </w:pPr>
      <w:r w:rsidRPr="006144AB">
        <w:rPr>
          <w:rFonts w:ascii="Times New Roman" w:hAnsi="Times New Roman" w:cs="Times New Roman"/>
          <w:bCs/>
          <w:color w:val="0D0D0D" w:themeColor="text1" w:themeTint="F2"/>
          <w:spacing w:val="-2"/>
          <w:sz w:val="24"/>
          <w:szCs w:val="24"/>
        </w:rPr>
        <w:t xml:space="preserve">(1) </w:t>
      </w:r>
      <w:r w:rsidRPr="006144AB">
        <w:rPr>
          <w:rFonts w:ascii="Times New Roman" w:hAnsi="Times New Roman" w:cs="Times New Roman"/>
          <w:noProof/>
          <w:color w:val="0D0D0D" w:themeColor="text1" w:themeTint="F2"/>
          <w:sz w:val="24"/>
          <w:szCs w:val="24"/>
        </w:rPr>
        <w:t>Yerli üretim dalının</w:t>
      </w:r>
      <w:r w:rsidRPr="006144AB">
        <w:rPr>
          <w:rFonts w:ascii="Times New Roman" w:hAnsi="Times New Roman" w:cs="Times New Roman"/>
          <w:bCs/>
          <w:color w:val="0D0D0D" w:themeColor="text1" w:themeTint="F2"/>
          <w:spacing w:val="-2"/>
          <w:sz w:val="24"/>
          <w:szCs w:val="24"/>
        </w:rPr>
        <w:t xml:space="preserve"> bütün faaliyetlerini kapsayan aktif büyüklüğü 2017 yılında 100 birim, 2018 yılında 101 birim, </w:t>
      </w:r>
      <w:r w:rsidRPr="006144AB">
        <w:rPr>
          <w:rFonts w:ascii="Times New Roman" w:hAnsi="Times New Roman" w:cs="Times New Roman"/>
          <w:bCs/>
          <w:color w:val="0D0D0D" w:themeColor="text1" w:themeTint="F2"/>
          <w:sz w:val="24"/>
          <w:szCs w:val="24"/>
        </w:rPr>
        <w:t xml:space="preserve">2019 yılında ise 113 birimdir. </w:t>
      </w:r>
    </w:p>
    <w:p w:rsidR="00282DFA" w:rsidRPr="006144AB" w:rsidRDefault="00282DFA" w:rsidP="00282DFA">
      <w:pPr>
        <w:tabs>
          <w:tab w:val="left" w:pos="360"/>
        </w:tabs>
        <w:spacing w:before="120" w:after="120"/>
        <w:jc w:val="both"/>
        <w:rPr>
          <w:rFonts w:ascii="Times New Roman" w:hAnsi="Times New Roman" w:cs="Times New Roman"/>
          <w:bCs/>
          <w:color w:val="0D0D0D" w:themeColor="text1" w:themeTint="F2"/>
          <w:spacing w:val="-2"/>
          <w:sz w:val="24"/>
          <w:szCs w:val="24"/>
        </w:rPr>
      </w:pPr>
      <w:r w:rsidRPr="006144AB">
        <w:rPr>
          <w:rFonts w:ascii="Times New Roman" w:hAnsi="Times New Roman" w:cs="Times New Roman"/>
          <w:bCs/>
          <w:color w:val="0D0D0D" w:themeColor="text1" w:themeTint="F2"/>
          <w:spacing w:val="-2"/>
          <w:sz w:val="24"/>
          <w:szCs w:val="24"/>
          <w:u w:val="single"/>
        </w:rPr>
        <w:t>k) Sermaye Artışı</w:t>
      </w:r>
      <w:r w:rsidRPr="006144AB">
        <w:rPr>
          <w:rFonts w:ascii="Times New Roman" w:hAnsi="Times New Roman" w:cs="Times New Roman"/>
          <w:bCs/>
          <w:color w:val="0D0D0D" w:themeColor="text1" w:themeTint="F2"/>
          <w:spacing w:val="-2"/>
          <w:sz w:val="24"/>
          <w:szCs w:val="24"/>
        </w:rPr>
        <w:tab/>
      </w:r>
    </w:p>
    <w:p w:rsidR="00936F3D" w:rsidRPr="006144AB" w:rsidRDefault="00282DFA" w:rsidP="00282DFA">
      <w:pPr>
        <w:tabs>
          <w:tab w:val="left" w:pos="360"/>
        </w:tabs>
        <w:spacing w:before="120" w:after="120"/>
        <w:jc w:val="both"/>
        <w:rPr>
          <w:rFonts w:ascii="Times New Roman" w:hAnsi="Times New Roman" w:cs="Times New Roman"/>
          <w:bCs/>
          <w:color w:val="0D0D0D" w:themeColor="text1" w:themeTint="F2"/>
          <w:spacing w:val="-2"/>
          <w:sz w:val="24"/>
          <w:szCs w:val="24"/>
        </w:rPr>
      </w:pPr>
      <w:r w:rsidRPr="006144AB">
        <w:rPr>
          <w:rFonts w:ascii="Times New Roman" w:hAnsi="Times New Roman" w:cs="Times New Roman"/>
          <w:bCs/>
          <w:color w:val="0D0D0D" w:themeColor="text1" w:themeTint="F2"/>
          <w:spacing w:val="-2"/>
          <w:sz w:val="24"/>
          <w:szCs w:val="24"/>
        </w:rPr>
        <w:t xml:space="preserve">(1) </w:t>
      </w:r>
      <w:r w:rsidRPr="006144AB">
        <w:rPr>
          <w:rFonts w:ascii="Times New Roman" w:hAnsi="Times New Roman" w:cs="Times New Roman"/>
          <w:noProof/>
          <w:color w:val="0D0D0D" w:themeColor="text1" w:themeTint="F2"/>
          <w:sz w:val="24"/>
          <w:szCs w:val="24"/>
        </w:rPr>
        <w:t>Yerli üretim dalının</w:t>
      </w:r>
      <w:r w:rsidRPr="006144AB">
        <w:rPr>
          <w:rFonts w:ascii="Times New Roman" w:hAnsi="Times New Roman" w:cs="Times New Roman"/>
          <w:bCs/>
          <w:color w:val="0D0D0D" w:themeColor="text1" w:themeTint="F2"/>
          <w:spacing w:val="-2"/>
          <w:sz w:val="24"/>
          <w:szCs w:val="24"/>
        </w:rPr>
        <w:t xml:space="preserve"> 2017 yılında 100 birim olarak kabul edilen öz sermaye endeksi 2018 yılında 82 birim, </w:t>
      </w:r>
      <w:r w:rsidRPr="006144AB">
        <w:rPr>
          <w:rFonts w:ascii="Times New Roman" w:hAnsi="Times New Roman" w:cs="Times New Roman"/>
          <w:bCs/>
          <w:color w:val="0D0D0D" w:themeColor="text1" w:themeTint="F2"/>
          <w:sz w:val="24"/>
          <w:szCs w:val="24"/>
        </w:rPr>
        <w:t xml:space="preserve">2019 yılında ise 78 birim </w:t>
      </w:r>
      <w:r w:rsidRPr="006144AB">
        <w:rPr>
          <w:rFonts w:ascii="Times New Roman" w:hAnsi="Times New Roman" w:cs="Times New Roman"/>
          <w:bCs/>
          <w:color w:val="0D0D0D" w:themeColor="text1" w:themeTint="F2"/>
          <w:spacing w:val="-2"/>
          <w:sz w:val="24"/>
          <w:szCs w:val="24"/>
        </w:rPr>
        <w:t xml:space="preserve">olarak gerçekleşmiştir. </w:t>
      </w:r>
    </w:p>
    <w:p w:rsidR="00282DFA" w:rsidRPr="006144AB" w:rsidRDefault="00282DFA" w:rsidP="00282DFA">
      <w:pPr>
        <w:tabs>
          <w:tab w:val="left" w:pos="360"/>
        </w:tabs>
        <w:spacing w:before="120" w:after="120"/>
        <w:jc w:val="both"/>
        <w:rPr>
          <w:rFonts w:ascii="Times New Roman" w:hAnsi="Times New Roman" w:cs="Times New Roman"/>
          <w:bCs/>
          <w:color w:val="0D0D0D" w:themeColor="text1" w:themeTint="F2"/>
          <w:spacing w:val="-2"/>
          <w:sz w:val="24"/>
          <w:szCs w:val="24"/>
        </w:rPr>
      </w:pPr>
      <w:r w:rsidRPr="006144AB">
        <w:rPr>
          <w:rFonts w:ascii="Times New Roman" w:hAnsi="Times New Roman" w:cs="Times New Roman"/>
          <w:bCs/>
          <w:color w:val="0D0D0D" w:themeColor="text1" w:themeTint="F2"/>
          <w:spacing w:val="-2"/>
          <w:sz w:val="24"/>
          <w:szCs w:val="24"/>
          <w:u w:val="single"/>
        </w:rPr>
        <w:t>l) Yatırımlar</w:t>
      </w:r>
      <w:r w:rsidRPr="006144AB">
        <w:rPr>
          <w:rFonts w:ascii="Times New Roman" w:hAnsi="Times New Roman" w:cs="Times New Roman"/>
          <w:bCs/>
          <w:color w:val="0D0D0D" w:themeColor="text1" w:themeTint="F2"/>
          <w:spacing w:val="-2"/>
          <w:sz w:val="24"/>
          <w:szCs w:val="24"/>
        </w:rPr>
        <w:tab/>
      </w:r>
    </w:p>
    <w:p w:rsidR="00282DFA" w:rsidRPr="006144AB" w:rsidRDefault="00282DFA" w:rsidP="00282DFA">
      <w:pPr>
        <w:tabs>
          <w:tab w:val="left" w:pos="360"/>
        </w:tabs>
        <w:spacing w:before="120" w:after="120"/>
        <w:jc w:val="both"/>
        <w:rPr>
          <w:rFonts w:ascii="Times New Roman" w:hAnsi="Times New Roman" w:cs="Times New Roman"/>
          <w:bCs/>
          <w:color w:val="0D0D0D" w:themeColor="text1" w:themeTint="F2"/>
          <w:spacing w:val="-2"/>
          <w:sz w:val="24"/>
          <w:szCs w:val="24"/>
        </w:rPr>
      </w:pPr>
      <w:r w:rsidRPr="006144AB">
        <w:rPr>
          <w:rFonts w:ascii="Times New Roman" w:hAnsi="Times New Roman" w:cs="Times New Roman"/>
          <w:bCs/>
          <w:color w:val="0D0D0D" w:themeColor="text1" w:themeTint="F2"/>
          <w:spacing w:val="-2"/>
          <w:sz w:val="24"/>
          <w:szCs w:val="24"/>
        </w:rPr>
        <w:t xml:space="preserve">(1) </w:t>
      </w:r>
      <w:r w:rsidRPr="006144AB">
        <w:rPr>
          <w:rFonts w:ascii="Times New Roman" w:hAnsi="Times New Roman" w:cs="Times New Roman"/>
          <w:noProof/>
          <w:color w:val="0D0D0D" w:themeColor="text1" w:themeTint="F2"/>
          <w:sz w:val="24"/>
          <w:szCs w:val="24"/>
        </w:rPr>
        <w:t>Yerli üretim dalının</w:t>
      </w:r>
      <w:r w:rsidRPr="006144AB">
        <w:rPr>
          <w:rFonts w:ascii="Times New Roman" w:hAnsi="Times New Roman" w:cs="Times New Roman"/>
          <w:bCs/>
          <w:color w:val="0D0D0D" w:themeColor="text1" w:themeTint="F2"/>
          <w:spacing w:val="-2"/>
          <w:sz w:val="24"/>
          <w:szCs w:val="24"/>
        </w:rPr>
        <w:t xml:space="preserve"> bütün faaliyetlerini kapsayan yenileme yatırımlarına ilişkin endeks 2017-2019 yıllarında sırasıyla 100, 627 ve 172 birim seviyelerinde iken, tevsi yatırımları ise mevcut değildir.</w:t>
      </w:r>
    </w:p>
    <w:p w:rsidR="00282DFA" w:rsidRPr="006144AB" w:rsidRDefault="00282DFA" w:rsidP="00282DFA">
      <w:pPr>
        <w:tabs>
          <w:tab w:val="left" w:pos="360"/>
        </w:tabs>
        <w:spacing w:before="120" w:after="120"/>
        <w:jc w:val="both"/>
        <w:rPr>
          <w:rFonts w:ascii="Times New Roman" w:hAnsi="Times New Roman" w:cs="Times New Roman"/>
          <w:bCs/>
          <w:color w:val="0D0D0D" w:themeColor="text1" w:themeTint="F2"/>
          <w:spacing w:val="-2"/>
          <w:sz w:val="24"/>
          <w:szCs w:val="24"/>
        </w:rPr>
      </w:pPr>
      <w:r w:rsidRPr="006144AB">
        <w:rPr>
          <w:rFonts w:ascii="Times New Roman" w:hAnsi="Times New Roman" w:cs="Times New Roman"/>
          <w:bCs/>
          <w:color w:val="0D0D0D" w:themeColor="text1" w:themeTint="F2"/>
          <w:spacing w:val="-2"/>
          <w:sz w:val="24"/>
          <w:szCs w:val="24"/>
          <w:u w:val="single"/>
        </w:rPr>
        <w:t>m) Yatırımların Geri Dönüş Oranı</w:t>
      </w:r>
      <w:r w:rsidRPr="006144AB">
        <w:rPr>
          <w:rFonts w:ascii="Times New Roman" w:hAnsi="Times New Roman" w:cs="Times New Roman"/>
          <w:bCs/>
          <w:color w:val="0D0D0D" w:themeColor="text1" w:themeTint="F2"/>
          <w:spacing w:val="-2"/>
          <w:sz w:val="24"/>
          <w:szCs w:val="24"/>
        </w:rPr>
        <w:tab/>
      </w:r>
    </w:p>
    <w:p w:rsidR="00282DFA" w:rsidRPr="006144AB" w:rsidRDefault="00282DFA" w:rsidP="00282DFA">
      <w:pPr>
        <w:tabs>
          <w:tab w:val="left" w:pos="360"/>
        </w:tabs>
        <w:spacing w:before="120" w:after="120"/>
        <w:jc w:val="both"/>
        <w:rPr>
          <w:rFonts w:ascii="Times New Roman" w:hAnsi="Times New Roman" w:cs="Times New Roman"/>
          <w:bCs/>
          <w:color w:val="0D0D0D" w:themeColor="text1" w:themeTint="F2"/>
          <w:spacing w:val="-2"/>
          <w:sz w:val="24"/>
          <w:szCs w:val="24"/>
        </w:rPr>
      </w:pPr>
      <w:r w:rsidRPr="006144AB">
        <w:rPr>
          <w:rFonts w:ascii="Times New Roman" w:hAnsi="Times New Roman" w:cs="Times New Roman"/>
          <w:bCs/>
          <w:color w:val="0D0D0D" w:themeColor="text1" w:themeTint="F2"/>
          <w:spacing w:val="-2"/>
          <w:sz w:val="24"/>
          <w:szCs w:val="24"/>
        </w:rPr>
        <w:t xml:space="preserve">(1) </w:t>
      </w:r>
      <w:r w:rsidRPr="006144AB">
        <w:rPr>
          <w:rFonts w:ascii="Times New Roman" w:hAnsi="Times New Roman" w:cs="Times New Roman"/>
          <w:noProof/>
          <w:color w:val="0D0D0D" w:themeColor="text1" w:themeTint="F2"/>
          <w:sz w:val="24"/>
          <w:szCs w:val="24"/>
        </w:rPr>
        <w:t>Yerli üretim dalının</w:t>
      </w:r>
      <w:r w:rsidRPr="006144AB">
        <w:rPr>
          <w:rFonts w:ascii="Times New Roman" w:hAnsi="Times New Roman" w:cs="Times New Roman"/>
          <w:bCs/>
          <w:color w:val="0D0D0D" w:themeColor="text1" w:themeTint="F2"/>
          <w:spacing w:val="-2"/>
          <w:sz w:val="24"/>
          <w:szCs w:val="24"/>
        </w:rPr>
        <w:t xml:space="preserve"> bütün faaliyetlerine ilişkin yatırımların geri dönüş oranı (kar/öz kaynaklar) endeksi gözden geçirme döneminde sırasıyla -100, -106 ve -141 birim olarak gerçekleşmiştir. </w:t>
      </w:r>
    </w:p>
    <w:p w:rsidR="00282DFA" w:rsidRPr="00B65777" w:rsidRDefault="00282DFA" w:rsidP="00282DFA">
      <w:pPr>
        <w:pStyle w:val="Balk2"/>
        <w:numPr>
          <w:ilvl w:val="1"/>
          <w:numId w:val="2"/>
        </w:numPr>
        <w:spacing w:before="120" w:after="120" w:line="276" w:lineRule="auto"/>
        <w:ind w:left="426"/>
        <w:rPr>
          <w:rFonts w:cs="Times New Roman"/>
          <w:color w:val="0D0D0D" w:themeColor="text1" w:themeTint="F2"/>
          <w:szCs w:val="24"/>
        </w:rPr>
      </w:pPr>
      <w:r w:rsidRPr="00B65777">
        <w:rPr>
          <w:rFonts w:cs="Times New Roman"/>
          <w:color w:val="0D0D0D" w:themeColor="text1" w:themeTint="F2"/>
          <w:szCs w:val="24"/>
        </w:rPr>
        <w:lastRenderedPageBreak/>
        <w:t>Yerli Üretim Dalının Ekonomik Göstergelerinin Değerlendirilmesi</w:t>
      </w:r>
    </w:p>
    <w:p w:rsidR="00282DFA" w:rsidRPr="00B65777" w:rsidRDefault="00282DFA" w:rsidP="00282DFA">
      <w:pPr>
        <w:pStyle w:val="Default"/>
        <w:spacing w:before="120" w:after="120" w:line="276" w:lineRule="auto"/>
        <w:jc w:val="both"/>
        <w:rPr>
          <w:color w:val="0D0D0D" w:themeColor="text1" w:themeTint="F2"/>
        </w:rPr>
      </w:pPr>
      <w:r w:rsidRPr="00B65777">
        <w:rPr>
          <w:color w:val="0D0D0D" w:themeColor="text1" w:themeTint="F2"/>
        </w:rPr>
        <w:t>(1) Yerli üretim dalının ekonomik göstergeleri incelendiğinde, üretim miktar ve değeri ile yurt içi satış miktar ve değeri ile KKO değerlerinin 2018 yılında düşüş göstermekle birlikte 2019 yılında artış gösterdiği görülmektedir. Bu duruma bağlı olarak dönem sonu stoklarda da artış görülmektedir.</w:t>
      </w:r>
    </w:p>
    <w:p w:rsidR="00282DFA" w:rsidRPr="00B65777" w:rsidRDefault="00282DFA" w:rsidP="00282DFA">
      <w:pPr>
        <w:pStyle w:val="Default"/>
        <w:spacing w:before="120" w:after="120" w:line="276" w:lineRule="auto"/>
        <w:jc w:val="both"/>
        <w:rPr>
          <w:color w:val="0D0D0D" w:themeColor="text1" w:themeTint="F2"/>
        </w:rPr>
      </w:pPr>
      <w:r w:rsidRPr="00B65777">
        <w:rPr>
          <w:color w:val="0D0D0D" w:themeColor="text1" w:themeTint="F2"/>
        </w:rPr>
        <w:t xml:space="preserve">(2) Diğer taraftan, sınai maliyetler ve ticari maliyetler ile birlikte yurt içi satış birim fiyatlarının da artış gösterdiği tespit edilmiştir. Fakat yurt içi satış birim fiyatlarında artış olmasına rağmen yerli üretim dalının gerek yurtiçi karlılığı gerekse de toplam karlılığı negatif seviyelerde seyretmiş ve kâr elde edilememiştir. </w:t>
      </w:r>
    </w:p>
    <w:p w:rsidR="00282DFA" w:rsidRPr="00B65777" w:rsidRDefault="00282DFA" w:rsidP="00282DFA">
      <w:pPr>
        <w:pStyle w:val="Default"/>
        <w:spacing w:before="120" w:after="120" w:line="276" w:lineRule="auto"/>
        <w:jc w:val="both"/>
        <w:rPr>
          <w:color w:val="0D0D0D" w:themeColor="text1" w:themeTint="F2"/>
        </w:rPr>
      </w:pPr>
      <w:r w:rsidRPr="00B65777">
        <w:rPr>
          <w:color w:val="0D0D0D" w:themeColor="text1" w:themeTint="F2"/>
        </w:rPr>
        <w:t xml:space="preserve">(3) Yerli üretim dalının soruşturma konusu ürün üretiminde çalışan işçi sayısı ve işçi ücretlerinde gerileme olduğu, kişi başına düşen üretim miktarını gösteren verimlilik değerinin ise artış gösterdiği tespit edilmiştir. </w:t>
      </w:r>
    </w:p>
    <w:p w:rsidR="00282DFA" w:rsidRPr="00B65777" w:rsidRDefault="00282DFA" w:rsidP="00282DFA">
      <w:pPr>
        <w:pStyle w:val="Default"/>
        <w:spacing w:before="120" w:after="120" w:line="276" w:lineRule="auto"/>
        <w:jc w:val="both"/>
        <w:outlineLvl w:val="1"/>
        <w:rPr>
          <w:b/>
          <w:bCs/>
          <w:color w:val="0D0D0D" w:themeColor="text1" w:themeTint="F2"/>
        </w:rPr>
      </w:pPr>
      <w:r w:rsidRPr="00B65777">
        <w:rPr>
          <w:b/>
          <w:bCs/>
          <w:color w:val="0D0D0D" w:themeColor="text1" w:themeTint="F2"/>
        </w:rPr>
        <w:t>4.9. Zararın Devamı veya Yeniden Meydana Gelmesi İhtimali</w:t>
      </w:r>
    </w:p>
    <w:p w:rsidR="00282DFA" w:rsidRPr="00B65777" w:rsidRDefault="00282DFA" w:rsidP="00282DFA">
      <w:pPr>
        <w:pStyle w:val="Default"/>
        <w:spacing w:before="120" w:after="120" w:line="276" w:lineRule="auto"/>
        <w:jc w:val="both"/>
        <w:rPr>
          <w:color w:val="0D0D0D" w:themeColor="text1" w:themeTint="F2"/>
        </w:rPr>
      </w:pPr>
      <w:r w:rsidRPr="00B65777">
        <w:rPr>
          <w:color w:val="0D0D0D" w:themeColor="text1" w:themeTint="F2"/>
        </w:rPr>
        <w:t xml:space="preserve">(1) Soruşturma konusu ülkenin üretim ve ihracat kabiliyeti bakımından küresel pazarda ilk sıralarda yer aldığı ve ihracatçılarının Türkiye pazarını iyi tanıdıkları ve pazara erişim konusunda herhangi bir sorunla karşılaşmadıkları düşünülmektedir. </w:t>
      </w:r>
    </w:p>
    <w:p w:rsidR="00282DFA" w:rsidRPr="00B65777" w:rsidRDefault="00282DFA" w:rsidP="00282DFA">
      <w:pPr>
        <w:pStyle w:val="Default"/>
        <w:spacing w:before="120" w:after="120" w:line="276" w:lineRule="auto"/>
        <w:jc w:val="both"/>
        <w:rPr>
          <w:color w:val="0D0D0D" w:themeColor="text1" w:themeTint="F2"/>
        </w:rPr>
      </w:pPr>
      <w:r w:rsidRPr="00B65777">
        <w:rPr>
          <w:color w:val="0D0D0D" w:themeColor="text1" w:themeTint="F2"/>
        </w:rPr>
        <w:t xml:space="preserve">(2) ÇHC menşeli ithalat, önlemin etkisiyle 2017-2019 yıllarında mutlak ve tüketime oranla nispi olarak azalış göstermiştir. Öte yandan, söz konusu ülke menşeli ithalatın birim fiyatları dönem boyunca dalgalı seyir izlemekle birlikte, ÇHC menşeli ithalatın yerli üretim dalının yurt içi satış fiyatlarını kırdığı ve baskıladığı tespit edilmiştir. </w:t>
      </w:r>
    </w:p>
    <w:p w:rsidR="00282DFA" w:rsidRPr="00B65777" w:rsidRDefault="00282DFA" w:rsidP="00282DFA">
      <w:pPr>
        <w:pStyle w:val="Default"/>
        <w:spacing w:before="120" w:after="120" w:line="276" w:lineRule="auto"/>
        <w:jc w:val="both"/>
        <w:rPr>
          <w:rFonts w:eastAsiaTheme="minorHAnsi"/>
          <w:color w:val="0D0D0D" w:themeColor="text1" w:themeTint="F2"/>
          <w:lang w:eastAsia="en-US"/>
        </w:rPr>
      </w:pPr>
      <w:r w:rsidRPr="00B65777">
        <w:t xml:space="preserve">(3) Yerli üretim dalının ekonomik göstergeleri bir bütün olarak incelendiğinde, üretim miktar ve değeri ile yurt içi satış miktar ve değerinin artış göstermesine rağmen, dampingli ithalatın yurtiçi satış fiyatlarını kırması ve baskılamasının da etkisiyle karlılık seviyesinin negatif seyrettiği, incelenen dönemde soruşturma konusu ürüne ait stokların ise arttığı görülmektedir. Bununla birlikte, yerli üretim dalı soruşturma konusu ürünün yurt içi satışlarından zarar ederken, ihracat satışlarından da zarar etmiştir. Fakat ihracat satışlarının toplam satışlar içindeki payının düşük olması, satışlardaki zarar göstergesinin önemli kısmının yurt içi satış kaynaklı olduğunu göstermektedir.  </w:t>
      </w:r>
      <w:r w:rsidRPr="00B65777">
        <w:rPr>
          <w:bCs/>
          <w:color w:val="0D0D0D" w:themeColor="text1" w:themeTint="F2"/>
        </w:rPr>
        <w:t xml:space="preserve">  </w:t>
      </w:r>
      <w:r w:rsidRPr="00B65777">
        <w:rPr>
          <w:rFonts w:eastAsiaTheme="minorHAnsi"/>
          <w:color w:val="0D0D0D" w:themeColor="text1" w:themeTint="F2"/>
          <w:lang w:eastAsia="en-US"/>
        </w:rPr>
        <w:t xml:space="preserve"> </w:t>
      </w:r>
    </w:p>
    <w:p w:rsidR="00282DFA" w:rsidRPr="00B65777" w:rsidRDefault="00282DFA" w:rsidP="00282DFA">
      <w:pPr>
        <w:pStyle w:val="Balk1"/>
        <w:numPr>
          <w:ilvl w:val="0"/>
          <w:numId w:val="2"/>
        </w:numPr>
        <w:spacing w:before="120" w:after="120" w:line="276" w:lineRule="auto"/>
        <w:rPr>
          <w:rFonts w:ascii="Times New Roman" w:hAnsi="Times New Roman" w:cs="Times New Roman"/>
          <w:color w:val="0D0D0D" w:themeColor="text1" w:themeTint="F2"/>
          <w:sz w:val="24"/>
          <w:szCs w:val="24"/>
        </w:rPr>
      </w:pPr>
      <w:r w:rsidRPr="00B65777">
        <w:rPr>
          <w:rFonts w:ascii="Times New Roman" w:hAnsi="Times New Roman" w:cs="Times New Roman"/>
          <w:color w:val="0D0D0D" w:themeColor="text1" w:themeTint="F2"/>
          <w:sz w:val="24"/>
          <w:szCs w:val="24"/>
        </w:rPr>
        <w:t>GENEL DEĞERLENDİRME VE Sonuç</w:t>
      </w:r>
    </w:p>
    <w:p w:rsidR="00282DFA" w:rsidRPr="00B65777" w:rsidRDefault="00282DFA" w:rsidP="00282DFA">
      <w:pPr>
        <w:pStyle w:val="Default"/>
        <w:numPr>
          <w:ilvl w:val="0"/>
          <w:numId w:val="9"/>
        </w:numPr>
        <w:spacing w:before="120" w:after="120" w:line="276" w:lineRule="auto"/>
        <w:ind w:firstLine="0"/>
        <w:jc w:val="both"/>
        <w:rPr>
          <w:b/>
          <w:color w:val="0D0D0D" w:themeColor="text1" w:themeTint="F2"/>
        </w:rPr>
      </w:pPr>
      <w:r w:rsidRPr="00B65777">
        <w:rPr>
          <w:bCs/>
          <w:color w:val="0D0D0D" w:themeColor="text1" w:themeTint="F2"/>
          <w:lang w:eastAsia="en-US"/>
        </w:rPr>
        <w:t xml:space="preserve">Yürütülen soruşturma esnasında elde edilen bilgi ve bulgular çerçevesinde, yürürlükteki önlemlerin ortadan kalkması durumunda dampingin ve zararın devam etmesinin veya yeniden meydana gelmesinin muhtemel olduğu değerlendirilmiştir. </w:t>
      </w:r>
    </w:p>
    <w:p w:rsidR="00C42757" w:rsidRPr="00936F3D" w:rsidRDefault="00282DFA" w:rsidP="0004208B">
      <w:pPr>
        <w:pStyle w:val="Default"/>
        <w:numPr>
          <w:ilvl w:val="0"/>
          <w:numId w:val="9"/>
        </w:numPr>
        <w:spacing w:before="120" w:after="120" w:line="276" w:lineRule="auto"/>
        <w:ind w:firstLine="0"/>
        <w:jc w:val="both"/>
        <w:rPr>
          <w:b/>
          <w:color w:val="0D0D0D" w:themeColor="text1" w:themeTint="F2"/>
        </w:rPr>
      </w:pPr>
      <w:r w:rsidRPr="00B65777">
        <w:t>Bu çerçevede, soruşturma neticesinde ulaşılan tespitleri değerlendiren Kurulun</w:t>
      </w:r>
      <w:r w:rsidRPr="00936F3D">
        <w:rPr>
          <w:b/>
          <w:color w:val="0070C0"/>
        </w:rPr>
        <w:t xml:space="preserve"> </w:t>
      </w:r>
      <w:r w:rsidRPr="00B65777">
        <w:t>kararı</w:t>
      </w:r>
      <w:r w:rsidR="006351D5">
        <w:t xml:space="preserve"> ve Ticaret Bakanının onayı ile </w:t>
      </w:r>
      <w:r w:rsidRPr="00B65777">
        <w:t>12/4/2015 tarihli ve 29324 sayılı Resmî Gazete’de yayımlanan İthalatta Haksız Rekabetin Önlenmesine İlişkin Tebliğ (Tebliğ No: 2015/9) ile yürürlükte olan dampinge karşı önlemin, Yönetmeliğin 42 nci maddesi çerçevesinde aşağıdaki tabloda gösterilen biçimde uygulanmaya devam edilmesine karar verilmiştir.</w:t>
      </w:r>
    </w:p>
    <w:p w:rsidR="00C42757" w:rsidRPr="00C42757" w:rsidRDefault="00C42757" w:rsidP="00C42757">
      <w:pPr>
        <w:rPr>
          <w:lang w:eastAsia="tr-TR"/>
        </w:rPr>
      </w:pPr>
    </w:p>
    <w:p w:rsidR="00DA6216" w:rsidRPr="00C42757" w:rsidRDefault="00DA6216" w:rsidP="00C42757">
      <w:pPr>
        <w:jc w:val="right"/>
        <w:rPr>
          <w:lang w:eastAsia="tr-TR"/>
        </w:rPr>
      </w:pPr>
    </w:p>
    <w:tbl>
      <w:tblPr>
        <w:tblW w:w="4897" w:type="pct"/>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65"/>
        <w:gridCol w:w="4043"/>
        <w:gridCol w:w="1464"/>
        <w:gridCol w:w="2203"/>
      </w:tblGrid>
      <w:tr w:rsidR="00282DFA" w:rsidRPr="00B65777" w:rsidTr="002A5F03">
        <w:trPr>
          <w:trHeight w:val="915"/>
        </w:trPr>
        <w:tc>
          <w:tcPr>
            <w:tcW w:w="656" w:type="pct"/>
            <w:vMerge w:val="restart"/>
            <w:shd w:val="clear" w:color="auto" w:fill="auto"/>
            <w:vAlign w:val="center"/>
            <w:hideMark/>
          </w:tcPr>
          <w:p w:rsidR="00282DFA" w:rsidRPr="006144AB" w:rsidRDefault="00282DFA" w:rsidP="002A5F03">
            <w:pPr>
              <w:autoSpaceDE w:val="0"/>
              <w:autoSpaceDN w:val="0"/>
              <w:jc w:val="center"/>
              <w:rPr>
                <w:rFonts w:ascii="Times New Roman" w:hAnsi="Times New Roman" w:cs="Times New Roman"/>
                <w:b/>
                <w:bCs/>
                <w:color w:val="000000"/>
                <w:sz w:val="24"/>
                <w:szCs w:val="24"/>
              </w:rPr>
            </w:pPr>
            <w:r w:rsidRPr="006144AB">
              <w:rPr>
                <w:rFonts w:ascii="Times New Roman" w:hAnsi="Times New Roman" w:cs="Times New Roman"/>
                <w:b/>
                <w:bCs/>
                <w:color w:val="000000"/>
                <w:sz w:val="24"/>
                <w:szCs w:val="24"/>
              </w:rPr>
              <w:lastRenderedPageBreak/>
              <w:t>GTP</w:t>
            </w:r>
          </w:p>
        </w:tc>
        <w:tc>
          <w:tcPr>
            <w:tcW w:w="2277" w:type="pct"/>
            <w:vMerge w:val="restart"/>
            <w:shd w:val="clear" w:color="auto" w:fill="auto"/>
            <w:vAlign w:val="center"/>
            <w:hideMark/>
          </w:tcPr>
          <w:p w:rsidR="00282DFA" w:rsidRPr="006144AB" w:rsidRDefault="00282DFA" w:rsidP="002A5F03">
            <w:pPr>
              <w:autoSpaceDE w:val="0"/>
              <w:autoSpaceDN w:val="0"/>
              <w:jc w:val="center"/>
              <w:rPr>
                <w:rFonts w:ascii="Times New Roman" w:hAnsi="Times New Roman" w:cs="Times New Roman"/>
                <w:b/>
                <w:bCs/>
                <w:color w:val="000000"/>
                <w:sz w:val="24"/>
                <w:szCs w:val="24"/>
              </w:rPr>
            </w:pPr>
            <w:r w:rsidRPr="006144AB">
              <w:rPr>
                <w:rFonts w:ascii="Times New Roman" w:hAnsi="Times New Roman" w:cs="Times New Roman"/>
                <w:b/>
                <w:bCs/>
                <w:color w:val="000000"/>
                <w:sz w:val="24"/>
                <w:szCs w:val="24"/>
              </w:rPr>
              <w:t>Eşya Tanımı</w:t>
            </w:r>
          </w:p>
        </w:tc>
        <w:tc>
          <w:tcPr>
            <w:tcW w:w="825" w:type="pct"/>
            <w:vMerge w:val="restart"/>
            <w:shd w:val="clear" w:color="auto" w:fill="auto"/>
            <w:noWrap/>
            <w:vAlign w:val="center"/>
            <w:hideMark/>
          </w:tcPr>
          <w:p w:rsidR="00282DFA" w:rsidRPr="006144AB" w:rsidRDefault="00282DFA" w:rsidP="002A5F03">
            <w:pPr>
              <w:autoSpaceDE w:val="0"/>
              <w:autoSpaceDN w:val="0"/>
              <w:jc w:val="center"/>
              <w:rPr>
                <w:rFonts w:ascii="Times New Roman" w:hAnsi="Times New Roman" w:cs="Times New Roman"/>
                <w:b/>
                <w:bCs/>
                <w:color w:val="000000"/>
                <w:sz w:val="24"/>
                <w:szCs w:val="24"/>
              </w:rPr>
            </w:pPr>
            <w:r w:rsidRPr="006144AB">
              <w:rPr>
                <w:rFonts w:ascii="Times New Roman" w:hAnsi="Times New Roman" w:cs="Times New Roman"/>
                <w:b/>
                <w:bCs/>
                <w:color w:val="000000"/>
                <w:sz w:val="24"/>
                <w:szCs w:val="24"/>
              </w:rPr>
              <w:t>Menşe Ülke</w:t>
            </w:r>
          </w:p>
        </w:tc>
        <w:tc>
          <w:tcPr>
            <w:tcW w:w="1241" w:type="pct"/>
            <w:tcBorders>
              <w:bottom w:val="nil"/>
            </w:tcBorders>
            <w:shd w:val="clear" w:color="auto" w:fill="auto"/>
            <w:vAlign w:val="center"/>
            <w:hideMark/>
          </w:tcPr>
          <w:p w:rsidR="00282DFA" w:rsidRPr="006144AB" w:rsidRDefault="00282DFA" w:rsidP="002A5F03">
            <w:pPr>
              <w:autoSpaceDE w:val="0"/>
              <w:autoSpaceDN w:val="0"/>
              <w:jc w:val="center"/>
              <w:rPr>
                <w:rFonts w:ascii="Times New Roman" w:hAnsi="Times New Roman" w:cs="Times New Roman"/>
                <w:b/>
                <w:bCs/>
                <w:color w:val="000000"/>
                <w:sz w:val="24"/>
                <w:szCs w:val="24"/>
              </w:rPr>
            </w:pPr>
            <w:r w:rsidRPr="006144AB">
              <w:rPr>
                <w:rFonts w:ascii="Times New Roman" w:hAnsi="Times New Roman" w:cs="Times New Roman"/>
                <w:b/>
                <w:bCs/>
                <w:color w:val="000000"/>
                <w:sz w:val="24"/>
                <w:szCs w:val="24"/>
              </w:rPr>
              <w:t>Dampinge Karşı Önlem (ABD Doları/Kg)</w:t>
            </w:r>
          </w:p>
        </w:tc>
      </w:tr>
      <w:tr w:rsidR="00282DFA" w:rsidRPr="00B65777" w:rsidTr="002A5F03">
        <w:trPr>
          <w:trHeight w:val="53"/>
        </w:trPr>
        <w:tc>
          <w:tcPr>
            <w:tcW w:w="656" w:type="pct"/>
            <w:vMerge/>
            <w:vAlign w:val="center"/>
            <w:hideMark/>
          </w:tcPr>
          <w:p w:rsidR="00282DFA" w:rsidRPr="006144AB" w:rsidRDefault="00282DFA" w:rsidP="002A5F03">
            <w:pPr>
              <w:autoSpaceDE w:val="0"/>
              <w:autoSpaceDN w:val="0"/>
              <w:jc w:val="center"/>
              <w:rPr>
                <w:rFonts w:ascii="Times New Roman" w:hAnsi="Times New Roman" w:cs="Times New Roman"/>
                <w:b/>
                <w:bCs/>
                <w:color w:val="000000"/>
                <w:sz w:val="24"/>
                <w:szCs w:val="24"/>
              </w:rPr>
            </w:pPr>
          </w:p>
        </w:tc>
        <w:tc>
          <w:tcPr>
            <w:tcW w:w="2277" w:type="pct"/>
            <w:vMerge/>
            <w:vAlign w:val="center"/>
            <w:hideMark/>
          </w:tcPr>
          <w:p w:rsidR="00282DFA" w:rsidRPr="006144AB" w:rsidRDefault="00282DFA" w:rsidP="002A5F03">
            <w:pPr>
              <w:autoSpaceDE w:val="0"/>
              <w:autoSpaceDN w:val="0"/>
              <w:jc w:val="center"/>
              <w:rPr>
                <w:rFonts w:ascii="Times New Roman" w:hAnsi="Times New Roman" w:cs="Times New Roman"/>
                <w:b/>
                <w:bCs/>
                <w:color w:val="000000"/>
                <w:sz w:val="24"/>
                <w:szCs w:val="24"/>
              </w:rPr>
            </w:pPr>
          </w:p>
        </w:tc>
        <w:tc>
          <w:tcPr>
            <w:tcW w:w="825" w:type="pct"/>
            <w:vMerge/>
            <w:vAlign w:val="center"/>
            <w:hideMark/>
          </w:tcPr>
          <w:p w:rsidR="00282DFA" w:rsidRPr="006144AB" w:rsidRDefault="00282DFA" w:rsidP="002A5F03">
            <w:pPr>
              <w:autoSpaceDE w:val="0"/>
              <w:autoSpaceDN w:val="0"/>
              <w:jc w:val="center"/>
              <w:rPr>
                <w:rFonts w:ascii="Times New Roman" w:hAnsi="Times New Roman" w:cs="Times New Roman"/>
                <w:b/>
                <w:bCs/>
                <w:color w:val="000000"/>
                <w:sz w:val="24"/>
                <w:szCs w:val="24"/>
              </w:rPr>
            </w:pPr>
          </w:p>
        </w:tc>
        <w:tc>
          <w:tcPr>
            <w:tcW w:w="1241" w:type="pct"/>
            <w:tcBorders>
              <w:top w:val="nil"/>
            </w:tcBorders>
            <w:shd w:val="clear" w:color="auto" w:fill="auto"/>
            <w:vAlign w:val="center"/>
            <w:hideMark/>
          </w:tcPr>
          <w:p w:rsidR="00282DFA" w:rsidRPr="006144AB" w:rsidRDefault="00282DFA" w:rsidP="002A5F03">
            <w:pPr>
              <w:autoSpaceDE w:val="0"/>
              <w:autoSpaceDN w:val="0"/>
              <w:jc w:val="center"/>
              <w:rPr>
                <w:rFonts w:ascii="Times New Roman" w:hAnsi="Times New Roman" w:cs="Times New Roman"/>
                <w:b/>
                <w:bCs/>
                <w:color w:val="000000"/>
                <w:sz w:val="24"/>
                <w:szCs w:val="24"/>
              </w:rPr>
            </w:pPr>
          </w:p>
        </w:tc>
      </w:tr>
      <w:tr w:rsidR="00282DFA" w:rsidRPr="00B65777" w:rsidTr="002A5F03">
        <w:trPr>
          <w:trHeight w:val="1556"/>
        </w:trPr>
        <w:tc>
          <w:tcPr>
            <w:tcW w:w="656" w:type="pct"/>
            <w:shd w:val="clear" w:color="auto" w:fill="auto"/>
            <w:vAlign w:val="center"/>
            <w:hideMark/>
          </w:tcPr>
          <w:p w:rsidR="00282DFA" w:rsidRPr="006144AB" w:rsidRDefault="00282DFA" w:rsidP="002A5F03">
            <w:pPr>
              <w:autoSpaceDE w:val="0"/>
              <w:autoSpaceDN w:val="0"/>
              <w:jc w:val="center"/>
              <w:rPr>
                <w:rFonts w:ascii="Times New Roman" w:hAnsi="Times New Roman" w:cs="Times New Roman"/>
                <w:sz w:val="24"/>
                <w:szCs w:val="24"/>
              </w:rPr>
            </w:pPr>
            <w:r w:rsidRPr="006144AB">
              <w:rPr>
                <w:rFonts w:ascii="Times New Roman" w:hAnsi="Times New Roman" w:cs="Times New Roman"/>
                <w:sz w:val="24"/>
                <w:szCs w:val="24"/>
              </w:rPr>
              <w:t>5603.14</w:t>
            </w:r>
          </w:p>
        </w:tc>
        <w:tc>
          <w:tcPr>
            <w:tcW w:w="2277" w:type="pct"/>
            <w:shd w:val="clear" w:color="auto" w:fill="auto"/>
            <w:vAlign w:val="center"/>
            <w:hideMark/>
          </w:tcPr>
          <w:p w:rsidR="00282DFA" w:rsidRPr="006144AB" w:rsidRDefault="00282DFA" w:rsidP="002A5F03">
            <w:pPr>
              <w:autoSpaceDE w:val="0"/>
              <w:autoSpaceDN w:val="0"/>
              <w:rPr>
                <w:rFonts w:ascii="Times New Roman" w:hAnsi="Times New Roman" w:cs="Times New Roman"/>
                <w:sz w:val="24"/>
                <w:szCs w:val="24"/>
              </w:rPr>
            </w:pPr>
            <w:r w:rsidRPr="006144AB">
              <w:rPr>
                <w:rFonts w:ascii="Times New Roman" w:hAnsi="Times New Roman" w:cs="Times New Roman"/>
                <w:sz w:val="24"/>
                <w:szCs w:val="24"/>
              </w:rPr>
              <w:t>Yalnız, poliüretanla kaplanmış, sıvanmış veya lamine edilmiş dokumaya elverişli suni ve sentetik liflerden m</w:t>
            </w:r>
            <w:r w:rsidRPr="006144AB">
              <w:rPr>
                <w:rFonts w:ascii="Times New Roman" w:hAnsi="Times New Roman" w:cs="Times New Roman"/>
                <w:sz w:val="24"/>
                <w:szCs w:val="24"/>
                <w:vertAlign w:val="superscript"/>
              </w:rPr>
              <w:t>2</w:t>
            </w:r>
            <w:r w:rsidRPr="006144AB">
              <w:rPr>
                <w:rFonts w:ascii="Times New Roman" w:hAnsi="Times New Roman" w:cs="Times New Roman"/>
                <w:sz w:val="24"/>
                <w:szCs w:val="24"/>
              </w:rPr>
              <w:t xml:space="preserve"> ağırlığı 150 gr’ı geçen dokunmamış mensucat</w:t>
            </w:r>
          </w:p>
        </w:tc>
        <w:tc>
          <w:tcPr>
            <w:tcW w:w="825" w:type="pct"/>
            <w:shd w:val="clear" w:color="auto" w:fill="auto"/>
            <w:vAlign w:val="center"/>
            <w:hideMark/>
          </w:tcPr>
          <w:p w:rsidR="00282DFA" w:rsidRPr="006144AB" w:rsidRDefault="00282DFA" w:rsidP="002A5F03">
            <w:pPr>
              <w:autoSpaceDE w:val="0"/>
              <w:autoSpaceDN w:val="0"/>
              <w:jc w:val="center"/>
              <w:rPr>
                <w:rFonts w:ascii="Times New Roman" w:hAnsi="Times New Roman" w:cs="Times New Roman"/>
                <w:sz w:val="24"/>
                <w:szCs w:val="24"/>
              </w:rPr>
            </w:pPr>
            <w:r w:rsidRPr="006144AB">
              <w:rPr>
                <w:rFonts w:ascii="Times New Roman" w:hAnsi="Times New Roman" w:cs="Times New Roman"/>
                <w:sz w:val="24"/>
                <w:szCs w:val="24"/>
              </w:rPr>
              <w:t>Çin Halk Cumhuriyeti</w:t>
            </w:r>
          </w:p>
        </w:tc>
        <w:tc>
          <w:tcPr>
            <w:tcW w:w="1241" w:type="pct"/>
            <w:shd w:val="clear" w:color="auto" w:fill="auto"/>
            <w:noWrap/>
            <w:vAlign w:val="center"/>
            <w:hideMark/>
          </w:tcPr>
          <w:p w:rsidR="00282DFA" w:rsidRPr="006144AB" w:rsidRDefault="00282DFA" w:rsidP="002A5F03">
            <w:pPr>
              <w:autoSpaceDE w:val="0"/>
              <w:autoSpaceDN w:val="0"/>
              <w:jc w:val="center"/>
              <w:rPr>
                <w:rFonts w:ascii="Times New Roman" w:hAnsi="Times New Roman" w:cs="Times New Roman"/>
                <w:sz w:val="24"/>
                <w:szCs w:val="24"/>
              </w:rPr>
            </w:pPr>
            <w:r w:rsidRPr="006144AB">
              <w:rPr>
                <w:rFonts w:ascii="Times New Roman" w:hAnsi="Times New Roman" w:cs="Times New Roman"/>
                <w:sz w:val="24"/>
                <w:szCs w:val="24"/>
              </w:rPr>
              <w:t>1,9 ABD Doları/Kg</w:t>
            </w:r>
          </w:p>
        </w:tc>
      </w:tr>
      <w:tr w:rsidR="00282DFA" w:rsidRPr="00B65777" w:rsidTr="002A5F03">
        <w:trPr>
          <w:trHeight w:val="1108"/>
        </w:trPr>
        <w:tc>
          <w:tcPr>
            <w:tcW w:w="656" w:type="pct"/>
            <w:shd w:val="clear" w:color="auto" w:fill="auto"/>
            <w:vAlign w:val="center"/>
          </w:tcPr>
          <w:p w:rsidR="00282DFA" w:rsidRPr="006144AB" w:rsidRDefault="00282DFA" w:rsidP="002A5F03">
            <w:pPr>
              <w:autoSpaceDE w:val="0"/>
              <w:autoSpaceDN w:val="0"/>
              <w:jc w:val="center"/>
              <w:rPr>
                <w:rFonts w:ascii="Times New Roman" w:hAnsi="Times New Roman" w:cs="Times New Roman"/>
                <w:sz w:val="24"/>
                <w:szCs w:val="24"/>
              </w:rPr>
            </w:pPr>
            <w:r w:rsidRPr="006144AB">
              <w:rPr>
                <w:rFonts w:ascii="Times New Roman" w:hAnsi="Times New Roman" w:cs="Times New Roman"/>
                <w:sz w:val="24"/>
                <w:szCs w:val="24"/>
              </w:rPr>
              <w:t>3921.13</w:t>
            </w:r>
          </w:p>
        </w:tc>
        <w:tc>
          <w:tcPr>
            <w:tcW w:w="2277" w:type="pct"/>
            <w:shd w:val="clear" w:color="auto" w:fill="auto"/>
            <w:vAlign w:val="center"/>
          </w:tcPr>
          <w:p w:rsidR="00282DFA" w:rsidRPr="006144AB" w:rsidRDefault="00282DFA" w:rsidP="002A5F03">
            <w:pPr>
              <w:autoSpaceDE w:val="0"/>
              <w:autoSpaceDN w:val="0"/>
              <w:rPr>
                <w:rFonts w:ascii="Times New Roman" w:hAnsi="Times New Roman" w:cs="Times New Roman"/>
                <w:sz w:val="24"/>
                <w:szCs w:val="24"/>
              </w:rPr>
            </w:pPr>
            <w:r w:rsidRPr="006144AB">
              <w:rPr>
                <w:rFonts w:ascii="Times New Roman" w:hAnsi="Times New Roman" w:cs="Times New Roman"/>
                <w:sz w:val="24"/>
                <w:szCs w:val="24"/>
              </w:rPr>
              <w:t>Yalnız, dokumaya elverişli maddelerden mesnedi bulunan, m</w:t>
            </w:r>
            <w:r w:rsidRPr="006144AB">
              <w:rPr>
                <w:rFonts w:ascii="Times New Roman" w:hAnsi="Times New Roman" w:cs="Times New Roman"/>
                <w:sz w:val="24"/>
                <w:szCs w:val="24"/>
                <w:vertAlign w:val="superscript"/>
              </w:rPr>
              <w:t>2</w:t>
            </w:r>
            <w:r w:rsidRPr="006144AB">
              <w:rPr>
                <w:rFonts w:ascii="Times New Roman" w:hAnsi="Times New Roman" w:cs="Times New Roman"/>
                <w:sz w:val="24"/>
                <w:szCs w:val="24"/>
              </w:rPr>
              <w:t xml:space="preserve"> ağırlığı 150 gr’ı geçen deri taklitleri</w:t>
            </w:r>
          </w:p>
        </w:tc>
        <w:tc>
          <w:tcPr>
            <w:tcW w:w="825" w:type="pct"/>
            <w:shd w:val="clear" w:color="auto" w:fill="auto"/>
            <w:vAlign w:val="center"/>
          </w:tcPr>
          <w:p w:rsidR="00282DFA" w:rsidRPr="006144AB" w:rsidRDefault="00282DFA" w:rsidP="002A5F03">
            <w:pPr>
              <w:autoSpaceDE w:val="0"/>
              <w:autoSpaceDN w:val="0"/>
              <w:jc w:val="center"/>
              <w:rPr>
                <w:rFonts w:ascii="Times New Roman" w:hAnsi="Times New Roman" w:cs="Times New Roman"/>
                <w:sz w:val="24"/>
                <w:szCs w:val="24"/>
              </w:rPr>
            </w:pPr>
            <w:r w:rsidRPr="006144AB">
              <w:rPr>
                <w:rFonts w:ascii="Times New Roman" w:hAnsi="Times New Roman" w:cs="Times New Roman"/>
                <w:sz w:val="24"/>
                <w:szCs w:val="24"/>
              </w:rPr>
              <w:t>Çin Halk Cumhuriyeti</w:t>
            </w:r>
          </w:p>
        </w:tc>
        <w:tc>
          <w:tcPr>
            <w:tcW w:w="1241" w:type="pct"/>
            <w:shd w:val="clear" w:color="auto" w:fill="auto"/>
            <w:noWrap/>
            <w:vAlign w:val="center"/>
          </w:tcPr>
          <w:p w:rsidR="00282DFA" w:rsidRPr="006144AB" w:rsidRDefault="00282DFA" w:rsidP="002A5F03">
            <w:pPr>
              <w:autoSpaceDE w:val="0"/>
              <w:autoSpaceDN w:val="0"/>
              <w:jc w:val="center"/>
              <w:rPr>
                <w:rFonts w:ascii="Times New Roman" w:hAnsi="Times New Roman" w:cs="Times New Roman"/>
                <w:sz w:val="24"/>
                <w:szCs w:val="24"/>
              </w:rPr>
            </w:pPr>
            <w:r w:rsidRPr="006144AB">
              <w:rPr>
                <w:rFonts w:ascii="Times New Roman" w:hAnsi="Times New Roman" w:cs="Times New Roman"/>
                <w:sz w:val="24"/>
                <w:szCs w:val="24"/>
              </w:rPr>
              <w:t>1,9 ABD Doları/Kg</w:t>
            </w:r>
          </w:p>
        </w:tc>
      </w:tr>
    </w:tbl>
    <w:p w:rsidR="00282DFA" w:rsidRPr="00B65777" w:rsidRDefault="00282DFA" w:rsidP="00282DFA">
      <w:pPr>
        <w:pStyle w:val="Default"/>
        <w:spacing w:before="120" w:after="120" w:line="276" w:lineRule="auto"/>
        <w:jc w:val="both"/>
        <w:rPr>
          <w:b/>
          <w:color w:val="0D0D0D" w:themeColor="text1" w:themeTint="F2"/>
        </w:rPr>
      </w:pPr>
    </w:p>
    <w:p w:rsidR="00282DFA" w:rsidRPr="006144AB" w:rsidRDefault="00282DFA" w:rsidP="00F859D9">
      <w:pPr>
        <w:spacing w:after="0" w:line="216" w:lineRule="auto"/>
        <w:rPr>
          <w:rFonts w:ascii="Times New Roman" w:hAnsi="Times New Roman" w:cs="Times New Roman"/>
          <w:sz w:val="24"/>
          <w:szCs w:val="24"/>
        </w:rPr>
      </w:pPr>
    </w:p>
    <w:sectPr w:rsidR="00282DFA" w:rsidRPr="006144AB" w:rsidSect="00015D59">
      <w:footerReference w:type="default" r:id="rId8"/>
      <w:footerReference w:type="first" r:id="rId9"/>
      <w:pgSz w:w="11906" w:h="16838"/>
      <w:pgMar w:top="1276" w:right="1417" w:bottom="709" w:left="1417"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7505" w:rsidRDefault="00F57505">
      <w:pPr>
        <w:spacing w:after="0" w:line="240" w:lineRule="auto"/>
      </w:pPr>
      <w:r>
        <w:separator/>
      </w:r>
    </w:p>
  </w:endnote>
  <w:endnote w:type="continuationSeparator" w:id="0">
    <w:p w:rsidR="00F57505" w:rsidRDefault="00F575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66548000"/>
      <w:docPartObj>
        <w:docPartGallery w:val="Page Numbers (Bottom of Page)"/>
        <w:docPartUnique/>
      </w:docPartObj>
    </w:sdtPr>
    <w:sdtEndPr>
      <w:rPr>
        <w:rFonts w:ascii="Times New Roman" w:hAnsi="Times New Roman" w:cs="Times New Roman"/>
        <w:sz w:val="18"/>
      </w:rPr>
    </w:sdtEndPr>
    <w:sdtContent>
      <w:p w:rsidR="00C42757" w:rsidRPr="00C42757" w:rsidRDefault="00C42757">
        <w:pPr>
          <w:pStyle w:val="Altbilgi"/>
          <w:jc w:val="right"/>
          <w:rPr>
            <w:rFonts w:ascii="Times New Roman" w:hAnsi="Times New Roman" w:cs="Times New Roman"/>
            <w:sz w:val="18"/>
          </w:rPr>
        </w:pPr>
        <w:r w:rsidRPr="00C42757">
          <w:rPr>
            <w:rFonts w:ascii="Times New Roman" w:hAnsi="Times New Roman" w:cs="Times New Roman"/>
            <w:sz w:val="18"/>
          </w:rPr>
          <w:fldChar w:fldCharType="begin"/>
        </w:r>
        <w:r w:rsidRPr="00C42757">
          <w:rPr>
            <w:rFonts w:ascii="Times New Roman" w:hAnsi="Times New Roman" w:cs="Times New Roman"/>
            <w:sz w:val="18"/>
          </w:rPr>
          <w:instrText>PAGE   \* MERGEFORMAT</w:instrText>
        </w:r>
        <w:r w:rsidRPr="00C42757">
          <w:rPr>
            <w:rFonts w:ascii="Times New Roman" w:hAnsi="Times New Roman" w:cs="Times New Roman"/>
            <w:sz w:val="18"/>
          </w:rPr>
          <w:fldChar w:fldCharType="separate"/>
        </w:r>
        <w:r w:rsidR="00CE5556">
          <w:rPr>
            <w:rFonts w:ascii="Times New Roman" w:hAnsi="Times New Roman" w:cs="Times New Roman"/>
            <w:noProof/>
            <w:sz w:val="18"/>
          </w:rPr>
          <w:t>11</w:t>
        </w:r>
        <w:r w:rsidRPr="00C42757">
          <w:rPr>
            <w:rFonts w:ascii="Times New Roman" w:hAnsi="Times New Roman" w:cs="Times New Roman"/>
            <w:sz w:val="18"/>
          </w:rPr>
          <w:fldChar w:fldCharType="end"/>
        </w:r>
      </w:p>
    </w:sdtContent>
  </w:sdt>
  <w:p w:rsidR="00736449" w:rsidRPr="00AC3404" w:rsidRDefault="00F57505" w:rsidP="00736449">
    <w:pPr>
      <w:pStyle w:val="Altbilgi"/>
      <w:jc w:val="right"/>
      <w:rPr>
        <w:sz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40102263"/>
      <w:docPartObj>
        <w:docPartGallery w:val="Page Numbers (Bottom of Page)"/>
        <w:docPartUnique/>
      </w:docPartObj>
    </w:sdtPr>
    <w:sdtEndPr>
      <w:rPr>
        <w:rFonts w:ascii="Times New Roman" w:hAnsi="Times New Roman" w:cs="Times New Roman"/>
        <w:sz w:val="18"/>
      </w:rPr>
    </w:sdtEndPr>
    <w:sdtContent>
      <w:p w:rsidR="00C42757" w:rsidRPr="00C42757" w:rsidRDefault="00C42757">
        <w:pPr>
          <w:pStyle w:val="Altbilgi"/>
          <w:jc w:val="right"/>
          <w:rPr>
            <w:rFonts w:ascii="Times New Roman" w:hAnsi="Times New Roman" w:cs="Times New Roman"/>
            <w:sz w:val="18"/>
          </w:rPr>
        </w:pPr>
        <w:r w:rsidRPr="00C42757">
          <w:rPr>
            <w:rFonts w:ascii="Times New Roman" w:hAnsi="Times New Roman" w:cs="Times New Roman"/>
            <w:sz w:val="18"/>
          </w:rPr>
          <w:fldChar w:fldCharType="begin"/>
        </w:r>
        <w:r w:rsidRPr="00C42757">
          <w:rPr>
            <w:rFonts w:ascii="Times New Roman" w:hAnsi="Times New Roman" w:cs="Times New Roman"/>
            <w:sz w:val="18"/>
          </w:rPr>
          <w:instrText>PAGE   \* MERGEFORMAT</w:instrText>
        </w:r>
        <w:r w:rsidRPr="00C42757">
          <w:rPr>
            <w:rFonts w:ascii="Times New Roman" w:hAnsi="Times New Roman" w:cs="Times New Roman"/>
            <w:sz w:val="18"/>
          </w:rPr>
          <w:fldChar w:fldCharType="separate"/>
        </w:r>
        <w:r w:rsidR="00CE5556">
          <w:rPr>
            <w:rFonts w:ascii="Times New Roman" w:hAnsi="Times New Roman" w:cs="Times New Roman"/>
            <w:noProof/>
            <w:sz w:val="18"/>
          </w:rPr>
          <w:t>1</w:t>
        </w:r>
        <w:r w:rsidRPr="00C42757">
          <w:rPr>
            <w:rFonts w:ascii="Times New Roman" w:hAnsi="Times New Roman" w:cs="Times New Roman"/>
            <w:sz w:val="18"/>
          </w:rPr>
          <w:fldChar w:fldCharType="end"/>
        </w:r>
      </w:p>
    </w:sdtContent>
  </w:sdt>
  <w:p w:rsidR="00736449" w:rsidRPr="00AC3404" w:rsidRDefault="00F57505" w:rsidP="00736449">
    <w:pPr>
      <w:pStyle w:val="Altbilgi"/>
      <w:jc w:val="right"/>
      <w:rPr>
        <w:sz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7505" w:rsidRDefault="00F57505">
      <w:pPr>
        <w:spacing w:after="0" w:line="240" w:lineRule="auto"/>
      </w:pPr>
      <w:r>
        <w:separator/>
      </w:r>
    </w:p>
  </w:footnote>
  <w:footnote w:type="continuationSeparator" w:id="0">
    <w:p w:rsidR="00F57505" w:rsidRDefault="00F57505">
      <w:pPr>
        <w:spacing w:after="0" w:line="240" w:lineRule="auto"/>
      </w:pPr>
      <w:r>
        <w:continuationSeparator/>
      </w:r>
    </w:p>
  </w:footnote>
  <w:footnote w:id="1">
    <w:p w:rsidR="00282DFA" w:rsidRPr="008C064D" w:rsidRDefault="00282DFA" w:rsidP="00282DFA">
      <w:pPr>
        <w:pStyle w:val="DipnotMetni"/>
        <w:jc w:val="both"/>
        <w:rPr>
          <w:sz w:val="18"/>
        </w:rPr>
      </w:pPr>
      <w:r w:rsidRPr="008C064D">
        <w:rPr>
          <w:rStyle w:val="DipnotBavurusu"/>
          <w:sz w:val="18"/>
        </w:rPr>
        <w:footnoteRef/>
      </w:r>
      <w:r w:rsidRPr="008C064D">
        <w:rPr>
          <w:sz w:val="18"/>
        </w:rPr>
        <w:t xml:space="preserve"> Kaynak: Dünya Ticaret Örgütü, (Integrated Trade Intelligence Portal (I-TIP)). </w:t>
      </w:r>
    </w:p>
    <w:p w:rsidR="00282DFA" w:rsidRPr="008C064D" w:rsidRDefault="00282DFA" w:rsidP="00282DFA">
      <w:pPr>
        <w:pStyle w:val="DipnotMetni"/>
        <w:jc w:val="both"/>
        <w:rPr>
          <w:sz w:val="18"/>
          <w:u w:val="single"/>
        </w:rPr>
      </w:pPr>
      <w:r w:rsidRPr="008C064D">
        <w:rPr>
          <w:sz w:val="18"/>
          <w:u w:val="single"/>
        </w:rPr>
        <w:t>http://i-tip.wto.org/goods/Forms/TableView.aspx</w:t>
      </w:r>
      <w:r w:rsidRPr="008C064D">
        <w:rPr>
          <w:bCs/>
          <w:sz w:val="18"/>
          <w:u w:val="single"/>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5359A"/>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1CC18FF"/>
    <w:multiLevelType w:val="multilevel"/>
    <w:tmpl w:val="E278AC9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E44746C"/>
    <w:multiLevelType w:val="hybridMultilevel"/>
    <w:tmpl w:val="3D542E92"/>
    <w:lvl w:ilvl="0" w:tplc="B8A05B70">
      <w:start w:val="1"/>
      <w:numFmt w:val="lowerLetter"/>
      <w:lvlText w:val="%1)"/>
      <w:lvlJc w:val="left"/>
      <w:pPr>
        <w:ind w:left="926" w:hanging="360"/>
      </w:pPr>
      <w:rPr>
        <w:rFonts w:hint="default"/>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3" w15:restartNumberingAfterBreak="0">
    <w:nsid w:val="11D01B4F"/>
    <w:multiLevelType w:val="hybridMultilevel"/>
    <w:tmpl w:val="048E1F74"/>
    <w:lvl w:ilvl="0" w:tplc="A774900E">
      <w:start w:val="1"/>
      <w:numFmt w:val="lowerRoman"/>
      <w:lvlText w:val="%1."/>
      <w:lvlJc w:val="left"/>
      <w:pPr>
        <w:ind w:left="1800" w:hanging="720"/>
      </w:pPr>
      <w:rPr>
        <w:rFonts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4" w15:restartNumberingAfterBreak="0">
    <w:nsid w:val="123A7B36"/>
    <w:multiLevelType w:val="hybridMultilevel"/>
    <w:tmpl w:val="4044F710"/>
    <w:lvl w:ilvl="0" w:tplc="DCD209AE">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54E0625"/>
    <w:multiLevelType w:val="hybridMultilevel"/>
    <w:tmpl w:val="EA80E728"/>
    <w:lvl w:ilvl="0" w:tplc="83421D5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2624944"/>
    <w:multiLevelType w:val="hybridMultilevel"/>
    <w:tmpl w:val="E2A465E6"/>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BCF553A"/>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3A616907"/>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41C6EC8"/>
    <w:multiLevelType w:val="hybridMultilevel"/>
    <w:tmpl w:val="ADD454E4"/>
    <w:lvl w:ilvl="0" w:tplc="49AA8B3E">
      <w:start w:val="1"/>
      <w:numFmt w:val="decimal"/>
      <w:suff w:val="space"/>
      <w:lvlText w:val="(%1)"/>
      <w:lvlJc w:val="left"/>
      <w:pPr>
        <w:ind w:left="0" w:firstLine="644"/>
      </w:pPr>
      <w:rPr>
        <w:rFonts w:hint="default"/>
        <w:color w:val="auto"/>
      </w:rPr>
    </w:lvl>
    <w:lvl w:ilvl="1" w:tplc="1228EFB2">
      <w:start w:val="1"/>
      <w:numFmt w:val="lowerRoman"/>
      <w:lvlText w:val="(%2)"/>
      <w:lvlJc w:val="left"/>
      <w:pPr>
        <w:ind w:left="1800" w:hanging="720"/>
      </w:pPr>
      <w:rPr>
        <w:rFonts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64A255B3"/>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75CF6955"/>
    <w:multiLevelType w:val="hybridMultilevel"/>
    <w:tmpl w:val="07E2E11C"/>
    <w:lvl w:ilvl="0" w:tplc="7F648C36">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7D492ED3"/>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
  </w:num>
  <w:num w:numId="2">
    <w:abstractNumId w:val="1"/>
  </w:num>
  <w:num w:numId="3">
    <w:abstractNumId w:val="7"/>
  </w:num>
  <w:num w:numId="4">
    <w:abstractNumId w:val="10"/>
  </w:num>
  <w:num w:numId="5">
    <w:abstractNumId w:val="8"/>
  </w:num>
  <w:num w:numId="6">
    <w:abstractNumId w:val="0"/>
  </w:num>
  <w:num w:numId="7">
    <w:abstractNumId w:val="4"/>
  </w:num>
  <w:num w:numId="8">
    <w:abstractNumId w:val="12"/>
  </w:num>
  <w:num w:numId="9">
    <w:abstractNumId w:val="11"/>
  </w:num>
  <w:num w:numId="10">
    <w:abstractNumId w:val="5"/>
  </w:num>
  <w:num w:numId="11">
    <w:abstractNumId w:val="9"/>
  </w:num>
  <w:num w:numId="12">
    <w:abstractNumId w:val="3"/>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0F19"/>
    <w:rsid w:val="00015D59"/>
    <w:rsid w:val="0003384A"/>
    <w:rsid w:val="0007331B"/>
    <w:rsid w:val="00075A54"/>
    <w:rsid w:val="00092086"/>
    <w:rsid w:val="000A1004"/>
    <w:rsid w:val="000B6322"/>
    <w:rsid w:val="000F2DE8"/>
    <w:rsid w:val="00114ACA"/>
    <w:rsid w:val="001438F7"/>
    <w:rsid w:val="00152F57"/>
    <w:rsid w:val="00167CD7"/>
    <w:rsid w:val="001A7E67"/>
    <w:rsid w:val="001E4B21"/>
    <w:rsid w:val="002056AA"/>
    <w:rsid w:val="00211724"/>
    <w:rsid w:val="0025455F"/>
    <w:rsid w:val="00281779"/>
    <w:rsid w:val="00282DFA"/>
    <w:rsid w:val="00287F10"/>
    <w:rsid w:val="002979D5"/>
    <w:rsid w:val="002B2205"/>
    <w:rsid w:val="002E2156"/>
    <w:rsid w:val="003035ED"/>
    <w:rsid w:val="00327F79"/>
    <w:rsid w:val="00354607"/>
    <w:rsid w:val="00383203"/>
    <w:rsid w:val="003A50EC"/>
    <w:rsid w:val="003D2D5D"/>
    <w:rsid w:val="003D6DCA"/>
    <w:rsid w:val="003F4714"/>
    <w:rsid w:val="003F588D"/>
    <w:rsid w:val="003F6E47"/>
    <w:rsid w:val="00404D62"/>
    <w:rsid w:val="00415A3F"/>
    <w:rsid w:val="00420266"/>
    <w:rsid w:val="004243DB"/>
    <w:rsid w:val="004278B4"/>
    <w:rsid w:val="0044281C"/>
    <w:rsid w:val="00446EA7"/>
    <w:rsid w:val="004500C0"/>
    <w:rsid w:val="00482DCA"/>
    <w:rsid w:val="00492A2F"/>
    <w:rsid w:val="004965B6"/>
    <w:rsid w:val="004A4176"/>
    <w:rsid w:val="004B04F9"/>
    <w:rsid w:val="004B2FE4"/>
    <w:rsid w:val="004C05C1"/>
    <w:rsid w:val="004D22F8"/>
    <w:rsid w:val="004E7654"/>
    <w:rsid w:val="004F723D"/>
    <w:rsid w:val="00500F19"/>
    <w:rsid w:val="0050252D"/>
    <w:rsid w:val="00521FBD"/>
    <w:rsid w:val="005259F2"/>
    <w:rsid w:val="0054122F"/>
    <w:rsid w:val="00557E87"/>
    <w:rsid w:val="005645E2"/>
    <w:rsid w:val="00564ACB"/>
    <w:rsid w:val="00576E9F"/>
    <w:rsid w:val="005A5CE4"/>
    <w:rsid w:val="005C66AC"/>
    <w:rsid w:val="005E0D03"/>
    <w:rsid w:val="005E3083"/>
    <w:rsid w:val="005E7FED"/>
    <w:rsid w:val="006144AB"/>
    <w:rsid w:val="006351D5"/>
    <w:rsid w:val="006366E0"/>
    <w:rsid w:val="006522F5"/>
    <w:rsid w:val="006C3BD0"/>
    <w:rsid w:val="006E52F7"/>
    <w:rsid w:val="006E620A"/>
    <w:rsid w:val="006F235E"/>
    <w:rsid w:val="006F43AE"/>
    <w:rsid w:val="00706089"/>
    <w:rsid w:val="00706D9D"/>
    <w:rsid w:val="00713DF8"/>
    <w:rsid w:val="007B0281"/>
    <w:rsid w:val="007D7A39"/>
    <w:rsid w:val="0082468E"/>
    <w:rsid w:val="00833123"/>
    <w:rsid w:val="00860DE9"/>
    <w:rsid w:val="008668EF"/>
    <w:rsid w:val="00880A73"/>
    <w:rsid w:val="008C38E8"/>
    <w:rsid w:val="008D2598"/>
    <w:rsid w:val="008D5483"/>
    <w:rsid w:val="008E577B"/>
    <w:rsid w:val="0091167A"/>
    <w:rsid w:val="009274F8"/>
    <w:rsid w:val="00936DBC"/>
    <w:rsid w:val="00936F3D"/>
    <w:rsid w:val="009436CD"/>
    <w:rsid w:val="00951D57"/>
    <w:rsid w:val="0096317E"/>
    <w:rsid w:val="009770DB"/>
    <w:rsid w:val="00977324"/>
    <w:rsid w:val="00986561"/>
    <w:rsid w:val="009A1588"/>
    <w:rsid w:val="009A3D9A"/>
    <w:rsid w:val="009A62CA"/>
    <w:rsid w:val="009C18D8"/>
    <w:rsid w:val="009C5F81"/>
    <w:rsid w:val="009E0B2D"/>
    <w:rsid w:val="009E2B20"/>
    <w:rsid w:val="009E3008"/>
    <w:rsid w:val="009E6C18"/>
    <w:rsid w:val="009F0647"/>
    <w:rsid w:val="00A017A7"/>
    <w:rsid w:val="00A41903"/>
    <w:rsid w:val="00A44C3F"/>
    <w:rsid w:val="00A6010F"/>
    <w:rsid w:val="00A75C18"/>
    <w:rsid w:val="00A85964"/>
    <w:rsid w:val="00AA02B2"/>
    <w:rsid w:val="00AC3404"/>
    <w:rsid w:val="00B3639E"/>
    <w:rsid w:val="00B65777"/>
    <w:rsid w:val="00B85194"/>
    <w:rsid w:val="00B93A2A"/>
    <w:rsid w:val="00B964A9"/>
    <w:rsid w:val="00BA18E2"/>
    <w:rsid w:val="00BA2036"/>
    <w:rsid w:val="00BB062B"/>
    <w:rsid w:val="00BC1B1B"/>
    <w:rsid w:val="00BD3CCF"/>
    <w:rsid w:val="00BE1767"/>
    <w:rsid w:val="00BE397C"/>
    <w:rsid w:val="00C41414"/>
    <w:rsid w:val="00C42757"/>
    <w:rsid w:val="00C440BC"/>
    <w:rsid w:val="00C5208A"/>
    <w:rsid w:val="00C53E5E"/>
    <w:rsid w:val="00C90649"/>
    <w:rsid w:val="00C915C6"/>
    <w:rsid w:val="00CC2DDE"/>
    <w:rsid w:val="00CD794A"/>
    <w:rsid w:val="00CE5556"/>
    <w:rsid w:val="00CF2285"/>
    <w:rsid w:val="00D118BD"/>
    <w:rsid w:val="00D153DC"/>
    <w:rsid w:val="00D338F3"/>
    <w:rsid w:val="00D523A4"/>
    <w:rsid w:val="00D64C40"/>
    <w:rsid w:val="00D67A84"/>
    <w:rsid w:val="00D96E35"/>
    <w:rsid w:val="00DA0AA4"/>
    <w:rsid w:val="00DA6216"/>
    <w:rsid w:val="00DA7AEB"/>
    <w:rsid w:val="00DB0C07"/>
    <w:rsid w:val="00DD4082"/>
    <w:rsid w:val="00DE1E40"/>
    <w:rsid w:val="00E11985"/>
    <w:rsid w:val="00E16FD9"/>
    <w:rsid w:val="00E35F75"/>
    <w:rsid w:val="00E468FA"/>
    <w:rsid w:val="00E70C05"/>
    <w:rsid w:val="00E71E8D"/>
    <w:rsid w:val="00EC545A"/>
    <w:rsid w:val="00ED0377"/>
    <w:rsid w:val="00F17722"/>
    <w:rsid w:val="00F57505"/>
    <w:rsid w:val="00F6262A"/>
    <w:rsid w:val="00F775D3"/>
    <w:rsid w:val="00F80DD6"/>
    <w:rsid w:val="00F859D9"/>
    <w:rsid w:val="00F94152"/>
    <w:rsid w:val="00F96080"/>
    <w:rsid w:val="00F97F9D"/>
    <w:rsid w:val="00FA627D"/>
    <w:rsid w:val="00FB2118"/>
    <w:rsid w:val="00FB6703"/>
    <w:rsid w:val="00FB7C6C"/>
    <w:rsid w:val="00FD0134"/>
    <w:rsid w:val="00FE010C"/>
    <w:rsid w:val="00FE5673"/>
    <w:rsid w:val="00FE5C8B"/>
    <w:rsid w:val="00FF2CAF"/>
    <w:rsid w:val="00FF3BF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526F0A-ED48-4067-8873-06CFB3522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0F19"/>
    <w:pPr>
      <w:spacing w:after="200" w:line="276" w:lineRule="auto"/>
    </w:pPr>
  </w:style>
  <w:style w:type="paragraph" w:styleId="Balk1">
    <w:name w:val="heading 1"/>
    <w:basedOn w:val="Normal"/>
    <w:next w:val="Normal"/>
    <w:link w:val="Balk1Char"/>
    <w:uiPriority w:val="9"/>
    <w:qFormat/>
    <w:rsid w:val="00282DFA"/>
    <w:pPr>
      <w:keepNext/>
      <w:keepLines/>
      <w:spacing w:before="240" w:after="240" w:line="240" w:lineRule="auto"/>
      <w:outlineLvl w:val="0"/>
    </w:pPr>
    <w:rPr>
      <w:rFonts w:asciiTheme="majorHAnsi" w:eastAsiaTheme="majorEastAsia" w:hAnsiTheme="majorHAnsi" w:cstheme="majorBidi"/>
      <w:b/>
      <w:bCs/>
      <w:caps/>
      <w:sz w:val="28"/>
      <w:szCs w:val="28"/>
      <w:lang w:eastAsia="tr-TR"/>
    </w:rPr>
  </w:style>
  <w:style w:type="paragraph" w:styleId="Balk2">
    <w:name w:val="heading 2"/>
    <w:basedOn w:val="Normal"/>
    <w:next w:val="Normal"/>
    <w:link w:val="Balk2Char"/>
    <w:uiPriority w:val="9"/>
    <w:unhideWhenUsed/>
    <w:qFormat/>
    <w:rsid w:val="00282DFA"/>
    <w:pPr>
      <w:keepNext/>
      <w:keepLines/>
      <w:spacing w:before="240" w:after="0" w:line="240" w:lineRule="auto"/>
      <w:outlineLvl w:val="1"/>
    </w:pPr>
    <w:rPr>
      <w:rFonts w:ascii="Times New Roman" w:eastAsiaTheme="majorEastAsia" w:hAnsi="Times New Roman" w:cstheme="majorBidi"/>
      <w:b/>
      <w:sz w:val="24"/>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ltbilgi">
    <w:name w:val="footer"/>
    <w:basedOn w:val="Normal"/>
    <w:link w:val="AltbilgiChar"/>
    <w:uiPriority w:val="99"/>
    <w:unhideWhenUsed/>
    <w:rsid w:val="00500F19"/>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500F19"/>
  </w:style>
  <w:style w:type="paragraph" w:styleId="ListeParagraf">
    <w:name w:val="List Paragraph"/>
    <w:basedOn w:val="Normal"/>
    <w:uiPriority w:val="34"/>
    <w:qFormat/>
    <w:rsid w:val="00500F19"/>
    <w:pPr>
      <w:ind w:left="720"/>
      <w:contextualSpacing/>
    </w:pPr>
  </w:style>
  <w:style w:type="paragraph" w:styleId="stbilgi">
    <w:name w:val="header"/>
    <w:basedOn w:val="Normal"/>
    <w:link w:val="stbilgiChar"/>
    <w:uiPriority w:val="99"/>
    <w:unhideWhenUsed/>
    <w:rsid w:val="00AC3404"/>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AC3404"/>
  </w:style>
  <w:style w:type="paragraph" w:styleId="BalonMetni">
    <w:name w:val="Balloon Text"/>
    <w:basedOn w:val="Normal"/>
    <w:link w:val="BalonMetniChar"/>
    <w:uiPriority w:val="99"/>
    <w:semiHidden/>
    <w:unhideWhenUsed/>
    <w:rsid w:val="00BB062B"/>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B062B"/>
    <w:rPr>
      <w:rFonts w:ascii="Segoe UI" w:hAnsi="Segoe UI" w:cs="Segoe UI"/>
      <w:sz w:val="18"/>
      <w:szCs w:val="18"/>
    </w:rPr>
  </w:style>
  <w:style w:type="character" w:customStyle="1" w:styleId="Balk1Char">
    <w:name w:val="Başlık 1 Char"/>
    <w:basedOn w:val="VarsaylanParagrafYazTipi"/>
    <w:link w:val="Balk1"/>
    <w:uiPriority w:val="9"/>
    <w:rsid w:val="00282DFA"/>
    <w:rPr>
      <w:rFonts w:asciiTheme="majorHAnsi" w:eastAsiaTheme="majorEastAsia" w:hAnsiTheme="majorHAnsi" w:cstheme="majorBidi"/>
      <w:b/>
      <w:bCs/>
      <w:caps/>
      <w:sz w:val="28"/>
      <w:szCs w:val="28"/>
      <w:lang w:eastAsia="tr-TR"/>
    </w:rPr>
  </w:style>
  <w:style w:type="character" w:customStyle="1" w:styleId="Balk2Char">
    <w:name w:val="Başlık 2 Char"/>
    <w:basedOn w:val="VarsaylanParagrafYazTipi"/>
    <w:link w:val="Balk2"/>
    <w:uiPriority w:val="9"/>
    <w:rsid w:val="00282DFA"/>
    <w:rPr>
      <w:rFonts w:ascii="Times New Roman" w:eastAsiaTheme="majorEastAsia" w:hAnsi="Times New Roman" w:cstheme="majorBidi"/>
      <w:b/>
      <w:sz w:val="24"/>
      <w:szCs w:val="26"/>
    </w:rPr>
  </w:style>
  <w:style w:type="paragraph" w:styleId="GvdeMetniGirintisi2">
    <w:name w:val="Body Text Indent 2"/>
    <w:basedOn w:val="Normal"/>
    <w:link w:val="GvdeMetniGirintisi2Char"/>
    <w:semiHidden/>
    <w:rsid w:val="00282DFA"/>
    <w:pPr>
      <w:spacing w:after="0" w:line="240" w:lineRule="auto"/>
      <w:ind w:left="360"/>
      <w:jc w:val="both"/>
    </w:pPr>
    <w:rPr>
      <w:rFonts w:ascii="Times New Roman" w:eastAsia="Times New Roman" w:hAnsi="Times New Roman" w:cs="Times New Roman"/>
      <w:sz w:val="24"/>
      <w:szCs w:val="24"/>
    </w:rPr>
  </w:style>
  <w:style w:type="character" w:customStyle="1" w:styleId="GvdeMetniGirintisi2Char">
    <w:name w:val="Gövde Metni Girintisi 2 Char"/>
    <w:basedOn w:val="VarsaylanParagrafYazTipi"/>
    <w:link w:val="GvdeMetniGirintisi2"/>
    <w:semiHidden/>
    <w:rsid w:val="00282DFA"/>
    <w:rPr>
      <w:rFonts w:ascii="Times New Roman" w:eastAsia="Times New Roman" w:hAnsi="Times New Roman" w:cs="Times New Roman"/>
      <w:sz w:val="24"/>
      <w:szCs w:val="24"/>
    </w:rPr>
  </w:style>
  <w:style w:type="paragraph" w:styleId="GvdeMetni2">
    <w:name w:val="Body Text 2"/>
    <w:basedOn w:val="Normal"/>
    <w:link w:val="GvdeMetni2Char"/>
    <w:rsid w:val="00282DFA"/>
    <w:pPr>
      <w:spacing w:after="120" w:line="480" w:lineRule="auto"/>
    </w:pPr>
    <w:rPr>
      <w:rFonts w:ascii="Times New Roman" w:eastAsia="Times New Roman" w:hAnsi="Times New Roman" w:cs="Times New Roman"/>
      <w:sz w:val="24"/>
      <w:szCs w:val="24"/>
    </w:rPr>
  </w:style>
  <w:style w:type="character" w:customStyle="1" w:styleId="GvdeMetni2Char">
    <w:name w:val="Gövde Metni 2 Char"/>
    <w:basedOn w:val="VarsaylanParagrafYazTipi"/>
    <w:link w:val="GvdeMetni2"/>
    <w:rsid w:val="00282DFA"/>
    <w:rPr>
      <w:rFonts w:ascii="Times New Roman" w:eastAsia="Times New Roman" w:hAnsi="Times New Roman" w:cs="Times New Roman"/>
      <w:sz w:val="24"/>
      <w:szCs w:val="24"/>
    </w:rPr>
  </w:style>
  <w:style w:type="paragraph" w:customStyle="1" w:styleId="Default">
    <w:name w:val="Default"/>
    <w:rsid w:val="00282DFA"/>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paragraph" w:styleId="DipnotMetni">
    <w:name w:val="footnote text"/>
    <w:basedOn w:val="Normal"/>
    <w:link w:val="DipnotMetniChar"/>
    <w:rsid w:val="00282DFA"/>
    <w:pPr>
      <w:spacing w:after="0" w:line="240" w:lineRule="auto"/>
    </w:pPr>
    <w:rPr>
      <w:rFonts w:ascii="Times New Roman" w:eastAsia="Times New Roman" w:hAnsi="Times New Roman" w:cs="Times New Roman"/>
      <w:sz w:val="20"/>
      <w:szCs w:val="20"/>
      <w:lang w:eastAsia="tr-TR"/>
    </w:rPr>
  </w:style>
  <w:style w:type="character" w:customStyle="1" w:styleId="DipnotMetniChar">
    <w:name w:val="Dipnot Metni Char"/>
    <w:basedOn w:val="VarsaylanParagrafYazTipi"/>
    <w:link w:val="DipnotMetni"/>
    <w:rsid w:val="00282DFA"/>
    <w:rPr>
      <w:rFonts w:ascii="Times New Roman" w:eastAsia="Times New Roman" w:hAnsi="Times New Roman" w:cs="Times New Roman"/>
      <w:sz w:val="20"/>
      <w:szCs w:val="20"/>
      <w:lang w:eastAsia="tr-TR"/>
    </w:rPr>
  </w:style>
  <w:style w:type="character" w:styleId="DipnotBavurusu">
    <w:name w:val="footnote reference"/>
    <w:rsid w:val="00282DF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9511491">
      <w:bodyDiv w:val="1"/>
      <w:marLeft w:val="0"/>
      <w:marRight w:val="0"/>
      <w:marTop w:val="0"/>
      <w:marBottom w:val="0"/>
      <w:divBdr>
        <w:top w:val="none" w:sz="0" w:space="0" w:color="auto"/>
        <w:left w:val="none" w:sz="0" w:space="0" w:color="auto"/>
        <w:bottom w:val="none" w:sz="0" w:space="0" w:color="auto"/>
        <w:right w:val="none" w:sz="0" w:space="0" w:color="auto"/>
      </w:divBdr>
    </w:div>
    <w:div w:id="678893250">
      <w:bodyDiv w:val="1"/>
      <w:marLeft w:val="0"/>
      <w:marRight w:val="0"/>
      <w:marTop w:val="0"/>
      <w:marBottom w:val="0"/>
      <w:divBdr>
        <w:top w:val="none" w:sz="0" w:space="0" w:color="auto"/>
        <w:left w:val="none" w:sz="0" w:space="0" w:color="auto"/>
        <w:bottom w:val="none" w:sz="0" w:space="0" w:color="auto"/>
        <w:right w:val="none" w:sz="0" w:space="0" w:color="auto"/>
      </w:divBdr>
    </w:div>
    <w:div w:id="1615868286">
      <w:bodyDiv w:val="1"/>
      <w:marLeft w:val="0"/>
      <w:marRight w:val="0"/>
      <w:marTop w:val="0"/>
      <w:marBottom w:val="0"/>
      <w:divBdr>
        <w:top w:val="none" w:sz="0" w:space="0" w:color="auto"/>
        <w:left w:val="none" w:sz="0" w:space="0" w:color="auto"/>
        <w:bottom w:val="none" w:sz="0" w:space="0" w:color="auto"/>
        <w:right w:val="none" w:sz="0" w:space="0" w:color="auto"/>
      </w:divBdr>
    </w:div>
    <w:div w:id="1743137496">
      <w:bodyDiv w:val="1"/>
      <w:marLeft w:val="0"/>
      <w:marRight w:val="0"/>
      <w:marTop w:val="0"/>
      <w:marBottom w:val="0"/>
      <w:divBdr>
        <w:top w:val="none" w:sz="0" w:space="0" w:color="auto"/>
        <w:left w:val="none" w:sz="0" w:space="0" w:color="auto"/>
        <w:bottom w:val="none" w:sz="0" w:space="0" w:color="auto"/>
        <w:right w:val="none" w:sz="0" w:space="0" w:color="auto"/>
      </w:divBdr>
    </w:div>
    <w:div w:id="1849441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BC22E3-8940-41A2-9717-3345149C66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4154</Words>
  <Characters>23678</Characters>
  <Application>Microsoft Office Word</Application>
  <DocSecurity>0</DocSecurity>
  <Lines>197</Lines>
  <Paragraphs>55</Paragraphs>
  <ScaleCrop>false</ScaleCrop>
  <HeadingPairs>
    <vt:vector size="2" baseType="variant">
      <vt:variant>
        <vt:lpstr>Konu Başlığı</vt:lpstr>
      </vt:variant>
      <vt:variant>
        <vt:i4>1</vt:i4>
      </vt:variant>
    </vt:vector>
  </HeadingPairs>
  <TitlesOfParts>
    <vt:vector size="1" baseType="lpstr">
      <vt:lpstr/>
    </vt:vector>
  </TitlesOfParts>
  <Company>T.C. Ekonomi Bakanlığı</Company>
  <LinksUpToDate>false</LinksUpToDate>
  <CharactersWithSpaces>27777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Oğuzhan Yüksel</dc:creator>
  <cp:keywords/>
  <dc:description/>
  <cp:lastModifiedBy>Kübra DÖNMEZ</cp:lastModifiedBy>
  <cp:revision>2</cp:revision>
  <dcterms:created xsi:type="dcterms:W3CDTF">2021-05-28T06:28:00Z</dcterms:created>
  <dcterms:modified xsi:type="dcterms:W3CDTF">2021-05-28T06:28:00Z</dcterms:modified>
</cp:coreProperties>
</file>