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537" w:rsidRPr="00813452" w:rsidRDefault="002B5537" w:rsidP="00A73D18">
      <w:pPr>
        <w:spacing w:before="240" w:after="120"/>
        <w:rPr>
          <w:rFonts w:ascii="Times New Roman" w:hAnsi="Times New Roman" w:cs="Times New Roman"/>
          <w:b/>
          <w:caps/>
          <w:sz w:val="24"/>
          <w:szCs w:val="24"/>
        </w:rPr>
      </w:pPr>
      <w:bookmarkStart w:id="0" w:name="_GoBack"/>
      <w:bookmarkEnd w:id="0"/>
      <w:r w:rsidRPr="00813452">
        <w:rPr>
          <w:rFonts w:ascii="Times New Roman" w:hAnsi="Times New Roman" w:cs="Times New Roman"/>
          <w:b/>
          <w:caps/>
          <w:sz w:val="24"/>
          <w:szCs w:val="24"/>
        </w:rPr>
        <w:t>EK:</w:t>
      </w:r>
    </w:p>
    <w:p w:rsidR="002B5537" w:rsidRPr="00813452" w:rsidRDefault="002B5537" w:rsidP="00A73D18">
      <w:pPr>
        <w:spacing w:before="240" w:after="120"/>
        <w:jc w:val="center"/>
        <w:rPr>
          <w:rFonts w:ascii="Times New Roman" w:hAnsi="Times New Roman" w:cs="Times New Roman"/>
          <w:b/>
          <w:caps/>
          <w:sz w:val="24"/>
          <w:szCs w:val="24"/>
        </w:rPr>
      </w:pPr>
      <w:r w:rsidRPr="00813452">
        <w:rPr>
          <w:rFonts w:ascii="Times New Roman" w:hAnsi="Times New Roman" w:cs="Times New Roman"/>
          <w:b/>
          <w:caps/>
          <w:sz w:val="24"/>
          <w:szCs w:val="24"/>
        </w:rPr>
        <w:t>2019/</w:t>
      </w:r>
      <w:r w:rsidR="008006AF" w:rsidRPr="00813452">
        <w:rPr>
          <w:rFonts w:ascii="Times New Roman" w:hAnsi="Times New Roman" w:cs="Times New Roman"/>
          <w:b/>
          <w:caps/>
          <w:sz w:val="24"/>
          <w:szCs w:val="24"/>
        </w:rPr>
        <w:t>33</w:t>
      </w:r>
      <w:r w:rsidRPr="00813452">
        <w:rPr>
          <w:rFonts w:ascii="Times New Roman" w:hAnsi="Times New Roman" w:cs="Times New Roman"/>
          <w:b/>
          <w:caps/>
          <w:sz w:val="24"/>
          <w:szCs w:val="24"/>
        </w:rPr>
        <w:t xml:space="preserve"> SaYILI İTHALATTA HAKSIZ REKABETİN ÖNLENMESİNE İLİŞKİN TEBLİĞE DAİR BİLGİLENDİRME RAPORU</w:t>
      </w:r>
    </w:p>
    <w:p w:rsidR="002563B5" w:rsidRPr="00813452" w:rsidRDefault="002B5537" w:rsidP="00A73D18">
      <w:pPr>
        <w:pStyle w:val="Balk1"/>
        <w:numPr>
          <w:ilvl w:val="0"/>
          <w:numId w:val="1"/>
        </w:numPr>
        <w:spacing w:after="120"/>
        <w:rPr>
          <w:rFonts w:ascii="Times New Roman" w:hAnsi="Times New Roman" w:cs="Times New Roman"/>
          <w:b/>
          <w:color w:val="auto"/>
          <w:sz w:val="24"/>
          <w:szCs w:val="24"/>
        </w:rPr>
      </w:pPr>
      <w:r w:rsidRPr="00813452">
        <w:rPr>
          <w:rFonts w:ascii="Times New Roman" w:hAnsi="Times New Roman" w:cs="Times New Roman"/>
          <w:b/>
          <w:color w:val="auto"/>
          <w:sz w:val="24"/>
          <w:szCs w:val="24"/>
        </w:rPr>
        <w:t>SORUŞTURMAYA İLİŞKİN GENEL BİLGİ VE İŞLEMLER</w:t>
      </w:r>
    </w:p>
    <w:p w:rsidR="002563B5" w:rsidRPr="00813452" w:rsidRDefault="002563B5" w:rsidP="00A73D18">
      <w:pPr>
        <w:pStyle w:val="Balk2"/>
        <w:numPr>
          <w:ilvl w:val="1"/>
          <w:numId w:val="3"/>
        </w:numPr>
        <w:spacing w:before="240" w:after="120"/>
        <w:ind w:left="432"/>
        <w:rPr>
          <w:rFonts w:ascii="Times New Roman" w:hAnsi="Times New Roman" w:cs="Times New Roman"/>
          <w:b/>
          <w:color w:val="auto"/>
          <w:sz w:val="24"/>
          <w:szCs w:val="24"/>
        </w:rPr>
      </w:pPr>
      <w:bookmarkStart w:id="1" w:name="_Toc23509665"/>
      <w:r w:rsidRPr="00813452">
        <w:rPr>
          <w:rFonts w:ascii="Times New Roman" w:hAnsi="Times New Roman" w:cs="Times New Roman"/>
          <w:b/>
          <w:color w:val="auto"/>
          <w:sz w:val="24"/>
          <w:szCs w:val="24"/>
        </w:rPr>
        <w:t>Soruşturma</w:t>
      </w:r>
      <w:bookmarkEnd w:id="1"/>
    </w:p>
    <w:p w:rsidR="00AC6616" w:rsidRPr="00813452" w:rsidRDefault="002F2F70" w:rsidP="00A73D18">
      <w:pPr>
        <w:spacing w:before="240" w:after="120"/>
        <w:jc w:val="both"/>
        <w:rPr>
          <w:rFonts w:ascii="Times New Roman" w:hAnsi="Times New Roman" w:cs="Times New Roman"/>
          <w:sz w:val="24"/>
          <w:szCs w:val="24"/>
        </w:rPr>
      </w:pPr>
      <w:r w:rsidRPr="00813452">
        <w:rPr>
          <w:rFonts w:ascii="Times New Roman" w:hAnsi="Times New Roman" w:cs="Times New Roman"/>
          <w:sz w:val="24"/>
          <w:szCs w:val="24"/>
        </w:rPr>
        <w:t xml:space="preserve">(1) </w:t>
      </w:r>
      <w:r w:rsidR="002B5537" w:rsidRPr="00813452">
        <w:rPr>
          <w:rFonts w:ascii="Times New Roman" w:hAnsi="Times New Roman" w:cs="Times New Roman"/>
          <w:sz w:val="24"/>
          <w:szCs w:val="24"/>
        </w:rPr>
        <w:t xml:space="preserve">İthalatta Haksız Rekabetin Önlenmesi Hakkında Yönetmelik (Yönetmelik)’in </w:t>
      </w:r>
      <w:r w:rsidRPr="00813452">
        <w:rPr>
          <w:rFonts w:ascii="Times New Roman" w:hAnsi="Times New Roman" w:cs="Times New Roman"/>
          <w:sz w:val="24"/>
          <w:szCs w:val="24"/>
        </w:rPr>
        <w:t xml:space="preserve">35 inci maddesi kapsamında, </w:t>
      </w:r>
      <w:r w:rsidR="00AC6616" w:rsidRPr="00813452">
        <w:rPr>
          <w:rFonts w:ascii="Times New Roman" w:hAnsi="Times New Roman" w:cs="Times New Roman"/>
          <w:sz w:val="24"/>
          <w:szCs w:val="24"/>
        </w:rPr>
        <w:t xml:space="preserve">yerli </w:t>
      </w:r>
      <w:r w:rsidRPr="00813452">
        <w:rPr>
          <w:rFonts w:ascii="Times New Roman" w:hAnsi="Times New Roman" w:cs="Times New Roman"/>
          <w:sz w:val="24"/>
          <w:szCs w:val="24"/>
        </w:rPr>
        <w:t xml:space="preserve">üretici </w:t>
      </w:r>
      <w:r w:rsidR="00123FF5" w:rsidRPr="00813452">
        <w:rPr>
          <w:rFonts w:ascii="Times New Roman" w:hAnsi="Times New Roman" w:cs="Times New Roman"/>
          <w:sz w:val="24"/>
          <w:szCs w:val="24"/>
        </w:rPr>
        <w:t>Türk Demir Döküm Fabrikaları Anonim Şirketi (Türk Demir Döküm)</w:t>
      </w:r>
      <w:r w:rsidRPr="00813452">
        <w:rPr>
          <w:rFonts w:ascii="Times New Roman" w:hAnsi="Times New Roman" w:cs="Times New Roman"/>
          <w:sz w:val="24"/>
          <w:szCs w:val="24"/>
        </w:rPr>
        <w:t xml:space="preserve"> firması</w:t>
      </w:r>
      <w:r w:rsidR="00521EB7">
        <w:rPr>
          <w:rFonts w:ascii="Times New Roman" w:hAnsi="Times New Roman" w:cs="Times New Roman"/>
          <w:sz w:val="24"/>
          <w:szCs w:val="24"/>
        </w:rPr>
        <w:t>, Çin Halk Cumhuriyeti (ÇHC)</w:t>
      </w:r>
      <w:r w:rsidR="00AC6616" w:rsidRPr="00813452">
        <w:rPr>
          <w:rFonts w:ascii="Times New Roman" w:hAnsi="Times New Roman" w:cs="Times New Roman"/>
          <w:sz w:val="24"/>
          <w:szCs w:val="24"/>
        </w:rPr>
        <w:t xml:space="preserve"> menşeli 8419.11.00.00.00 </w:t>
      </w:r>
      <w:r w:rsidR="0096144C" w:rsidRPr="00813452">
        <w:rPr>
          <w:rFonts w:ascii="Times New Roman" w:hAnsi="Times New Roman" w:cs="Times New Roman"/>
          <w:sz w:val="24"/>
          <w:szCs w:val="24"/>
        </w:rPr>
        <w:t xml:space="preserve">GTİP’i altında sınıflandırılan </w:t>
      </w:r>
      <w:r w:rsidRPr="00813452">
        <w:rPr>
          <w:rFonts w:ascii="Times New Roman" w:hAnsi="Times New Roman" w:cs="Times New Roman"/>
          <w:sz w:val="24"/>
          <w:szCs w:val="24"/>
        </w:rPr>
        <w:t>“</w:t>
      </w:r>
      <w:r w:rsidR="0096144C" w:rsidRPr="00813452">
        <w:rPr>
          <w:rFonts w:ascii="Times New Roman" w:hAnsi="Times New Roman" w:cs="Times New Roman"/>
          <w:sz w:val="24"/>
          <w:szCs w:val="24"/>
        </w:rPr>
        <w:t>gazla çalışan anında su ısıtıcılar</w:t>
      </w:r>
      <w:r w:rsidRPr="00813452">
        <w:rPr>
          <w:rFonts w:ascii="Times New Roman" w:hAnsi="Times New Roman" w:cs="Times New Roman"/>
          <w:sz w:val="24"/>
          <w:szCs w:val="24"/>
        </w:rPr>
        <w:t>”ın</w:t>
      </w:r>
      <w:r w:rsidR="00AC6616" w:rsidRPr="00813452">
        <w:rPr>
          <w:rFonts w:ascii="Times New Roman" w:hAnsi="Times New Roman" w:cs="Times New Roman"/>
          <w:sz w:val="24"/>
          <w:szCs w:val="24"/>
        </w:rPr>
        <w:t xml:space="preserve"> ithalatına yönelik olarak</w:t>
      </w:r>
      <w:r w:rsidRPr="00813452">
        <w:rPr>
          <w:rFonts w:ascii="Times New Roman" w:hAnsi="Times New Roman" w:cs="Times New Roman"/>
          <w:sz w:val="24"/>
          <w:szCs w:val="24"/>
        </w:rPr>
        <w:t xml:space="preserve"> bir nihai gözden geçirme soruşturması (</w:t>
      </w:r>
      <w:r w:rsidR="00AC6616" w:rsidRPr="00813452">
        <w:rPr>
          <w:rFonts w:ascii="Times New Roman" w:hAnsi="Times New Roman" w:cs="Times New Roman"/>
          <w:sz w:val="24"/>
          <w:szCs w:val="24"/>
        </w:rPr>
        <w:t>NGGS</w:t>
      </w:r>
      <w:r w:rsidRPr="00813452">
        <w:rPr>
          <w:rFonts w:ascii="Times New Roman" w:hAnsi="Times New Roman" w:cs="Times New Roman"/>
          <w:sz w:val="24"/>
          <w:szCs w:val="24"/>
        </w:rPr>
        <w:t>)</w:t>
      </w:r>
      <w:r w:rsidR="00AC6616" w:rsidRPr="00813452">
        <w:rPr>
          <w:rFonts w:ascii="Times New Roman" w:hAnsi="Times New Roman" w:cs="Times New Roman"/>
          <w:sz w:val="24"/>
          <w:szCs w:val="24"/>
        </w:rPr>
        <w:t xml:space="preserve"> başlatılması </w:t>
      </w:r>
      <w:r w:rsidRPr="00813452">
        <w:rPr>
          <w:rFonts w:ascii="Times New Roman" w:hAnsi="Times New Roman" w:cs="Times New Roman"/>
          <w:sz w:val="24"/>
          <w:szCs w:val="24"/>
        </w:rPr>
        <w:t xml:space="preserve">için </w:t>
      </w:r>
      <w:r w:rsidR="00AC6616" w:rsidRPr="00813452">
        <w:rPr>
          <w:rFonts w:ascii="Times New Roman" w:hAnsi="Times New Roman" w:cs="Times New Roman"/>
          <w:sz w:val="24"/>
          <w:szCs w:val="24"/>
        </w:rPr>
        <w:t xml:space="preserve">başvuruda </w:t>
      </w:r>
      <w:r w:rsidRPr="00813452">
        <w:rPr>
          <w:rFonts w:ascii="Times New Roman" w:hAnsi="Times New Roman" w:cs="Times New Roman"/>
          <w:sz w:val="24"/>
          <w:szCs w:val="24"/>
        </w:rPr>
        <w:t>bulunmuştur. Başvuru,</w:t>
      </w:r>
      <w:r w:rsidR="00AC6616" w:rsidRPr="00813452">
        <w:rPr>
          <w:rFonts w:ascii="Times New Roman" w:hAnsi="Times New Roman" w:cs="Times New Roman"/>
          <w:sz w:val="24"/>
          <w:szCs w:val="24"/>
        </w:rPr>
        <w:t xml:space="preserve"> </w:t>
      </w:r>
      <w:r w:rsidR="00123FF5" w:rsidRPr="00813452">
        <w:rPr>
          <w:rFonts w:ascii="Times New Roman" w:hAnsi="Times New Roman" w:cs="Times New Roman"/>
          <w:sz w:val="24"/>
          <w:szCs w:val="24"/>
        </w:rPr>
        <w:t>Baymak Makina Sa</w:t>
      </w:r>
      <w:r w:rsidR="00797FCF">
        <w:rPr>
          <w:rFonts w:ascii="Times New Roman" w:hAnsi="Times New Roman" w:cs="Times New Roman"/>
          <w:sz w:val="24"/>
          <w:szCs w:val="24"/>
        </w:rPr>
        <w:t xml:space="preserve">nayi ve Ticaret Anonim Şirketi </w:t>
      </w:r>
      <w:r w:rsidR="00AC6616" w:rsidRPr="00813452">
        <w:rPr>
          <w:rFonts w:ascii="Times New Roman" w:hAnsi="Times New Roman" w:cs="Times New Roman"/>
          <w:sz w:val="24"/>
          <w:szCs w:val="24"/>
        </w:rPr>
        <w:t xml:space="preserve">ve </w:t>
      </w:r>
      <w:r w:rsidR="00123FF5" w:rsidRPr="00813452">
        <w:rPr>
          <w:rFonts w:ascii="Times New Roman" w:hAnsi="Times New Roman" w:cs="Times New Roman"/>
          <w:sz w:val="24"/>
          <w:szCs w:val="24"/>
        </w:rPr>
        <w:t xml:space="preserve">Emas Makina Sanayi Anonim Şirketi </w:t>
      </w:r>
      <w:r w:rsidRPr="00813452">
        <w:rPr>
          <w:rFonts w:ascii="Times New Roman" w:hAnsi="Times New Roman" w:cs="Times New Roman"/>
          <w:sz w:val="24"/>
          <w:szCs w:val="24"/>
        </w:rPr>
        <w:t xml:space="preserve">firmaları tarafından da </w:t>
      </w:r>
      <w:r w:rsidR="00AC6616" w:rsidRPr="00813452">
        <w:rPr>
          <w:rFonts w:ascii="Times New Roman" w:hAnsi="Times New Roman" w:cs="Times New Roman"/>
          <w:sz w:val="24"/>
          <w:szCs w:val="24"/>
        </w:rPr>
        <w:t xml:space="preserve">desteklenmiştir. </w:t>
      </w:r>
    </w:p>
    <w:p w:rsidR="00123FF5" w:rsidRPr="00813452" w:rsidRDefault="00AF669C" w:rsidP="00A73D18">
      <w:pPr>
        <w:pStyle w:val="Default"/>
        <w:spacing w:before="240" w:after="120"/>
        <w:jc w:val="both"/>
        <w:rPr>
          <w:color w:val="0D0D0D" w:themeColor="text1" w:themeTint="F2"/>
        </w:rPr>
      </w:pPr>
      <w:r w:rsidRPr="00813452">
        <w:rPr>
          <w:color w:val="0D0D0D" w:themeColor="text1" w:themeTint="F2"/>
        </w:rPr>
        <w:t>(2</w:t>
      </w:r>
      <w:r w:rsidR="00AC6616" w:rsidRPr="00813452">
        <w:rPr>
          <w:color w:val="0D0D0D" w:themeColor="text1" w:themeTint="F2"/>
        </w:rPr>
        <w:t>) Başvuru kapsamında sunulan bilgi ve belgeler</w:t>
      </w:r>
      <w:r w:rsidR="00947ADA" w:rsidRPr="00813452">
        <w:rPr>
          <w:color w:val="0D0D0D" w:themeColor="text1" w:themeTint="F2"/>
        </w:rPr>
        <w:t xml:space="preserve"> çerçevesinde hazırlanan İnceleme Raporu</w:t>
      </w:r>
      <w:r w:rsidR="00AC6616" w:rsidRPr="00813452">
        <w:rPr>
          <w:color w:val="0D0D0D" w:themeColor="text1" w:themeTint="F2"/>
        </w:rPr>
        <w:t xml:space="preserve">, İthalatta Haksız Rekabeti Değerlendirme Kurulu (Kurul) tarafından değerlendirilmiş ve NGGS açılmasını haklı kılacak yeterlilikte delillerin mevcudiyetine kanaat getirilmiştir. Bu çerçevede, </w:t>
      </w:r>
      <w:r w:rsidR="00BE23FE" w:rsidRPr="00813452">
        <w:rPr>
          <w:color w:val="0D0D0D" w:themeColor="text1" w:themeTint="F2"/>
        </w:rPr>
        <w:t>27/</w:t>
      </w:r>
      <w:r w:rsidR="00AC6616" w:rsidRPr="00813452">
        <w:rPr>
          <w:color w:val="0D0D0D" w:themeColor="text1" w:themeTint="F2"/>
        </w:rPr>
        <w:t>6/2019 tarihli ve 30814 sayılı Resmî</w:t>
      </w:r>
      <w:r w:rsidR="00123FF5" w:rsidRPr="00813452">
        <w:rPr>
          <w:color w:val="0D0D0D" w:themeColor="text1" w:themeTint="F2"/>
        </w:rPr>
        <w:t xml:space="preserve"> </w:t>
      </w:r>
      <w:r w:rsidR="00AC6616" w:rsidRPr="00813452">
        <w:rPr>
          <w:color w:val="0D0D0D" w:themeColor="text1" w:themeTint="F2"/>
        </w:rPr>
        <w:t>Gazete’de yayımlanan İthalatta Haksız Rekabetin</w:t>
      </w:r>
      <w:r w:rsidR="00123FF5" w:rsidRPr="00813452">
        <w:rPr>
          <w:color w:val="0D0D0D" w:themeColor="text1" w:themeTint="F2"/>
        </w:rPr>
        <w:t> Önlenmesine İlişkin Tebliğ (Teb</w:t>
      </w:r>
      <w:r w:rsidR="00AC6616" w:rsidRPr="00813452">
        <w:rPr>
          <w:color w:val="0D0D0D" w:themeColor="text1" w:themeTint="F2"/>
        </w:rPr>
        <w:t xml:space="preserve">liğ No: 2019/20) ile ÇHC menşeli “gazla çalışan anında su ısıtıcılar” ithalatına yönelik NGGS </w:t>
      </w:r>
      <w:r w:rsidR="00D95AAF" w:rsidRPr="00813452">
        <w:rPr>
          <w:color w:val="0D0D0D" w:themeColor="text1" w:themeTint="F2"/>
        </w:rPr>
        <w:t>başlatılmıştır.</w:t>
      </w:r>
    </w:p>
    <w:p w:rsidR="00AC6616" w:rsidRPr="00813452" w:rsidRDefault="00AF669C" w:rsidP="00A73D18">
      <w:pPr>
        <w:pStyle w:val="Default"/>
        <w:spacing w:before="240" w:after="120"/>
        <w:jc w:val="both"/>
        <w:rPr>
          <w:color w:val="0D0D0D" w:themeColor="text1" w:themeTint="F2"/>
        </w:rPr>
      </w:pPr>
      <w:r w:rsidRPr="00813452">
        <w:rPr>
          <w:color w:val="0D0D0D" w:themeColor="text1" w:themeTint="F2"/>
        </w:rPr>
        <w:t>(3</w:t>
      </w:r>
      <w:r w:rsidR="00AC6616" w:rsidRPr="00813452">
        <w:rPr>
          <w:color w:val="0D0D0D" w:themeColor="text1" w:themeTint="F2"/>
        </w:rPr>
        <w:t xml:space="preserve">) </w:t>
      </w:r>
      <w:r w:rsidR="00D95AAF" w:rsidRPr="00813452">
        <w:rPr>
          <w:color w:val="0D0D0D" w:themeColor="text1" w:themeTint="F2"/>
        </w:rPr>
        <w:t xml:space="preserve">T.C. </w:t>
      </w:r>
      <w:r w:rsidR="00AC6616" w:rsidRPr="00813452">
        <w:rPr>
          <w:color w:val="0D0D0D" w:themeColor="text1" w:themeTint="F2"/>
        </w:rPr>
        <w:t>Ticaret Bakanlığı (Bakanlık) İthalat Genel Müdürlüğü (Genel Müdürlük</w:t>
      </w:r>
      <w:r w:rsidR="002B5537" w:rsidRPr="00813452">
        <w:rPr>
          <w:color w:val="0D0D0D" w:themeColor="text1" w:themeTint="F2"/>
        </w:rPr>
        <w:t xml:space="preserve">) tarafından yürütülen </w:t>
      </w:r>
      <w:r w:rsidR="00D95AAF" w:rsidRPr="00813452">
        <w:rPr>
          <w:color w:val="0D0D0D" w:themeColor="text1" w:themeTint="F2"/>
        </w:rPr>
        <w:t xml:space="preserve">söz konusu </w:t>
      </w:r>
      <w:r w:rsidR="002B5537" w:rsidRPr="00813452">
        <w:rPr>
          <w:color w:val="0D0D0D" w:themeColor="text1" w:themeTint="F2"/>
        </w:rPr>
        <w:t>NGGS tamamlanmıştır.</w:t>
      </w:r>
    </w:p>
    <w:p w:rsidR="002F2F70" w:rsidRPr="00813452" w:rsidRDefault="00D95AAF" w:rsidP="00A73D18">
      <w:pPr>
        <w:pStyle w:val="Balk2"/>
        <w:numPr>
          <w:ilvl w:val="1"/>
          <w:numId w:val="3"/>
        </w:numPr>
        <w:spacing w:before="240" w:after="120"/>
        <w:ind w:left="432"/>
        <w:rPr>
          <w:rFonts w:ascii="Times New Roman" w:hAnsi="Times New Roman" w:cs="Times New Roman"/>
          <w:b/>
          <w:color w:val="auto"/>
          <w:sz w:val="24"/>
          <w:szCs w:val="24"/>
        </w:rPr>
      </w:pPr>
      <w:bookmarkStart w:id="2" w:name="_Toc23509664"/>
      <w:r w:rsidRPr="00813452">
        <w:rPr>
          <w:rFonts w:ascii="Times New Roman" w:hAnsi="Times New Roman" w:cs="Times New Roman"/>
          <w:b/>
          <w:color w:val="auto"/>
          <w:sz w:val="24"/>
          <w:szCs w:val="24"/>
        </w:rPr>
        <w:t>Ö</w:t>
      </w:r>
      <w:r w:rsidR="002F2F70" w:rsidRPr="00813452">
        <w:rPr>
          <w:rFonts w:ascii="Times New Roman" w:hAnsi="Times New Roman" w:cs="Times New Roman"/>
          <w:b/>
          <w:color w:val="auto"/>
          <w:sz w:val="24"/>
          <w:szCs w:val="24"/>
        </w:rPr>
        <w:t>nlem</w:t>
      </w:r>
      <w:r w:rsidRPr="00813452">
        <w:rPr>
          <w:rFonts w:ascii="Times New Roman" w:hAnsi="Times New Roman" w:cs="Times New Roman"/>
          <w:b/>
          <w:color w:val="auto"/>
          <w:sz w:val="24"/>
          <w:szCs w:val="24"/>
        </w:rPr>
        <w:t xml:space="preserve">in </w:t>
      </w:r>
      <w:r w:rsidR="002F2F70" w:rsidRPr="00813452">
        <w:rPr>
          <w:rFonts w:ascii="Times New Roman" w:hAnsi="Times New Roman" w:cs="Times New Roman"/>
          <w:b/>
          <w:color w:val="auto"/>
          <w:sz w:val="24"/>
          <w:szCs w:val="24"/>
        </w:rPr>
        <w:t>geçmişi</w:t>
      </w:r>
      <w:bookmarkEnd w:id="2"/>
    </w:p>
    <w:p w:rsidR="002F2F70" w:rsidRPr="00813452" w:rsidRDefault="002F2F70" w:rsidP="00A73D18">
      <w:pPr>
        <w:spacing w:before="240" w:after="120"/>
        <w:jc w:val="both"/>
        <w:rPr>
          <w:rFonts w:ascii="Times New Roman" w:hAnsi="Times New Roman" w:cs="Times New Roman"/>
          <w:sz w:val="24"/>
          <w:szCs w:val="24"/>
        </w:rPr>
      </w:pPr>
      <w:r w:rsidRPr="00813452">
        <w:rPr>
          <w:rFonts w:ascii="Times New Roman" w:hAnsi="Times New Roman" w:cs="Times New Roman"/>
          <w:sz w:val="24"/>
          <w:szCs w:val="24"/>
        </w:rPr>
        <w:t xml:space="preserve">(1) </w:t>
      </w:r>
      <w:r w:rsidR="00521EB7">
        <w:rPr>
          <w:rFonts w:ascii="Times New Roman" w:hAnsi="Times New Roman" w:cs="Times New Roman"/>
          <w:sz w:val="24"/>
          <w:szCs w:val="24"/>
        </w:rPr>
        <w:t>ÇHC</w:t>
      </w:r>
      <w:r w:rsidRPr="00813452">
        <w:rPr>
          <w:rFonts w:ascii="Times New Roman" w:hAnsi="Times New Roman" w:cs="Times New Roman"/>
          <w:sz w:val="24"/>
          <w:szCs w:val="24"/>
        </w:rPr>
        <w:t xml:space="preserve"> menşeli 8419.11.00.00.00 gümrük tarife istatistik pozisyonu (GTİP) altında kayıtlı “gazla çalışan anında su ısıtıcılar” ürününe yönelik 11/07/2014 tarihli ve 29057 sayılı Resmî Gazete’de yayımlanan İthalatta Haksız Rekabetin Önlemesine İlişkin 2014/16 sayılı Tebliğ uyarınca, </w:t>
      </w:r>
      <w:r w:rsidR="000F48AC">
        <w:rPr>
          <w:rFonts w:ascii="Times New Roman" w:hAnsi="Times New Roman" w:cs="Times New Roman"/>
          <w:sz w:val="24"/>
          <w:szCs w:val="24"/>
        </w:rPr>
        <w:t>firma bazında C</w:t>
      </w:r>
      <w:r w:rsidR="00521EB7">
        <w:rPr>
          <w:rFonts w:ascii="Times New Roman" w:hAnsi="Times New Roman" w:cs="Times New Roman"/>
          <w:sz w:val="24"/>
          <w:szCs w:val="24"/>
        </w:rPr>
        <w:t>I</w:t>
      </w:r>
      <w:r w:rsidR="000F48AC">
        <w:rPr>
          <w:rFonts w:ascii="Times New Roman" w:hAnsi="Times New Roman" w:cs="Times New Roman"/>
          <w:sz w:val="24"/>
          <w:szCs w:val="24"/>
        </w:rPr>
        <w:t>F bedelin %20,12</w:t>
      </w:r>
      <w:r w:rsidR="006F0027">
        <w:rPr>
          <w:rFonts w:ascii="Times New Roman" w:hAnsi="Times New Roman" w:cs="Times New Roman"/>
          <w:sz w:val="24"/>
          <w:szCs w:val="24"/>
        </w:rPr>
        <w:t>’si</w:t>
      </w:r>
      <w:r w:rsidR="000F48AC">
        <w:rPr>
          <w:rFonts w:ascii="Times New Roman" w:hAnsi="Times New Roman" w:cs="Times New Roman"/>
          <w:sz w:val="24"/>
          <w:szCs w:val="24"/>
        </w:rPr>
        <w:t xml:space="preserve"> ila %59.65</w:t>
      </w:r>
      <w:r w:rsidR="006F0027">
        <w:rPr>
          <w:rFonts w:ascii="Times New Roman" w:hAnsi="Times New Roman" w:cs="Times New Roman"/>
          <w:sz w:val="24"/>
          <w:szCs w:val="24"/>
        </w:rPr>
        <w:t>’</w:t>
      </w:r>
      <w:r w:rsidR="00F60A8B">
        <w:rPr>
          <w:rFonts w:ascii="Times New Roman" w:hAnsi="Times New Roman" w:cs="Times New Roman"/>
          <w:sz w:val="24"/>
          <w:szCs w:val="24"/>
        </w:rPr>
        <w:t xml:space="preserve">i arasında değişen oranlarda </w:t>
      </w:r>
      <w:r w:rsidR="00AF669C" w:rsidRPr="00813452">
        <w:rPr>
          <w:rFonts w:ascii="Times New Roman" w:hAnsi="Times New Roman" w:cs="Times New Roman"/>
          <w:sz w:val="24"/>
          <w:szCs w:val="24"/>
        </w:rPr>
        <w:t>dampinge karşı önlem yürürlüğe konulmuştur.</w:t>
      </w:r>
    </w:p>
    <w:p w:rsidR="002563B5" w:rsidRPr="00813452" w:rsidRDefault="00AC6616" w:rsidP="00A73D18">
      <w:pPr>
        <w:pStyle w:val="Balk2"/>
        <w:numPr>
          <w:ilvl w:val="1"/>
          <w:numId w:val="3"/>
        </w:numPr>
        <w:spacing w:before="240" w:after="120"/>
        <w:ind w:left="432"/>
        <w:rPr>
          <w:rFonts w:ascii="Times New Roman" w:hAnsi="Times New Roman" w:cs="Times New Roman"/>
          <w:b/>
          <w:color w:val="auto"/>
          <w:sz w:val="24"/>
          <w:szCs w:val="24"/>
        </w:rPr>
      </w:pPr>
      <w:bookmarkStart w:id="3" w:name="_Toc23509666"/>
      <w:r w:rsidRPr="00813452">
        <w:rPr>
          <w:rFonts w:ascii="Times New Roman" w:hAnsi="Times New Roman" w:cs="Times New Roman"/>
          <w:b/>
          <w:color w:val="auto"/>
          <w:sz w:val="24"/>
          <w:szCs w:val="24"/>
        </w:rPr>
        <w:t>Yerli üretim dalının temsil niteliği</w:t>
      </w:r>
      <w:bookmarkEnd w:id="3"/>
    </w:p>
    <w:p w:rsidR="00AC6616" w:rsidRPr="00813452" w:rsidRDefault="00AC6616" w:rsidP="00A73D18">
      <w:pPr>
        <w:pStyle w:val="Default"/>
        <w:spacing w:before="240" w:after="120"/>
        <w:jc w:val="both"/>
        <w:rPr>
          <w:color w:val="0D0D0D" w:themeColor="text1" w:themeTint="F2"/>
        </w:rPr>
      </w:pPr>
      <w:r w:rsidRPr="00813452">
        <w:rPr>
          <w:color w:val="0D0D0D" w:themeColor="text1" w:themeTint="F2"/>
        </w:rPr>
        <w:t>(1) Yerli üretim dalının temsil yeteneği incelenirken, başvuru sahibi yerli üreticileri</w:t>
      </w:r>
      <w:r w:rsidR="00521EB7">
        <w:rPr>
          <w:color w:val="0D0D0D" w:themeColor="text1" w:themeTint="F2"/>
        </w:rPr>
        <w:t>n önlem konusu üründeki üretim miktarı ile</w:t>
      </w:r>
      <w:r w:rsidRPr="00813452">
        <w:rPr>
          <w:color w:val="0D0D0D" w:themeColor="text1" w:themeTint="F2"/>
        </w:rPr>
        <w:t xml:space="preserve"> aynı ürünün toplam Türkiye üretimi kıyaslanmaktadır. Yapılan incelemede, Yönetmeliğin 18 inci ve 20 nci maddeleri uyarınca başvuruda bulunan yerli üretici Türk Demir Döküm firmasının yerli üretim dalını temsil etme niteliğini haiz olduğu anlaşılmıştır. Anılan firma, bu raporun ilgili bölümlerinde “yerli üretim dalı” olarak anılacaktır.</w:t>
      </w:r>
    </w:p>
    <w:p w:rsidR="00AC6616" w:rsidRPr="00813452" w:rsidRDefault="00AC6616" w:rsidP="00A73D18">
      <w:pPr>
        <w:pStyle w:val="Balk2"/>
        <w:numPr>
          <w:ilvl w:val="1"/>
          <w:numId w:val="3"/>
        </w:numPr>
        <w:spacing w:before="240" w:after="120"/>
        <w:ind w:left="432"/>
        <w:rPr>
          <w:rFonts w:ascii="Times New Roman" w:hAnsi="Times New Roman" w:cs="Times New Roman"/>
          <w:b/>
          <w:color w:val="auto"/>
          <w:sz w:val="24"/>
          <w:szCs w:val="24"/>
        </w:rPr>
      </w:pPr>
      <w:bookmarkStart w:id="4" w:name="_Toc23509667"/>
      <w:r w:rsidRPr="00813452">
        <w:rPr>
          <w:rFonts w:ascii="Times New Roman" w:hAnsi="Times New Roman" w:cs="Times New Roman"/>
          <w:b/>
          <w:color w:val="auto"/>
          <w:sz w:val="24"/>
          <w:szCs w:val="24"/>
        </w:rPr>
        <w:t>Soruşturma ve gözden geçirme dönemi</w:t>
      </w:r>
      <w:bookmarkEnd w:id="4"/>
    </w:p>
    <w:p w:rsidR="00AC6616" w:rsidRPr="00813452" w:rsidRDefault="00AC6616" w:rsidP="00A73D18">
      <w:pPr>
        <w:pStyle w:val="Default"/>
        <w:numPr>
          <w:ilvl w:val="0"/>
          <w:numId w:val="7"/>
        </w:numPr>
        <w:spacing w:before="240" w:after="120"/>
        <w:ind w:firstLine="0"/>
        <w:jc w:val="both"/>
        <w:rPr>
          <w:color w:val="0D0D0D" w:themeColor="text1" w:themeTint="F2"/>
        </w:rPr>
      </w:pPr>
      <w:bookmarkStart w:id="5" w:name="_Toc317854276"/>
      <w:r w:rsidRPr="00813452">
        <w:rPr>
          <w:color w:val="0D0D0D" w:themeColor="text1" w:themeTint="F2"/>
        </w:rPr>
        <w:t xml:space="preserve">Mevcut önlemin yürürlükten kalkması durumunda, dampingin devam etmesinin veya yeniden meydana gelmesinin muhtemel olup olmadığının tespiti için 1/1/2018-31/12/2018 arasındaki dönem soruşturma dönemi; zararın devam etmesinin veya yeniden meydana gelmesinin muhtemel </w:t>
      </w:r>
      <w:r w:rsidRPr="00813452">
        <w:rPr>
          <w:color w:val="0D0D0D" w:themeColor="text1" w:themeTint="F2"/>
        </w:rPr>
        <w:lastRenderedPageBreak/>
        <w:t>olup olmadığının tespiti için 1/1/2016-31/12/2018 arasındaki dönem gözden geçirme dönemi olarak alınmıştır.</w:t>
      </w:r>
    </w:p>
    <w:p w:rsidR="008D0D7E" w:rsidRPr="00813452" w:rsidRDefault="008D0D7E" w:rsidP="00A73D18">
      <w:pPr>
        <w:pStyle w:val="Balk2"/>
        <w:numPr>
          <w:ilvl w:val="1"/>
          <w:numId w:val="3"/>
        </w:numPr>
        <w:spacing w:before="240" w:after="120"/>
        <w:ind w:left="432"/>
        <w:rPr>
          <w:rFonts w:ascii="Times New Roman" w:hAnsi="Times New Roman" w:cs="Times New Roman"/>
          <w:b/>
          <w:color w:val="auto"/>
          <w:sz w:val="24"/>
          <w:szCs w:val="24"/>
        </w:rPr>
      </w:pPr>
      <w:bookmarkStart w:id="6" w:name="_Toc23509668"/>
      <w:r w:rsidRPr="00813452">
        <w:rPr>
          <w:rFonts w:ascii="Times New Roman" w:hAnsi="Times New Roman" w:cs="Times New Roman"/>
          <w:b/>
          <w:color w:val="auto"/>
          <w:sz w:val="24"/>
          <w:szCs w:val="24"/>
        </w:rPr>
        <w:t>İlgili tarafların bilgilendirilmesi, dinlenmesi ve bilgilerin değerlendirilmesi</w:t>
      </w:r>
      <w:bookmarkEnd w:id="6"/>
    </w:p>
    <w:bookmarkEnd w:id="5"/>
    <w:p w:rsidR="0037122E" w:rsidRPr="00813452" w:rsidRDefault="0037122E" w:rsidP="00A73D18">
      <w:pPr>
        <w:pStyle w:val="Default"/>
        <w:numPr>
          <w:ilvl w:val="0"/>
          <w:numId w:val="9"/>
        </w:numPr>
        <w:spacing w:before="240" w:after="120"/>
        <w:ind w:firstLine="0"/>
        <w:jc w:val="both"/>
        <w:rPr>
          <w:color w:val="0D0D0D" w:themeColor="text1" w:themeTint="F2"/>
          <w:szCs w:val="20"/>
        </w:rPr>
      </w:pPr>
      <w:r w:rsidRPr="00813452">
        <w:rPr>
          <w:color w:val="0D0D0D" w:themeColor="text1" w:themeTint="F2"/>
          <w:szCs w:val="20"/>
        </w:rPr>
        <w:t>Soruşturma açılmasını müteakip, soruşturma konusu ürünün Bakanlık tarafından tespit edilen ÇHC’de yerleşik üreticilerine/ihracatçılarına, Türkiye’de yerleşik ithalatçılarına ve ayrıca mezkûr ülkede yerleşik diğer üreticilere/ihracatçılara iletilebilmesini teminen ÇHC’nin Ankara Büyükelçiliğine soruşturmanın açılışına ilişkin bildirimde bulunulmuştur.</w:t>
      </w:r>
    </w:p>
    <w:p w:rsidR="0037122E" w:rsidRPr="00813452" w:rsidRDefault="0037122E" w:rsidP="00A73D18">
      <w:pPr>
        <w:pStyle w:val="Default"/>
        <w:numPr>
          <w:ilvl w:val="0"/>
          <w:numId w:val="9"/>
        </w:numPr>
        <w:spacing w:before="240" w:after="120"/>
        <w:ind w:firstLine="0"/>
        <w:jc w:val="both"/>
        <w:rPr>
          <w:color w:val="0D0D0D" w:themeColor="text1" w:themeTint="F2"/>
          <w:szCs w:val="20"/>
        </w:rPr>
      </w:pPr>
      <w:r w:rsidRPr="00813452">
        <w:rPr>
          <w:color w:val="0D0D0D" w:themeColor="text1" w:themeTint="F2"/>
          <w:szCs w:val="20"/>
        </w:rPr>
        <w:t>Bildirimde, soruşturma açılış Tebliğine, başvurunun gizli olmayan özetine ve soru formlarına nereden erişilebileceği hususunda bilgi verilmiştir.</w:t>
      </w:r>
    </w:p>
    <w:p w:rsidR="0037122E" w:rsidRPr="00813452" w:rsidRDefault="0037122E" w:rsidP="00A73D18">
      <w:pPr>
        <w:pStyle w:val="Default"/>
        <w:numPr>
          <w:ilvl w:val="0"/>
          <w:numId w:val="9"/>
        </w:numPr>
        <w:spacing w:before="240" w:after="120"/>
        <w:ind w:firstLine="0"/>
        <w:jc w:val="both"/>
        <w:rPr>
          <w:color w:val="0D0D0D" w:themeColor="text1" w:themeTint="F2"/>
          <w:szCs w:val="20"/>
        </w:rPr>
      </w:pPr>
      <w:r w:rsidRPr="00813452">
        <w:rPr>
          <w:color w:val="0D0D0D" w:themeColor="text1" w:themeTint="F2"/>
          <w:szCs w:val="20"/>
        </w:rPr>
        <w:t>Taraflara görüşlerini bildirme ve soru formlarını yanıtlamaları için posta süresi dâhil 37 gün süre tanınmıştır. Ayrıca, ilgili tarafların süre uzatımı yönündeki makul talepleri karşılanmıştır.</w:t>
      </w:r>
    </w:p>
    <w:p w:rsidR="0037122E" w:rsidRPr="00813452" w:rsidRDefault="0037122E" w:rsidP="00A73D18">
      <w:pPr>
        <w:pStyle w:val="Default"/>
        <w:numPr>
          <w:ilvl w:val="0"/>
          <w:numId w:val="9"/>
        </w:numPr>
        <w:spacing w:before="240" w:after="120"/>
        <w:ind w:firstLine="0"/>
        <w:jc w:val="both"/>
        <w:rPr>
          <w:color w:val="0D0D0D" w:themeColor="text1" w:themeTint="F2"/>
          <w:szCs w:val="20"/>
        </w:rPr>
      </w:pPr>
      <w:r w:rsidRPr="00813452">
        <w:rPr>
          <w:color w:val="0D0D0D" w:themeColor="text1" w:themeTint="F2"/>
          <w:szCs w:val="20"/>
        </w:rPr>
        <w:t xml:space="preserve">Yerli üretim dalı, soruşturma süresi boyunca Bakanlık ile işbirliği içinde olmuş ve gerektiğinde talep edilen ilave bilgileri temin etmiştir. </w:t>
      </w:r>
    </w:p>
    <w:p w:rsidR="00737453" w:rsidRPr="00813452" w:rsidRDefault="00737453" w:rsidP="00A73D18">
      <w:pPr>
        <w:pStyle w:val="Default"/>
        <w:numPr>
          <w:ilvl w:val="0"/>
          <w:numId w:val="9"/>
        </w:numPr>
        <w:spacing w:before="240" w:after="120"/>
        <w:ind w:firstLine="0"/>
        <w:jc w:val="both"/>
        <w:rPr>
          <w:color w:val="0D0D0D" w:themeColor="text1" w:themeTint="F2"/>
          <w:szCs w:val="20"/>
        </w:rPr>
      </w:pPr>
      <w:r w:rsidRPr="00813452">
        <w:rPr>
          <w:color w:val="0D0D0D" w:themeColor="text1" w:themeTint="F2"/>
          <w:szCs w:val="20"/>
        </w:rPr>
        <w:t>Termodinamik Makine Sanayi ve Ticaret Anonim Şirketi, diğer yerli üreticiler soru formunu yanıtlayarak, soruşturmaya destek verdiklerini belirtmiş; bu çerçevede söz konusu firma soruşturma sürecinde yerli üretici kapsamında değerlendirilmektedir.</w:t>
      </w:r>
    </w:p>
    <w:p w:rsidR="00737453" w:rsidRPr="00813452" w:rsidRDefault="00521EB7" w:rsidP="00A73D18">
      <w:pPr>
        <w:pStyle w:val="Default"/>
        <w:numPr>
          <w:ilvl w:val="0"/>
          <w:numId w:val="9"/>
        </w:numPr>
        <w:spacing w:before="240" w:after="120"/>
        <w:ind w:firstLine="0"/>
        <w:jc w:val="both"/>
        <w:rPr>
          <w:color w:val="0D0D0D" w:themeColor="text1" w:themeTint="F2"/>
          <w:szCs w:val="20"/>
        </w:rPr>
      </w:pPr>
      <w:r>
        <w:rPr>
          <w:color w:val="0D0D0D" w:themeColor="text1" w:themeTint="F2"/>
          <w:szCs w:val="20"/>
        </w:rPr>
        <w:t>İ</w:t>
      </w:r>
      <w:r w:rsidR="00314157" w:rsidRPr="00813452">
        <w:rPr>
          <w:color w:val="0D0D0D" w:themeColor="text1" w:themeTint="F2"/>
          <w:szCs w:val="20"/>
        </w:rPr>
        <w:t>thalatçı firma</w:t>
      </w:r>
      <w:r>
        <w:rPr>
          <w:color w:val="0D0D0D" w:themeColor="text1" w:themeTint="F2"/>
          <w:szCs w:val="20"/>
        </w:rPr>
        <w:t>ların ikisinden</w:t>
      </w:r>
      <w:r w:rsidR="00314157" w:rsidRPr="00813452">
        <w:rPr>
          <w:color w:val="0D0D0D" w:themeColor="text1" w:themeTint="F2"/>
          <w:szCs w:val="20"/>
        </w:rPr>
        <w:t xml:space="preserve"> görüş alınmış olup ilgili taraf olarak değerlendirilmektedirler.</w:t>
      </w:r>
      <w:r w:rsidR="002A65C8" w:rsidRPr="00813452">
        <w:rPr>
          <w:color w:val="0D0D0D" w:themeColor="text1" w:themeTint="F2"/>
          <w:szCs w:val="20"/>
        </w:rPr>
        <w:t xml:space="preserve"> </w:t>
      </w:r>
    </w:p>
    <w:p w:rsidR="002B5537" w:rsidRPr="00813452" w:rsidRDefault="0037122E" w:rsidP="00A73D18">
      <w:pPr>
        <w:pStyle w:val="Default"/>
        <w:numPr>
          <w:ilvl w:val="0"/>
          <w:numId w:val="9"/>
        </w:numPr>
        <w:spacing w:before="240" w:after="120"/>
        <w:ind w:firstLine="0"/>
        <w:jc w:val="both"/>
        <w:rPr>
          <w:color w:val="0D0D0D" w:themeColor="text1" w:themeTint="F2"/>
          <w:szCs w:val="20"/>
        </w:rPr>
      </w:pPr>
      <w:r w:rsidRPr="00813452">
        <w:rPr>
          <w:color w:val="0D0D0D" w:themeColor="text1" w:themeTint="F2"/>
          <w:szCs w:val="20"/>
        </w:rPr>
        <w:t xml:space="preserve">İlgili soru formunu yanıtlayan üretici/ihracatçı firma olmamıştır. Öte yandan, </w:t>
      </w:r>
      <w:r w:rsidR="00737453" w:rsidRPr="00813452">
        <w:rPr>
          <w:color w:val="0D0D0D" w:themeColor="text1" w:themeTint="F2"/>
          <w:szCs w:val="20"/>
        </w:rPr>
        <w:t>Ariston Thermo Isıtma ve Soğutma Sistemleri İthalat ve Dağıtım Limited Şirketi’nden, ÇHC’de yerleşik Ariston Thermo China Co. Ltd. firmasını temsilen, ilgili taraf olunmayacağına ilişkin görüş alınmıştır.</w:t>
      </w:r>
    </w:p>
    <w:p w:rsidR="002B5537" w:rsidRPr="00813452" w:rsidRDefault="002B5537" w:rsidP="00A73D18">
      <w:pPr>
        <w:pStyle w:val="Default"/>
        <w:numPr>
          <w:ilvl w:val="0"/>
          <w:numId w:val="9"/>
        </w:numPr>
        <w:spacing w:before="240" w:after="120"/>
        <w:ind w:firstLine="0"/>
        <w:jc w:val="both"/>
        <w:rPr>
          <w:color w:val="auto"/>
        </w:rPr>
      </w:pPr>
      <w:r w:rsidRPr="00813452">
        <w:rPr>
          <w:color w:val="auto"/>
        </w:rPr>
        <w:t>Soruşturma sonucunda alınacak karara esas teşkil edecek bilgi, bulgu, tespit ve değerlendirmeleri içeren nihai bildirim raporu ÇHC’nin diplomatik misyonuna, işbirliğinde bulunan ithalatçı firmalar ile yerli üreticilere iletilmiştir.</w:t>
      </w:r>
    </w:p>
    <w:p w:rsidR="0037122E" w:rsidRPr="00813452" w:rsidRDefault="002B5537" w:rsidP="00A73D18">
      <w:pPr>
        <w:pStyle w:val="Default"/>
        <w:numPr>
          <w:ilvl w:val="0"/>
          <w:numId w:val="9"/>
        </w:numPr>
        <w:spacing w:before="240" w:after="120"/>
        <w:ind w:firstLine="0"/>
        <w:jc w:val="both"/>
        <w:rPr>
          <w:color w:val="auto"/>
        </w:rPr>
      </w:pPr>
      <w:r w:rsidRPr="00813452">
        <w:rPr>
          <w:color w:val="auto"/>
        </w:rPr>
        <w:t>Nihai bildirim sonrasında, ilgili tarafların nihai bildirime ilişkin görüşlerini sözlü olarak da sunmalarına imkân tanımak amacıyla 15/11/2019 tarihinde kamu dinleme toplantısı düzenle</w:t>
      </w:r>
      <w:r w:rsidR="00521EB7">
        <w:rPr>
          <w:color w:val="auto"/>
        </w:rPr>
        <w:t>neceği bildirilmiş</w:t>
      </w:r>
      <w:r w:rsidRPr="00813452">
        <w:rPr>
          <w:color w:val="auto"/>
        </w:rPr>
        <w:t xml:space="preserve"> ancak ilgili taraflardan katılım olmaması nedeniyle gerçekleşmemiştir.</w:t>
      </w:r>
    </w:p>
    <w:p w:rsidR="0037122E" w:rsidRPr="00813452" w:rsidRDefault="0037122E" w:rsidP="00A73D18">
      <w:pPr>
        <w:pStyle w:val="Default"/>
        <w:numPr>
          <w:ilvl w:val="0"/>
          <w:numId w:val="9"/>
        </w:numPr>
        <w:spacing w:before="240" w:after="120"/>
        <w:ind w:firstLine="0"/>
        <w:jc w:val="both"/>
        <w:rPr>
          <w:color w:val="0D0D0D" w:themeColor="text1" w:themeTint="F2"/>
          <w:szCs w:val="20"/>
        </w:rPr>
      </w:pPr>
      <w:r w:rsidRPr="00813452">
        <w:rPr>
          <w:color w:val="0D0D0D" w:themeColor="text1" w:themeTint="F2"/>
          <w:szCs w:val="20"/>
        </w:rPr>
        <w:t xml:space="preserve"> Tarafların işbu soruşturma boyunca ortaya koyduğu tüm bilgi, belge ve görüşler incelenmiş, mezkûr görüşlerden mevzuat kapsamında değerlendirilebilecek olanlara bu raporun ilgili bölümlerinde yer verilmiştir.</w:t>
      </w:r>
      <w:bookmarkStart w:id="7" w:name="_Toc317854278"/>
    </w:p>
    <w:p w:rsidR="0037122E" w:rsidRPr="00813452" w:rsidRDefault="0037122E" w:rsidP="00A73D18">
      <w:pPr>
        <w:pStyle w:val="Balk2"/>
        <w:numPr>
          <w:ilvl w:val="1"/>
          <w:numId w:val="3"/>
        </w:numPr>
        <w:spacing w:before="240" w:after="120"/>
        <w:ind w:left="432"/>
        <w:rPr>
          <w:rFonts w:ascii="Times New Roman" w:hAnsi="Times New Roman" w:cs="Times New Roman"/>
          <w:b/>
          <w:color w:val="auto"/>
          <w:sz w:val="24"/>
          <w:szCs w:val="24"/>
        </w:rPr>
      </w:pPr>
      <w:bookmarkStart w:id="8" w:name="_Toc16068311"/>
      <w:bookmarkStart w:id="9" w:name="_Toc23509669"/>
      <w:r w:rsidRPr="00813452">
        <w:rPr>
          <w:rFonts w:ascii="Times New Roman" w:hAnsi="Times New Roman" w:cs="Times New Roman"/>
          <w:b/>
          <w:color w:val="auto"/>
          <w:sz w:val="24"/>
          <w:szCs w:val="24"/>
        </w:rPr>
        <w:t xml:space="preserve">Yerinde doğrulama </w:t>
      </w:r>
      <w:bookmarkEnd w:id="7"/>
      <w:r w:rsidRPr="00813452">
        <w:rPr>
          <w:rFonts w:ascii="Times New Roman" w:hAnsi="Times New Roman" w:cs="Times New Roman"/>
          <w:b/>
          <w:color w:val="auto"/>
          <w:sz w:val="24"/>
          <w:szCs w:val="24"/>
        </w:rPr>
        <w:t>incelemesi</w:t>
      </w:r>
      <w:bookmarkEnd w:id="8"/>
      <w:bookmarkEnd w:id="9"/>
    </w:p>
    <w:p w:rsidR="00AC6616" w:rsidRPr="00813452" w:rsidRDefault="0037122E" w:rsidP="00A73D18">
      <w:pPr>
        <w:pStyle w:val="Default"/>
        <w:numPr>
          <w:ilvl w:val="0"/>
          <w:numId w:val="10"/>
        </w:numPr>
        <w:spacing w:before="240" w:after="120"/>
        <w:ind w:firstLine="0"/>
        <w:jc w:val="both"/>
        <w:rPr>
          <w:color w:val="0D0D0D" w:themeColor="text1" w:themeTint="F2"/>
        </w:rPr>
      </w:pPr>
      <w:r w:rsidRPr="00813452">
        <w:rPr>
          <w:color w:val="0D0D0D" w:themeColor="text1" w:themeTint="F2"/>
        </w:rPr>
        <w:t>Yönetmeliğin 21 inci maddesi çerçevesinde, yerli üretici Türk Demir</w:t>
      </w:r>
      <w:r w:rsidR="0057018E" w:rsidRPr="00813452">
        <w:rPr>
          <w:color w:val="0D0D0D" w:themeColor="text1" w:themeTint="F2"/>
        </w:rPr>
        <w:t xml:space="preserve"> </w:t>
      </w:r>
      <w:r w:rsidRPr="00813452">
        <w:rPr>
          <w:color w:val="0D0D0D" w:themeColor="text1" w:themeTint="F2"/>
        </w:rPr>
        <w:t>Döküm Fabrikaları Anonim Şirketi nezdinde yerinde doğrulama incelemeleri gerçekleştirilmiştir.</w:t>
      </w:r>
    </w:p>
    <w:p w:rsidR="008E5417" w:rsidRPr="00813452" w:rsidRDefault="00235D70" w:rsidP="00A73D18">
      <w:pPr>
        <w:pStyle w:val="Balk1"/>
        <w:numPr>
          <w:ilvl w:val="0"/>
          <w:numId w:val="1"/>
        </w:numPr>
        <w:spacing w:after="120"/>
        <w:rPr>
          <w:rFonts w:ascii="Times New Roman" w:hAnsi="Times New Roman" w:cs="Times New Roman"/>
          <w:b/>
          <w:color w:val="auto"/>
          <w:sz w:val="24"/>
          <w:szCs w:val="24"/>
        </w:rPr>
      </w:pPr>
      <w:bookmarkStart w:id="10" w:name="_Toc23509670"/>
      <w:r w:rsidRPr="00813452">
        <w:rPr>
          <w:rFonts w:ascii="Times New Roman" w:hAnsi="Times New Roman" w:cs="Times New Roman"/>
          <w:b/>
          <w:color w:val="auto"/>
          <w:sz w:val="24"/>
          <w:szCs w:val="24"/>
        </w:rPr>
        <w:lastRenderedPageBreak/>
        <w:t>SORUŞTURMA KONUSU ÜRÜN VE BENZER ÜRÜN</w:t>
      </w:r>
      <w:bookmarkEnd w:id="10"/>
    </w:p>
    <w:p w:rsidR="00AC6616" w:rsidRPr="00813452" w:rsidRDefault="00235D70" w:rsidP="00A73D18">
      <w:pPr>
        <w:pStyle w:val="Balk2"/>
        <w:spacing w:before="240" w:after="120"/>
        <w:rPr>
          <w:rFonts w:ascii="Times New Roman" w:hAnsi="Times New Roman" w:cs="Times New Roman"/>
          <w:b/>
          <w:color w:val="auto"/>
          <w:sz w:val="24"/>
          <w:szCs w:val="24"/>
        </w:rPr>
      </w:pPr>
      <w:bookmarkStart w:id="11" w:name="_Toc23509671"/>
      <w:r w:rsidRPr="00813452">
        <w:rPr>
          <w:rFonts w:ascii="Times New Roman" w:hAnsi="Times New Roman" w:cs="Times New Roman"/>
          <w:b/>
          <w:color w:val="auto"/>
          <w:sz w:val="24"/>
          <w:szCs w:val="24"/>
        </w:rPr>
        <w:t>2.1 Soruşturma konusu ürün ve benzer ürün</w:t>
      </w:r>
      <w:bookmarkEnd w:id="11"/>
    </w:p>
    <w:p w:rsidR="00235D70" w:rsidRPr="00813452" w:rsidRDefault="00235D70" w:rsidP="00A73D18">
      <w:pPr>
        <w:pStyle w:val="Default"/>
        <w:spacing w:before="240" w:after="120"/>
        <w:jc w:val="both"/>
        <w:rPr>
          <w:color w:val="0D0D0D" w:themeColor="text1" w:themeTint="F2"/>
        </w:rPr>
      </w:pPr>
      <w:r w:rsidRPr="00813452">
        <w:rPr>
          <w:color w:val="0D0D0D" w:themeColor="text1" w:themeTint="F2"/>
        </w:rPr>
        <w:t>(1) Soruşturma konusu ürün 8419.11.00.00.00 GTİP’i altında sınıflandırılan “gazla çalışan anında su ısıtıcılar”</w:t>
      </w:r>
      <w:r w:rsidR="00521EB7">
        <w:rPr>
          <w:color w:val="0D0D0D" w:themeColor="text1" w:themeTint="F2"/>
        </w:rPr>
        <w:t xml:space="preserve"> (şofbenler) </w:t>
      </w:r>
      <w:r w:rsidRPr="00813452">
        <w:rPr>
          <w:color w:val="0D0D0D" w:themeColor="text1" w:themeTint="F2"/>
        </w:rPr>
        <w:t>dır. Söz konusu ürün, işbu raporun ilerleyen bölümlerinde “şofbenler” olarak anılacaktır.</w:t>
      </w:r>
    </w:p>
    <w:p w:rsidR="00235D70" w:rsidRPr="00813452" w:rsidRDefault="00235D70" w:rsidP="00A73D18">
      <w:pPr>
        <w:pStyle w:val="Default"/>
        <w:spacing w:before="240" w:after="120"/>
        <w:jc w:val="both"/>
        <w:rPr>
          <w:color w:val="0D0D0D" w:themeColor="text1" w:themeTint="F2"/>
        </w:rPr>
      </w:pPr>
      <w:r w:rsidRPr="00813452">
        <w:rPr>
          <w:color w:val="0D0D0D" w:themeColor="text1" w:themeTint="F2"/>
        </w:rPr>
        <w:t>(2) Şofbenler, doğalgaz veya LPG ile çalışan, anında ve sürekli sıcak su üreten cihazlardır.</w:t>
      </w:r>
    </w:p>
    <w:p w:rsidR="00235D70" w:rsidRPr="00813452" w:rsidRDefault="00235D70" w:rsidP="00A73D18">
      <w:pPr>
        <w:pStyle w:val="Default"/>
        <w:spacing w:before="240" w:after="120"/>
        <w:jc w:val="both"/>
        <w:rPr>
          <w:color w:val="0D0D0D" w:themeColor="text1" w:themeTint="F2"/>
        </w:rPr>
      </w:pPr>
      <w:r w:rsidRPr="00813452">
        <w:rPr>
          <w:color w:val="0D0D0D" w:themeColor="text1" w:themeTint="F2"/>
        </w:rPr>
        <w:t xml:space="preserve">(3) Bir şofben, gazı ve suyu kontrol eden bir valf sistemi, bu gazı yakan bir brülör, oluşan ısıyı geçmekte olan suya transfer eden eşanjör ve oluşan yanmış gazı transfer eden davlumbaz ya da fanlı atık sisteminden oluşur. Ortaya çıkan ürün bir çelik gövde ile kapatılır ve cihaz üzerine kontrol sistemleri (elektronik ya da mekanik) yerleştirilir. </w:t>
      </w:r>
    </w:p>
    <w:p w:rsidR="00235D70" w:rsidRPr="00813452" w:rsidRDefault="00235D70" w:rsidP="00A73D18">
      <w:pPr>
        <w:pStyle w:val="Default"/>
        <w:spacing w:before="240" w:after="120"/>
        <w:jc w:val="both"/>
        <w:rPr>
          <w:color w:val="0D0D0D" w:themeColor="text1" w:themeTint="F2"/>
        </w:rPr>
      </w:pPr>
      <w:r w:rsidRPr="00813452">
        <w:rPr>
          <w:color w:val="0D0D0D" w:themeColor="text1" w:themeTint="F2"/>
        </w:rPr>
        <w:t xml:space="preserve">(4) Şofbenler, genel olarak, hermetik ve bacalı şofbenler olarak ayrılmaktadırlar. Bacalı şofbenler, taze havayı ortamdan alarak atık gazı doğal çekiş yolları ile baca aracılığıyla atmosfere atmaktadır. Hermetik şofbenler ise taze havayı ortamdan bağımsız olarak bir boru vasıtasıyla dışarıdan almakta ve yine başka bir boru ile ve fan desteği ile atık gazı dışarı atmaktadır. </w:t>
      </w:r>
    </w:p>
    <w:p w:rsidR="00235D70" w:rsidRPr="00813452" w:rsidRDefault="00235D70" w:rsidP="00A73D18">
      <w:pPr>
        <w:pStyle w:val="Default"/>
        <w:spacing w:before="240" w:after="120"/>
        <w:jc w:val="both"/>
        <w:rPr>
          <w:color w:val="0D0D0D" w:themeColor="text1" w:themeTint="F2"/>
        </w:rPr>
      </w:pPr>
      <w:r w:rsidRPr="00813452">
        <w:rPr>
          <w:color w:val="0D0D0D" w:themeColor="text1" w:themeTint="F2"/>
        </w:rPr>
        <w:t>(5) Kombi, termosifon (elektrikle çalışan ani su ısıtıcısı) ve güneş enerjisi destekli sistemler, şofbenin yerine geçebilmektedir.</w:t>
      </w:r>
    </w:p>
    <w:p w:rsidR="00235D70" w:rsidRPr="00813452" w:rsidRDefault="00235D70" w:rsidP="00A73D18">
      <w:pPr>
        <w:pStyle w:val="Default"/>
        <w:spacing w:before="240" w:after="120"/>
        <w:jc w:val="both"/>
        <w:rPr>
          <w:color w:val="0D0D0D" w:themeColor="text1" w:themeTint="F2"/>
        </w:rPr>
      </w:pPr>
      <w:r w:rsidRPr="00813452">
        <w:rPr>
          <w:color w:val="0D0D0D" w:themeColor="text1" w:themeTint="F2"/>
        </w:rPr>
        <w:t>(6) Soruşturma sırasında, soruşturma konusu ürün ile yerli üretim dalı tarafından üretilen ve Türkiye piyasasında satışa sunulan ürünün teknik ve fiziki özellikleri, temel kullanım alanları, tüketici algılaması ve dağıtım kanalları itibariyle benzer özelliklere sahip olduğu anlaşılmıştır.</w:t>
      </w:r>
    </w:p>
    <w:p w:rsidR="00235D70" w:rsidRPr="00813452" w:rsidRDefault="00235D70" w:rsidP="00A73D18">
      <w:pPr>
        <w:pStyle w:val="Default"/>
        <w:spacing w:before="240" w:after="120"/>
        <w:jc w:val="both"/>
        <w:rPr>
          <w:color w:val="0D0D0D" w:themeColor="text1" w:themeTint="F2"/>
        </w:rPr>
      </w:pPr>
      <w:r w:rsidRPr="00813452">
        <w:rPr>
          <w:color w:val="0D0D0D" w:themeColor="text1" w:themeTint="F2"/>
        </w:rPr>
        <w:t>(7) Söz konusu hususlar çerçevesinde, Yönetmeliğin 4 üncü maddesi uyarınca, soruşturma konusu ürün ile yerli üretim dalı tarafından üretilen ürün esas soruşturmada olduğu gibi benzer ürün olarak kabul edilmiştir.</w:t>
      </w:r>
    </w:p>
    <w:p w:rsidR="00235D70" w:rsidRPr="00813452" w:rsidRDefault="00235D70" w:rsidP="00A73D18">
      <w:pPr>
        <w:pStyle w:val="Default"/>
        <w:spacing w:before="240" w:after="120"/>
        <w:jc w:val="both"/>
        <w:rPr>
          <w:color w:val="0D0D0D" w:themeColor="text1" w:themeTint="F2"/>
        </w:rPr>
      </w:pPr>
      <w:r w:rsidRPr="00813452">
        <w:rPr>
          <w:color w:val="0D0D0D" w:themeColor="text1" w:themeTint="F2"/>
        </w:rPr>
        <w:t>(8) Soruşturma konusu ürün ve benzer ürün ile ilgili açıklamalar bağlayıcı nitelikte ol</w:t>
      </w:r>
      <w:r w:rsidR="00AA351D" w:rsidRPr="00813452">
        <w:rPr>
          <w:color w:val="0D0D0D" w:themeColor="text1" w:themeTint="F2"/>
        </w:rPr>
        <w:t>mayıp genel içerikli ve b</w:t>
      </w:r>
      <w:r w:rsidR="003D3BCF" w:rsidRPr="00813452">
        <w:rPr>
          <w:color w:val="0D0D0D" w:themeColor="text1" w:themeTint="F2"/>
        </w:rPr>
        <w:t>ilgi amaçlıdır.</w:t>
      </w:r>
    </w:p>
    <w:p w:rsidR="00235D70" w:rsidRPr="00813452" w:rsidRDefault="00235D70" w:rsidP="00A73D18">
      <w:pPr>
        <w:pStyle w:val="Balk2"/>
        <w:numPr>
          <w:ilvl w:val="1"/>
          <w:numId w:val="1"/>
        </w:numPr>
        <w:spacing w:before="240" w:after="120"/>
        <w:rPr>
          <w:rFonts w:ascii="Times New Roman" w:hAnsi="Times New Roman" w:cs="Times New Roman"/>
          <w:b/>
          <w:color w:val="auto"/>
          <w:sz w:val="24"/>
          <w:szCs w:val="24"/>
        </w:rPr>
      </w:pPr>
      <w:bookmarkStart w:id="12" w:name="_Toc23509672"/>
      <w:r w:rsidRPr="00813452">
        <w:rPr>
          <w:rFonts w:ascii="Times New Roman" w:hAnsi="Times New Roman" w:cs="Times New Roman"/>
          <w:b/>
          <w:color w:val="auto"/>
          <w:sz w:val="24"/>
          <w:szCs w:val="24"/>
        </w:rPr>
        <w:t>Ürünün ithalinde uygulanan vergi oranları ve diğer yükümlülükler</w:t>
      </w:r>
      <w:bookmarkEnd w:id="12"/>
    </w:p>
    <w:p w:rsidR="00235D70" w:rsidRPr="00813452" w:rsidRDefault="00235D70" w:rsidP="00A73D18">
      <w:pPr>
        <w:pStyle w:val="Default"/>
        <w:spacing w:before="240" w:after="120"/>
        <w:jc w:val="both"/>
        <w:rPr>
          <w:color w:val="0D0D0D" w:themeColor="text1" w:themeTint="F2"/>
        </w:rPr>
      </w:pPr>
      <w:r w:rsidRPr="00813452">
        <w:rPr>
          <w:color w:val="0D0D0D" w:themeColor="text1" w:themeTint="F2"/>
        </w:rPr>
        <w:t xml:space="preserve">(1) </w:t>
      </w:r>
      <w:r w:rsidR="00811896">
        <w:rPr>
          <w:color w:val="0D0D0D" w:themeColor="text1" w:themeTint="F2"/>
        </w:rPr>
        <w:t xml:space="preserve">Önleme konu üründe </w:t>
      </w:r>
      <w:r w:rsidRPr="00813452">
        <w:rPr>
          <w:color w:val="0D0D0D" w:themeColor="text1" w:themeTint="F2"/>
        </w:rPr>
        <w:t xml:space="preserve">ÇHC için uygulanan gümrük vergisi oranı %2,6’dır. Ayrıca, söz konusu ürüne yönelik %18 oranında katma değer vergisi uygulanmaktadır. </w:t>
      </w:r>
    </w:p>
    <w:p w:rsidR="005D6D04" w:rsidRPr="00813452" w:rsidRDefault="00235D70" w:rsidP="00A73D18">
      <w:pPr>
        <w:pStyle w:val="Balk1"/>
        <w:numPr>
          <w:ilvl w:val="0"/>
          <w:numId w:val="1"/>
        </w:numPr>
        <w:spacing w:after="120"/>
        <w:rPr>
          <w:rFonts w:ascii="Times New Roman" w:hAnsi="Times New Roman" w:cs="Times New Roman"/>
          <w:b/>
          <w:color w:val="auto"/>
          <w:sz w:val="24"/>
          <w:szCs w:val="24"/>
        </w:rPr>
      </w:pPr>
      <w:bookmarkStart w:id="13" w:name="_Toc23509673"/>
      <w:r w:rsidRPr="00813452">
        <w:rPr>
          <w:rFonts w:ascii="Times New Roman" w:hAnsi="Times New Roman" w:cs="Times New Roman"/>
          <w:b/>
          <w:color w:val="auto"/>
          <w:sz w:val="24"/>
          <w:szCs w:val="24"/>
        </w:rPr>
        <w:t>DAMPİNGİN DEVAMI VEYA YENİDEN MEYDANA GELME İHTİMALİ</w:t>
      </w:r>
      <w:bookmarkEnd w:id="13"/>
      <w:r w:rsidRPr="00813452">
        <w:rPr>
          <w:rFonts w:ascii="Times New Roman" w:hAnsi="Times New Roman" w:cs="Times New Roman"/>
          <w:b/>
          <w:color w:val="auto"/>
          <w:sz w:val="24"/>
          <w:szCs w:val="24"/>
        </w:rPr>
        <w:t xml:space="preserve"> </w:t>
      </w:r>
    </w:p>
    <w:p w:rsidR="005D6D04" w:rsidRPr="00813452" w:rsidRDefault="005D6D04" w:rsidP="00A73D18">
      <w:pPr>
        <w:pStyle w:val="Balk2"/>
        <w:numPr>
          <w:ilvl w:val="1"/>
          <w:numId w:val="15"/>
        </w:numPr>
        <w:spacing w:before="240" w:after="120"/>
        <w:ind w:left="360"/>
        <w:rPr>
          <w:rFonts w:ascii="Times New Roman" w:hAnsi="Times New Roman" w:cs="Times New Roman"/>
          <w:b/>
          <w:color w:val="auto"/>
          <w:sz w:val="24"/>
          <w:szCs w:val="24"/>
        </w:rPr>
      </w:pPr>
      <w:bookmarkStart w:id="14" w:name="_Toc16068316"/>
      <w:r w:rsidRPr="00813452">
        <w:rPr>
          <w:rFonts w:ascii="Times New Roman" w:hAnsi="Times New Roman" w:cs="Times New Roman"/>
          <w:b/>
          <w:color w:val="auto"/>
          <w:sz w:val="24"/>
          <w:szCs w:val="24"/>
        </w:rPr>
        <w:t xml:space="preserve"> </w:t>
      </w:r>
      <w:bookmarkStart w:id="15" w:name="_Toc23509674"/>
      <w:r w:rsidRPr="00813452">
        <w:rPr>
          <w:rFonts w:ascii="Times New Roman" w:hAnsi="Times New Roman" w:cs="Times New Roman"/>
          <w:b/>
          <w:color w:val="auto"/>
          <w:sz w:val="24"/>
          <w:szCs w:val="24"/>
        </w:rPr>
        <w:t>Genel açıklamalar</w:t>
      </w:r>
      <w:bookmarkEnd w:id="14"/>
      <w:bookmarkEnd w:id="15"/>
    </w:p>
    <w:p w:rsidR="005D6D04" w:rsidRPr="00813452" w:rsidRDefault="005D6D04" w:rsidP="00A73D18">
      <w:pPr>
        <w:pStyle w:val="Default"/>
        <w:numPr>
          <w:ilvl w:val="0"/>
          <w:numId w:val="13"/>
        </w:numPr>
        <w:spacing w:before="240" w:after="120"/>
        <w:ind w:firstLine="0"/>
        <w:jc w:val="both"/>
        <w:rPr>
          <w:bCs/>
          <w:color w:val="0D0D0D" w:themeColor="text1" w:themeTint="F2"/>
        </w:rPr>
      </w:pPr>
      <w:r w:rsidRPr="00813452">
        <w:rPr>
          <w:bCs/>
          <w:color w:val="0D0D0D" w:themeColor="text1" w:themeTint="F2"/>
        </w:rPr>
        <w:t xml:space="preserve">Yönetmeliğin 35 inci maddesi çerçevesinde, önlemin yürürlükten kalkması halinde soruşturma konusu ülke kaynaklı dampingin devam etmesinin veya yeniden meydana gelmesinin muhtemel olup olmadığı incelenmiştir. Bu kapsamda, 1/1/2018-31/12/2018 dönemi soruşturma dönemi olarak kabul edilmiştir. </w:t>
      </w:r>
    </w:p>
    <w:p w:rsidR="005D6D04" w:rsidRPr="00813452" w:rsidRDefault="005D6D04" w:rsidP="00A73D18">
      <w:pPr>
        <w:pStyle w:val="Balk2"/>
        <w:numPr>
          <w:ilvl w:val="1"/>
          <w:numId w:val="15"/>
        </w:numPr>
        <w:spacing w:before="240" w:after="120"/>
        <w:ind w:left="360"/>
        <w:rPr>
          <w:rFonts w:ascii="Times New Roman" w:hAnsi="Times New Roman" w:cs="Times New Roman"/>
          <w:b/>
          <w:color w:val="auto"/>
          <w:sz w:val="24"/>
          <w:szCs w:val="24"/>
        </w:rPr>
      </w:pPr>
      <w:bookmarkStart w:id="16" w:name="_Toc23509675"/>
      <w:r w:rsidRPr="00813452">
        <w:rPr>
          <w:rFonts w:ascii="Times New Roman" w:hAnsi="Times New Roman" w:cs="Times New Roman"/>
          <w:b/>
          <w:color w:val="auto"/>
          <w:sz w:val="24"/>
          <w:szCs w:val="24"/>
        </w:rPr>
        <w:lastRenderedPageBreak/>
        <w:t>Dampingin devam edip etmediği</w:t>
      </w:r>
      <w:bookmarkEnd w:id="16"/>
    </w:p>
    <w:p w:rsidR="005D6D04" w:rsidRPr="00813452" w:rsidRDefault="005D6D04" w:rsidP="00A73D18">
      <w:pPr>
        <w:pStyle w:val="Default"/>
        <w:spacing w:before="240" w:after="120"/>
        <w:jc w:val="both"/>
        <w:rPr>
          <w:bCs/>
          <w:color w:val="0D0D0D" w:themeColor="text1" w:themeTint="F2"/>
        </w:rPr>
      </w:pPr>
      <w:r w:rsidRPr="00813452">
        <w:rPr>
          <w:bCs/>
          <w:color w:val="0D0D0D" w:themeColor="text1" w:themeTint="F2"/>
        </w:rPr>
        <w:t>(1) ÇHC’de yerleşik firmalardan işbirliğinde bulunan olmamıştır. Yönetmeliğin 26 ncı maddesi hükümlerince, ilgili taraflardan birinin, verilen süreler içinde gerekli bilgiyi sağlamaması ya da bu bilgiye ulaşılmasını reddetmesi veya soruşturmayı engellediğinin anlaşılması veya yanlış ya da yanıltıcı bilgi vermesi hallerinde, söz konusu taraf işbirliğine gelmemiş addedilir. Bu durumda geçici veya nihai belirlemeler, olumlu ya da olumsuz, mevcut verilere göre yapılabilir. Bu kapsamda, ÇHC’de yerleşik üretici/ihracatçı firmaların işbirliğinde bulunmaması üzerine, damping marjı Yönetmeliğin 26 ncı maddesi uyarınca mevcut veriler kullanılarak hesaplanmıştır.</w:t>
      </w:r>
    </w:p>
    <w:p w:rsidR="00422D2C" w:rsidRPr="00813452" w:rsidRDefault="008E5417" w:rsidP="00A73D18">
      <w:pPr>
        <w:pStyle w:val="Balk3"/>
        <w:spacing w:before="240" w:after="120"/>
        <w:ind w:firstLine="720"/>
        <w:rPr>
          <w:rFonts w:ascii="Times New Roman" w:hAnsi="Times New Roman" w:cs="Times New Roman"/>
          <w:b/>
          <w:color w:val="000000" w:themeColor="text1"/>
        </w:rPr>
      </w:pPr>
      <w:bookmarkStart w:id="17" w:name="_Toc23509676"/>
      <w:r w:rsidRPr="00813452">
        <w:rPr>
          <w:rFonts w:ascii="Times New Roman" w:hAnsi="Times New Roman" w:cs="Times New Roman"/>
          <w:b/>
          <w:color w:val="000000" w:themeColor="text1"/>
        </w:rPr>
        <w:t>3.2.1 Normal değerin belirlenmesi</w:t>
      </w:r>
      <w:bookmarkEnd w:id="17"/>
    </w:p>
    <w:p w:rsidR="0070062C" w:rsidRPr="00813452" w:rsidRDefault="0070062C" w:rsidP="00A73D18">
      <w:pPr>
        <w:pStyle w:val="Default"/>
        <w:spacing w:before="240" w:after="120"/>
        <w:jc w:val="both"/>
        <w:rPr>
          <w:bCs/>
          <w:color w:val="0D0D0D" w:themeColor="text1" w:themeTint="F2"/>
        </w:rPr>
      </w:pPr>
      <w:r w:rsidRPr="00813452">
        <w:rPr>
          <w:bCs/>
          <w:color w:val="0D0D0D" w:themeColor="text1" w:themeTint="F2"/>
        </w:rPr>
        <w:t>(1) Yönetmeliğin 7 nci maddesi uyarıca, International Trade Center (ITC) verilerinden tespit edilen, Türkiye’nin 2018 yılı ortalama dünya ihracat birim fiyatı, normal değer olarak kabul edilmiştir.</w:t>
      </w:r>
    </w:p>
    <w:p w:rsidR="008E5417" w:rsidRPr="00813452" w:rsidRDefault="0070062C" w:rsidP="00A73D18">
      <w:pPr>
        <w:pStyle w:val="Balk3"/>
        <w:spacing w:before="240" w:after="120"/>
        <w:ind w:firstLine="720"/>
        <w:rPr>
          <w:rFonts w:ascii="Times New Roman" w:hAnsi="Times New Roman" w:cs="Times New Roman"/>
          <w:b/>
          <w:color w:val="000000" w:themeColor="text1"/>
        </w:rPr>
      </w:pPr>
      <w:bookmarkStart w:id="18" w:name="_Toc23509677"/>
      <w:r w:rsidRPr="00813452">
        <w:rPr>
          <w:rFonts w:ascii="Times New Roman" w:hAnsi="Times New Roman" w:cs="Times New Roman"/>
          <w:b/>
          <w:color w:val="000000" w:themeColor="text1"/>
        </w:rPr>
        <w:t>3.2.2 İhraç fiyatının belirlenmesi</w:t>
      </w:r>
      <w:bookmarkEnd w:id="18"/>
    </w:p>
    <w:p w:rsidR="0070062C" w:rsidRPr="00813452" w:rsidRDefault="0070062C" w:rsidP="00A73D18">
      <w:pPr>
        <w:pStyle w:val="Default"/>
        <w:spacing w:before="240" w:after="120"/>
        <w:jc w:val="both"/>
        <w:rPr>
          <w:bCs/>
          <w:color w:val="0D0D0D" w:themeColor="text1" w:themeTint="F2"/>
        </w:rPr>
      </w:pPr>
      <w:r w:rsidRPr="00813452">
        <w:rPr>
          <w:bCs/>
          <w:color w:val="0D0D0D" w:themeColor="text1" w:themeTint="F2"/>
        </w:rPr>
        <w:t xml:space="preserve">(1) </w:t>
      </w:r>
      <w:r w:rsidR="00947445" w:rsidRPr="00813452">
        <w:rPr>
          <w:bCs/>
          <w:color w:val="0D0D0D" w:themeColor="text1" w:themeTint="F2"/>
        </w:rPr>
        <w:t>TÜİK verileri esas alınarak, 2018 yılı soruşturma konusu ürünün ÇHC’den gerçekleşen i</w:t>
      </w:r>
      <w:r w:rsidR="00115297" w:rsidRPr="00813452">
        <w:rPr>
          <w:bCs/>
          <w:color w:val="0D0D0D" w:themeColor="text1" w:themeTint="F2"/>
        </w:rPr>
        <w:t>thalatın</w:t>
      </w:r>
      <w:r w:rsidR="00947445" w:rsidRPr="00813452">
        <w:rPr>
          <w:bCs/>
          <w:color w:val="0D0D0D" w:themeColor="text1" w:themeTint="F2"/>
        </w:rPr>
        <w:t xml:space="preserve"> ortalama CIF birim fiyatı, ihraç fiyatı olarak kabul edilmiştir.</w:t>
      </w:r>
    </w:p>
    <w:p w:rsidR="00947445" w:rsidRPr="00813452" w:rsidRDefault="00947445" w:rsidP="00A73D18">
      <w:pPr>
        <w:pStyle w:val="Balk3"/>
        <w:spacing w:before="240" w:after="120"/>
        <w:ind w:firstLine="720"/>
        <w:rPr>
          <w:rFonts w:ascii="Times New Roman" w:hAnsi="Times New Roman" w:cs="Times New Roman"/>
          <w:b/>
          <w:color w:val="000000" w:themeColor="text1"/>
        </w:rPr>
      </w:pPr>
      <w:bookmarkStart w:id="19" w:name="_Toc23509678"/>
      <w:r w:rsidRPr="00813452">
        <w:rPr>
          <w:rFonts w:ascii="Times New Roman" w:hAnsi="Times New Roman" w:cs="Times New Roman"/>
          <w:b/>
          <w:color w:val="000000" w:themeColor="text1"/>
        </w:rPr>
        <w:t>3.2.3 Fiyat karşılaştırması</w:t>
      </w:r>
      <w:bookmarkEnd w:id="19"/>
    </w:p>
    <w:p w:rsidR="00947445" w:rsidRPr="00813452" w:rsidRDefault="00947445" w:rsidP="00A73D18">
      <w:pPr>
        <w:pStyle w:val="Default"/>
        <w:spacing w:before="240" w:after="120"/>
        <w:jc w:val="both"/>
        <w:rPr>
          <w:bCs/>
          <w:color w:val="0D0D0D" w:themeColor="text1" w:themeTint="F2"/>
        </w:rPr>
      </w:pPr>
      <w:r w:rsidRPr="00813452">
        <w:rPr>
          <w:bCs/>
          <w:color w:val="0D0D0D" w:themeColor="text1" w:themeTint="F2"/>
        </w:rPr>
        <w:t>(1) Adil bir karşılaştırmanın yapılabilmesini teminen, normal değer ile ihraç fiyatı mümkün olduğu ölçüde fabrika çıkış aşamasına getirilerek aynı ticari aşamada karşılaştırılmıştır.</w:t>
      </w:r>
    </w:p>
    <w:p w:rsidR="00947445" w:rsidRPr="00813452" w:rsidRDefault="00947445" w:rsidP="00A73D18">
      <w:pPr>
        <w:pStyle w:val="Balk3"/>
        <w:spacing w:before="240" w:after="120"/>
        <w:ind w:firstLine="720"/>
        <w:rPr>
          <w:rFonts w:ascii="Times New Roman" w:hAnsi="Times New Roman" w:cs="Times New Roman"/>
          <w:b/>
          <w:color w:val="000000" w:themeColor="text1"/>
        </w:rPr>
      </w:pPr>
      <w:bookmarkStart w:id="20" w:name="_Toc23509679"/>
      <w:r w:rsidRPr="00813452">
        <w:rPr>
          <w:rFonts w:ascii="Times New Roman" w:hAnsi="Times New Roman" w:cs="Times New Roman"/>
          <w:b/>
          <w:color w:val="000000" w:themeColor="text1"/>
        </w:rPr>
        <w:t>3.2.4 Tespit edilen damping marjı</w:t>
      </w:r>
      <w:bookmarkEnd w:id="20"/>
    </w:p>
    <w:p w:rsidR="00C80184" w:rsidRPr="00813452" w:rsidRDefault="00947445" w:rsidP="00A73D18">
      <w:pPr>
        <w:pStyle w:val="Default"/>
        <w:spacing w:before="240" w:after="120"/>
        <w:jc w:val="both"/>
      </w:pPr>
      <w:r w:rsidRPr="00813452">
        <w:t>(1)  Yönetmeliğin 11 inci maddesi çerçevesinde, damping marjı, normal değer ile ihraç fiyatının ağırlıklı ortalamasının karşılaştırılması suretiyle hesaplanmıştır. Buna göre, mevcut verilere göre yapılan hesaplamalar sonucunda ÇHC menşeli soruşturma konusu ürün ithalatı</w:t>
      </w:r>
      <w:r w:rsidR="00BE23FE" w:rsidRPr="00813452">
        <w:t xml:space="preserve"> için damping marjı tespit edil</w:t>
      </w:r>
      <w:r w:rsidRPr="00813452">
        <w:t xml:space="preserve">memiştir. </w:t>
      </w:r>
    </w:p>
    <w:p w:rsidR="008E5417" w:rsidRPr="00813452" w:rsidRDefault="00C80184" w:rsidP="00A73D18">
      <w:pPr>
        <w:pStyle w:val="Balk3"/>
        <w:spacing w:before="240" w:after="120"/>
        <w:ind w:firstLine="720"/>
        <w:rPr>
          <w:rFonts w:ascii="Times New Roman" w:hAnsi="Times New Roman" w:cs="Times New Roman"/>
          <w:b/>
          <w:color w:val="000000" w:themeColor="text1"/>
        </w:rPr>
      </w:pPr>
      <w:bookmarkStart w:id="21" w:name="_Toc23509680"/>
      <w:r w:rsidRPr="00813452">
        <w:rPr>
          <w:rFonts w:ascii="Times New Roman" w:hAnsi="Times New Roman" w:cs="Times New Roman"/>
          <w:b/>
          <w:color w:val="000000" w:themeColor="text1"/>
        </w:rPr>
        <w:t>3.2.5 Muhtemel damping marjı</w:t>
      </w:r>
      <w:r w:rsidR="00FC0E36" w:rsidRPr="00813452">
        <w:rPr>
          <w:rFonts w:ascii="Times New Roman" w:hAnsi="Times New Roman" w:cs="Times New Roman"/>
          <w:b/>
          <w:color w:val="000000" w:themeColor="text1"/>
        </w:rPr>
        <w:t xml:space="preserve"> </w:t>
      </w:r>
      <w:bookmarkEnd w:id="21"/>
    </w:p>
    <w:p w:rsidR="00C80184" w:rsidRPr="00813452" w:rsidRDefault="00C80184" w:rsidP="00A73D18">
      <w:pPr>
        <w:pStyle w:val="Default"/>
        <w:spacing w:before="240" w:after="120"/>
        <w:jc w:val="both"/>
        <w:rPr>
          <w:bCs/>
          <w:color w:val="0D0D0D" w:themeColor="text1" w:themeTint="F2"/>
        </w:rPr>
      </w:pPr>
      <w:r w:rsidRPr="00813452">
        <w:rPr>
          <w:bCs/>
          <w:color w:val="0D0D0D" w:themeColor="text1" w:themeTint="F2"/>
        </w:rPr>
        <w:t>(1) ÇHC menşeli i</w:t>
      </w:r>
      <w:r w:rsidR="00115297" w:rsidRPr="00813452">
        <w:rPr>
          <w:bCs/>
          <w:color w:val="0D0D0D" w:themeColor="text1" w:themeTint="F2"/>
        </w:rPr>
        <w:t>thalat</w:t>
      </w:r>
      <w:r w:rsidRPr="00813452">
        <w:rPr>
          <w:bCs/>
          <w:color w:val="0D0D0D" w:themeColor="text1" w:themeTint="F2"/>
        </w:rPr>
        <w:t xml:space="preserve"> gözden geçirme döneminde, önlemin etkisi</w:t>
      </w:r>
      <w:r w:rsidR="00261136" w:rsidRPr="00813452">
        <w:rPr>
          <w:bCs/>
          <w:color w:val="0D0D0D" w:themeColor="text1" w:themeTint="F2"/>
        </w:rPr>
        <w:t xml:space="preserve">yle durma noktasına gelmiştir. </w:t>
      </w:r>
      <w:r w:rsidRPr="00813452">
        <w:rPr>
          <w:bCs/>
          <w:color w:val="0D0D0D" w:themeColor="text1" w:themeTint="F2"/>
        </w:rPr>
        <w:t>Bu nedenle, önlemin yürürlükten kalkması durumunda oluşabilecek muhtemel damping incelenmiştir.</w:t>
      </w:r>
    </w:p>
    <w:p w:rsidR="00261136" w:rsidRPr="00813452" w:rsidRDefault="00C80184" w:rsidP="00A73D18">
      <w:pPr>
        <w:pStyle w:val="Default"/>
        <w:spacing w:before="240" w:after="120"/>
        <w:jc w:val="both"/>
        <w:rPr>
          <w:bCs/>
          <w:color w:val="0D0D0D" w:themeColor="text1" w:themeTint="F2"/>
        </w:rPr>
      </w:pPr>
      <w:r w:rsidRPr="00813452">
        <w:rPr>
          <w:bCs/>
          <w:color w:val="0D0D0D" w:themeColor="text1" w:themeTint="F2"/>
        </w:rPr>
        <w:t xml:space="preserve">(2) Buna göre, </w:t>
      </w:r>
      <w:r w:rsidR="006D16A3" w:rsidRPr="00813452">
        <w:rPr>
          <w:bCs/>
          <w:color w:val="0D0D0D" w:themeColor="text1" w:themeTint="F2"/>
        </w:rPr>
        <w:t xml:space="preserve">normal değer olarak Türkiye’nin ortalama dünya ihracat birim fiyatı (Madde 3.2.1) ile muhtemel ihraç fiyatı olarak ITC verilerinden tespit edilen </w:t>
      </w:r>
      <w:r w:rsidRPr="00813452">
        <w:rPr>
          <w:bCs/>
          <w:color w:val="0D0D0D" w:themeColor="text1" w:themeTint="F2"/>
        </w:rPr>
        <w:t>ÇHC’nin 2018 yılı orta</w:t>
      </w:r>
      <w:r w:rsidR="006D16A3" w:rsidRPr="00813452">
        <w:rPr>
          <w:bCs/>
          <w:color w:val="0D0D0D" w:themeColor="text1" w:themeTint="F2"/>
        </w:rPr>
        <w:t>lama dünya ihracat birim fiyatı</w:t>
      </w:r>
      <w:r w:rsidRPr="00813452">
        <w:rPr>
          <w:bCs/>
          <w:color w:val="0D0D0D" w:themeColor="text1" w:themeTint="F2"/>
        </w:rPr>
        <w:t xml:space="preserve"> karşılaştırılarak damping marjı hesaplanmıştır. Bu çerçevede, </w:t>
      </w:r>
      <w:r w:rsidR="00AB026E" w:rsidRPr="00813452">
        <w:rPr>
          <w:bCs/>
          <w:color w:val="0D0D0D" w:themeColor="text1" w:themeTint="F2"/>
        </w:rPr>
        <w:t>%</w:t>
      </w:r>
      <w:r w:rsidR="006B631F" w:rsidRPr="00813452">
        <w:rPr>
          <w:bCs/>
          <w:color w:val="0D0D0D" w:themeColor="text1" w:themeTint="F2"/>
        </w:rPr>
        <w:t>16,05</w:t>
      </w:r>
      <w:r w:rsidR="00AB026E" w:rsidRPr="00813452">
        <w:rPr>
          <w:bCs/>
          <w:color w:val="0D0D0D" w:themeColor="text1" w:themeTint="F2"/>
        </w:rPr>
        <w:t xml:space="preserve"> oranında damping marjı tespit edilmiş ve dampingli ithalatın yeniden meydana gelmesinin muhtemel olduğu değerlendirilmiştir.</w:t>
      </w:r>
    </w:p>
    <w:p w:rsidR="005D6D04" w:rsidRPr="00813452" w:rsidRDefault="00261136" w:rsidP="00A73D18">
      <w:pPr>
        <w:pStyle w:val="Balk2"/>
        <w:numPr>
          <w:ilvl w:val="1"/>
          <w:numId w:val="15"/>
        </w:numPr>
        <w:spacing w:before="240" w:after="120"/>
        <w:ind w:left="360"/>
        <w:rPr>
          <w:rFonts w:ascii="Times New Roman" w:hAnsi="Times New Roman" w:cs="Times New Roman"/>
          <w:b/>
          <w:color w:val="auto"/>
          <w:sz w:val="24"/>
          <w:szCs w:val="24"/>
        </w:rPr>
      </w:pPr>
      <w:bookmarkStart w:id="22" w:name="_Toc23509681"/>
      <w:r w:rsidRPr="00813452">
        <w:rPr>
          <w:rFonts w:ascii="Times New Roman" w:hAnsi="Times New Roman" w:cs="Times New Roman"/>
          <w:b/>
          <w:color w:val="auto"/>
          <w:sz w:val="24"/>
          <w:szCs w:val="24"/>
        </w:rPr>
        <w:lastRenderedPageBreak/>
        <w:t>Dampingin yeniden meydana gelmesi ihtimali</w:t>
      </w:r>
      <w:r w:rsidR="00123FF5" w:rsidRPr="00813452">
        <w:rPr>
          <w:rFonts w:ascii="Times New Roman" w:hAnsi="Times New Roman" w:cs="Times New Roman"/>
          <w:b/>
          <w:color w:val="auto"/>
          <w:sz w:val="24"/>
          <w:szCs w:val="24"/>
        </w:rPr>
        <w:t xml:space="preserve"> </w:t>
      </w:r>
      <w:bookmarkEnd w:id="22"/>
    </w:p>
    <w:p w:rsidR="00261136" w:rsidRPr="00813452" w:rsidRDefault="00261136" w:rsidP="00A73D18">
      <w:pPr>
        <w:pStyle w:val="Default"/>
        <w:spacing w:before="240" w:after="120"/>
        <w:jc w:val="both"/>
        <w:rPr>
          <w:bCs/>
          <w:color w:val="0D0D0D" w:themeColor="text1" w:themeTint="F2"/>
        </w:rPr>
      </w:pPr>
      <w:r w:rsidRPr="00813452">
        <w:rPr>
          <w:bCs/>
          <w:color w:val="0D0D0D" w:themeColor="text1" w:themeTint="F2"/>
        </w:rPr>
        <w:t xml:space="preserve">(1) Başvuru konusu ülkenin ihracat kabiliyeti, ITC verileri kapsamında incelenmiştir. ITC tarafından sağlanan verilerin birimi ülkelere göre “adet” veya “ton” olarak değişmekte, ulusal veri kaynaklarıyla uyumsuzluk gösterebilmektedir. Bu çerçevede aşağıdaki değerlendirmelerde bahse konu kısıtlar da göz önünde bulundurulmuştur. </w:t>
      </w:r>
    </w:p>
    <w:p w:rsidR="00261136" w:rsidRPr="00813452" w:rsidRDefault="00261136" w:rsidP="00A73D18">
      <w:pPr>
        <w:pStyle w:val="Default"/>
        <w:spacing w:before="240" w:after="120"/>
        <w:jc w:val="both"/>
        <w:rPr>
          <w:bCs/>
          <w:color w:val="0D0D0D" w:themeColor="text1" w:themeTint="F2"/>
        </w:rPr>
      </w:pPr>
      <w:r w:rsidRPr="00813452">
        <w:rPr>
          <w:bCs/>
          <w:color w:val="0D0D0D" w:themeColor="text1" w:themeTint="F2"/>
        </w:rPr>
        <w:t>(2) Başvuru konusu ülkenin üretim ve ihracat kabiliyetine ilişkin değerlendirmede, ITC’nin 8419</w:t>
      </w:r>
      <w:r w:rsidR="00521EB7">
        <w:rPr>
          <w:bCs/>
          <w:color w:val="0D0D0D" w:themeColor="text1" w:themeTint="F2"/>
        </w:rPr>
        <w:t>.</w:t>
      </w:r>
      <w:r w:rsidRPr="00813452">
        <w:rPr>
          <w:bCs/>
          <w:color w:val="0D0D0D" w:themeColor="text1" w:themeTint="F2"/>
        </w:rPr>
        <w:t>11 gümrük tarife pozisyonuna (GTP) ilişkin 2016-2018 yılları ihracat verileri kullanılmıştır.</w:t>
      </w:r>
    </w:p>
    <w:p w:rsidR="00261136" w:rsidRPr="00813452" w:rsidRDefault="00261136" w:rsidP="00A73D18">
      <w:pPr>
        <w:pStyle w:val="Default"/>
        <w:spacing w:before="240" w:after="120"/>
        <w:jc w:val="both"/>
        <w:rPr>
          <w:bCs/>
          <w:color w:val="0D0D0D" w:themeColor="text1" w:themeTint="F2"/>
        </w:rPr>
      </w:pPr>
      <w:r w:rsidRPr="00813452">
        <w:rPr>
          <w:bCs/>
          <w:color w:val="0D0D0D" w:themeColor="text1" w:themeTint="F2"/>
        </w:rPr>
        <w:t xml:space="preserve">(3) Söz konusu ürün için 2016 yılı dünya ihracatı 1,1 milyar ABD Doları seviyelerinde gerçekleşirken, ÇHC’nin bu ihracat içindeki payı 266,7 milyon ABD Doları ile %23,57 seviyelerinde gerçekleşmiştir. 2017 yılında dünya ihracatı 1,2 milyar ABD Doları’na yükselmiş, ÇHC 295 milyon ABD Doları ihracatı ile %23,86’lık paya sahip olmuştur. 2018 yılında ise dünya ihracatı 1,3 milyar ABD Doları’na yükselmiş, ÇHC ise 317 milyon ABD Doları seviyelerindeki ihracatı ile söz konusu üründe dünya ihracatının değer bazında %23,55’ini gerçekleştirmiştir. </w:t>
      </w:r>
    </w:p>
    <w:p w:rsidR="00261136" w:rsidRPr="00813452" w:rsidRDefault="00261136" w:rsidP="00A73D18">
      <w:pPr>
        <w:pStyle w:val="Default"/>
        <w:spacing w:before="240" w:after="120"/>
        <w:jc w:val="both"/>
        <w:rPr>
          <w:bCs/>
          <w:color w:val="0D0D0D" w:themeColor="text1" w:themeTint="F2"/>
        </w:rPr>
      </w:pPr>
      <w:r w:rsidRPr="00813452">
        <w:rPr>
          <w:bCs/>
          <w:color w:val="0D0D0D" w:themeColor="text1" w:themeTint="F2"/>
        </w:rPr>
        <w:t xml:space="preserve">(4) Dünya ihracat istatistiklerinde birim farklılıkları kısıtı dünya ihracatının miktar bazında analizini mümkün kılmamakla birlikte, söz konusu ürünün dünya ihracatında değer bazında birinci sırada yer alan Japonya, ikinci sırada yer alan ÇHC, üçüncü sırada yer alan Güney Kore ve dördüncü sırada yer alan Portekiz’in ITC verilerinde miktar biriminin aynı olması nedeniyle miktar ve birim fiyat bazında bir karşılaştırma yapmak mümkün olmaktadır. </w:t>
      </w:r>
    </w:p>
    <w:p w:rsidR="00261136" w:rsidRPr="00813452" w:rsidRDefault="00261136" w:rsidP="00A73D18">
      <w:pPr>
        <w:pStyle w:val="Default"/>
        <w:spacing w:before="240" w:after="120"/>
        <w:jc w:val="both"/>
        <w:rPr>
          <w:bCs/>
          <w:color w:val="0D0D0D" w:themeColor="text1" w:themeTint="F2"/>
        </w:rPr>
      </w:pPr>
      <w:r w:rsidRPr="00813452">
        <w:rPr>
          <w:bCs/>
          <w:color w:val="0D0D0D" w:themeColor="text1" w:themeTint="F2"/>
        </w:rPr>
        <w:t>(5) 2018 yılında Japonya’nın ihracatı 22.924 ton, birim fiyatı ise 17.364 ABD Doları/ton olarak gerçekleşmiştir. Aynı yıl için ÇHC’nin ihracatı 38.539 ton, birim fiyatı ise 8.241 ABD Doları/Ton seviyelerinde gerçekleşmiştir. Güney Kore’nin ihracatı 8.596 ton, birim fiyatı 19.415 ABD Doları/Ton seviyesinde gerçekleşmiştir. Portekiz’in ihracatı ise 10.907 ton olarak gerçekleşirken, birim fiyatı 12.055 ABD Doları/Ton olarak gerçekleşmiştir.</w:t>
      </w:r>
    </w:p>
    <w:p w:rsidR="00261136" w:rsidRPr="00813452" w:rsidRDefault="00261136" w:rsidP="00A73D18">
      <w:pPr>
        <w:pStyle w:val="Default"/>
        <w:spacing w:before="240" w:after="120"/>
        <w:jc w:val="both"/>
        <w:rPr>
          <w:bCs/>
          <w:color w:val="0D0D0D" w:themeColor="text1" w:themeTint="F2"/>
        </w:rPr>
      </w:pPr>
      <w:r w:rsidRPr="00813452">
        <w:rPr>
          <w:bCs/>
          <w:color w:val="0D0D0D" w:themeColor="text1" w:themeTint="F2"/>
        </w:rPr>
        <w:t xml:space="preserve">(6) 2018 yılı şofben ihracatının değer bazında yüzde 75’ini gerçekleştiren bahsi geçen dört ülke arasında, ÇHC’nin değer bazında ikinci sırada yer almasına karşın miktar bazında birinci sırada yer aldığı ve birim fiyatlarının ortalama birim fiyatların altında seyrettiği görülmektedir. Benzer bir durum incelenen diğer yıllar için de geçerlidir. Seçilen dört ülke için hesaplanan ortalama birim fiyatlar 2016-2018 yılları için sırasıyla 14.685, 12.167,  12.524 ABD Doları/ton  olarak gerçekleşirken ÇHC birim fiyatları 12.495, 7.968 ve 8.241 ABD Doları/Ton olarak, ortalama birim fiyatların altında gerçekleşmiştir. </w:t>
      </w:r>
    </w:p>
    <w:p w:rsidR="00261136" w:rsidRPr="00813452" w:rsidRDefault="00261136" w:rsidP="00A73D18">
      <w:pPr>
        <w:pStyle w:val="Default"/>
        <w:spacing w:before="240" w:after="120"/>
        <w:jc w:val="both"/>
        <w:rPr>
          <w:bCs/>
          <w:color w:val="0D0D0D" w:themeColor="text1" w:themeTint="F2"/>
        </w:rPr>
      </w:pPr>
      <w:r w:rsidRPr="00813452">
        <w:rPr>
          <w:bCs/>
          <w:color w:val="0D0D0D" w:themeColor="text1" w:themeTint="F2"/>
        </w:rPr>
        <w:t>(7) ITC’den elde edilen, ÇHC’nin ortalama dünya ihraç fiyatları ile Türkiye’nin ortalama dünya ihraç fiyatları karşılaştırıldığında ise, 2018 yılında ÇHC’nin ortalama ihraç birim fiyatı 8.241 ABD Doları/ton olarak gerçekleşirken, Türkiye’nin ortalama ihraç birim fiyatı 9.772 ABD Doları/ton olarak gerçekleştiği görülmüştür. Bu çerçevede, ÇHC’nin ihraç birim fiyatları Türkiye’nin ihraç birim fiyatlarının altında seyretmiştir.</w:t>
      </w:r>
    </w:p>
    <w:p w:rsidR="00261136" w:rsidRPr="00813452" w:rsidRDefault="00261136" w:rsidP="00A73D18">
      <w:pPr>
        <w:pStyle w:val="Default"/>
        <w:spacing w:before="240" w:after="120"/>
        <w:jc w:val="both"/>
        <w:rPr>
          <w:bCs/>
          <w:color w:val="0D0D0D" w:themeColor="text1" w:themeTint="F2"/>
        </w:rPr>
      </w:pPr>
      <w:r w:rsidRPr="00813452">
        <w:rPr>
          <w:bCs/>
          <w:color w:val="0D0D0D" w:themeColor="text1" w:themeTint="F2"/>
        </w:rPr>
        <w:t xml:space="preserve">(8) ÇHC’nin incelenen yıllarda, dünya ihracatından değer bazında aldığı payın %23 seviyelerinde gerçekleştiği ve miktar bazında birinci sırada yer aldığı düşünüldüğünde, ÇHC’nin hali hazırda çok ciddi üretim ve ihracat potansiyelinin bulunduğu ve fiyat seviyelerinin önemli diğer ihracatçı ülkelerin fiyatlarının altında kaldığı görülmektedir. </w:t>
      </w:r>
    </w:p>
    <w:p w:rsidR="00261136" w:rsidRPr="00813452" w:rsidRDefault="00261136" w:rsidP="00A73D18">
      <w:pPr>
        <w:pStyle w:val="Balk2"/>
        <w:numPr>
          <w:ilvl w:val="1"/>
          <w:numId w:val="15"/>
        </w:numPr>
        <w:spacing w:before="240" w:after="120"/>
        <w:ind w:left="360"/>
        <w:rPr>
          <w:rFonts w:ascii="Times New Roman" w:hAnsi="Times New Roman" w:cs="Times New Roman"/>
          <w:b/>
          <w:color w:val="auto"/>
          <w:sz w:val="24"/>
          <w:szCs w:val="24"/>
        </w:rPr>
      </w:pPr>
      <w:bookmarkStart w:id="23" w:name="_Toc23509682"/>
      <w:r w:rsidRPr="00813452">
        <w:rPr>
          <w:rFonts w:ascii="Times New Roman" w:hAnsi="Times New Roman" w:cs="Times New Roman"/>
          <w:b/>
          <w:color w:val="auto"/>
          <w:sz w:val="24"/>
          <w:szCs w:val="24"/>
        </w:rPr>
        <w:lastRenderedPageBreak/>
        <w:t>Değerlendirme</w:t>
      </w:r>
      <w:bookmarkEnd w:id="23"/>
    </w:p>
    <w:p w:rsidR="00521EB7" w:rsidRDefault="00521EB7" w:rsidP="00A73D18">
      <w:pPr>
        <w:pStyle w:val="Default"/>
        <w:spacing w:before="240" w:after="120"/>
        <w:jc w:val="both"/>
        <w:rPr>
          <w:bCs/>
          <w:color w:val="0D0D0D" w:themeColor="text1" w:themeTint="F2"/>
        </w:rPr>
      </w:pPr>
      <w:r>
        <w:rPr>
          <w:bCs/>
          <w:color w:val="0D0D0D" w:themeColor="text1" w:themeTint="F2"/>
        </w:rPr>
        <w:t>(1) Ö</w:t>
      </w:r>
      <w:r w:rsidR="002518DF" w:rsidRPr="00813452">
        <w:rPr>
          <w:bCs/>
          <w:color w:val="0D0D0D" w:themeColor="text1" w:themeTint="F2"/>
        </w:rPr>
        <w:t>nlemin kalkması halinde soruşturma</w:t>
      </w:r>
      <w:r w:rsidR="00261136" w:rsidRPr="00813452">
        <w:rPr>
          <w:bCs/>
          <w:color w:val="0D0D0D" w:themeColor="text1" w:themeTint="F2"/>
        </w:rPr>
        <w:t xml:space="preserve"> konusu ülkenin davranışlarını göstermesi açısından önemli bir gösterge olarak hesaplanan muhtemel damping marjının CIF bedelin %</w:t>
      </w:r>
      <w:r w:rsidR="006B631F" w:rsidRPr="00813452">
        <w:rPr>
          <w:bCs/>
          <w:color w:val="0D0D0D" w:themeColor="text1" w:themeTint="F2"/>
        </w:rPr>
        <w:t>16,05’i</w:t>
      </w:r>
      <w:r w:rsidR="00261136" w:rsidRPr="00813452">
        <w:rPr>
          <w:bCs/>
          <w:color w:val="0D0D0D" w:themeColor="text1" w:themeTint="F2"/>
        </w:rPr>
        <w:t xml:space="preserve"> oranında olması,</w:t>
      </w:r>
      <w:r>
        <w:rPr>
          <w:bCs/>
          <w:color w:val="0D0D0D" w:themeColor="text1" w:themeTint="F2"/>
        </w:rPr>
        <w:t xml:space="preserve"> soruşturma konusu ülkenin söz konusu üründe dünya ihracatında değer bazında ikinci sırada miktar bazında ise ilk sırada yer aldığı ve </w:t>
      </w:r>
      <w:r w:rsidR="00261136" w:rsidRPr="00813452">
        <w:rPr>
          <w:bCs/>
          <w:color w:val="0D0D0D" w:themeColor="text1" w:themeTint="F2"/>
        </w:rPr>
        <w:t>Türkiye’ye yönlendirebileceği</w:t>
      </w:r>
      <w:r>
        <w:rPr>
          <w:bCs/>
          <w:color w:val="0D0D0D" w:themeColor="text1" w:themeTint="F2"/>
        </w:rPr>
        <w:t xml:space="preserve"> ciddi kapasitesinin bulunduğu, </w:t>
      </w:r>
      <w:r w:rsidR="00261136" w:rsidRPr="00813452">
        <w:rPr>
          <w:bCs/>
          <w:color w:val="0D0D0D" w:themeColor="text1" w:themeTint="F2"/>
        </w:rPr>
        <w:t>ÇHC’nin ihraç fiyatlarının diğer önemli tedarikçi ülkelerin alt</w:t>
      </w:r>
      <w:r>
        <w:rPr>
          <w:bCs/>
          <w:color w:val="0D0D0D" w:themeColor="text1" w:themeTint="F2"/>
        </w:rPr>
        <w:t xml:space="preserve">ında olduğu ve </w:t>
      </w:r>
      <w:r w:rsidR="00261136" w:rsidRPr="00813452">
        <w:rPr>
          <w:bCs/>
          <w:color w:val="0D0D0D" w:themeColor="text1" w:themeTint="F2"/>
        </w:rPr>
        <w:t>ÇHC’nin ihraç fiyatları ile Türkiye’nin ihraç fiyatları karşılaştırıldığında, ÇHC’nin ihraç fiyatlarının Türkiye’nin ih</w:t>
      </w:r>
      <w:r>
        <w:rPr>
          <w:bCs/>
          <w:color w:val="0D0D0D" w:themeColor="text1" w:themeTint="F2"/>
        </w:rPr>
        <w:t>raç fiyatlarının altında olduğu dolayısıyla f</w:t>
      </w:r>
      <w:r w:rsidR="00261136" w:rsidRPr="00813452">
        <w:rPr>
          <w:bCs/>
          <w:color w:val="0D0D0D" w:themeColor="text1" w:themeTint="F2"/>
        </w:rPr>
        <w:t>iyata duyarlı söz konusu ürün ithalatının büyük miktarlarda ve kolaylıkla Türkiye pazarına yönlendirilebileceği,</w:t>
      </w:r>
      <w:r>
        <w:rPr>
          <w:bCs/>
          <w:color w:val="0D0D0D" w:themeColor="text1" w:themeTint="F2"/>
        </w:rPr>
        <w:t xml:space="preserve"> </w:t>
      </w:r>
      <w:r w:rsidR="00261136" w:rsidRPr="00813452">
        <w:rPr>
          <w:bCs/>
          <w:color w:val="0D0D0D" w:themeColor="text1" w:themeTint="F2"/>
        </w:rPr>
        <w:t xml:space="preserve">Türkiye pazarının büyüklüğü ve ithalatçı ve ihracatçıların birbirlerini tanımaları nedeniyle Türkiye pazarının ÇHC için çekici bir pazar olduğu </w:t>
      </w:r>
      <w:r>
        <w:rPr>
          <w:bCs/>
          <w:color w:val="0D0D0D" w:themeColor="text1" w:themeTint="F2"/>
        </w:rPr>
        <w:t xml:space="preserve">düşünülmektedir. </w:t>
      </w:r>
    </w:p>
    <w:p w:rsidR="00BD5C5C" w:rsidRPr="00813452" w:rsidRDefault="00521EB7" w:rsidP="00A73D18">
      <w:pPr>
        <w:pStyle w:val="Default"/>
        <w:spacing w:before="240" w:after="120"/>
        <w:jc w:val="both"/>
        <w:rPr>
          <w:bCs/>
          <w:color w:val="0D0D0D" w:themeColor="text1" w:themeTint="F2"/>
        </w:rPr>
      </w:pPr>
      <w:r>
        <w:rPr>
          <w:bCs/>
          <w:color w:val="0D0D0D" w:themeColor="text1" w:themeTint="F2"/>
        </w:rPr>
        <w:t xml:space="preserve">(2) </w:t>
      </w:r>
      <w:r w:rsidR="00261136" w:rsidRPr="00813452">
        <w:rPr>
          <w:bCs/>
          <w:color w:val="0D0D0D" w:themeColor="text1" w:themeTint="F2"/>
        </w:rPr>
        <w:t>Bu bölümde incelenen hususların bir bütün olarak değerlendirilmesi neticesinde, mevcut önlemin yürürlükten kalkması durumunda, soruşturma konusu ülke menşeli şofben ithalatında dampingin devam etmesinin veya yeniden meydana gelmesinin muhtemel olduğu değerlendirilmektedir.</w:t>
      </w:r>
    </w:p>
    <w:p w:rsidR="000020A5" w:rsidRPr="00813452" w:rsidRDefault="00BD5C5C" w:rsidP="00A73D18">
      <w:pPr>
        <w:pStyle w:val="Balk1"/>
        <w:numPr>
          <w:ilvl w:val="0"/>
          <w:numId w:val="1"/>
        </w:numPr>
        <w:spacing w:after="120"/>
        <w:rPr>
          <w:rFonts w:ascii="Times New Roman" w:hAnsi="Times New Roman" w:cs="Times New Roman"/>
          <w:b/>
          <w:color w:val="auto"/>
          <w:sz w:val="24"/>
          <w:szCs w:val="24"/>
        </w:rPr>
      </w:pPr>
      <w:bookmarkStart w:id="24" w:name="_Toc23509684"/>
      <w:r w:rsidRPr="00813452">
        <w:rPr>
          <w:rFonts w:ascii="Times New Roman" w:hAnsi="Times New Roman" w:cs="Times New Roman"/>
          <w:b/>
          <w:color w:val="auto"/>
          <w:sz w:val="24"/>
          <w:szCs w:val="24"/>
        </w:rPr>
        <w:t>ZARARIN DEVAMI VEYA YENİDEN MEYDANA GELMESİ İHTİMALİ</w:t>
      </w:r>
      <w:bookmarkEnd w:id="24"/>
    </w:p>
    <w:p w:rsidR="000020A5" w:rsidRPr="00813452" w:rsidRDefault="00521EB7" w:rsidP="00A73D18">
      <w:pPr>
        <w:pStyle w:val="Balk2"/>
        <w:spacing w:before="240" w:after="120"/>
        <w:rPr>
          <w:rFonts w:ascii="Times New Roman" w:hAnsi="Times New Roman" w:cs="Times New Roman"/>
          <w:b/>
          <w:color w:val="auto"/>
          <w:sz w:val="24"/>
          <w:szCs w:val="24"/>
        </w:rPr>
      </w:pPr>
      <w:bookmarkStart w:id="25" w:name="_Toc23509685"/>
      <w:r>
        <w:rPr>
          <w:rFonts w:ascii="Times New Roman" w:hAnsi="Times New Roman" w:cs="Times New Roman"/>
          <w:b/>
          <w:color w:val="auto"/>
          <w:sz w:val="24"/>
          <w:szCs w:val="24"/>
        </w:rPr>
        <w:t>4.1 Genel a</w:t>
      </w:r>
      <w:r w:rsidR="000020A5" w:rsidRPr="00813452">
        <w:rPr>
          <w:rFonts w:ascii="Times New Roman" w:hAnsi="Times New Roman" w:cs="Times New Roman"/>
          <w:b/>
          <w:color w:val="auto"/>
          <w:sz w:val="24"/>
          <w:szCs w:val="24"/>
        </w:rPr>
        <w:t>çıklamalar</w:t>
      </w:r>
      <w:bookmarkEnd w:id="25"/>
    </w:p>
    <w:p w:rsidR="000020A5" w:rsidRPr="00813452" w:rsidRDefault="000020A5" w:rsidP="00A73D18">
      <w:pPr>
        <w:pStyle w:val="Default"/>
        <w:numPr>
          <w:ilvl w:val="0"/>
          <w:numId w:val="17"/>
        </w:numPr>
        <w:spacing w:before="240" w:after="120"/>
        <w:ind w:firstLine="0"/>
        <w:jc w:val="both"/>
        <w:rPr>
          <w:color w:val="0D0D0D" w:themeColor="text1" w:themeTint="F2"/>
        </w:rPr>
      </w:pPr>
      <w:r w:rsidRPr="00813452">
        <w:rPr>
          <w:color w:val="0D0D0D" w:themeColor="text1" w:themeTint="F2"/>
        </w:rPr>
        <w:t xml:space="preserve">Yönetmeliğin 35 inci maddesi çerçevesinde, gözden geçirme döneminde yerli üretim dalının ekonomik göstergeleri ve önlemlerin yürürlükten kalkması halinde zararın devam etmesinin veya yeniden meydana gelmesinin muhtemel olup olmadığı incelenmiştir. Bu kapsamda, ithalatın mutlak ve nispi olarak gelişimi, ithalat fiyatlarının gelişimi ile yerli üretim dalının ekonomik göstergeleri değerlendirilmiştir. </w:t>
      </w:r>
    </w:p>
    <w:p w:rsidR="000020A5" w:rsidRPr="00813452" w:rsidRDefault="000020A5" w:rsidP="00A73D18">
      <w:pPr>
        <w:pStyle w:val="Default"/>
        <w:numPr>
          <w:ilvl w:val="0"/>
          <w:numId w:val="17"/>
        </w:numPr>
        <w:spacing w:before="240" w:after="120"/>
        <w:ind w:firstLine="0"/>
        <w:jc w:val="both"/>
        <w:rPr>
          <w:color w:val="0D0D0D" w:themeColor="text1" w:themeTint="F2"/>
        </w:rPr>
      </w:pPr>
      <w:r w:rsidRPr="00813452">
        <w:rPr>
          <w:color w:val="0D0D0D" w:themeColor="text1" w:themeTint="F2"/>
        </w:rPr>
        <w:t>Soruşturma konusu ürünün genel ithalatı ve soruşturma konusu ülkelerden ithalatının incelenmesinde TÜİK verileri kullanılmıştır.</w:t>
      </w:r>
    </w:p>
    <w:p w:rsidR="000020A5" w:rsidRPr="00813452" w:rsidRDefault="000020A5" w:rsidP="00A73D18">
      <w:pPr>
        <w:pStyle w:val="Balk2"/>
        <w:numPr>
          <w:ilvl w:val="1"/>
          <w:numId w:val="1"/>
        </w:numPr>
        <w:spacing w:before="240" w:after="120"/>
        <w:rPr>
          <w:rFonts w:ascii="Times New Roman" w:hAnsi="Times New Roman" w:cs="Times New Roman"/>
          <w:b/>
          <w:color w:val="auto"/>
          <w:sz w:val="24"/>
          <w:szCs w:val="24"/>
        </w:rPr>
      </w:pPr>
      <w:bookmarkStart w:id="26" w:name="_Toc23509686"/>
      <w:r w:rsidRPr="00813452">
        <w:rPr>
          <w:rFonts w:ascii="Times New Roman" w:hAnsi="Times New Roman" w:cs="Times New Roman"/>
          <w:b/>
          <w:color w:val="auto"/>
          <w:sz w:val="24"/>
          <w:szCs w:val="24"/>
        </w:rPr>
        <w:t>Ürünün genel ithalatını</w:t>
      </w:r>
      <w:r w:rsidR="00187AEA" w:rsidRPr="00813452">
        <w:rPr>
          <w:rFonts w:ascii="Times New Roman" w:hAnsi="Times New Roman" w:cs="Times New Roman"/>
          <w:b/>
          <w:color w:val="auto"/>
          <w:sz w:val="24"/>
          <w:szCs w:val="24"/>
        </w:rPr>
        <w:t>n gelişimi ve fiyatları</w:t>
      </w:r>
      <w:bookmarkEnd w:id="26"/>
    </w:p>
    <w:p w:rsidR="000020A5" w:rsidRPr="00813452" w:rsidRDefault="000020A5" w:rsidP="00A73D18">
      <w:pPr>
        <w:pStyle w:val="Default"/>
        <w:spacing w:before="240" w:after="120"/>
        <w:jc w:val="both"/>
        <w:rPr>
          <w:color w:val="0D0D0D" w:themeColor="text1" w:themeTint="F2"/>
        </w:rPr>
      </w:pPr>
      <w:r w:rsidRPr="00813452">
        <w:rPr>
          <w:color w:val="0D0D0D" w:themeColor="text1" w:themeTint="F2"/>
        </w:rPr>
        <w:t xml:space="preserve">(1) Soruşturma konusu ürüne ilişkin genel ithalat istatistiklerine bakıldığında, ürünün 2016 yılında 1.155 adet olan ithalat miktarının 2017 yılında 289 adete ve 2018 yılında 67 adete gerilediği görülmektedir. </w:t>
      </w:r>
    </w:p>
    <w:p w:rsidR="000020A5" w:rsidRPr="00813452" w:rsidRDefault="000020A5" w:rsidP="00A73D18">
      <w:pPr>
        <w:pStyle w:val="Default"/>
        <w:spacing w:before="240" w:after="120"/>
        <w:jc w:val="both"/>
        <w:rPr>
          <w:color w:val="0D0D0D" w:themeColor="text1" w:themeTint="F2"/>
        </w:rPr>
      </w:pPr>
      <w:r w:rsidRPr="00813452">
        <w:rPr>
          <w:color w:val="0D0D0D" w:themeColor="text1" w:themeTint="F2"/>
        </w:rPr>
        <w:t xml:space="preserve">(2) Söz konusu ithalat değer bazında incelendiğinde 2016 yılında 192 bin ABD Doları, 2017 yılında 63 bin ABD Doları ve 2018 yılında 17 bin ABD Doları seviyesinde gerçekleştiği tespit edilmiştir. </w:t>
      </w:r>
    </w:p>
    <w:p w:rsidR="000020A5" w:rsidRPr="00813452" w:rsidRDefault="000020A5" w:rsidP="00A73D18">
      <w:pPr>
        <w:pStyle w:val="Default"/>
        <w:spacing w:before="240" w:after="120"/>
        <w:jc w:val="both"/>
        <w:rPr>
          <w:color w:val="0D0D0D" w:themeColor="text1" w:themeTint="F2"/>
        </w:rPr>
      </w:pPr>
      <w:r w:rsidRPr="00813452">
        <w:rPr>
          <w:color w:val="0D0D0D" w:themeColor="text1" w:themeTint="F2"/>
        </w:rPr>
        <w:t>(3) Yukarıdaki veriler çerçevesinde, ürün ithalatının ortalama birim fiyatları hesaplanmıştır. Buna göre, genel ithalatın ortalama birim fiyatları 2016-2018 yıllarında artış göstermiş ve sırasıyla 166,42 ABD Doları/Adet, 218,33 ABD Doları/Adet ve 257,88 ABD Doları/Adet olarak gerçekleşmiştir.</w:t>
      </w:r>
    </w:p>
    <w:p w:rsidR="000020A5" w:rsidRPr="00813452" w:rsidRDefault="000020A5" w:rsidP="00A73D18">
      <w:pPr>
        <w:pStyle w:val="Balk2"/>
        <w:numPr>
          <w:ilvl w:val="1"/>
          <w:numId w:val="1"/>
        </w:numPr>
        <w:spacing w:before="240" w:after="120"/>
        <w:rPr>
          <w:rFonts w:ascii="Times New Roman" w:hAnsi="Times New Roman" w:cs="Times New Roman"/>
          <w:b/>
          <w:color w:val="auto"/>
          <w:sz w:val="24"/>
          <w:szCs w:val="24"/>
        </w:rPr>
      </w:pPr>
      <w:bookmarkStart w:id="27" w:name="_Toc23509687"/>
      <w:r w:rsidRPr="00813452">
        <w:rPr>
          <w:rFonts w:ascii="Times New Roman" w:hAnsi="Times New Roman" w:cs="Times New Roman"/>
          <w:b/>
          <w:color w:val="auto"/>
          <w:sz w:val="24"/>
          <w:szCs w:val="24"/>
        </w:rPr>
        <w:lastRenderedPageBreak/>
        <w:t xml:space="preserve">Ürünün soruşturma konusu ülkeden ithalatının mutlak gelişimi ve fiyatları </w:t>
      </w:r>
      <w:bookmarkEnd w:id="27"/>
    </w:p>
    <w:p w:rsidR="000020A5" w:rsidRPr="00813452" w:rsidRDefault="000020A5" w:rsidP="00A73D18">
      <w:pPr>
        <w:pStyle w:val="Default"/>
        <w:spacing w:before="240" w:after="120"/>
        <w:jc w:val="both"/>
        <w:rPr>
          <w:color w:val="0D0D0D" w:themeColor="text1" w:themeTint="F2"/>
        </w:rPr>
      </w:pPr>
      <w:r w:rsidRPr="00813452">
        <w:rPr>
          <w:color w:val="0D0D0D" w:themeColor="text1" w:themeTint="F2"/>
        </w:rPr>
        <w:t xml:space="preserve">(1) ÇHC’den gerçekleşen önlem konusu ürün ithalatı, miktar bazında, 2016 yılında 945 adet olarak gerçekleşmiş, 2017 ve 2018 yıllarında ise 1 adete gerilemiştir. </w:t>
      </w:r>
    </w:p>
    <w:p w:rsidR="000020A5" w:rsidRPr="00813452" w:rsidRDefault="000020A5" w:rsidP="00A73D18">
      <w:pPr>
        <w:pStyle w:val="Default"/>
        <w:spacing w:before="240" w:after="120"/>
        <w:jc w:val="both"/>
        <w:rPr>
          <w:color w:val="0D0D0D" w:themeColor="text1" w:themeTint="F2"/>
        </w:rPr>
      </w:pPr>
      <w:r w:rsidRPr="00813452">
        <w:rPr>
          <w:color w:val="0D0D0D" w:themeColor="text1" w:themeTint="F2"/>
        </w:rPr>
        <w:t xml:space="preserve">(2) Söz konusu ithalat değer bazında incelendiğinde ise, 2016 yılında 79 bin ABD Doları seviyelerinde gerçekleşen ithalatın, 2017 yılında 475 ABD Doları’na, 2018 yılında ise 341 ABD Doları’na gerilediği görülmüştür. </w:t>
      </w:r>
    </w:p>
    <w:p w:rsidR="000020A5" w:rsidRPr="00813452" w:rsidRDefault="000020A5" w:rsidP="00A73D18">
      <w:pPr>
        <w:pStyle w:val="Default"/>
        <w:spacing w:before="240" w:after="120"/>
        <w:jc w:val="both"/>
        <w:rPr>
          <w:color w:val="0D0D0D" w:themeColor="text1" w:themeTint="F2"/>
        </w:rPr>
      </w:pPr>
      <w:r w:rsidRPr="00813452">
        <w:rPr>
          <w:color w:val="0D0D0D" w:themeColor="text1" w:themeTint="F2"/>
        </w:rPr>
        <w:t>(3) Bu çerçevede, önlem konusu ithalatın birim fiyatları incelendiğinde, incelenen 2016-2018 yıllarında, sırasıyla, 83,96 ABD Doları/Adet, 475 ABD Doları/Adet ve 341 ABD Dola</w:t>
      </w:r>
      <w:r w:rsidR="00123FF5" w:rsidRPr="00813452">
        <w:rPr>
          <w:color w:val="0D0D0D" w:themeColor="text1" w:themeTint="F2"/>
        </w:rPr>
        <w:t>rı/Adet olarak gerçekleşmiştir.</w:t>
      </w:r>
    </w:p>
    <w:p w:rsidR="00BD5C5C" w:rsidRPr="00813452" w:rsidRDefault="000020A5" w:rsidP="00A73D18">
      <w:pPr>
        <w:pStyle w:val="Default"/>
        <w:spacing w:before="240" w:after="120"/>
        <w:jc w:val="both"/>
        <w:rPr>
          <w:color w:val="0D0D0D" w:themeColor="text1" w:themeTint="F2"/>
        </w:rPr>
      </w:pPr>
      <w:r w:rsidRPr="00813452">
        <w:rPr>
          <w:color w:val="0D0D0D" w:themeColor="text1" w:themeTint="F2"/>
        </w:rPr>
        <w:t>(4) Önlem konusu ithalatın genel ithalat içindeki payı incelendiğinde, 2016 yılında miktar bazında ÇHC’nin payının %81,82 olarak gerçekleştiği, 2017 yılında %0,35’e gerilediği, 2018 yılında ise %1,49 seviyesinde gerçekleştiği görülmektedir.</w:t>
      </w:r>
    </w:p>
    <w:p w:rsidR="000020A5" w:rsidRPr="00813452" w:rsidRDefault="000020A5" w:rsidP="00A73D18">
      <w:pPr>
        <w:pStyle w:val="Balk2"/>
        <w:numPr>
          <w:ilvl w:val="1"/>
          <w:numId w:val="1"/>
        </w:numPr>
        <w:spacing w:before="240" w:after="120"/>
        <w:rPr>
          <w:rFonts w:ascii="Times New Roman" w:hAnsi="Times New Roman" w:cs="Times New Roman"/>
          <w:b/>
          <w:color w:val="auto"/>
          <w:sz w:val="24"/>
          <w:szCs w:val="24"/>
        </w:rPr>
      </w:pPr>
      <w:bookmarkStart w:id="28" w:name="_Toc23509688"/>
      <w:r w:rsidRPr="00813452">
        <w:rPr>
          <w:rFonts w:ascii="Times New Roman" w:hAnsi="Times New Roman" w:cs="Times New Roman"/>
          <w:b/>
          <w:color w:val="auto"/>
          <w:sz w:val="24"/>
          <w:szCs w:val="24"/>
        </w:rPr>
        <w:t xml:space="preserve">Ürünün diğer ülkelerden ithalatının mutlak gelişimi ve fiyatları </w:t>
      </w:r>
      <w:bookmarkEnd w:id="28"/>
    </w:p>
    <w:p w:rsidR="000020A5" w:rsidRPr="00813452" w:rsidRDefault="000020A5" w:rsidP="00A73D18">
      <w:pPr>
        <w:pStyle w:val="Default"/>
        <w:spacing w:before="240" w:after="120"/>
        <w:jc w:val="both"/>
        <w:rPr>
          <w:color w:val="0D0D0D" w:themeColor="text1" w:themeTint="F2"/>
        </w:rPr>
      </w:pPr>
      <w:r w:rsidRPr="00813452">
        <w:rPr>
          <w:color w:val="0D0D0D" w:themeColor="text1" w:themeTint="F2"/>
        </w:rPr>
        <w:t xml:space="preserve">(1) Önlem konusu ürünün diğer ülkelerden ithalatı 2016 yılında 210 adet olarak gerçekleşmiş, 2017 yılında 288 adete yükselmiş, 2018 yılında ise 66 adete gerilemiştir. </w:t>
      </w:r>
    </w:p>
    <w:p w:rsidR="000020A5" w:rsidRPr="00813452" w:rsidRDefault="000020A5" w:rsidP="00A73D18">
      <w:pPr>
        <w:pStyle w:val="Default"/>
        <w:spacing w:before="240" w:after="120"/>
        <w:jc w:val="both"/>
        <w:rPr>
          <w:color w:val="0D0D0D" w:themeColor="text1" w:themeTint="F2"/>
        </w:rPr>
      </w:pPr>
      <w:r w:rsidRPr="00813452">
        <w:rPr>
          <w:color w:val="0D0D0D" w:themeColor="text1" w:themeTint="F2"/>
        </w:rPr>
        <w:t>(2) Diğer ülkelerden gerçekleşen ithalat değer bazında incelendiğinde ise, 2016 yılında 112 bin ABD doları seviyesinde gerçekleşen ithalatın 2017 yılında 62 bin ABD Dolarına, 2018 yılında ise 16 bin ABD Doları’na gerilediği görülmektedir.</w:t>
      </w:r>
    </w:p>
    <w:p w:rsidR="000020A5" w:rsidRPr="00813452" w:rsidRDefault="000020A5" w:rsidP="00A73D18">
      <w:pPr>
        <w:pStyle w:val="Default"/>
        <w:spacing w:before="240" w:after="120"/>
        <w:jc w:val="both"/>
        <w:rPr>
          <w:color w:val="0D0D0D" w:themeColor="text1" w:themeTint="F2"/>
        </w:rPr>
      </w:pPr>
      <w:r w:rsidRPr="00813452">
        <w:rPr>
          <w:color w:val="0D0D0D" w:themeColor="text1" w:themeTint="F2"/>
        </w:rPr>
        <w:t xml:space="preserve">(3) Söz konusu ithalatın ortalama birim fiyatları, incelenen yıllar itibariyle sırasıyla 537 ABD Doları/Adet, 217 ABD Doları/Adet ve 256 ABD Doları/Adet olarak gerçekleşmiştir. </w:t>
      </w:r>
    </w:p>
    <w:p w:rsidR="000020A5" w:rsidRPr="00813452" w:rsidRDefault="000020A5" w:rsidP="00A73D18">
      <w:pPr>
        <w:pStyle w:val="Default"/>
        <w:spacing w:before="240" w:after="120"/>
        <w:jc w:val="both"/>
        <w:rPr>
          <w:color w:val="0D0D0D" w:themeColor="text1" w:themeTint="F2"/>
        </w:rPr>
      </w:pPr>
      <w:r w:rsidRPr="00813452">
        <w:rPr>
          <w:color w:val="0D0D0D" w:themeColor="text1" w:themeTint="F2"/>
        </w:rPr>
        <w:t>(4) ÇHC harici ülkelerin gerçekleşen ithalattaki miktar bazında payı ise, incelenen yıllar itibariyle, sırasıyla, %</w:t>
      </w:r>
      <w:r w:rsidR="00A625BC" w:rsidRPr="00813452">
        <w:rPr>
          <w:color w:val="0D0D0D" w:themeColor="text1" w:themeTint="F2"/>
        </w:rPr>
        <w:t>18,18</w:t>
      </w:r>
      <w:r w:rsidR="00123FF5" w:rsidRPr="00813452">
        <w:rPr>
          <w:color w:val="0D0D0D" w:themeColor="text1" w:themeTint="F2"/>
        </w:rPr>
        <w:t>, %</w:t>
      </w:r>
      <w:r w:rsidR="00A625BC" w:rsidRPr="00813452">
        <w:rPr>
          <w:color w:val="0D0D0D" w:themeColor="text1" w:themeTint="F2"/>
        </w:rPr>
        <w:t>99,65</w:t>
      </w:r>
      <w:r w:rsidR="00123FF5" w:rsidRPr="00813452">
        <w:rPr>
          <w:color w:val="0D0D0D" w:themeColor="text1" w:themeTint="F2"/>
        </w:rPr>
        <w:t xml:space="preserve"> ve %</w:t>
      </w:r>
      <w:r w:rsidR="00A625BC" w:rsidRPr="00813452">
        <w:rPr>
          <w:color w:val="0D0D0D" w:themeColor="text1" w:themeTint="F2"/>
        </w:rPr>
        <w:t>98,51</w:t>
      </w:r>
      <w:r w:rsidRPr="00813452">
        <w:rPr>
          <w:color w:val="0D0D0D" w:themeColor="text1" w:themeTint="F2"/>
        </w:rPr>
        <w:t xml:space="preserve"> olarak gerçekleşmiştir.</w:t>
      </w:r>
    </w:p>
    <w:p w:rsidR="000C57CA" w:rsidRPr="00813452" w:rsidRDefault="000C57CA" w:rsidP="00A73D18">
      <w:pPr>
        <w:pStyle w:val="Balk2"/>
        <w:numPr>
          <w:ilvl w:val="1"/>
          <w:numId w:val="1"/>
        </w:numPr>
        <w:spacing w:before="240" w:after="120"/>
        <w:rPr>
          <w:rFonts w:ascii="Times New Roman" w:hAnsi="Times New Roman" w:cs="Times New Roman"/>
          <w:b/>
          <w:color w:val="auto"/>
          <w:sz w:val="24"/>
          <w:szCs w:val="24"/>
        </w:rPr>
      </w:pPr>
      <w:bookmarkStart w:id="29" w:name="_Toc23509689"/>
      <w:r w:rsidRPr="00813452">
        <w:rPr>
          <w:rFonts w:ascii="Times New Roman" w:hAnsi="Times New Roman" w:cs="Times New Roman"/>
          <w:b/>
          <w:color w:val="auto"/>
          <w:sz w:val="24"/>
          <w:szCs w:val="24"/>
        </w:rPr>
        <w:t xml:space="preserve">İthalatın nispi gelişimi </w:t>
      </w:r>
      <w:bookmarkEnd w:id="29"/>
    </w:p>
    <w:p w:rsidR="000C57CA" w:rsidRPr="00813452" w:rsidRDefault="000C57CA" w:rsidP="00A73D18">
      <w:pPr>
        <w:pStyle w:val="Default"/>
        <w:spacing w:before="240" w:after="120"/>
        <w:jc w:val="both"/>
        <w:rPr>
          <w:color w:val="0D0D0D" w:themeColor="text1" w:themeTint="F2"/>
        </w:rPr>
      </w:pPr>
      <w:r w:rsidRPr="00813452">
        <w:rPr>
          <w:color w:val="0D0D0D" w:themeColor="text1" w:themeTint="F2"/>
        </w:rPr>
        <w:t xml:space="preserve">(1) Önlem konusu ürünün Türkiye toplam benzer mal tüketimi içindeki payı hesaplanırken, başvuru sahibi yerli üretici ve başvuruyu destekleyen yerli üreticilerin </w:t>
      </w:r>
      <w:r w:rsidR="000A0FB2" w:rsidRPr="00813452">
        <w:rPr>
          <w:color w:val="0D0D0D" w:themeColor="text1" w:themeTint="F2"/>
        </w:rPr>
        <w:t xml:space="preserve">ve soruşturma sürecinde soruşturmayı desteklediğini bildiren diğer yerli üreticilerin </w:t>
      </w:r>
      <w:r w:rsidRPr="00813452">
        <w:rPr>
          <w:color w:val="0D0D0D" w:themeColor="text1" w:themeTint="F2"/>
        </w:rPr>
        <w:t xml:space="preserve">yurt içi satışları ile genel ithalat miktarı toplanmıştır. Yerli üretim dalının yurt içi satışlarının ve önlem konusu ülkeden gerçekleştirilen ithalatın toplam tüketime oranlanmasıyla pazar payları hesaplanmıştır. İncelenen veriler 2016 yılı=100 olacak şekilde endekslenmiştir. </w:t>
      </w:r>
    </w:p>
    <w:p w:rsidR="000C57CA" w:rsidRPr="00813452" w:rsidRDefault="000C57CA" w:rsidP="00A73D18">
      <w:pPr>
        <w:pStyle w:val="Default"/>
        <w:spacing w:before="240" w:after="120"/>
        <w:jc w:val="both"/>
        <w:rPr>
          <w:color w:val="0D0D0D" w:themeColor="text1" w:themeTint="F2"/>
        </w:rPr>
      </w:pPr>
      <w:r w:rsidRPr="00813452">
        <w:rPr>
          <w:color w:val="0D0D0D" w:themeColor="text1" w:themeTint="F2"/>
        </w:rPr>
        <w:t xml:space="preserve">(2) Bu çerçevede, yurt içi tüketim incelenen dönemde dalgalı bir seyir izlemiş; 2016-2018 yıllarında sırasıyla </w:t>
      </w:r>
      <w:r w:rsidR="000A0FB2" w:rsidRPr="00813452">
        <w:rPr>
          <w:color w:val="0D0D0D" w:themeColor="text1" w:themeTint="F2"/>
        </w:rPr>
        <w:t>100 birim, 115 birim ve 97 birim</w:t>
      </w:r>
      <w:r w:rsidRPr="00813452">
        <w:rPr>
          <w:color w:val="0D0D0D" w:themeColor="text1" w:themeTint="F2"/>
        </w:rPr>
        <w:t xml:space="preserve"> olarak gerçekleşmiştir. </w:t>
      </w:r>
    </w:p>
    <w:p w:rsidR="000C57CA" w:rsidRPr="00813452" w:rsidRDefault="000C57CA" w:rsidP="00A73D18">
      <w:pPr>
        <w:pStyle w:val="Default"/>
        <w:spacing w:before="240" w:after="120"/>
        <w:jc w:val="both"/>
        <w:rPr>
          <w:color w:val="0D0D0D" w:themeColor="text1" w:themeTint="F2"/>
        </w:rPr>
      </w:pPr>
      <w:r w:rsidRPr="00813452">
        <w:rPr>
          <w:color w:val="0D0D0D" w:themeColor="text1" w:themeTint="F2"/>
        </w:rPr>
        <w:t>(3) Yerli üreticilerin (başvuru sahibi firma ve destekleyen firmaların) Türkiye tüketiminden aldıkları pay ise, incelenen dönemde, sırasıyl</w:t>
      </w:r>
      <w:r w:rsidR="000A0FB2" w:rsidRPr="00813452">
        <w:rPr>
          <w:color w:val="0D0D0D" w:themeColor="text1" w:themeTint="F2"/>
        </w:rPr>
        <w:t xml:space="preserve">a, 100 birim, 101 birim ve 101 birim </w:t>
      </w:r>
      <w:r w:rsidRPr="00813452">
        <w:rPr>
          <w:color w:val="0D0D0D" w:themeColor="text1" w:themeTint="F2"/>
        </w:rPr>
        <w:t>olarak gerçekleşmiştir.</w:t>
      </w:r>
    </w:p>
    <w:p w:rsidR="000C57CA" w:rsidRPr="00813452" w:rsidRDefault="000A0FB2" w:rsidP="00A73D18">
      <w:pPr>
        <w:pStyle w:val="Default"/>
        <w:spacing w:before="240" w:after="120"/>
        <w:jc w:val="both"/>
        <w:rPr>
          <w:color w:val="0D0D0D" w:themeColor="text1" w:themeTint="F2"/>
        </w:rPr>
      </w:pPr>
      <w:r w:rsidRPr="00813452">
        <w:rPr>
          <w:color w:val="0D0D0D" w:themeColor="text1" w:themeTint="F2"/>
        </w:rPr>
        <w:lastRenderedPageBreak/>
        <w:t>(4) Soruşturma</w:t>
      </w:r>
      <w:r w:rsidR="000C57CA" w:rsidRPr="00813452">
        <w:rPr>
          <w:color w:val="0D0D0D" w:themeColor="text1" w:themeTint="F2"/>
        </w:rPr>
        <w:t xml:space="preserve"> konusu ülke menşeli ithalatın pazar payı ise, incelenen dönemde, sırasıyla, </w:t>
      </w:r>
      <w:r w:rsidRPr="00813452">
        <w:rPr>
          <w:color w:val="0D0D0D" w:themeColor="text1" w:themeTint="F2"/>
        </w:rPr>
        <w:t>100 birim, 0</w:t>
      </w:r>
      <w:r w:rsidR="00EC2BB6" w:rsidRPr="00813452">
        <w:rPr>
          <w:color w:val="0D0D0D" w:themeColor="text1" w:themeTint="F2"/>
        </w:rPr>
        <w:t>,1</w:t>
      </w:r>
      <w:r w:rsidRPr="00813452">
        <w:rPr>
          <w:color w:val="0D0D0D" w:themeColor="text1" w:themeTint="F2"/>
        </w:rPr>
        <w:t xml:space="preserve"> birim ve 0</w:t>
      </w:r>
      <w:r w:rsidR="00EC2BB6" w:rsidRPr="00813452">
        <w:rPr>
          <w:color w:val="0D0D0D" w:themeColor="text1" w:themeTint="F2"/>
        </w:rPr>
        <w:t>,1</w:t>
      </w:r>
      <w:r w:rsidRPr="00813452">
        <w:rPr>
          <w:color w:val="0D0D0D" w:themeColor="text1" w:themeTint="F2"/>
        </w:rPr>
        <w:t xml:space="preserve"> birim </w:t>
      </w:r>
      <w:r w:rsidR="000C57CA" w:rsidRPr="00813452">
        <w:rPr>
          <w:color w:val="0D0D0D" w:themeColor="text1" w:themeTint="F2"/>
        </w:rPr>
        <w:t>olarak gerçekleşmiştir.</w:t>
      </w:r>
    </w:p>
    <w:p w:rsidR="000C57CA" w:rsidRPr="00813452" w:rsidRDefault="000C57CA" w:rsidP="00A73D18">
      <w:pPr>
        <w:pStyle w:val="Default"/>
        <w:spacing w:before="240" w:after="120"/>
        <w:jc w:val="both"/>
        <w:rPr>
          <w:color w:val="0D0D0D" w:themeColor="text1" w:themeTint="F2"/>
        </w:rPr>
      </w:pPr>
      <w:r w:rsidRPr="00813452">
        <w:rPr>
          <w:color w:val="0D0D0D" w:themeColor="text1" w:themeTint="F2"/>
        </w:rPr>
        <w:t>(5) Diğer ülkeler menşeli ithalatın pazar payı ise, 2016-2018 yıllarında sır</w:t>
      </w:r>
      <w:r w:rsidR="00992C2A" w:rsidRPr="00813452">
        <w:rPr>
          <w:color w:val="0D0D0D" w:themeColor="text1" w:themeTint="F2"/>
        </w:rPr>
        <w:t xml:space="preserve">asıyla 100 birim, 119 </w:t>
      </w:r>
      <w:r w:rsidR="000A0FB2" w:rsidRPr="00813452">
        <w:rPr>
          <w:color w:val="0D0D0D" w:themeColor="text1" w:themeTint="F2"/>
        </w:rPr>
        <w:t>birim ve 3</w:t>
      </w:r>
      <w:r w:rsidR="00992C2A" w:rsidRPr="00813452">
        <w:rPr>
          <w:color w:val="0D0D0D" w:themeColor="text1" w:themeTint="F2"/>
        </w:rPr>
        <w:t>2</w:t>
      </w:r>
      <w:r w:rsidR="000A0FB2" w:rsidRPr="00813452">
        <w:rPr>
          <w:color w:val="0D0D0D" w:themeColor="text1" w:themeTint="F2"/>
        </w:rPr>
        <w:t xml:space="preserve"> birim </w:t>
      </w:r>
      <w:r w:rsidRPr="00813452">
        <w:rPr>
          <w:color w:val="0D0D0D" w:themeColor="text1" w:themeTint="F2"/>
        </w:rPr>
        <w:t>olarak gerçekleşmiştir.</w:t>
      </w:r>
    </w:p>
    <w:p w:rsidR="000C57CA" w:rsidRPr="00813452" w:rsidRDefault="000C57CA" w:rsidP="00A73D18">
      <w:pPr>
        <w:pStyle w:val="Default"/>
        <w:spacing w:before="240" w:after="120"/>
        <w:jc w:val="both"/>
        <w:rPr>
          <w:color w:val="0D0D0D" w:themeColor="text1" w:themeTint="F2"/>
        </w:rPr>
      </w:pPr>
      <w:r w:rsidRPr="00813452">
        <w:rPr>
          <w:color w:val="0D0D0D" w:themeColor="text1" w:themeTint="F2"/>
        </w:rPr>
        <w:t xml:space="preserve">(6) </w:t>
      </w:r>
      <w:r w:rsidR="000A0FB2" w:rsidRPr="00813452">
        <w:rPr>
          <w:color w:val="0D0D0D" w:themeColor="text1" w:themeTint="F2"/>
        </w:rPr>
        <w:t>Yerli üretim dalının</w:t>
      </w:r>
      <w:r w:rsidRPr="00813452">
        <w:rPr>
          <w:color w:val="0D0D0D" w:themeColor="text1" w:themeTint="F2"/>
        </w:rPr>
        <w:t xml:space="preserve"> pazar payı ise, 2016 yılında </w:t>
      </w:r>
      <w:r w:rsidR="000A0FB2" w:rsidRPr="00813452">
        <w:rPr>
          <w:color w:val="0D0D0D" w:themeColor="text1" w:themeTint="F2"/>
        </w:rPr>
        <w:t>100 birim, 2017 yılında 104 birim ve 2018 yılında 98 birim</w:t>
      </w:r>
      <w:r w:rsidRPr="00813452">
        <w:rPr>
          <w:color w:val="0D0D0D" w:themeColor="text1" w:themeTint="F2"/>
        </w:rPr>
        <w:t xml:space="preserve"> olarak gerçekleşmiştir. </w:t>
      </w:r>
    </w:p>
    <w:p w:rsidR="000C57CA" w:rsidRPr="00813452" w:rsidRDefault="000C57CA" w:rsidP="00A73D18">
      <w:pPr>
        <w:pStyle w:val="Balk2"/>
        <w:numPr>
          <w:ilvl w:val="1"/>
          <w:numId w:val="1"/>
        </w:numPr>
        <w:spacing w:before="240" w:after="120"/>
        <w:rPr>
          <w:rFonts w:ascii="Times New Roman" w:hAnsi="Times New Roman" w:cs="Times New Roman"/>
          <w:b/>
          <w:color w:val="auto"/>
          <w:sz w:val="24"/>
          <w:szCs w:val="24"/>
        </w:rPr>
      </w:pPr>
      <w:bookmarkStart w:id="30" w:name="_Toc23509690"/>
      <w:r w:rsidRPr="00813452">
        <w:rPr>
          <w:rFonts w:ascii="Times New Roman" w:hAnsi="Times New Roman" w:cs="Times New Roman"/>
          <w:b/>
          <w:color w:val="auto"/>
          <w:sz w:val="24"/>
          <w:szCs w:val="24"/>
        </w:rPr>
        <w:t>Fiyat kırılması ve baskısı</w:t>
      </w:r>
      <w:r w:rsidR="00FC0E36" w:rsidRPr="00813452">
        <w:rPr>
          <w:rFonts w:ascii="Times New Roman" w:hAnsi="Times New Roman" w:cs="Times New Roman"/>
          <w:b/>
          <w:color w:val="auto"/>
          <w:sz w:val="24"/>
          <w:szCs w:val="24"/>
        </w:rPr>
        <w:t xml:space="preserve"> </w:t>
      </w:r>
      <w:bookmarkEnd w:id="30"/>
    </w:p>
    <w:p w:rsidR="000C57CA" w:rsidRPr="00813452" w:rsidRDefault="000C57CA" w:rsidP="00A73D18">
      <w:pPr>
        <w:pStyle w:val="Default"/>
        <w:spacing w:before="240" w:after="120"/>
        <w:jc w:val="both"/>
        <w:rPr>
          <w:color w:val="0D0D0D" w:themeColor="text1" w:themeTint="F2"/>
        </w:rPr>
      </w:pPr>
      <w:r w:rsidRPr="00813452">
        <w:rPr>
          <w:color w:val="0D0D0D" w:themeColor="text1" w:themeTint="F2"/>
        </w:rPr>
        <w:t xml:space="preserve">(1) Yönetmeliğin 17 nci maddesinin ilgili hükümleri çerçevesinde, dampingli olduğu iddia edilen ithalatın yerli üretim dalının yurt içi satış fiyatları üzerindeki etkisi değerlendirilirken fiyat kırılması ve fiyat baskısı incelenmiştir. </w:t>
      </w:r>
    </w:p>
    <w:p w:rsidR="000C57CA" w:rsidRPr="00813452" w:rsidRDefault="000C57CA" w:rsidP="00A73D18">
      <w:pPr>
        <w:pStyle w:val="Default"/>
        <w:spacing w:before="240" w:after="120"/>
        <w:jc w:val="both"/>
        <w:rPr>
          <w:color w:val="0D0D0D" w:themeColor="text1" w:themeTint="F2"/>
        </w:rPr>
      </w:pPr>
      <w:r w:rsidRPr="00813452">
        <w:rPr>
          <w:color w:val="0D0D0D" w:themeColor="text1" w:themeTint="F2"/>
        </w:rPr>
        <w:t xml:space="preserve">(2) Fiyat kırılması, soruşturma konusu ithal ürün fiyatlarının Türkiye piyasasında yerli üretim dalının yurt içi birim satış fiyatlarının yüzde olarak ne kadar altında kaldığını göstermektedir. Fiyat baskısı ise yerli üretim dalının fiyatlarının dampingli olduğu öne sürülen ithalat sebebiyle baskı altında bulunması ve yerli üreticinin fiyatlarını makul kâr elde edecek şekilde belirleyememesi durumunu ifade etmektedir. </w:t>
      </w:r>
    </w:p>
    <w:p w:rsidR="000C57CA" w:rsidRPr="00813452" w:rsidRDefault="000C57CA" w:rsidP="00A73D18">
      <w:pPr>
        <w:pStyle w:val="Default"/>
        <w:spacing w:before="240" w:after="120"/>
        <w:jc w:val="both"/>
        <w:rPr>
          <w:color w:val="0D0D0D" w:themeColor="text1" w:themeTint="F2"/>
        </w:rPr>
      </w:pPr>
      <w:r w:rsidRPr="00813452">
        <w:rPr>
          <w:color w:val="0D0D0D" w:themeColor="text1" w:themeTint="F2"/>
        </w:rPr>
        <w:t xml:space="preserve">(3) Fiyat kırılması hesap edilirken, yerli üretim dalının yıllık ortalama yurt içi birim satış fiyatı ve fiyat baskısı hesap edilirken yerli üretim dalının olması gereken yurt içi birim satış fiyatı kullanılmıştır. </w:t>
      </w:r>
    </w:p>
    <w:p w:rsidR="009C5199" w:rsidRPr="00813452" w:rsidRDefault="000C57CA" w:rsidP="00A73D18">
      <w:pPr>
        <w:spacing w:before="240" w:after="120"/>
        <w:jc w:val="both"/>
        <w:rPr>
          <w:rFonts w:ascii="Times New Roman" w:eastAsia="Times New Roman" w:hAnsi="Times New Roman" w:cs="Times New Roman"/>
          <w:color w:val="0D0D0D" w:themeColor="text1" w:themeTint="F2"/>
          <w:sz w:val="24"/>
          <w:szCs w:val="24"/>
          <w:lang w:eastAsia="tr-TR"/>
        </w:rPr>
      </w:pPr>
      <w:r w:rsidRPr="00813452">
        <w:rPr>
          <w:rFonts w:ascii="Times New Roman" w:eastAsia="Times New Roman" w:hAnsi="Times New Roman" w:cs="Times New Roman"/>
          <w:color w:val="0D0D0D" w:themeColor="text1" w:themeTint="F2"/>
          <w:sz w:val="24"/>
          <w:szCs w:val="24"/>
          <w:lang w:eastAsia="tr-TR"/>
        </w:rPr>
        <w:t>(4) Soruşturma konusu ülkeden gerçekleştirilen ithalatın yerli üretim dalının fiyatlarını ne ölçüde kırdığı ve baskıladığı incelenirken, önlemin etkisi ile ithalatın durma noktasına gelmiş olması nedeniyle, gerçekleşen ithalat birim fiyatları kullanılmamış</w:t>
      </w:r>
      <w:r w:rsidR="006B631F" w:rsidRPr="00813452">
        <w:rPr>
          <w:rFonts w:ascii="Times New Roman" w:eastAsia="Times New Roman" w:hAnsi="Times New Roman" w:cs="Times New Roman"/>
          <w:color w:val="0D0D0D" w:themeColor="text1" w:themeTint="F2"/>
          <w:sz w:val="24"/>
          <w:szCs w:val="24"/>
          <w:lang w:eastAsia="tr-TR"/>
        </w:rPr>
        <w:t xml:space="preserve">tır. </w:t>
      </w:r>
    </w:p>
    <w:p w:rsidR="000C57CA" w:rsidRPr="00813452" w:rsidRDefault="009C5199" w:rsidP="00A73D18">
      <w:pPr>
        <w:spacing w:before="240" w:after="120"/>
        <w:jc w:val="both"/>
        <w:rPr>
          <w:rFonts w:ascii="Times New Roman" w:eastAsia="Times New Roman" w:hAnsi="Times New Roman" w:cs="Times New Roman"/>
          <w:color w:val="0D0D0D" w:themeColor="text1" w:themeTint="F2"/>
          <w:sz w:val="24"/>
          <w:szCs w:val="24"/>
          <w:lang w:eastAsia="tr-TR"/>
        </w:rPr>
      </w:pPr>
      <w:r w:rsidRPr="00813452">
        <w:rPr>
          <w:rFonts w:ascii="Times New Roman" w:eastAsia="Times New Roman" w:hAnsi="Times New Roman" w:cs="Times New Roman"/>
          <w:color w:val="0D0D0D" w:themeColor="text1" w:themeTint="F2"/>
          <w:sz w:val="24"/>
          <w:szCs w:val="24"/>
          <w:lang w:eastAsia="tr-TR"/>
        </w:rPr>
        <w:t xml:space="preserve">(5) </w:t>
      </w:r>
      <w:r w:rsidR="00ED2EAC" w:rsidRPr="00813452">
        <w:rPr>
          <w:rFonts w:ascii="Times New Roman" w:eastAsia="Times New Roman" w:hAnsi="Times New Roman" w:cs="Times New Roman"/>
          <w:color w:val="0D0D0D" w:themeColor="text1" w:themeTint="F2"/>
          <w:sz w:val="24"/>
          <w:szCs w:val="24"/>
          <w:lang w:eastAsia="tr-TR"/>
        </w:rPr>
        <w:t>Önlemin kalkması durumunda gerçekleşebilecek muhtemel ithalat</w:t>
      </w:r>
      <w:r w:rsidR="00521EB7">
        <w:rPr>
          <w:rFonts w:ascii="Times New Roman" w:eastAsia="Times New Roman" w:hAnsi="Times New Roman" w:cs="Times New Roman"/>
          <w:color w:val="0D0D0D" w:themeColor="text1" w:themeTint="F2"/>
          <w:sz w:val="24"/>
          <w:szCs w:val="24"/>
          <w:lang w:eastAsia="tr-TR"/>
        </w:rPr>
        <w:t>ın fiyatı</w:t>
      </w:r>
      <w:r w:rsidR="00ED2EAC" w:rsidRPr="00813452">
        <w:rPr>
          <w:rFonts w:ascii="Times New Roman" w:eastAsia="Times New Roman" w:hAnsi="Times New Roman" w:cs="Times New Roman"/>
          <w:color w:val="0D0D0D" w:themeColor="text1" w:themeTint="F2"/>
          <w:sz w:val="24"/>
          <w:szCs w:val="24"/>
          <w:lang w:eastAsia="tr-TR"/>
        </w:rPr>
        <w:t xml:space="preserve"> araştırılırken, ITC verilerinde</w:t>
      </w:r>
      <w:r w:rsidR="00FC0E36" w:rsidRPr="00813452">
        <w:rPr>
          <w:rFonts w:ascii="Times New Roman" w:eastAsia="Times New Roman" w:hAnsi="Times New Roman" w:cs="Times New Roman"/>
          <w:color w:val="0D0D0D" w:themeColor="text1" w:themeTint="F2"/>
          <w:sz w:val="24"/>
          <w:szCs w:val="24"/>
          <w:lang w:eastAsia="tr-TR"/>
        </w:rPr>
        <w:t>n elde edilen</w:t>
      </w:r>
      <w:r w:rsidR="00ED2EAC" w:rsidRPr="00813452">
        <w:rPr>
          <w:rFonts w:ascii="Times New Roman" w:eastAsia="Times New Roman" w:hAnsi="Times New Roman" w:cs="Times New Roman"/>
          <w:color w:val="0D0D0D" w:themeColor="text1" w:themeTint="F2"/>
          <w:sz w:val="24"/>
          <w:szCs w:val="24"/>
          <w:lang w:eastAsia="tr-TR"/>
        </w:rPr>
        <w:t xml:space="preserve"> ÇHC’nin dünyaya ortalama ihracat </w:t>
      </w:r>
      <w:r w:rsidRPr="00813452">
        <w:rPr>
          <w:rFonts w:ascii="Times New Roman" w:eastAsia="Times New Roman" w:hAnsi="Times New Roman" w:cs="Times New Roman"/>
          <w:color w:val="0D0D0D" w:themeColor="text1" w:themeTint="F2"/>
          <w:sz w:val="24"/>
          <w:szCs w:val="24"/>
          <w:lang w:eastAsia="tr-TR"/>
        </w:rPr>
        <w:t>birim fiyatları incelenmiştir. Bu çerçevede, ÇHC’nin dünya ihracat birim fiyatlarının ülkeler bazında değişiklik gösterdiği görülmüş olup en yüksek ve en düşük birim fiyatlar hesaplamalarda kullanılmamış; ÇHC’nin üçüncü ülkelere ihracat birim fiyatı kullanılmıştır. Bu çerçevede;</w:t>
      </w:r>
      <w:r w:rsidR="00FC0E36" w:rsidRPr="00813452">
        <w:rPr>
          <w:rFonts w:ascii="Times New Roman" w:eastAsia="Times New Roman" w:hAnsi="Times New Roman" w:cs="Times New Roman"/>
          <w:color w:val="0D0D0D" w:themeColor="text1" w:themeTint="F2"/>
          <w:sz w:val="24"/>
          <w:szCs w:val="24"/>
          <w:lang w:eastAsia="tr-TR"/>
        </w:rPr>
        <w:t xml:space="preserve"> </w:t>
      </w:r>
      <w:r w:rsidR="00ED2EAC" w:rsidRPr="00813452">
        <w:rPr>
          <w:rFonts w:ascii="Times New Roman" w:eastAsia="Times New Roman" w:hAnsi="Times New Roman" w:cs="Times New Roman"/>
          <w:color w:val="0D0D0D" w:themeColor="text1" w:themeTint="F2"/>
          <w:sz w:val="24"/>
          <w:szCs w:val="24"/>
          <w:lang w:eastAsia="tr-TR"/>
        </w:rPr>
        <w:t xml:space="preserve">ÇHC’nin </w:t>
      </w:r>
      <w:r w:rsidR="00AC26EA" w:rsidRPr="00813452">
        <w:rPr>
          <w:rFonts w:ascii="Times New Roman" w:eastAsia="Times New Roman" w:hAnsi="Times New Roman" w:cs="Times New Roman"/>
          <w:color w:val="0D0D0D" w:themeColor="text1" w:themeTint="F2"/>
          <w:sz w:val="24"/>
          <w:szCs w:val="24"/>
          <w:lang w:eastAsia="tr-TR"/>
        </w:rPr>
        <w:t xml:space="preserve">Azerbaycan’a </w:t>
      </w:r>
      <w:r w:rsidR="00ED2EAC" w:rsidRPr="00813452">
        <w:rPr>
          <w:rFonts w:ascii="Times New Roman" w:eastAsia="Times New Roman" w:hAnsi="Times New Roman" w:cs="Times New Roman"/>
          <w:color w:val="0D0D0D" w:themeColor="text1" w:themeTint="F2"/>
          <w:sz w:val="24"/>
          <w:szCs w:val="24"/>
          <w:lang w:eastAsia="tr-TR"/>
        </w:rPr>
        <w:t xml:space="preserve">2018 yılı ortalama ihracat birim fiyatı, muhtemel dampingli ithalat fiyatı olarak </w:t>
      </w:r>
      <w:r w:rsidRPr="00813452">
        <w:rPr>
          <w:rFonts w:ascii="Times New Roman" w:eastAsia="Times New Roman" w:hAnsi="Times New Roman" w:cs="Times New Roman"/>
          <w:color w:val="0D0D0D" w:themeColor="text1" w:themeTint="F2"/>
          <w:sz w:val="24"/>
          <w:szCs w:val="24"/>
          <w:lang w:eastAsia="tr-TR"/>
        </w:rPr>
        <w:t xml:space="preserve">kullanılarak </w:t>
      </w:r>
      <w:r w:rsidR="000C57CA" w:rsidRPr="00813452">
        <w:rPr>
          <w:rFonts w:ascii="Times New Roman" w:eastAsia="Times New Roman" w:hAnsi="Times New Roman" w:cs="Times New Roman"/>
          <w:color w:val="0D0D0D" w:themeColor="text1" w:themeTint="F2"/>
          <w:sz w:val="24"/>
          <w:szCs w:val="24"/>
          <w:lang w:eastAsia="tr-TR"/>
        </w:rPr>
        <w:t>önlemin yürürlükten kalkması durumunda oluşabilecek muhtemel fiyat kırılması ve baskısı hesaplanmıştır.</w:t>
      </w:r>
    </w:p>
    <w:p w:rsidR="000C57CA" w:rsidRPr="00813452" w:rsidRDefault="009C5199" w:rsidP="00A73D18">
      <w:pPr>
        <w:spacing w:before="240" w:after="120"/>
        <w:jc w:val="both"/>
        <w:rPr>
          <w:rFonts w:ascii="Times New Roman" w:eastAsia="Times New Roman" w:hAnsi="Times New Roman" w:cs="Times New Roman"/>
          <w:color w:val="0D0D0D" w:themeColor="text1" w:themeTint="F2"/>
          <w:sz w:val="24"/>
          <w:szCs w:val="24"/>
          <w:lang w:eastAsia="tr-TR"/>
        </w:rPr>
      </w:pPr>
      <w:r w:rsidRPr="00813452">
        <w:rPr>
          <w:rFonts w:ascii="Times New Roman" w:eastAsia="Times New Roman" w:hAnsi="Times New Roman" w:cs="Times New Roman"/>
          <w:color w:val="0D0D0D" w:themeColor="text1" w:themeTint="F2"/>
          <w:sz w:val="24"/>
          <w:szCs w:val="24"/>
          <w:lang w:eastAsia="tr-TR"/>
        </w:rPr>
        <w:t>(6</w:t>
      </w:r>
      <w:r w:rsidR="000C57CA" w:rsidRPr="00813452">
        <w:rPr>
          <w:rFonts w:ascii="Times New Roman" w:eastAsia="Times New Roman" w:hAnsi="Times New Roman" w:cs="Times New Roman"/>
          <w:color w:val="0D0D0D" w:themeColor="text1" w:themeTint="F2"/>
          <w:sz w:val="24"/>
          <w:szCs w:val="24"/>
          <w:lang w:eastAsia="tr-TR"/>
        </w:rPr>
        <w:t xml:space="preserve">) Dampinge karşı önlemlerin söz konusu olmadığı bir ortamda fiyatların hangi düzeyde oluşacağına ilişkin değerlendirmeyi mümkün kılmak amacıyla anılan fiyatlara dampinge karşı önlemler eklenmemiştir. </w:t>
      </w:r>
    </w:p>
    <w:p w:rsidR="00814DBC" w:rsidRPr="00813452" w:rsidRDefault="00814DBC" w:rsidP="00A73D18">
      <w:pPr>
        <w:spacing w:before="240" w:after="120"/>
        <w:jc w:val="both"/>
        <w:rPr>
          <w:rFonts w:ascii="Times New Roman" w:eastAsia="Times New Roman" w:hAnsi="Times New Roman" w:cs="Times New Roman"/>
          <w:color w:val="0D0D0D" w:themeColor="text1" w:themeTint="F2"/>
          <w:sz w:val="24"/>
          <w:szCs w:val="24"/>
          <w:lang w:eastAsia="tr-TR"/>
        </w:rPr>
      </w:pPr>
      <w:r w:rsidRPr="00813452">
        <w:rPr>
          <w:rFonts w:ascii="Times New Roman" w:eastAsia="Times New Roman" w:hAnsi="Times New Roman" w:cs="Times New Roman"/>
          <w:color w:val="0D0D0D" w:themeColor="text1" w:themeTint="F2"/>
          <w:sz w:val="24"/>
          <w:szCs w:val="24"/>
          <w:lang w:eastAsia="tr-TR"/>
        </w:rPr>
        <w:t xml:space="preserve"> (</w:t>
      </w:r>
      <w:r w:rsidR="009C5199" w:rsidRPr="00813452">
        <w:rPr>
          <w:rFonts w:ascii="Times New Roman" w:eastAsia="Times New Roman" w:hAnsi="Times New Roman" w:cs="Times New Roman"/>
          <w:color w:val="0D0D0D" w:themeColor="text1" w:themeTint="F2"/>
          <w:sz w:val="24"/>
          <w:szCs w:val="24"/>
          <w:lang w:eastAsia="tr-TR"/>
        </w:rPr>
        <w:t>7</w:t>
      </w:r>
      <w:r w:rsidRPr="00813452">
        <w:rPr>
          <w:rFonts w:ascii="Times New Roman" w:eastAsia="Times New Roman" w:hAnsi="Times New Roman" w:cs="Times New Roman"/>
          <w:color w:val="0D0D0D" w:themeColor="text1" w:themeTint="F2"/>
          <w:sz w:val="24"/>
          <w:szCs w:val="24"/>
          <w:lang w:eastAsia="tr-TR"/>
        </w:rPr>
        <w:t xml:space="preserve">) Muhtemel fiyat kırılması ve baskısı hesabında, önlemin kalkması durumunda </w:t>
      </w:r>
      <w:r w:rsidR="00521EB7">
        <w:rPr>
          <w:rFonts w:ascii="Times New Roman" w:eastAsia="Times New Roman" w:hAnsi="Times New Roman" w:cs="Times New Roman"/>
          <w:color w:val="0D0D0D" w:themeColor="text1" w:themeTint="F2"/>
          <w:sz w:val="24"/>
          <w:szCs w:val="24"/>
          <w:lang w:eastAsia="tr-TR"/>
        </w:rPr>
        <w:t xml:space="preserve">soruşturma </w:t>
      </w:r>
      <w:r w:rsidRPr="00813452">
        <w:rPr>
          <w:rFonts w:ascii="Times New Roman" w:eastAsia="Times New Roman" w:hAnsi="Times New Roman" w:cs="Times New Roman"/>
          <w:color w:val="0D0D0D" w:themeColor="text1" w:themeTint="F2"/>
          <w:sz w:val="24"/>
          <w:szCs w:val="24"/>
          <w:lang w:eastAsia="tr-TR"/>
        </w:rPr>
        <w:t>konusu ülkeden gerçekleşebilecek muhtemel ithalatın CIF bedeline %2,6 oranında gümrük vergisi ve %2 oranında gümrükleme masrafı eklenmiştir. Bu şekilde elde edilen fiyat, yerli üretim dalının kilograma dönüştürülen ortalama birim satış fiyatı ve olması gereken fiyatı ile karşılaştırılarak, fiyat kırılması ve baskısı tespit edilmiştir.</w:t>
      </w:r>
    </w:p>
    <w:p w:rsidR="00814DBC" w:rsidRPr="00813452" w:rsidRDefault="009C5199" w:rsidP="00A73D18">
      <w:pPr>
        <w:spacing w:before="240" w:after="120"/>
        <w:jc w:val="both"/>
        <w:rPr>
          <w:rFonts w:ascii="Times New Roman" w:eastAsia="Times New Roman" w:hAnsi="Times New Roman" w:cs="Times New Roman"/>
          <w:color w:val="0D0D0D" w:themeColor="text1" w:themeTint="F2"/>
          <w:sz w:val="24"/>
          <w:szCs w:val="24"/>
          <w:lang w:eastAsia="tr-TR"/>
        </w:rPr>
      </w:pPr>
      <w:r w:rsidRPr="00813452">
        <w:rPr>
          <w:rFonts w:ascii="Times New Roman" w:eastAsia="Times New Roman" w:hAnsi="Times New Roman" w:cs="Times New Roman"/>
          <w:color w:val="0D0D0D" w:themeColor="text1" w:themeTint="F2"/>
          <w:sz w:val="24"/>
          <w:szCs w:val="24"/>
          <w:lang w:eastAsia="tr-TR"/>
        </w:rPr>
        <w:lastRenderedPageBreak/>
        <w:t>(8</w:t>
      </w:r>
      <w:r w:rsidR="00814DBC" w:rsidRPr="00813452">
        <w:rPr>
          <w:rFonts w:ascii="Times New Roman" w:eastAsia="Times New Roman" w:hAnsi="Times New Roman" w:cs="Times New Roman"/>
          <w:color w:val="0D0D0D" w:themeColor="text1" w:themeTint="F2"/>
          <w:sz w:val="24"/>
          <w:szCs w:val="24"/>
          <w:lang w:eastAsia="tr-TR"/>
        </w:rPr>
        <w:t xml:space="preserve">) Bu tespitler çevresinde, </w:t>
      </w:r>
      <w:r w:rsidR="00FE0455" w:rsidRPr="00813452">
        <w:rPr>
          <w:rFonts w:ascii="Times New Roman" w:eastAsia="Times New Roman" w:hAnsi="Times New Roman" w:cs="Times New Roman"/>
          <w:color w:val="0D0D0D" w:themeColor="text1" w:themeTint="F2"/>
          <w:sz w:val="24"/>
          <w:szCs w:val="24"/>
          <w:lang w:eastAsia="tr-TR"/>
        </w:rPr>
        <w:t xml:space="preserve">önlemin kalkması durumunda, </w:t>
      </w:r>
      <w:r w:rsidR="00814DBC" w:rsidRPr="00813452">
        <w:rPr>
          <w:rFonts w:ascii="Times New Roman" w:eastAsia="Times New Roman" w:hAnsi="Times New Roman" w:cs="Times New Roman"/>
          <w:color w:val="0D0D0D" w:themeColor="text1" w:themeTint="F2"/>
          <w:sz w:val="24"/>
          <w:szCs w:val="24"/>
          <w:lang w:eastAsia="tr-TR"/>
        </w:rPr>
        <w:t xml:space="preserve">ÇHC menşeli muhtemel ithalatın yerli üreticinin yurt </w:t>
      </w:r>
      <w:r w:rsidR="00F7533C" w:rsidRPr="00813452">
        <w:rPr>
          <w:rFonts w:ascii="Times New Roman" w:eastAsia="Times New Roman" w:hAnsi="Times New Roman" w:cs="Times New Roman"/>
          <w:color w:val="0D0D0D" w:themeColor="text1" w:themeTint="F2"/>
          <w:sz w:val="24"/>
          <w:szCs w:val="24"/>
          <w:lang w:eastAsia="tr-TR"/>
        </w:rPr>
        <w:t>içi satış fiyatlarını</w:t>
      </w:r>
      <w:r w:rsidR="006B631F" w:rsidRPr="00813452">
        <w:rPr>
          <w:rFonts w:ascii="Times New Roman" w:eastAsia="Times New Roman" w:hAnsi="Times New Roman" w:cs="Times New Roman"/>
          <w:color w:val="0D0D0D" w:themeColor="text1" w:themeTint="F2"/>
          <w:sz w:val="24"/>
          <w:szCs w:val="24"/>
          <w:lang w:eastAsia="tr-TR"/>
        </w:rPr>
        <w:t xml:space="preserve"> CIF bedelin %20 ila %30</w:t>
      </w:r>
      <w:r w:rsidR="00F7533C" w:rsidRPr="00813452">
        <w:rPr>
          <w:rFonts w:ascii="Times New Roman" w:eastAsia="Times New Roman" w:hAnsi="Times New Roman" w:cs="Times New Roman"/>
          <w:color w:val="0D0D0D" w:themeColor="text1" w:themeTint="F2"/>
          <w:sz w:val="24"/>
          <w:szCs w:val="24"/>
          <w:lang w:eastAsia="tr-TR"/>
        </w:rPr>
        <w:t xml:space="preserve"> </w:t>
      </w:r>
      <w:r w:rsidR="006B631F" w:rsidRPr="00813452">
        <w:rPr>
          <w:rFonts w:ascii="Times New Roman" w:eastAsia="Times New Roman" w:hAnsi="Times New Roman" w:cs="Times New Roman"/>
          <w:color w:val="0D0D0D" w:themeColor="text1" w:themeTint="F2"/>
          <w:sz w:val="24"/>
          <w:szCs w:val="24"/>
          <w:lang w:eastAsia="tr-TR"/>
        </w:rPr>
        <w:t>oranları arasında kırmasının ve yerli üretim dalının olması gereken yurtiçi satış fiyatını CIF bedelin %10 ila %20 oranları arasında baskılamasının muhtemel olduğu tespit edilmiştir.</w:t>
      </w:r>
      <w:r w:rsidR="00EC2BB6" w:rsidRPr="00813452">
        <w:rPr>
          <w:rFonts w:ascii="Times New Roman" w:eastAsia="Times New Roman" w:hAnsi="Times New Roman" w:cs="Times New Roman"/>
          <w:color w:val="0D0D0D" w:themeColor="text1" w:themeTint="F2"/>
          <w:sz w:val="24"/>
          <w:szCs w:val="24"/>
          <w:lang w:eastAsia="tr-TR"/>
        </w:rPr>
        <w:t xml:space="preserve"> </w:t>
      </w:r>
    </w:p>
    <w:p w:rsidR="00814DBC" w:rsidRPr="00813452" w:rsidRDefault="00814DBC" w:rsidP="00A73D18">
      <w:pPr>
        <w:pStyle w:val="Balk2"/>
        <w:numPr>
          <w:ilvl w:val="1"/>
          <w:numId w:val="1"/>
        </w:numPr>
        <w:spacing w:before="240" w:after="120"/>
        <w:rPr>
          <w:rFonts w:ascii="Times New Roman" w:hAnsi="Times New Roman" w:cs="Times New Roman"/>
          <w:b/>
          <w:color w:val="auto"/>
          <w:sz w:val="24"/>
          <w:szCs w:val="24"/>
        </w:rPr>
      </w:pPr>
      <w:bookmarkStart w:id="31" w:name="_Toc23509691"/>
      <w:r w:rsidRPr="00813452">
        <w:rPr>
          <w:rFonts w:ascii="Times New Roman" w:hAnsi="Times New Roman" w:cs="Times New Roman"/>
          <w:b/>
          <w:color w:val="auto"/>
          <w:sz w:val="24"/>
          <w:szCs w:val="24"/>
        </w:rPr>
        <w:t xml:space="preserve">Yerli üretim dalının ekonomik göstergeleri </w:t>
      </w:r>
      <w:bookmarkEnd w:id="31"/>
    </w:p>
    <w:p w:rsidR="004E4551" w:rsidRPr="00813452" w:rsidRDefault="004E4551" w:rsidP="00A73D18">
      <w:pPr>
        <w:spacing w:before="240" w:after="120"/>
        <w:jc w:val="both"/>
        <w:rPr>
          <w:rFonts w:ascii="Times New Roman" w:eastAsia="Times New Roman" w:hAnsi="Times New Roman" w:cs="Times New Roman"/>
          <w:color w:val="0D0D0D" w:themeColor="text1" w:themeTint="F2"/>
          <w:sz w:val="24"/>
          <w:szCs w:val="24"/>
          <w:lang w:eastAsia="tr-TR"/>
        </w:rPr>
      </w:pPr>
      <w:r w:rsidRPr="00813452">
        <w:rPr>
          <w:rFonts w:ascii="Times New Roman" w:eastAsia="Times New Roman" w:hAnsi="Times New Roman" w:cs="Times New Roman"/>
          <w:color w:val="0D0D0D" w:themeColor="text1" w:themeTint="F2"/>
          <w:sz w:val="24"/>
          <w:szCs w:val="24"/>
          <w:lang w:eastAsia="tr-TR"/>
        </w:rPr>
        <w:t>(1) Yerli üretim dalının ekonomik göstergelerinin değerlendirilmesinde, yerli üretim dalının 2016-2018 dönemi verileri kul</w:t>
      </w:r>
      <w:r w:rsidR="00BE23FE" w:rsidRPr="00813452">
        <w:rPr>
          <w:rFonts w:ascii="Times New Roman" w:eastAsia="Times New Roman" w:hAnsi="Times New Roman" w:cs="Times New Roman"/>
          <w:color w:val="0D0D0D" w:themeColor="text1" w:themeTint="F2"/>
          <w:sz w:val="24"/>
          <w:szCs w:val="24"/>
          <w:lang w:eastAsia="tr-TR"/>
        </w:rPr>
        <w:t>l</w:t>
      </w:r>
      <w:r w:rsidRPr="00813452">
        <w:rPr>
          <w:rFonts w:ascii="Times New Roman" w:eastAsia="Times New Roman" w:hAnsi="Times New Roman" w:cs="Times New Roman"/>
          <w:color w:val="0D0D0D" w:themeColor="text1" w:themeTint="F2"/>
          <w:sz w:val="24"/>
          <w:szCs w:val="24"/>
          <w:lang w:eastAsia="tr-TR"/>
        </w:rPr>
        <w:t xml:space="preserve">anılmıştır. </w:t>
      </w:r>
    </w:p>
    <w:p w:rsidR="004E4551" w:rsidRPr="00813452" w:rsidRDefault="004E4551" w:rsidP="00A73D18">
      <w:pPr>
        <w:spacing w:before="240" w:after="120"/>
        <w:jc w:val="both"/>
        <w:rPr>
          <w:rFonts w:ascii="Times New Roman" w:eastAsia="Times New Roman" w:hAnsi="Times New Roman" w:cs="Times New Roman"/>
          <w:color w:val="0D0D0D" w:themeColor="text1" w:themeTint="F2"/>
          <w:sz w:val="24"/>
          <w:szCs w:val="24"/>
          <w:lang w:eastAsia="tr-TR"/>
        </w:rPr>
      </w:pPr>
      <w:r w:rsidRPr="00813452">
        <w:rPr>
          <w:rFonts w:ascii="Times New Roman" w:eastAsia="Times New Roman" w:hAnsi="Times New Roman" w:cs="Times New Roman"/>
          <w:color w:val="0D0D0D" w:themeColor="text1" w:themeTint="F2"/>
          <w:sz w:val="24"/>
          <w:szCs w:val="24"/>
          <w:lang w:eastAsia="tr-TR"/>
        </w:rPr>
        <w:t xml:space="preserve">(2) Eğilimin sağlıklı bir şekilde incelenmesi amacıyla, Türk Lirası bazındaki veriler, yıllık ortalama Üretici Fiyat Endeksi (ÜFE) kullanılmak suretiyle enflasyondan arındırılarak endekslenmiştir. </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32" w:name="_Toc23339105"/>
      <w:bookmarkStart w:id="33" w:name="_Toc23407645"/>
      <w:bookmarkStart w:id="34" w:name="_Toc23509692"/>
      <w:r w:rsidRPr="00813452">
        <w:rPr>
          <w:rFonts w:ascii="Times New Roman" w:hAnsi="Times New Roman" w:cs="Times New Roman"/>
          <w:b/>
          <w:color w:val="auto"/>
          <w:sz w:val="24"/>
          <w:szCs w:val="24"/>
        </w:rPr>
        <w:t>a) Üretim, kapasite ve kapasite kullanım oranı (KKO)</w:t>
      </w:r>
      <w:bookmarkEnd w:id="32"/>
      <w:bookmarkEnd w:id="33"/>
      <w:bookmarkEnd w:id="34"/>
    </w:p>
    <w:p w:rsidR="004E4551" w:rsidRPr="00813452" w:rsidRDefault="004E4551" w:rsidP="00A73D18">
      <w:pPr>
        <w:shd w:val="clear" w:color="auto" w:fill="FFFFFF"/>
        <w:spacing w:before="240" w:after="120"/>
        <w:jc w:val="both"/>
        <w:rPr>
          <w:rFonts w:ascii="Times New Roman" w:hAnsi="Times New Roman" w:cs="Times New Roman"/>
          <w:bCs/>
          <w:sz w:val="24"/>
          <w:szCs w:val="24"/>
        </w:rPr>
      </w:pPr>
      <w:r w:rsidRPr="00813452">
        <w:rPr>
          <w:rFonts w:ascii="Times New Roman" w:hAnsi="Times New Roman" w:cs="Times New Roman"/>
          <w:bCs/>
          <w:sz w:val="24"/>
          <w:szCs w:val="24"/>
        </w:rPr>
        <w:t xml:space="preserve">(1) Yerli üretim dalının </w:t>
      </w:r>
      <w:r w:rsidR="00B01FEE" w:rsidRPr="00813452">
        <w:rPr>
          <w:rFonts w:ascii="Times New Roman" w:hAnsi="Times New Roman" w:cs="Times New Roman"/>
          <w:bCs/>
          <w:sz w:val="24"/>
          <w:szCs w:val="24"/>
        </w:rPr>
        <w:t xml:space="preserve">soruşturma </w:t>
      </w:r>
      <w:r w:rsidRPr="00813452">
        <w:rPr>
          <w:rFonts w:ascii="Times New Roman" w:hAnsi="Times New Roman" w:cs="Times New Roman"/>
          <w:bCs/>
          <w:sz w:val="24"/>
          <w:szCs w:val="24"/>
        </w:rPr>
        <w:t xml:space="preserve">konusu ürün için 2016 yılında 100 birim olan üretim miktar endeksi, 2017 yılında 117 birim ve 2018 yılında 114 birim seviyesinde gerçekleşmiştir. </w:t>
      </w:r>
    </w:p>
    <w:p w:rsidR="004E4551" w:rsidRPr="00813452" w:rsidRDefault="004E4551" w:rsidP="00A73D18">
      <w:pPr>
        <w:shd w:val="clear" w:color="auto" w:fill="FFFFFF"/>
        <w:spacing w:before="240" w:after="120"/>
        <w:jc w:val="both"/>
        <w:rPr>
          <w:rFonts w:ascii="Times New Roman" w:hAnsi="Times New Roman" w:cs="Times New Roman"/>
          <w:bCs/>
          <w:sz w:val="24"/>
          <w:szCs w:val="24"/>
        </w:rPr>
      </w:pPr>
      <w:r w:rsidRPr="00813452">
        <w:rPr>
          <w:rFonts w:ascii="Times New Roman" w:hAnsi="Times New Roman" w:cs="Times New Roman"/>
          <w:bCs/>
          <w:sz w:val="24"/>
          <w:szCs w:val="24"/>
        </w:rPr>
        <w:t xml:space="preserve">(2) 2016-2018 yıllarında </w:t>
      </w:r>
      <w:r w:rsidRPr="00813452">
        <w:rPr>
          <w:rFonts w:ascii="Times New Roman" w:hAnsi="Times New Roman" w:cs="Times New Roman"/>
          <w:noProof/>
          <w:sz w:val="24"/>
          <w:szCs w:val="24"/>
        </w:rPr>
        <w:t>yerli üretim dalının</w:t>
      </w:r>
      <w:r w:rsidRPr="00813452">
        <w:rPr>
          <w:rFonts w:ascii="Times New Roman" w:hAnsi="Times New Roman" w:cs="Times New Roman"/>
          <w:bCs/>
          <w:sz w:val="24"/>
          <w:szCs w:val="24"/>
        </w:rPr>
        <w:t xml:space="preserve"> kapasite endeksi değişmemiş, sırasıyla 100, 100 ve 100 birim olurken, KKO endeksi 100, 117 ve 114 birim olarak gerçekleşmiştir. </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35" w:name="_Toc23339106"/>
      <w:bookmarkStart w:id="36" w:name="_Toc23407646"/>
      <w:bookmarkStart w:id="37" w:name="_Toc23509693"/>
      <w:r w:rsidRPr="00813452">
        <w:rPr>
          <w:rFonts w:ascii="Times New Roman" w:hAnsi="Times New Roman" w:cs="Times New Roman"/>
          <w:b/>
          <w:color w:val="auto"/>
          <w:sz w:val="24"/>
          <w:szCs w:val="24"/>
        </w:rPr>
        <w:t>b) Yurt içi ve yurtdışı satışlar</w:t>
      </w:r>
      <w:bookmarkEnd w:id="35"/>
      <w:bookmarkEnd w:id="36"/>
      <w:bookmarkEnd w:id="37"/>
      <w:r w:rsidRPr="00813452">
        <w:rPr>
          <w:rFonts w:ascii="Times New Roman" w:hAnsi="Times New Roman" w:cs="Times New Roman"/>
          <w:b/>
          <w:color w:val="auto"/>
          <w:sz w:val="24"/>
          <w:szCs w:val="24"/>
        </w:rPr>
        <w:tab/>
      </w:r>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(1) </w:t>
      </w:r>
      <w:r w:rsidRPr="00813452">
        <w:rPr>
          <w:rFonts w:ascii="Times New Roman" w:hAnsi="Times New Roman" w:cs="Times New Roman"/>
          <w:noProof/>
          <w:sz w:val="24"/>
          <w:szCs w:val="24"/>
        </w:rPr>
        <w:t>Yerli üretim dalının</w:t>
      </w:r>
      <w:r w:rsidRPr="00813452">
        <w:rPr>
          <w:rFonts w:ascii="Times New Roman" w:hAnsi="Times New Roman" w:cs="Times New Roman"/>
          <w:bCs/>
          <w:spacing w:val="-2"/>
          <w:sz w:val="24"/>
          <w:szCs w:val="24"/>
        </w:rPr>
        <w:t xml:space="preserve"> </w:t>
      </w:r>
      <w:r w:rsidR="00B01FEE" w:rsidRPr="00813452">
        <w:rPr>
          <w:rFonts w:ascii="Times New Roman" w:hAnsi="Times New Roman" w:cs="Times New Roman"/>
          <w:bCs/>
          <w:spacing w:val="-2"/>
          <w:sz w:val="24"/>
          <w:szCs w:val="24"/>
        </w:rPr>
        <w:t>soruşturma</w:t>
      </w:r>
      <w:r w:rsidRPr="00813452">
        <w:rPr>
          <w:rFonts w:ascii="Times New Roman" w:hAnsi="Times New Roman" w:cs="Times New Roman"/>
          <w:bCs/>
          <w:spacing w:val="-2"/>
          <w:sz w:val="24"/>
          <w:szCs w:val="24"/>
        </w:rPr>
        <w:t xml:space="preserve"> konusu ürün için 2016 yılında 100 birim olarak kabul edilen yurt içi satış miktarı endeksi 2017 yılında 119 birim, 2018 yılında ise 96 birim </w:t>
      </w:r>
      <w:r w:rsidRPr="00813452">
        <w:rPr>
          <w:rFonts w:ascii="Times New Roman" w:hAnsi="Times New Roman" w:cs="Times New Roman"/>
          <w:bCs/>
          <w:sz w:val="24"/>
          <w:szCs w:val="24"/>
        </w:rPr>
        <w:t>seviyesinde gerçekleşmiştir</w:t>
      </w:r>
      <w:r w:rsidRPr="00813452">
        <w:rPr>
          <w:rFonts w:ascii="Times New Roman" w:hAnsi="Times New Roman" w:cs="Times New Roman"/>
          <w:bCs/>
          <w:spacing w:val="-2"/>
          <w:sz w:val="24"/>
          <w:szCs w:val="24"/>
        </w:rPr>
        <w:t xml:space="preserve">. </w:t>
      </w:r>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(2) Aynı dönemde, yurt içi satış değeri endeksi sırasıyla 100, 122 ve 107 birim olmuştur.  </w:t>
      </w:r>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(3) Yerli üretim dalının 2016 yılında 100 birim olduğu kabul edilen yurtdışı satış miktarı endeksi, 2017 yılında 108 birime, 2018 yılında ise 153 birime yükselmiştir.</w:t>
      </w:r>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(4) Yurtdışı satış değeri endeksi ise sırasıyla 100, 110 ve 168 birim olarak gerçekleşmiştir. </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38" w:name="_Toc23339107"/>
      <w:bookmarkStart w:id="39" w:name="_Toc23407647"/>
      <w:bookmarkStart w:id="40" w:name="_Toc23509694"/>
      <w:r w:rsidRPr="00813452">
        <w:rPr>
          <w:rFonts w:ascii="Times New Roman" w:hAnsi="Times New Roman" w:cs="Times New Roman"/>
          <w:b/>
          <w:color w:val="auto"/>
          <w:sz w:val="24"/>
          <w:szCs w:val="24"/>
        </w:rPr>
        <w:t>c) Fiyatlar ve fiyatları etkileyen unsurlar</w:t>
      </w:r>
      <w:bookmarkEnd w:id="38"/>
      <w:bookmarkEnd w:id="39"/>
      <w:bookmarkEnd w:id="40"/>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(1) </w:t>
      </w:r>
      <w:r w:rsidRPr="00813452">
        <w:rPr>
          <w:rFonts w:ascii="Times New Roman" w:hAnsi="Times New Roman" w:cs="Times New Roman"/>
          <w:noProof/>
          <w:sz w:val="24"/>
          <w:szCs w:val="24"/>
        </w:rPr>
        <w:t>Yerli üretim dalının</w:t>
      </w:r>
      <w:r w:rsidRPr="00813452">
        <w:rPr>
          <w:rFonts w:ascii="Times New Roman" w:hAnsi="Times New Roman" w:cs="Times New Roman"/>
          <w:bCs/>
          <w:spacing w:val="-2"/>
          <w:sz w:val="24"/>
          <w:szCs w:val="24"/>
        </w:rPr>
        <w:t xml:space="preserve"> </w:t>
      </w:r>
      <w:r w:rsidR="00B01FEE" w:rsidRPr="00813452">
        <w:rPr>
          <w:rFonts w:ascii="Times New Roman" w:hAnsi="Times New Roman" w:cs="Times New Roman"/>
          <w:bCs/>
          <w:spacing w:val="-2"/>
          <w:sz w:val="24"/>
          <w:szCs w:val="24"/>
        </w:rPr>
        <w:t>soruşturma</w:t>
      </w:r>
      <w:r w:rsidRPr="00813452">
        <w:rPr>
          <w:rFonts w:ascii="Times New Roman" w:hAnsi="Times New Roman" w:cs="Times New Roman"/>
          <w:bCs/>
          <w:spacing w:val="-2"/>
          <w:sz w:val="24"/>
          <w:szCs w:val="24"/>
        </w:rPr>
        <w:t xml:space="preserve"> konusu ürün için yurt içi birim satış fiyatı endeksi 2016 yılında 100 birim olarak kabul edildiğinde, 2017 yılında 102 birim, 2018 yılında ise 112 birim olarak gerçekleşmiştir. </w:t>
      </w:r>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(2) Yurtdışı birim satış fiyatı endeksi ise, sırasıyla, 100, 102 ve 110 birim olarak gerçekleşmiştir.</w:t>
      </w:r>
    </w:p>
    <w:p w:rsidR="00ED2EAC" w:rsidRPr="00813452" w:rsidRDefault="00ED2EAC"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(3) Fiyatlar ve maliyetler birlikte değerlendirildiğinde, fiyatların maliyetle paralel olarak arttığı ve fiyatların belirlenmesinde maliyetlerin önemli etken olduğu anlaşılmaktadır.</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41" w:name="_Toc23339108"/>
      <w:bookmarkStart w:id="42" w:name="_Toc23407648"/>
      <w:bookmarkStart w:id="43" w:name="_Toc23509695"/>
      <w:r w:rsidRPr="00813452">
        <w:rPr>
          <w:rFonts w:ascii="Times New Roman" w:hAnsi="Times New Roman" w:cs="Times New Roman"/>
          <w:b/>
          <w:color w:val="auto"/>
          <w:sz w:val="24"/>
          <w:szCs w:val="24"/>
        </w:rPr>
        <w:t>ç) Pazar payı</w:t>
      </w:r>
      <w:bookmarkEnd w:id="41"/>
      <w:bookmarkEnd w:id="42"/>
      <w:bookmarkEnd w:id="43"/>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(1) </w:t>
      </w:r>
      <w:r w:rsidRPr="00813452">
        <w:rPr>
          <w:rFonts w:ascii="Times New Roman" w:hAnsi="Times New Roman" w:cs="Times New Roman"/>
          <w:noProof/>
          <w:sz w:val="24"/>
          <w:szCs w:val="24"/>
        </w:rPr>
        <w:t>Yerli üretim dalının</w:t>
      </w:r>
      <w:r w:rsidRPr="00813452">
        <w:rPr>
          <w:rFonts w:ascii="Times New Roman" w:hAnsi="Times New Roman" w:cs="Times New Roman"/>
          <w:bCs/>
          <w:spacing w:val="-2"/>
          <w:sz w:val="24"/>
          <w:szCs w:val="24"/>
        </w:rPr>
        <w:t xml:space="preserve"> pazar payı endeksi 2016 yılında 100 birim iken 2017 </w:t>
      </w:r>
      <w:r w:rsidR="00B01FEE" w:rsidRPr="00813452">
        <w:rPr>
          <w:rFonts w:ascii="Times New Roman" w:hAnsi="Times New Roman" w:cs="Times New Roman"/>
          <w:bCs/>
          <w:spacing w:val="-2"/>
          <w:sz w:val="24"/>
          <w:szCs w:val="24"/>
        </w:rPr>
        <w:t>ve 2018 yıllarında 104 ve 98</w:t>
      </w:r>
      <w:r w:rsidRPr="00813452">
        <w:rPr>
          <w:rFonts w:ascii="Times New Roman" w:hAnsi="Times New Roman" w:cs="Times New Roman"/>
          <w:bCs/>
          <w:spacing w:val="-2"/>
          <w:sz w:val="24"/>
          <w:szCs w:val="24"/>
        </w:rPr>
        <w:t xml:space="preserve"> birim olarak gerçekleşmiştir.</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44" w:name="_Toc23339109"/>
      <w:bookmarkStart w:id="45" w:name="_Toc23407649"/>
      <w:bookmarkStart w:id="46" w:name="_Toc23509696"/>
      <w:r w:rsidRPr="00813452">
        <w:rPr>
          <w:rFonts w:ascii="Times New Roman" w:hAnsi="Times New Roman" w:cs="Times New Roman"/>
          <w:b/>
          <w:color w:val="auto"/>
          <w:sz w:val="24"/>
          <w:szCs w:val="24"/>
        </w:rPr>
        <w:lastRenderedPageBreak/>
        <w:t>d) Maliyetler ve karlılık</w:t>
      </w:r>
      <w:bookmarkEnd w:id="44"/>
      <w:bookmarkEnd w:id="45"/>
      <w:bookmarkEnd w:id="46"/>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(1) </w:t>
      </w:r>
      <w:r w:rsidRPr="00813452">
        <w:rPr>
          <w:rFonts w:ascii="Times New Roman" w:hAnsi="Times New Roman" w:cs="Times New Roman"/>
          <w:noProof/>
          <w:sz w:val="24"/>
          <w:szCs w:val="24"/>
        </w:rPr>
        <w:t>Yerli üretim dalının</w:t>
      </w:r>
      <w:r w:rsidRPr="00813452">
        <w:rPr>
          <w:rFonts w:ascii="Times New Roman" w:hAnsi="Times New Roman" w:cs="Times New Roman"/>
          <w:bCs/>
          <w:spacing w:val="-2"/>
          <w:sz w:val="24"/>
          <w:szCs w:val="24"/>
        </w:rPr>
        <w:t xml:space="preserve"> </w:t>
      </w:r>
      <w:r w:rsidR="00B01FEE" w:rsidRPr="00813452">
        <w:rPr>
          <w:rFonts w:ascii="Times New Roman" w:hAnsi="Times New Roman" w:cs="Times New Roman"/>
          <w:bCs/>
          <w:spacing w:val="-2"/>
          <w:sz w:val="24"/>
          <w:szCs w:val="24"/>
        </w:rPr>
        <w:t>soruşturma</w:t>
      </w:r>
      <w:r w:rsidRPr="00813452">
        <w:rPr>
          <w:rFonts w:ascii="Times New Roman" w:hAnsi="Times New Roman" w:cs="Times New Roman"/>
          <w:bCs/>
          <w:spacing w:val="-2"/>
          <w:sz w:val="24"/>
          <w:szCs w:val="24"/>
        </w:rPr>
        <w:t xml:space="preserve"> konusu ürün için gerçekleşen birim sınai maliyet endeksi incelenen dönemde artan bir seyir izlemiş, 2016 yılı 100 birim kabul edildiğinde 2017 yılında 10</w:t>
      </w:r>
      <w:r w:rsidR="00B63A9E" w:rsidRPr="00813452">
        <w:rPr>
          <w:rFonts w:ascii="Times New Roman" w:hAnsi="Times New Roman" w:cs="Times New Roman"/>
          <w:bCs/>
          <w:spacing w:val="-2"/>
          <w:sz w:val="24"/>
          <w:szCs w:val="24"/>
        </w:rPr>
        <w:t>1</w:t>
      </w:r>
      <w:r w:rsidRPr="00813452">
        <w:rPr>
          <w:rFonts w:ascii="Times New Roman" w:hAnsi="Times New Roman" w:cs="Times New Roman"/>
          <w:bCs/>
          <w:spacing w:val="-2"/>
          <w:sz w:val="24"/>
          <w:szCs w:val="24"/>
        </w:rPr>
        <w:t xml:space="preserve"> birime</w:t>
      </w:r>
      <w:r w:rsidR="00B63A9E" w:rsidRPr="00813452">
        <w:rPr>
          <w:rFonts w:ascii="Times New Roman" w:hAnsi="Times New Roman" w:cs="Times New Roman"/>
          <w:bCs/>
          <w:spacing w:val="-2"/>
          <w:sz w:val="24"/>
          <w:szCs w:val="24"/>
        </w:rPr>
        <w:t>, 2018 yılında ise 109</w:t>
      </w:r>
      <w:r w:rsidRPr="00813452">
        <w:rPr>
          <w:rFonts w:ascii="Times New Roman" w:hAnsi="Times New Roman" w:cs="Times New Roman"/>
          <w:bCs/>
          <w:spacing w:val="-2"/>
          <w:sz w:val="24"/>
          <w:szCs w:val="24"/>
        </w:rPr>
        <w:t xml:space="preserve"> birime yükselmiştir.</w:t>
      </w:r>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(2) Yerli üretim dalının ilgili üründe birim ticari maliyeti ise 2016 yılı 100 birim kabul edildiğinde, 2017 yılında </w:t>
      </w:r>
      <w:r w:rsidR="00B63A9E" w:rsidRPr="00813452">
        <w:rPr>
          <w:rFonts w:ascii="Times New Roman" w:hAnsi="Times New Roman" w:cs="Times New Roman"/>
          <w:bCs/>
          <w:spacing w:val="-2"/>
          <w:sz w:val="24"/>
          <w:szCs w:val="24"/>
        </w:rPr>
        <w:t>97</w:t>
      </w:r>
      <w:r w:rsidRPr="00813452">
        <w:rPr>
          <w:rFonts w:ascii="Times New Roman" w:hAnsi="Times New Roman" w:cs="Times New Roman"/>
          <w:bCs/>
          <w:spacing w:val="-2"/>
          <w:sz w:val="24"/>
          <w:szCs w:val="24"/>
        </w:rPr>
        <w:t xml:space="preserve"> birim olarak gerçekleşmiş, 2018 yılında ise 10</w:t>
      </w:r>
      <w:r w:rsidR="00B63A9E" w:rsidRPr="00813452">
        <w:rPr>
          <w:rFonts w:ascii="Times New Roman" w:hAnsi="Times New Roman" w:cs="Times New Roman"/>
          <w:bCs/>
          <w:spacing w:val="-2"/>
          <w:sz w:val="24"/>
          <w:szCs w:val="24"/>
        </w:rPr>
        <w:t>5</w:t>
      </w:r>
      <w:r w:rsidRPr="00813452">
        <w:rPr>
          <w:rFonts w:ascii="Times New Roman" w:hAnsi="Times New Roman" w:cs="Times New Roman"/>
          <w:bCs/>
          <w:spacing w:val="-2"/>
          <w:sz w:val="24"/>
          <w:szCs w:val="24"/>
        </w:rPr>
        <w:t xml:space="preserve"> birime yükselmiştir.</w:t>
      </w:r>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(3) Yerli üretim dalının ticari maliyetleri ve yurtiçi satış fiyatları dikkate alınarak hesaplanan yurt içi satışlardan birim karlılık endeksi, 2016 yılında 100 birim olarak gerçekleştiği kabul edildiğinde, 2017 yılın</w:t>
      </w:r>
      <w:r w:rsidR="00B63A9E" w:rsidRPr="00813452">
        <w:rPr>
          <w:rFonts w:ascii="Times New Roman" w:hAnsi="Times New Roman" w:cs="Times New Roman"/>
          <w:bCs/>
          <w:spacing w:val="-2"/>
          <w:sz w:val="24"/>
          <w:szCs w:val="24"/>
        </w:rPr>
        <w:t>da 133</w:t>
      </w:r>
      <w:r w:rsidRPr="00813452">
        <w:rPr>
          <w:rFonts w:ascii="Times New Roman" w:hAnsi="Times New Roman" w:cs="Times New Roman"/>
          <w:bCs/>
          <w:spacing w:val="-2"/>
          <w:sz w:val="24"/>
          <w:szCs w:val="24"/>
        </w:rPr>
        <w:t xml:space="preserve"> birim, 2018 yılında ise </w:t>
      </w:r>
      <w:r w:rsidR="00B63A9E" w:rsidRPr="00813452">
        <w:rPr>
          <w:rFonts w:ascii="Times New Roman" w:hAnsi="Times New Roman" w:cs="Times New Roman"/>
          <w:bCs/>
          <w:spacing w:val="-2"/>
          <w:sz w:val="24"/>
          <w:szCs w:val="24"/>
        </w:rPr>
        <w:t>151</w:t>
      </w:r>
      <w:r w:rsidRPr="00813452">
        <w:rPr>
          <w:rFonts w:ascii="Times New Roman" w:hAnsi="Times New Roman" w:cs="Times New Roman"/>
          <w:bCs/>
          <w:spacing w:val="-2"/>
          <w:sz w:val="24"/>
          <w:szCs w:val="24"/>
        </w:rPr>
        <w:t xml:space="preserve"> birim olarak gerçekleşmiştir.</w:t>
      </w:r>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w:t>
      </w:r>
      <w:r w:rsidR="002466BC" w:rsidRPr="00813452">
        <w:rPr>
          <w:rFonts w:ascii="Times New Roman" w:hAnsi="Times New Roman" w:cs="Times New Roman"/>
          <w:bCs/>
          <w:spacing w:val="-2"/>
          <w:sz w:val="24"/>
          <w:szCs w:val="24"/>
        </w:rPr>
        <w:t>4</w:t>
      </w:r>
      <w:r w:rsidRPr="00813452">
        <w:rPr>
          <w:rFonts w:ascii="Times New Roman" w:hAnsi="Times New Roman" w:cs="Times New Roman"/>
          <w:bCs/>
          <w:spacing w:val="-2"/>
          <w:sz w:val="24"/>
          <w:szCs w:val="24"/>
        </w:rPr>
        <w:t xml:space="preserve">) Yerli üretim dalının </w:t>
      </w:r>
      <w:r w:rsidR="00B01FEE" w:rsidRPr="00813452">
        <w:rPr>
          <w:rFonts w:ascii="Times New Roman" w:hAnsi="Times New Roman" w:cs="Times New Roman"/>
          <w:bCs/>
          <w:spacing w:val="-2"/>
          <w:sz w:val="24"/>
          <w:szCs w:val="24"/>
        </w:rPr>
        <w:t>soruşturma</w:t>
      </w:r>
      <w:r w:rsidRPr="00813452">
        <w:rPr>
          <w:rFonts w:ascii="Times New Roman" w:hAnsi="Times New Roman" w:cs="Times New Roman"/>
          <w:bCs/>
          <w:spacing w:val="-2"/>
          <w:sz w:val="24"/>
          <w:szCs w:val="24"/>
        </w:rPr>
        <w:t xml:space="preserve"> konusu üründe toplam birim karlılığı ise, 2016-2018 yıllarında sıras</w:t>
      </w:r>
      <w:r w:rsidR="00B63A9E" w:rsidRPr="00813452">
        <w:rPr>
          <w:rFonts w:ascii="Times New Roman" w:hAnsi="Times New Roman" w:cs="Times New Roman"/>
          <w:bCs/>
          <w:spacing w:val="-2"/>
          <w:sz w:val="24"/>
          <w:szCs w:val="24"/>
        </w:rPr>
        <w:t>ıyla, 100 birim, 251 birim ve 177</w:t>
      </w:r>
      <w:r w:rsidRPr="00813452">
        <w:rPr>
          <w:rFonts w:ascii="Times New Roman" w:hAnsi="Times New Roman" w:cs="Times New Roman"/>
          <w:bCs/>
          <w:spacing w:val="-2"/>
          <w:sz w:val="24"/>
          <w:szCs w:val="24"/>
        </w:rPr>
        <w:t xml:space="preserve"> birim olarak gerçekleşmiştir. </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47" w:name="_Toc23339110"/>
      <w:bookmarkStart w:id="48" w:name="_Toc23407650"/>
      <w:bookmarkStart w:id="49" w:name="_Toc23509697"/>
      <w:r w:rsidRPr="00813452">
        <w:rPr>
          <w:rFonts w:ascii="Times New Roman" w:hAnsi="Times New Roman" w:cs="Times New Roman"/>
          <w:b/>
          <w:color w:val="auto"/>
          <w:sz w:val="24"/>
          <w:szCs w:val="24"/>
        </w:rPr>
        <w:t>e) Verimlilik</w:t>
      </w:r>
      <w:bookmarkEnd w:id="47"/>
      <w:bookmarkEnd w:id="48"/>
      <w:bookmarkEnd w:id="49"/>
      <w:r w:rsidRPr="00813452">
        <w:rPr>
          <w:rFonts w:ascii="Times New Roman" w:hAnsi="Times New Roman" w:cs="Times New Roman"/>
          <w:b/>
          <w:color w:val="auto"/>
          <w:sz w:val="24"/>
          <w:szCs w:val="24"/>
        </w:rPr>
        <w:t xml:space="preserve"> </w:t>
      </w:r>
    </w:p>
    <w:p w:rsidR="004E4551" w:rsidRPr="00813452" w:rsidRDefault="004E4551" w:rsidP="00A73D18">
      <w:pPr>
        <w:tabs>
          <w:tab w:val="left" w:pos="360"/>
        </w:tabs>
        <w:spacing w:before="240" w:after="120"/>
        <w:jc w:val="both"/>
        <w:rPr>
          <w:rFonts w:ascii="Times New Roman" w:hAnsi="Times New Roman" w:cs="Times New Roman"/>
          <w:bCs/>
          <w:sz w:val="24"/>
          <w:szCs w:val="24"/>
        </w:rPr>
      </w:pPr>
      <w:r w:rsidRPr="00813452">
        <w:rPr>
          <w:rFonts w:ascii="Times New Roman" w:hAnsi="Times New Roman" w:cs="Times New Roman"/>
          <w:bCs/>
          <w:spacing w:val="-2"/>
          <w:sz w:val="24"/>
          <w:szCs w:val="24"/>
        </w:rPr>
        <w:t xml:space="preserve">(1) </w:t>
      </w:r>
      <w:r w:rsidR="00B01FEE" w:rsidRPr="00813452">
        <w:rPr>
          <w:rFonts w:ascii="Times New Roman" w:hAnsi="Times New Roman" w:cs="Times New Roman"/>
          <w:bCs/>
          <w:spacing w:val="-2"/>
          <w:sz w:val="24"/>
          <w:szCs w:val="24"/>
        </w:rPr>
        <w:t>Soruşturma</w:t>
      </w:r>
      <w:r w:rsidRPr="00813452">
        <w:rPr>
          <w:rFonts w:ascii="Times New Roman" w:hAnsi="Times New Roman" w:cs="Times New Roman"/>
          <w:bCs/>
          <w:spacing w:val="-2"/>
          <w:sz w:val="24"/>
          <w:szCs w:val="24"/>
        </w:rPr>
        <w:t xml:space="preserve"> konusu ürün üretiminde çalışan işçi başına düşen üretim miktarını gösteren verimlilik endeksi 2016 yılında 100 birim, 2017 yılında 99 birim ve 2018 yılında 9</w:t>
      </w:r>
      <w:r w:rsidR="00B63A9E" w:rsidRPr="00813452">
        <w:rPr>
          <w:rFonts w:ascii="Times New Roman" w:hAnsi="Times New Roman" w:cs="Times New Roman"/>
          <w:bCs/>
          <w:spacing w:val="-2"/>
          <w:sz w:val="24"/>
          <w:szCs w:val="24"/>
        </w:rPr>
        <w:t>1</w:t>
      </w:r>
      <w:r w:rsidRPr="00813452">
        <w:rPr>
          <w:rFonts w:ascii="Times New Roman" w:hAnsi="Times New Roman" w:cs="Times New Roman"/>
          <w:bCs/>
          <w:spacing w:val="-2"/>
          <w:sz w:val="24"/>
          <w:szCs w:val="24"/>
        </w:rPr>
        <w:t xml:space="preserve"> birim </w:t>
      </w:r>
      <w:r w:rsidRPr="00813452">
        <w:rPr>
          <w:rFonts w:ascii="Times New Roman" w:hAnsi="Times New Roman" w:cs="Times New Roman"/>
          <w:bCs/>
          <w:sz w:val="24"/>
          <w:szCs w:val="24"/>
        </w:rPr>
        <w:t>olmuştur.</w:t>
      </w:r>
    </w:p>
    <w:p w:rsidR="00B01FEE" w:rsidRPr="00813452" w:rsidRDefault="004E4551" w:rsidP="00A73D18">
      <w:pPr>
        <w:pStyle w:val="Balk2"/>
        <w:spacing w:before="240" w:after="120"/>
        <w:rPr>
          <w:rFonts w:ascii="Times New Roman" w:hAnsi="Times New Roman" w:cs="Times New Roman"/>
          <w:b/>
          <w:color w:val="auto"/>
          <w:sz w:val="24"/>
          <w:szCs w:val="24"/>
        </w:rPr>
      </w:pPr>
      <w:bookmarkStart w:id="50" w:name="_Toc23339111"/>
      <w:bookmarkStart w:id="51" w:name="_Toc23407651"/>
      <w:bookmarkStart w:id="52" w:name="_Toc23509698"/>
      <w:r w:rsidRPr="00813452">
        <w:rPr>
          <w:rFonts w:ascii="Times New Roman" w:hAnsi="Times New Roman" w:cs="Times New Roman"/>
          <w:b/>
          <w:color w:val="auto"/>
          <w:sz w:val="24"/>
          <w:szCs w:val="24"/>
        </w:rPr>
        <w:t>f) Nakit akışı</w:t>
      </w:r>
      <w:bookmarkEnd w:id="50"/>
      <w:bookmarkEnd w:id="51"/>
      <w:bookmarkEnd w:id="52"/>
    </w:p>
    <w:p w:rsidR="004E4551" w:rsidRPr="00813452" w:rsidRDefault="004E4551" w:rsidP="00A73D18">
      <w:pPr>
        <w:tabs>
          <w:tab w:val="left" w:pos="360"/>
        </w:tabs>
        <w:spacing w:before="240" w:after="120"/>
        <w:jc w:val="both"/>
        <w:rPr>
          <w:rFonts w:ascii="Times New Roman" w:hAnsi="Times New Roman" w:cs="Times New Roman"/>
          <w:b/>
          <w:bCs/>
          <w:spacing w:val="-2"/>
          <w:sz w:val="24"/>
          <w:szCs w:val="24"/>
        </w:rPr>
      </w:pPr>
      <w:r w:rsidRPr="00813452">
        <w:rPr>
          <w:rFonts w:ascii="Times New Roman" w:hAnsi="Times New Roman" w:cs="Times New Roman"/>
          <w:bCs/>
          <w:spacing w:val="-2"/>
          <w:sz w:val="24"/>
          <w:szCs w:val="24"/>
        </w:rPr>
        <w:t xml:space="preserve">(1) </w:t>
      </w:r>
      <w:r w:rsidR="00B01FEE" w:rsidRPr="00813452">
        <w:rPr>
          <w:rFonts w:ascii="Times New Roman" w:hAnsi="Times New Roman" w:cs="Times New Roman"/>
          <w:noProof/>
          <w:sz w:val="24"/>
          <w:szCs w:val="24"/>
        </w:rPr>
        <w:t>Soruşturma</w:t>
      </w:r>
      <w:r w:rsidRPr="00813452">
        <w:rPr>
          <w:rFonts w:ascii="Times New Roman" w:hAnsi="Times New Roman" w:cs="Times New Roman"/>
          <w:noProof/>
          <w:sz w:val="24"/>
          <w:szCs w:val="24"/>
        </w:rPr>
        <w:t xml:space="preserve"> konusu üründe nakit ak</w:t>
      </w:r>
      <w:r w:rsidR="00B01FEE" w:rsidRPr="00813452">
        <w:rPr>
          <w:rFonts w:ascii="Times New Roman" w:hAnsi="Times New Roman" w:cs="Times New Roman"/>
          <w:noProof/>
          <w:sz w:val="24"/>
          <w:szCs w:val="24"/>
        </w:rPr>
        <w:t>ışı endeksi ise, 2016 yılında 1</w:t>
      </w:r>
      <w:r w:rsidRPr="00813452">
        <w:rPr>
          <w:rFonts w:ascii="Times New Roman" w:hAnsi="Times New Roman" w:cs="Times New Roman"/>
          <w:noProof/>
          <w:sz w:val="24"/>
          <w:szCs w:val="24"/>
        </w:rPr>
        <w:t>00 birim kabul edildiğ</w:t>
      </w:r>
      <w:r w:rsidR="00B01FEE" w:rsidRPr="00813452">
        <w:rPr>
          <w:rFonts w:ascii="Times New Roman" w:hAnsi="Times New Roman" w:cs="Times New Roman"/>
          <w:noProof/>
          <w:sz w:val="24"/>
          <w:szCs w:val="24"/>
        </w:rPr>
        <w:t>inde, 2017 yılında 182 birim, 2018 yılında ise 418</w:t>
      </w:r>
      <w:r w:rsidRPr="00813452">
        <w:rPr>
          <w:rFonts w:ascii="Times New Roman" w:hAnsi="Times New Roman" w:cs="Times New Roman"/>
          <w:noProof/>
          <w:sz w:val="24"/>
          <w:szCs w:val="24"/>
        </w:rPr>
        <w:t xml:space="preserve"> birim olarak gerçekleşmiştir. </w:t>
      </w:r>
      <w:r w:rsidRPr="00813452">
        <w:rPr>
          <w:rFonts w:ascii="Times New Roman" w:hAnsi="Times New Roman" w:cs="Times New Roman"/>
          <w:bCs/>
          <w:spacing w:val="-2"/>
          <w:sz w:val="24"/>
          <w:szCs w:val="24"/>
        </w:rPr>
        <w:t xml:space="preserve"> </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53" w:name="_Toc23339112"/>
      <w:bookmarkStart w:id="54" w:name="_Toc23407652"/>
      <w:bookmarkStart w:id="55" w:name="_Toc23509699"/>
      <w:r w:rsidRPr="00813452">
        <w:rPr>
          <w:rFonts w:ascii="Times New Roman" w:hAnsi="Times New Roman" w:cs="Times New Roman"/>
          <w:b/>
          <w:color w:val="auto"/>
          <w:sz w:val="24"/>
          <w:szCs w:val="24"/>
        </w:rPr>
        <w:t>g) Stoklar</w:t>
      </w:r>
      <w:bookmarkEnd w:id="53"/>
      <w:bookmarkEnd w:id="54"/>
      <w:bookmarkEnd w:id="55"/>
    </w:p>
    <w:p w:rsidR="004E4551" w:rsidRPr="00813452" w:rsidRDefault="004E4551" w:rsidP="00A73D18">
      <w:pPr>
        <w:tabs>
          <w:tab w:val="left" w:pos="360"/>
        </w:tabs>
        <w:spacing w:before="240" w:after="120"/>
        <w:jc w:val="both"/>
        <w:rPr>
          <w:rFonts w:ascii="Times New Roman" w:hAnsi="Times New Roman" w:cs="Times New Roman"/>
          <w:b/>
          <w:bCs/>
          <w:spacing w:val="-2"/>
          <w:sz w:val="24"/>
          <w:szCs w:val="24"/>
        </w:rPr>
      </w:pPr>
      <w:r w:rsidRPr="00813452">
        <w:rPr>
          <w:rFonts w:ascii="Times New Roman" w:hAnsi="Times New Roman" w:cs="Times New Roman"/>
          <w:bCs/>
          <w:spacing w:val="-2"/>
          <w:sz w:val="24"/>
          <w:szCs w:val="24"/>
        </w:rPr>
        <w:t xml:space="preserve">(1) </w:t>
      </w:r>
      <w:r w:rsidR="00B01FEE" w:rsidRPr="00813452">
        <w:rPr>
          <w:rFonts w:ascii="Times New Roman" w:hAnsi="Times New Roman" w:cs="Times New Roman"/>
          <w:noProof/>
          <w:sz w:val="24"/>
          <w:szCs w:val="24"/>
        </w:rPr>
        <w:t>Soruşturma</w:t>
      </w:r>
      <w:r w:rsidRPr="00813452">
        <w:rPr>
          <w:rFonts w:ascii="Times New Roman" w:hAnsi="Times New Roman" w:cs="Times New Roman"/>
          <w:noProof/>
          <w:sz w:val="24"/>
          <w:szCs w:val="24"/>
        </w:rPr>
        <w:t xml:space="preserve"> konusu ürüne ilişkin stok miktarı endeksi ince</w:t>
      </w:r>
      <w:r w:rsidR="00B01FEE" w:rsidRPr="00813452">
        <w:rPr>
          <w:rFonts w:ascii="Times New Roman" w:hAnsi="Times New Roman" w:cs="Times New Roman"/>
          <w:noProof/>
          <w:sz w:val="24"/>
          <w:szCs w:val="24"/>
        </w:rPr>
        <w:t>lenen dönemde sırasıyla 100, 199 ve 50</w:t>
      </w:r>
      <w:r w:rsidRPr="00813452">
        <w:rPr>
          <w:rFonts w:ascii="Times New Roman" w:hAnsi="Times New Roman" w:cs="Times New Roman"/>
          <w:noProof/>
          <w:sz w:val="24"/>
          <w:szCs w:val="24"/>
        </w:rPr>
        <w:t xml:space="preserve"> birim olarak gerçekleşmiştir.</w:t>
      </w:r>
    </w:p>
    <w:p w:rsidR="004E4551" w:rsidRPr="00813452" w:rsidRDefault="004E4551" w:rsidP="00A73D18">
      <w:pPr>
        <w:tabs>
          <w:tab w:val="left" w:pos="360"/>
        </w:tabs>
        <w:spacing w:before="240" w:after="120"/>
        <w:jc w:val="both"/>
        <w:rPr>
          <w:rFonts w:ascii="Times New Roman" w:hAnsi="Times New Roman" w:cs="Times New Roman"/>
          <w:noProof/>
          <w:sz w:val="24"/>
          <w:szCs w:val="24"/>
        </w:rPr>
      </w:pPr>
      <w:r w:rsidRPr="00813452">
        <w:rPr>
          <w:rFonts w:ascii="Times New Roman" w:hAnsi="Times New Roman" w:cs="Times New Roman"/>
          <w:noProof/>
          <w:sz w:val="24"/>
          <w:szCs w:val="24"/>
        </w:rPr>
        <w:t>(2) İncelenen yıllar için stok çevrim hızı endeksi ise dalgalı bir s</w:t>
      </w:r>
      <w:r w:rsidR="00CE1EC9" w:rsidRPr="00813452">
        <w:rPr>
          <w:rFonts w:ascii="Times New Roman" w:hAnsi="Times New Roman" w:cs="Times New Roman"/>
          <w:noProof/>
          <w:sz w:val="24"/>
          <w:szCs w:val="24"/>
        </w:rPr>
        <w:t>eyir izlemiş, sırasıyla, 100, 57 ve 251</w:t>
      </w:r>
      <w:r w:rsidRPr="00813452">
        <w:rPr>
          <w:rFonts w:ascii="Times New Roman" w:hAnsi="Times New Roman" w:cs="Times New Roman"/>
          <w:noProof/>
          <w:sz w:val="24"/>
          <w:szCs w:val="24"/>
        </w:rPr>
        <w:t xml:space="preserve"> birim olarak gerçekleşmiştir.</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56" w:name="_Toc23339113"/>
      <w:bookmarkStart w:id="57" w:name="_Toc23407653"/>
      <w:bookmarkStart w:id="58" w:name="_Toc23509700"/>
      <w:r w:rsidRPr="00813452">
        <w:rPr>
          <w:rFonts w:ascii="Times New Roman" w:hAnsi="Times New Roman" w:cs="Times New Roman"/>
          <w:b/>
          <w:color w:val="auto"/>
          <w:sz w:val="24"/>
          <w:szCs w:val="24"/>
        </w:rPr>
        <w:t>ğ) İstihdam</w:t>
      </w:r>
      <w:bookmarkEnd w:id="56"/>
      <w:bookmarkEnd w:id="57"/>
      <w:bookmarkEnd w:id="58"/>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(1) Yerli üretim dalının </w:t>
      </w:r>
      <w:r w:rsidR="00B01FEE" w:rsidRPr="00813452">
        <w:rPr>
          <w:rFonts w:ascii="Times New Roman" w:hAnsi="Times New Roman" w:cs="Times New Roman"/>
          <w:bCs/>
          <w:spacing w:val="-2"/>
          <w:sz w:val="24"/>
          <w:szCs w:val="24"/>
        </w:rPr>
        <w:t>soruşturma</w:t>
      </w:r>
      <w:r w:rsidRPr="00813452">
        <w:rPr>
          <w:rFonts w:ascii="Times New Roman" w:hAnsi="Times New Roman" w:cs="Times New Roman"/>
          <w:bCs/>
          <w:spacing w:val="-2"/>
          <w:sz w:val="24"/>
          <w:szCs w:val="24"/>
        </w:rPr>
        <w:t xml:space="preserve"> konusu ürün üretiminde çalışan doğrudan işçi sayısı 2016 yılı 100 birim kabul edildiğinde, 2017 yılında 119 birime, 2018 yılında ise 125 birime yükselmiştir. </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59" w:name="_Toc23339114"/>
      <w:bookmarkStart w:id="60" w:name="_Toc23407654"/>
      <w:bookmarkStart w:id="61" w:name="_Toc23509701"/>
      <w:r w:rsidRPr="00813452">
        <w:rPr>
          <w:rFonts w:ascii="Times New Roman" w:hAnsi="Times New Roman" w:cs="Times New Roman"/>
          <w:b/>
          <w:color w:val="auto"/>
          <w:sz w:val="24"/>
          <w:szCs w:val="24"/>
        </w:rPr>
        <w:t>h) Ücretler</w:t>
      </w:r>
      <w:bookmarkEnd w:id="59"/>
      <w:bookmarkEnd w:id="60"/>
      <w:bookmarkEnd w:id="61"/>
    </w:p>
    <w:p w:rsidR="004E4551" w:rsidRPr="00813452" w:rsidRDefault="00CE1EC9"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(1) 2016</w:t>
      </w:r>
      <w:r w:rsidR="004E4551" w:rsidRPr="00813452">
        <w:rPr>
          <w:rFonts w:ascii="Times New Roman" w:hAnsi="Times New Roman" w:cs="Times New Roman"/>
          <w:bCs/>
          <w:spacing w:val="-2"/>
          <w:sz w:val="24"/>
          <w:szCs w:val="24"/>
        </w:rPr>
        <w:t xml:space="preserve"> yılında 100 birim olarak kabul edilen aylık brüt işçi</w:t>
      </w:r>
      <w:r w:rsidRPr="00813452">
        <w:rPr>
          <w:rFonts w:ascii="Times New Roman" w:hAnsi="Times New Roman" w:cs="Times New Roman"/>
          <w:bCs/>
          <w:spacing w:val="-2"/>
          <w:sz w:val="24"/>
          <w:szCs w:val="24"/>
        </w:rPr>
        <w:t xml:space="preserve"> ücreti endeksi, 2017 yılında 102 birim, 2018 yılında ise 97 birim olarak gerçekleşmiştir. </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62" w:name="_Toc23339115"/>
      <w:bookmarkStart w:id="63" w:name="_Toc23407655"/>
      <w:bookmarkStart w:id="64" w:name="_Toc23509702"/>
      <w:r w:rsidRPr="00813452">
        <w:rPr>
          <w:rFonts w:ascii="Times New Roman" w:hAnsi="Times New Roman" w:cs="Times New Roman"/>
          <w:b/>
          <w:color w:val="auto"/>
          <w:sz w:val="24"/>
          <w:szCs w:val="24"/>
        </w:rPr>
        <w:t>ı) Büyüme</w:t>
      </w:r>
      <w:bookmarkEnd w:id="62"/>
      <w:bookmarkEnd w:id="63"/>
      <w:bookmarkEnd w:id="64"/>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(1) Yerli üretim dalının bilanço aktiflerinin toplamına ilişkin 2016 yılında 100 birim olduğu kabul edilen endeks, 2017 yılında değişmemiş, 2018 yılında ise 92 birime gerilemiştir. </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65" w:name="_Toc23339116"/>
      <w:bookmarkStart w:id="66" w:name="_Toc23407656"/>
      <w:bookmarkStart w:id="67" w:name="_Toc23509703"/>
      <w:r w:rsidRPr="00813452">
        <w:rPr>
          <w:rFonts w:ascii="Times New Roman" w:hAnsi="Times New Roman" w:cs="Times New Roman"/>
          <w:b/>
          <w:color w:val="auto"/>
          <w:sz w:val="24"/>
          <w:szCs w:val="24"/>
        </w:rPr>
        <w:lastRenderedPageBreak/>
        <w:t>i) Sermaye arttırma yeteneği</w:t>
      </w:r>
      <w:bookmarkEnd w:id="65"/>
      <w:bookmarkEnd w:id="66"/>
      <w:bookmarkEnd w:id="67"/>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(1)  2016 yılında 100 birim olduğu kabul edilen yerli üretim dalının özsermaye endeksi, 2017 yılında 126 birime, 2018 yılında ise 138 birime yükselmiştir.</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68" w:name="_Toc23339117"/>
      <w:bookmarkStart w:id="69" w:name="_Toc23407657"/>
      <w:bookmarkStart w:id="70" w:name="_Toc23509704"/>
      <w:r w:rsidRPr="00813452">
        <w:rPr>
          <w:rFonts w:ascii="Times New Roman" w:hAnsi="Times New Roman" w:cs="Times New Roman"/>
          <w:b/>
          <w:color w:val="auto"/>
          <w:sz w:val="24"/>
          <w:szCs w:val="24"/>
        </w:rPr>
        <w:t>j) Yatırımları arttırma yeteneği</w:t>
      </w:r>
      <w:bookmarkEnd w:id="68"/>
      <w:bookmarkEnd w:id="69"/>
      <w:bookmarkEnd w:id="70"/>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(1) </w:t>
      </w:r>
      <w:r w:rsidRPr="00813452">
        <w:rPr>
          <w:rFonts w:ascii="Times New Roman" w:hAnsi="Times New Roman" w:cs="Times New Roman"/>
          <w:noProof/>
          <w:sz w:val="24"/>
          <w:szCs w:val="24"/>
        </w:rPr>
        <w:t>Yerli üretim dalının</w:t>
      </w:r>
      <w:r w:rsidRPr="00813452">
        <w:rPr>
          <w:rFonts w:ascii="Times New Roman" w:hAnsi="Times New Roman" w:cs="Times New Roman"/>
          <w:bCs/>
          <w:spacing w:val="-2"/>
          <w:sz w:val="24"/>
          <w:szCs w:val="24"/>
        </w:rPr>
        <w:t xml:space="preserve"> incelenen dönemde tevsi yatırımları endeksi, sırasıyla, 100, 123 ve 189 birim olarak gerçekleşmiştir.</w:t>
      </w:r>
    </w:p>
    <w:p w:rsidR="004E4551" w:rsidRPr="00813452" w:rsidRDefault="004E4551"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(2) Yenileme yatırımları endeksi ise, 100, 86 ve 116 birim olarak gerçekleşmiştir.</w:t>
      </w:r>
    </w:p>
    <w:p w:rsidR="004E4551" w:rsidRPr="00813452" w:rsidRDefault="004E4551" w:rsidP="00A73D18">
      <w:pPr>
        <w:pStyle w:val="Balk2"/>
        <w:spacing w:before="240" w:after="120"/>
        <w:rPr>
          <w:rFonts w:ascii="Times New Roman" w:hAnsi="Times New Roman" w:cs="Times New Roman"/>
          <w:b/>
          <w:color w:val="auto"/>
          <w:sz w:val="24"/>
          <w:szCs w:val="24"/>
        </w:rPr>
      </w:pPr>
      <w:bookmarkStart w:id="71" w:name="_Toc23339118"/>
      <w:bookmarkStart w:id="72" w:name="_Toc23407658"/>
      <w:bookmarkStart w:id="73" w:name="_Toc23509705"/>
      <w:r w:rsidRPr="00813452">
        <w:rPr>
          <w:rFonts w:ascii="Times New Roman" w:hAnsi="Times New Roman" w:cs="Times New Roman"/>
          <w:b/>
          <w:color w:val="auto"/>
          <w:sz w:val="24"/>
          <w:szCs w:val="24"/>
        </w:rPr>
        <w:t>k) Yatırımların geri dönüşü</w:t>
      </w:r>
      <w:bookmarkEnd w:id="71"/>
      <w:bookmarkEnd w:id="72"/>
      <w:bookmarkEnd w:id="73"/>
    </w:p>
    <w:p w:rsidR="00814DBC" w:rsidRPr="00813452" w:rsidRDefault="004E4551" w:rsidP="00A73D18">
      <w:pPr>
        <w:pStyle w:val="Balk2"/>
        <w:spacing w:before="240" w:after="120"/>
        <w:jc w:val="both"/>
        <w:rPr>
          <w:rFonts w:ascii="Times New Roman" w:hAnsi="Times New Roman" w:cs="Times New Roman"/>
          <w:color w:val="auto"/>
          <w:sz w:val="24"/>
          <w:szCs w:val="24"/>
        </w:rPr>
      </w:pPr>
      <w:bookmarkStart w:id="74" w:name="_Toc23339119"/>
      <w:bookmarkStart w:id="75" w:name="_Toc23407659"/>
      <w:bookmarkStart w:id="76" w:name="_Toc23509706"/>
      <w:r w:rsidRPr="00813452">
        <w:rPr>
          <w:rFonts w:ascii="Times New Roman" w:hAnsi="Times New Roman" w:cs="Times New Roman"/>
          <w:color w:val="auto"/>
          <w:sz w:val="24"/>
          <w:szCs w:val="24"/>
        </w:rPr>
        <w:t>(1) Yatırımların geri dönüş oranı (net kar/aktif toplamı) 2016 yılında 100 birim olarak kab</w:t>
      </w:r>
      <w:r w:rsidR="00CE1EC9" w:rsidRPr="00813452">
        <w:rPr>
          <w:rFonts w:ascii="Times New Roman" w:hAnsi="Times New Roman" w:cs="Times New Roman"/>
          <w:color w:val="auto"/>
          <w:sz w:val="24"/>
          <w:szCs w:val="24"/>
        </w:rPr>
        <w:t>ul edildiğinde, 2017 yılında 99 birim, 2018 yılında ise 118</w:t>
      </w:r>
      <w:r w:rsidRPr="00813452">
        <w:rPr>
          <w:rFonts w:ascii="Times New Roman" w:hAnsi="Times New Roman" w:cs="Times New Roman"/>
          <w:color w:val="auto"/>
          <w:sz w:val="24"/>
          <w:szCs w:val="24"/>
        </w:rPr>
        <w:t xml:space="preserve"> birim</w:t>
      </w:r>
      <w:r w:rsidR="00CE1EC9" w:rsidRPr="00813452">
        <w:rPr>
          <w:rFonts w:ascii="Times New Roman" w:hAnsi="Times New Roman" w:cs="Times New Roman"/>
          <w:color w:val="auto"/>
          <w:sz w:val="24"/>
          <w:szCs w:val="24"/>
        </w:rPr>
        <w:t xml:space="preserve"> olarak gerçekleşmiştir.</w:t>
      </w:r>
      <w:bookmarkEnd w:id="74"/>
      <w:bookmarkEnd w:id="75"/>
      <w:bookmarkEnd w:id="76"/>
      <w:r w:rsidR="00CE1EC9" w:rsidRPr="00813452">
        <w:rPr>
          <w:rFonts w:ascii="Times New Roman" w:hAnsi="Times New Roman" w:cs="Times New Roman"/>
          <w:color w:val="auto"/>
          <w:sz w:val="24"/>
          <w:szCs w:val="24"/>
        </w:rPr>
        <w:t xml:space="preserve"> </w:t>
      </w:r>
    </w:p>
    <w:p w:rsidR="00395ADB" w:rsidRPr="00813452" w:rsidRDefault="00395ADB" w:rsidP="00A73D18">
      <w:pPr>
        <w:pStyle w:val="Balk2"/>
        <w:numPr>
          <w:ilvl w:val="1"/>
          <w:numId w:val="1"/>
        </w:numPr>
        <w:spacing w:before="240" w:after="120"/>
        <w:rPr>
          <w:rFonts w:ascii="Times New Roman" w:hAnsi="Times New Roman" w:cs="Times New Roman"/>
          <w:b/>
          <w:color w:val="auto"/>
          <w:sz w:val="24"/>
          <w:szCs w:val="24"/>
        </w:rPr>
      </w:pPr>
      <w:bookmarkStart w:id="77" w:name="_Toc23509707"/>
      <w:r w:rsidRPr="00813452">
        <w:rPr>
          <w:rFonts w:ascii="Times New Roman" w:hAnsi="Times New Roman" w:cs="Times New Roman"/>
          <w:b/>
          <w:color w:val="auto"/>
          <w:sz w:val="24"/>
          <w:szCs w:val="24"/>
        </w:rPr>
        <w:t>Yerli üretim dalının ekonomik göstergelerinin değerlendirilmesi</w:t>
      </w:r>
      <w:bookmarkEnd w:id="77"/>
      <w:r w:rsidRPr="00813452">
        <w:rPr>
          <w:rFonts w:ascii="Times New Roman" w:hAnsi="Times New Roman" w:cs="Times New Roman"/>
          <w:b/>
          <w:color w:val="auto"/>
          <w:sz w:val="24"/>
          <w:szCs w:val="24"/>
        </w:rPr>
        <w:t xml:space="preserve"> </w:t>
      </w:r>
    </w:p>
    <w:p w:rsidR="00395ADB" w:rsidRPr="00813452" w:rsidRDefault="00395ADB"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(1) </w:t>
      </w:r>
      <w:r w:rsidR="00322CF6" w:rsidRPr="00813452">
        <w:rPr>
          <w:rFonts w:ascii="Times New Roman" w:hAnsi="Times New Roman" w:cs="Times New Roman"/>
          <w:bCs/>
          <w:spacing w:val="-2"/>
          <w:sz w:val="24"/>
          <w:szCs w:val="24"/>
        </w:rPr>
        <w:t>Yerli üretim dalının ekonomik göstergeleri bir bütün olarak değerle</w:t>
      </w:r>
      <w:r w:rsidR="00DA241E" w:rsidRPr="00813452">
        <w:rPr>
          <w:rFonts w:ascii="Times New Roman" w:hAnsi="Times New Roman" w:cs="Times New Roman"/>
          <w:bCs/>
          <w:spacing w:val="-2"/>
          <w:sz w:val="24"/>
          <w:szCs w:val="24"/>
        </w:rPr>
        <w:t>ndirilmiştir.</w:t>
      </w:r>
      <w:r w:rsidR="001719A5" w:rsidRPr="00813452">
        <w:rPr>
          <w:rFonts w:ascii="Times New Roman" w:hAnsi="Times New Roman" w:cs="Times New Roman"/>
          <w:bCs/>
          <w:spacing w:val="-2"/>
          <w:sz w:val="24"/>
          <w:szCs w:val="24"/>
        </w:rPr>
        <w:t xml:space="preserve"> 2016 yılından 2017 yılına olumlu seyreden bazı ekonomik göstergelerin, 2018 yılındaki tüketimdeki daralmaya bağlı olarak olumsuz seyrettiği görülmektedir.</w:t>
      </w:r>
      <w:r w:rsidR="00DA241E" w:rsidRPr="00813452">
        <w:rPr>
          <w:rFonts w:ascii="Times New Roman" w:hAnsi="Times New Roman" w:cs="Times New Roman"/>
          <w:bCs/>
          <w:spacing w:val="-2"/>
          <w:sz w:val="24"/>
          <w:szCs w:val="24"/>
        </w:rPr>
        <w:t xml:space="preserve"> Bu çerçevede, 201</w:t>
      </w:r>
      <w:r w:rsidR="001719A5" w:rsidRPr="00813452">
        <w:rPr>
          <w:rFonts w:ascii="Times New Roman" w:hAnsi="Times New Roman" w:cs="Times New Roman"/>
          <w:bCs/>
          <w:spacing w:val="-2"/>
          <w:sz w:val="24"/>
          <w:szCs w:val="24"/>
        </w:rPr>
        <w:t>8</w:t>
      </w:r>
      <w:r w:rsidR="00322CF6" w:rsidRPr="00813452">
        <w:rPr>
          <w:rFonts w:ascii="Times New Roman" w:hAnsi="Times New Roman" w:cs="Times New Roman"/>
          <w:bCs/>
          <w:spacing w:val="-2"/>
          <w:sz w:val="24"/>
          <w:szCs w:val="24"/>
        </w:rPr>
        <w:t xml:space="preserve"> yılında yurt içi satışl</w:t>
      </w:r>
      <w:r w:rsidR="00EF555F">
        <w:rPr>
          <w:rFonts w:ascii="Times New Roman" w:hAnsi="Times New Roman" w:cs="Times New Roman"/>
          <w:bCs/>
          <w:spacing w:val="-2"/>
          <w:sz w:val="24"/>
          <w:szCs w:val="24"/>
        </w:rPr>
        <w:t xml:space="preserve">arının miktar bazında azaldığı; </w:t>
      </w:r>
      <w:r w:rsidR="001719A5" w:rsidRPr="00813452">
        <w:rPr>
          <w:rFonts w:ascii="Times New Roman" w:hAnsi="Times New Roman" w:cs="Times New Roman"/>
          <w:bCs/>
          <w:spacing w:val="-2"/>
          <w:sz w:val="24"/>
          <w:szCs w:val="24"/>
        </w:rPr>
        <w:t xml:space="preserve">yurtiçi satışlar, birim karlılık ve </w:t>
      </w:r>
      <w:r w:rsidR="00EF555F">
        <w:rPr>
          <w:rFonts w:ascii="Times New Roman" w:hAnsi="Times New Roman" w:cs="Times New Roman"/>
          <w:bCs/>
          <w:spacing w:val="-2"/>
          <w:sz w:val="24"/>
          <w:szCs w:val="24"/>
        </w:rPr>
        <w:t xml:space="preserve">aktifler </w:t>
      </w:r>
      <w:r w:rsidR="001719A5" w:rsidRPr="00813452">
        <w:rPr>
          <w:rFonts w:ascii="Times New Roman" w:hAnsi="Times New Roman" w:cs="Times New Roman"/>
          <w:bCs/>
          <w:spacing w:val="-2"/>
          <w:sz w:val="24"/>
          <w:szCs w:val="24"/>
        </w:rPr>
        <w:t>toplamı 2018 yılında, 2017 yılına göre azalmıştır.</w:t>
      </w:r>
      <w:r w:rsidR="00DA241E" w:rsidRPr="00813452">
        <w:rPr>
          <w:rFonts w:ascii="Times New Roman" w:hAnsi="Times New Roman" w:cs="Times New Roman"/>
          <w:bCs/>
          <w:spacing w:val="-2"/>
          <w:sz w:val="24"/>
          <w:szCs w:val="24"/>
        </w:rPr>
        <w:t xml:space="preserve"> </w:t>
      </w:r>
      <w:r w:rsidR="00F7533C" w:rsidRPr="00813452">
        <w:rPr>
          <w:rFonts w:ascii="Times New Roman" w:hAnsi="Times New Roman" w:cs="Times New Roman"/>
          <w:bCs/>
          <w:spacing w:val="-2"/>
          <w:sz w:val="24"/>
          <w:szCs w:val="24"/>
        </w:rPr>
        <w:t>D</w:t>
      </w:r>
      <w:r w:rsidR="001719A5" w:rsidRPr="00813452">
        <w:rPr>
          <w:rFonts w:ascii="Times New Roman" w:hAnsi="Times New Roman" w:cs="Times New Roman"/>
          <w:bCs/>
          <w:spacing w:val="-2"/>
          <w:sz w:val="24"/>
          <w:szCs w:val="24"/>
        </w:rPr>
        <w:t xml:space="preserve">ampingli ithalatın durmuş olması nedeniyle bu olumsuzlukların dampingli ithalata bağlı olmadığı değerlendirilmektedir. </w:t>
      </w:r>
    </w:p>
    <w:p w:rsidR="00A16DF2" w:rsidRPr="00813452" w:rsidRDefault="00A16DF2" w:rsidP="00A73D18">
      <w:pPr>
        <w:pStyle w:val="Balk2"/>
        <w:numPr>
          <w:ilvl w:val="1"/>
          <w:numId w:val="1"/>
        </w:numPr>
        <w:spacing w:before="240" w:after="120"/>
        <w:rPr>
          <w:rFonts w:ascii="Times New Roman" w:hAnsi="Times New Roman" w:cs="Times New Roman"/>
          <w:b/>
          <w:color w:val="auto"/>
          <w:sz w:val="24"/>
          <w:szCs w:val="24"/>
        </w:rPr>
      </w:pPr>
      <w:bookmarkStart w:id="78" w:name="_Toc23509708"/>
      <w:r w:rsidRPr="00813452">
        <w:rPr>
          <w:rFonts w:ascii="Times New Roman" w:hAnsi="Times New Roman" w:cs="Times New Roman"/>
          <w:b/>
          <w:color w:val="auto"/>
          <w:sz w:val="24"/>
          <w:szCs w:val="24"/>
        </w:rPr>
        <w:t>Zararın devamı veya yeniden meydana gelmesi ihtimali</w:t>
      </w:r>
      <w:bookmarkEnd w:id="78"/>
    </w:p>
    <w:p w:rsidR="00A16DF2" w:rsidRPr="00813452" w:rsidRDefault="00A16DF2"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(1) Dampinge karşı önlemin sona ermesi halinde, zararın devam edip etmeyeceği veya yeniden meydana gelmesinin muhtemel olup olmadığı hususları incelenmiştir.</w:t>
      </w:r>
    </w:p>
    <w:p w:rsidR="00F868EE" w:rsidRPr="00813452" w:rsidRDefault="00F868EE"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(2) Soruşturma konusu ülke menşeli ithalatın önlemin etkisiyle, incelenen yıllarda azalış gösterdiği ve durma noktasına geldiği görülmektedir. </w:t>
      </w:r>
      <w:r w:rsidR="00673A73" w:rsidRPr="00813452">
        <w:rPr>
          <w:rFonts w:ascii="Times New Roman" w:hAnsi="Times New Roman" w:cs="Times New Roman"/>
          <w:bCs/>
          <w:spacing w:val="-2"/>
          <w:sz w:val="24"/>
          <w:szCs w:val="24"/>
        </w:rPr>
        <w:t xml:space="preserve">Önlemin etkisiyle, önlem konusu ülkelerden gerçekleşen ithalatın </w:t>
      </w:r>
      <w:r w:rsidR="000B285E" w:rsidRPr="00813452">
        <w:rPr>
          <w:rFonts w:ascii="Times New Roman" w:hAnsi="Times New Roman" w:cs="Times New Roman"/>
          <w:bCs/>
          <w:spacing w:val="-2"/>
          <w:sz w:val="24"/>
          <w:szCs w:val="24"/>
        </w:rPr>
        <w:t>gerilemesinin sıklıkla gözlenen bir durum olmasının ötesinde, NGGS’lerde ileriye dönük bir inceleme gerçekleştirildiğinden, gerileyen ithalatın tek başına bir sonuç ortaya koyabilmek için yeterli olmadığı değerlendirilmektedir.</w:t>
      </w:r>
    </w:p>
    <w:p w:rsidR="006571BA" w:rsidRPr="00813452" w:rsidRDefault="006571BA"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t xml:space="preserve">(3) İncelenen dönemde gerçekleşen ithalatın </w:t>
      </w:r>
      <w:r w:rsidR="006A53FD" w:rsidRPr="00813452">
        <w:rPr>
          <w:rFonts w:ascii="Times New Roman" w:hAnsi="Times New Roman" w:cs="Times New Roman"/>
          <w:bCs/>
          <w:spacing w:val="-2"/>
          <w:sz w:val="24"/>
          <w:szCs w:val="24"/>
        </w:rPr>
        <w:t xml:space="preserve">ve önlemin kalkması durumunda gerçekleşebilecek muhtemel ithalatın </w:t>
      </w:r>
      <w:r w:rsidRPr="00813452">
        <w:rPr>
          <w:rFonts w:ascii="Times New Roman" w:hAnsi="Times New Roman" w:cs="Times New Roman"/>
          <w:bCs/>
          <w:spacing w:val="-2"/>
          <w:sz w:val="24"/>
          <w:szCs w:val="24"/>
        </w:rPr>
        <w:t>yerli üretim dalının fiyatları</w:t>
      </w:r>
      <w:r w:rsidR="00CE1756" w:rsidRPr="00813452">
        <w:rPr>
          <w:rFonts w:ascii="Times New Roman" w:hAnsi="Times New Roman" w:cs="Times New Roman"/>
          <w:bCs/>
          <w:spacing w:val="-2"/>
          <w:sz w:val="24"/>
          <w:szCs w:val="24"/>
        </w:rPr>
        <w:t xml:space="preserve">nı CIF bedelin %20 ila %30’u arasında bir oranda kıracağı </w:t>
      </w:r>
      <w:r w:rsidR="00FC0E36" w:rsidRPr="00813452">
        <w:rPr>
          <w:rFonts w:ascii="Times New Roman" w:hAnsi="Times New Roman" w:cs="Times New Roman"/>
          <w:bCs/>
          <w:spacing w:val="-2"/>
          <w:sz w:val="24"/>
          <w:szCs w:val="24"/>
        </w:rPr>
        <w:t xml:space="preserve">ve </w:t>
      </w:r>
      <w:r w:rsidR="00CE1756" w:rsidRPr="00813452">
        <w:rPr>
          <w:rFonts w:ascii="Times New Roman" w:hAnsi="Times New Roman" w:cs="Times New Roman"/>
          <w:bCs/>
          <w:spacing w:val="-2"/>
          <w:sz w:val="24"/>
          <w:szCs w:val="24"/>
        </w:rPr>
        <w:t>yerli üretim dalının olması gereken fiyatlarını</w:t>
      </w:r>
      <w:r w:rsidR="00FC0E36" w:rsidRPr="00813452">
        <w:rPr>
          <w:rFonts w:ascii="Times New Roman" w:hAnsi="Times New Roman" w:cs="Times New Roman"/>
          <w:bCs/>
          <w:spacing w:val="-2"/>
          <w:sz w:val="24"/>
          <w:szCs w:val="24"/>
        </w:rPr>
        <w:t xml:space="preserve"> ve CIF bedelin %10 ila %20 aralığında bir oranda</w:t>
      </w:r>
      <w:r w:rsidR="00CE1756" w:rsidRPr="00813452">
        <w:rPr>
          <w:rFonts w:ascii="Times New Roman" w:hAnsi="Times New Roman" w:cs="Times New Roman"/>
          <w:bCs/>
          <w:spacing w:val="-2"/>
          <w:sz w:val="24"/>
          <w:szCs w:val="24"/>
        </w:rPr>
        <w:t xml:space="preserve"> baskılayacağı görülmüştür. </w:t>
      </w:r>
      <w:r w:rsidRPr="00813452">
        <w:rPr>
          <w:rFonts w:ascii="Times New Roman" w:hAnsi="Times New Roman" w:cs="Times New Roman"/>
          <w:bCs/>
          <w:spacing w:val="-2"/>
          <w:sz w:val="24"/>
          <w:szCs w:val="24"/>
        </w:rPr>
        <w:t xml:space="preserve"> </w:t>
      </w:r>
    </w:p>
    <w:p w:rsidR="001719A5" w:rsidRPr="00813452" w:rsidRDefault="006F0027" w:rsidP="00A73D18">
      <w:pPr>
        <w:tabs>
          <w:tab w:val="left" w:pos="360"/>
        </w:tabs>
        <w:spacing w:before="240" w:after="120"/>
        <w:jc w:val="both"/>
        <w:rPr>
          <w:rFonts w:ascii="Times New Roman" w:hAnsi="Times New Roman" w:cs="Times New Roman"/>
          <w:bCs/>
          <w:spacing w:val="-2"/>
          <w:sz w:val="24"/>
          <w:szCs w:val="24"/>
        </w:rPr>
      </w:pPr>
      <w:r>
        <w:rPr>
          <w:rFonts w:ascii="Times New Roman" w:hAnsi="Times New Roman" w:cs="Times New Roman"/>
          <w:bCs/>
          <w:spacing w:val="-2"/>
          <w:sz w:val="24"/>
          <w:szCs w:val="24"/>
        </w:rPr>
        <w:t>(4</w:t>
      </w:r>
      <w:r w:rsidR="001719A5" w:rsidRPr="00813452">
        <w:rPr>
          <w:rFonts w:ascii="Times New Roman" w:hAnsi="Times New Roman" w:cs="Times New Roman"/>
          <w:bCs/>
          <w:spacing w:val="-2"/>
          <w:sz w:val="24"/>
          <w:szCs w:val="24"/>
        </w:rPr>
        <w:t>) Yerli üretim dalının ekonomik göstergelerinin bütüncül olarak değerlendirilmesi neticesinde, incelenen dönemde 2016 yılından 2017 yılına olumlu seyreden üretim, yurtiçi satışlar, birim karlılık gibi bazı ekonomik göstergelerin 2018 yılında 2017 yılına göre gerilediği görülmektedir.</w:t>
      </w:r>
    </w:p>
    <w:p w:rsidR="006571BA" w:rsidRPr="00813452" w:rsidRDefault="006F0027" w:rsidP="00A73D18">
      <w:pPr>
        <w:tabs>
          <w:tab w:val="left" w:pos="360"/>
        </w:tabs>
        <w:spacing w:before="240" w:after="120"/>
        <w:jc w:val="both"/>
        <w:rPr>
          <w:rFonts w:ascii="Times New Roman" w:hAnsi="Times New Roman" w:cs="Times New Roman"/>
          <w:bCs/>
          <w:spacing w:val="-2"/>
          <w:sz w:val="24"/>
          <w:szCs w:val="24"/>
        </w:rPr>
      </w:pPr>
      <w:r>
        <w:rPr>
          <w:rFonts w:ascii="Times New Roman" w:hAnsi="Times New Roman" w:cs="Times New Roman"/>
          <w:bCs/>
          <w:spacing w:val="-2"/>
          <w:sz w:val="24"/>
          <w:szCs w:val="24"/>
        </w:rPr>
        <w:t>(5</w:t>
      </w:r>
      <w:r w:rsidR="006571BA" w:rsidRPr="00813452">
        <w:rPr>
          <w:rFonts w:ascii="Times New Roman" w:hAnsi="Times New Roman" w:cs="Times New Roman"/>
          <w:bCs/>
          <w:spacing w:val="-2"/>
          <w:sz w:val="24"/>
          <w:szCs w:val="24"/>
        </w:rPr>
        <w:t>) Yönetmeliğin 17 nci maddesi çerçevesinde zarara etki edebilecek bilinen diğer unsurlar incelenmiştir.</w:t>
      </w:r>
    </w:p>
    <w:p w:rsidR="00F868EE" w:rsidRPr="00813452" w:rsidRDefault="00F868EE" w:rsidP="00A73D18">
      <w:pPr>
        <w:tabs>
          <w:tab w:val="left" w:pos="360"/>
        </w:tabs>
        <w:spacing w:before="240" w:after="120"/>
        <w:jc w:val="both"/>
        <w:rPr>
          <w:rFonts w:ascii="Times New Roman" w:hAnsi="Times New Roman" w:cs="Times New Roman"/>
          <w:bCs/>
          <w:spacing w:val="-2"/>
          <w:sz w:val="24"/>
          <w:szCs w:val="24"/>
        </w:rPr>
      </w:pPr>
      <w:r w:rsidRPr="00813452">
        <w:rPr>
          <w:rFonts w:ascii="Times New Roman" w:hAnsi="Times New Roman" w:cs="Times New Roman"/>
          <w:bCs/>
          <w:spacing w:val="-2"/>
          <w:sz w:val="24"/>
          <w:szCs w:val="24"/>
        </w:rPr>
        <w:lastRenderedPageBreak/>
        <w:t>(</w:t>
      </w:r>
      <w:r w:rsidR="006F0027">
        <w:rPr>
          <w:rFonts w:ascii="Times New Roman" w:hAnsi="Times New Roman" w:cs="Times New Roman"/>
          <w:bCs/>
          <w:spacing w:val="-2"/>
          <w:sz w:val="24"/>
          <w:szCs w:val="24"/>
        </w:rPr>
        <w:t>6</w:t>
      </w:r>
      <w:r w:rsidRPr="00813452">
        <w:rPr>
          <w:rFonts w:ascii="Times New Roman" w:hAnsi="Times New Roman" w:cs="Times New Roman"/>
          <w:bCs/>
          <w:spacing w:val="-2"/>
          <w:sz w:val="24"/>
          <w:szCs w:val="24"/>
        </w:rPr>
        <w:t xml:space="preserve">) Diğer ülkeler menşeli ithalatın </w:t>
      </w:r>
      <w:r w:rsidR="006571BA" w:rsidRPr="00813452">
        <w:rPr>
          <w:rFonts w:ascii="Times New Roman" w:hAnsi="Times New Roman" w:cs="Times New Roman"/>
          <w:bCs/>
          <w:spacing w:val="-2"/>
          <w:sz w:val="24"/>
          <w:szCs w:val="24"/>
        </w:rPr>
        <w:t>p</w:t>
      </w:r>
      <w:r w:rsidRPr="00813452">
        <w:rPr>
          <w:rFonts w:ascii="Times New Roman" w:hAnsi="Times New Roman" w:cs="Times New Roman"/>
          <w:bCs/>
          <w:spacing w:val="-2"/>
          <w:sz w:val="24"/>
          <w:szCs w:val="24"/>
        </w:rPr>
        <w:t xml:space="preserve">azar payı ise </w:t>
      </w:r>
      <w:r w:rsidR="00F739E3" w:rsidRPr="00813452">
        <w:rPr>
          <w:rFonts w:ascii="Times New Roman" w:hAnsi="Times New Roman" w:cs="Times New Roman"/>
          <w:bCs/>
          <w:spacing w:val="-2"/>
          <w:sz w:val="24"/>
          <w:szCs w:val="24"/>
        </w:rPr>
        <w:t>incelenen yıllarda yükselmiş olmakla birlikte; diğer ülkeler menşeli ithalatın miktar ve birim fiyatları incelendiğinde, yerli üretim dalına zarar verecek seviyede olmadığı değerlendirilmektedir.</w:t>
      </w:r>
    </w:p>
    <w:p w:rsidR="00F739E3" w:rsidRPr="00813452" w:rsidRDefault="006F0027" w:rsidP="00A73D18">
      <w:pPr>
        <w:tabs>
          <w:tab w:val="left" w:pos="360"/>
        </w:tabs>
        <w:spacing w:before="240" w:after="120"/>
        <w:jc w:val="both"/>
        <w:rPr>
          <w:rFonts w:ascii="Times New Roman" w:hAnsi="Times New Roman" w:cs="Times New Roman"/>
          <w:bCs/>
          <w:spacing w:val="-2"/>
          <w:sz w:val="24"/>
          <w:szCs w:val="24"/>
        </w:rPr>
      </w:pPr>
      <w:r>
        <w:rPr>
          <w:rFonts w:ascii="Times New Roman" w:hAnsi="Times New Roman" w:cs="Times New Roman"/>
          <w:bCs/>
          <w:spacing w:val="-2"/>
          <w:sz w:val="24"/>
          <w:szCs w:val="24"/>
        </w:rPr>
        <w:t>(7</w:t>
      </w:r>
      <w:r w:rsidR="006571BA" w:rsidRPr="00813452">
        <w:rPr>
          <w:rFonts w:ascii="Times New Roman" w:hAnsi="Times New Roman" w:cs="Times New Roman"/>
          <w:bCs/>
          <w:spacing w:val="-2"/>
          <w:sz w:val="24"/>
          <w:szCs w:val="24"/>
        </w:rPr>
        <w:t xml:space="preserve">) Yerli üretim dalının üretim teknolojisi dünya standartlarında olup teknolojik gelişmelerin yakından takip edildiği; dolayısıyla, tüketim alışkanlıklarında olabilecek gelişmeleri takip edebilecek ve uygulamaya geçirebilecek kabiliyete sahip olduğu düşünülmektedir.  </w:t>
      </w:r>
    </w:p>
    <w:p w:rsidR="00A16DF2" w:rsidRPr="00813452" w:rsidRDefault="006F0027" w:rsidP="00A73D18">
      <w:pPr>
        <w:tabs>
          <w:tab w:val="left" w:pos="360"/>
        </w:tabs>
        <w:spacing w:before="240" w:after="120"/>
        <w:jc w:val="both"/>
        <w:rPr>
          <w:rFonts w:ascii="Times New Roman" w:hAnsi="Times New Roman" w:cs="Times New Roman"/>
          <w:bCs/>
          <w:spacing w:val="-2"/>
          <w:sz w:val="24"/>
          <w:szCs w:val="24"/>
        </w:rPr>
      </w:pPr>
      <w:r>
        <w:rPr>
          <w:rFonts w:ascii="Times New Roman" w:hAnsi="Times New Roman" w:cs="Times New Roman"/>
          <w:bCs/>
          <w:spacing w:val="-2"/>
          <w:sz w:val="24"/>
          <w:szCs w:val="24"/>
        </w:rPr>
        <w:t>(8</w:t>
      </w:r>
      <w:r w:rsidR="006571BA" w:rsidRPr="00813452">
        <w:rPr>
          <w:rFonts w:ascii="Times New Roman" w:hAnsi="Times New Roman" w:cs="Times New Roman"/>
          <w:bCs/>
          <w:spacing w:val="-2"/>
          <w:sz w:val="24"/>
          <w:szCs w:val="24"/>
        </w:rPr>
        <w:t xml:space="preserve">) Tüketim ürünü olan soruşturma konusu ürüne ilişkin talebin dinamik bir talep olduğu; soruşturma konusu ülkenin söz konusu üründe dünya ihracatında birinci sırada yer aldığı ve önemli bir kapasite ve ihracat kabiliyetine sahip oldukları görülmektedir. Söz konusu ülke menşeli ihracatçıların Türkiye pazarını iyi tanıdıkları ve pazara erişim konusunda herhangi bir sorunla karşılaşmayacakları düşünüldüğünde, önlemin yokluğunda ihracatını kolaylıkla Türkiye pazarına yönlendirebilecekleri ve önlemin ortadan kalkmasıyla birlikte fiyatlarda düşüş olabileceği hususları dikkate alındığında dampingli ithalata talep kayması </w:t>
      </w:r>
      <w:r w:rsidR="00D21BDA" w:rsidRPr="00813452">
        <w:rPr>
          <w:rFonts w:ascii="Times New Roman" w:hAnsi="Times New Roman" w:cs="Times New Roman"/>
          <w:bCs/>
          <w:spacing w:val="-2"/>
          <w:sz w:val="24"/>
          <w:szCs w:val="24"/>
        </w:rPr>
        <w:t>yaşanabileceği düşünülmektedir.</w:t>
      </w:r>
    </w:p>
    <w:p w:rsidR="00D21BDA" w:rsidRPr="00813452" w:rsidRDefault="002B5537" w:rsidP="00A73D18">
      <w:pPr>
        <w:pStyle w:val="Balk1"/>
        <w:numPr>
          <w:ilvl w:val="0"/>
          <w:numId w:val="1"/>
        </w:numPr>
        <w:spacing w:after="120"/>
        <w:rPr>
          <w:rFonts w:ascii="Times New Roman" w:hAnsi="Times New Roman" w:cs="Times New Roman"/>
          <w:b/>
          <w:color w:val="auto"/>
          <w:sz w:val="24"/>
          <w:szCs w:val="24"/>
        </w:rPr>
      </w:pPr>
      <w:r w:rsidRPr="00813452">
        <w:rPr>
          <w:rFonts w:ascii="Times New Roman" w:hAnsi="Times New Roman" w:cs="Times New Roman"/>
          <w:b/>
          <w:color w:val="auto"/>
          <w:sz w:val="24"/>
          <w:szCs w:val="24"/>
        </w:rPr>
        <w:t>DEĞERLENDİRME VE SONUÇ</w:t>
      </w:r>
    </w:p>
    <w:p w:rsidR="002B5537" w:rsidRPr="00813452" w:rsidRDefault="006571BA" w:rsidP="00A73D18">
      <w:pPr>
        <w:pStyle w:val="Default"/>
        <w:spacing w:before="240" w:after="120"/>
        <w:jc w:val="both"/>
        <w:rPr>
          <w:rFonts w:eastAsiaTheme="minorHAnsi"/>
          <w:bCs/>
          <w:color w:val="auto"/>
          <w:spacing w:val="-2"/>
          <w:lang w:eastAsia="en-US"/>
        </w:rPr>
      </w:pPr>
      <w:r w:rsidRPr="00813452">
        <w:rPr>
          <w:rFonts w:eastAsiaTheme="minorHAnsi"/>
          <w:bCs/>
          <w:color w:val="auto"/>
          <w:spacing w:val="-2"/>
          <w:lang w:eastAsia="en-US"/>
        </w:rPr>
        <w:t xml:space="preserve">(1) </w:t>
      </w:r>
      <w:r w:rsidR="002B5537" w:rsidRPr="00813452">
        <w:rPr>
          <w:rFonts w:eastAsiaTheme="minorHAnsi"/>
          <w:bCs/>
          <w:color w:val="auto"/>
          <w:spacing w:val="-2"/>
          <w:lang w:eastAsia="en-US"/>
        </w:rPr>
        <w:t>Yürütülen soruşturma esnasında elde edilen bilgi ve bulgular çerçevesinde, yürürlükteki önlemin ortadan kalkması durumunda dampingin ve zararın devam etmesinin veya yeniden meydana gelmesinin muhtemel olduğu değerlendirilmiştir.</w:t>
      </w:r>
    </w:p>
    <w:p w:rsidR="006571BA" w:rsidRPr="00813452" w:rsidRDefault="00824F00" w:rsidP="00A73D18">
      <w:pPr>
        <w:pStyle w:val="Default"/>
        <w:spacing w:before="240" w:after="120"/>
        <w:jc w:val="both"/>
        <w:rPr>
          <w:rFonts w:eastAsiaTheme="minorHAnsi"/>
          <w:bCs/>
          <w:color w:val="auto"/>
          <w:spacing w:val="-2"/>
          <w:lang w:eastAsia="en-US"/>
        </w:rPr>
      </w:pPr>
      <w:r w:rsidRPr="00813452">
        <w:rPr>
          <w:rFonts w:eastAsiaTheme="minorHAnsi"/>
          <w:bCs/>
          <w:color w:val="auto"/>
          <w:spacing w:val="-2"/>
          <w:lang w:eastAsia="en-US"/>
        </w:rPr>
        <w:t xml:space="preserve">(2) </w:t>
      </w:r>
      <w:r w:rsidR="002B5537" w:rsidRPr="00813452">
        <w:rPr>
          <w:rFonts w:eastAsiaTheme="minorHAnsi"/>
          <w:bCs/>
          <w:color w:val="auto"/>
          <w:spacing w:val="-2"/>
          <w:lang w:eastAsia="en-US"/>
        </w:rPr>
        <w:t xml:space="preserve">Bu çerçevede, soruşturma neticesinde ulaşılan tespitleri değerlendiren Kurulun kararı ve Ticaret Bakanının onayı ile 11/7/2014 tarihli ve 29057 sayılı Resmî Gazete’de yayımlanan İthalatta Haksız Rekabetin Önlenmesine İlişkin Tebliğ (Tebliğ No: 2014/16) ile ÇHC menşeli 8419.11.00.00.00 GTİP’i altında kayıtlı “gazla çalışan anında su ısıtıcılar”ın ithalatında yürürlükte bulunan dampinge karşı önlemin, Yönetmeliğin 42 nci maddesi çerçevesinde aşağıdaki tabloda gösterildiği şekilde </w:t>
      </w:r>
      <w:r w:rsidR="00E665D1" w:rsidRPr="00813452">
        <w:rPr>
          <w:rFonts w:eastAsiaTheme="minorHAnsi"/>
          <w:bCs/>
          <w:color w:val="auto"/>
          <w:spacing w:val="-2"/>
          <w:lang w:eastAsia="en-US"/>
        </w:rPr>
        <w:t xml:space="preserve">aynen </w:t>
      </w:r>
      <w:r w:rsidR="002B5537" w:rsidRPr="00813452">
        <w:rPr>
          <w:rFonts w:eastAsiaTheme="minorHAnsi"/>
          <w:bCs/>
          <w:color w:val="auto"/>
          <w:spacing w:val="-2"/>
          <w:lang w:eastAsia="en-US"/>
        </w:rPr>
        <w:t xml:space="preserve">uygulanmaya devam edilmesine karar verilmiştir. </w:t>
      </w:r>
    </w:p>
    <w:p w:rsidR="00824F00" w:rsidRPr="00813452" w:rsidRDefault="00824F00" w:rsidP="00A73D18">
      <w:pPr>
        <w:pStyle w:val="Default"/>
        <w:jc w:val="both"/>
        <w:rPr>
          <w:rFonts w:eastAsiaTheme="minorHAnsi"/>
          <w:bCs/>
          <w:color w:val="auto"/>
          <w:spacing w:val="-2"/>
          <w:lang w:eastAsia="en-US"/>
        </w:rPr>
      </w:pPr>
    </w:p>
    <w:tbl>
      <w:tblPr>
        <w:tblW w:w="5000" w:type="pct"/>
        <w:tblLook w:val="04A0" w:firstRow="1" w:lastRow="0" w:firstColumn="1" w:lastColumn="0" w:noHBand="0" w:noVBand="1"/>
      </w:tblPr>
      <w:tblGrid>
        <w:gridCol w:w="1756"/>
        <w:gridCol w:w="1099"/>
        <w:gridCol w:w="1329"/>
        <w:gridCol w:w="3319"/>
        <w:gridCol w:w="1883"/>
      </w:tblGrid>
      <w:tr w:rsidR="00824F00" w:rsidRPr="00813452" w:rsidTr="00323943">
        <w:trPr>
          <w:trHeight w:val="411"/>
        </w:trPr>
        <w:tc>
          <w:tcPr>
            <w:tcW w:w="93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24F00" w:rsidRPr="00813452" w:rsidRDefault="00824F00" w:rsidP="003B39DF">
            <w:pPr>
              <w:spacing w:after="0"/>
              <w:rPr>
                <w:rFonts w:ascii="Times New Roman" w:eastAsia="Times New Roman" w:hAnsi="Times New Roman" w:cs="Times New Roman"/>
                <w:b/>
                <w:bCs/>
                <w:color w:val="000000"/>
              </w:rPr>
            </w:pPr>
            <w:r w:rsidRPr="00813452">
              <w:rPr>
                <w:rFonts w:ascii="Times New Roman" w:eastAsia="Times New Roman" w:hAnsi="Times New Roman" w:cs="Times New Roman"/>
                <w:b/>
                <w:bCs/>
                <w:color w:val="000000"/>
              </w:rPr>
              <w:t>GTİP</w:t>
            </w:r>
          </w:p>
        </w:tc>
        <w:tc>
          <w:tcPr>
            <w:tcW w:w="58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24F00" w:rsidRPr="00813452" w:rsidRDefault="00824F00" w:rsidP="00A73D18">
            <w:pPr>
              <w:spacing w:after="0"/>
              <w:jc w:val="center"/>
              <w:rPr>
                <w:rFonts w:ascii="Times New Roman" w:eastAsia="Times New Roman" w:hAnsi="Times New Roman" w:cs="Times New Roman"/>
                <w:b/>
                <w:bCs/>
                <w:color w:val="000000"/>
              </w:rPr>
            </w:pPr>
            <w:r w:rsidRPr="00813452">
              <w:rPr>
                <w:rFonts w:ascii="Times New Roman" w:eastAsia="Times New Roman" w:hAnsi="Times New Roman" w:cs="Times New Roman"/>
                <w:b/>
                <w:bCs/>
                <w:color w:val="000000"/>
              </w:rPr>
              <w:t>Eşyanın Tanımı</w:t>
            </w:r>
          </w:p>
        </w:tc>
        <w:tc>
          <w:tcPr>
            <w:tcW w:w="70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24F00" w:rsidRPr="00813452" w:rsidRDefault="00824F00" w:rsidP="00A73D18">
            <w:pPr>
              <w:spacing w:after="0"/>
              <w:jc w:val="center"/>
              <w:rPr>
                <w:rFonts w:ascii="Times New Roman" w:eastAsia="Times New Roman" w:hAnsi="Times New Roman" w:cs="Times New Roman"/>
                <w:b/>
                <w:bCs/>
                <w:color w:val="000000"/>
              </w:rPr>
            </w:pPr>
            <w:r w:rsidRPr="00813452">
              <w:rPr>
                <w:rFonts w:ascii="Times New Roman" w:eastAsia="Times New Roman" w:hAnsi="Times New Roman" w:cs="Times New Roman"/>
                <w:b/>
                <w:bCs/>
                <w:color w:val="000000"/>
              </w:rPr>
              <w:t>Menşe Ülke</w:t>
            </w:r>
          </w:p>
        </w:tc>
        <w:tc>
          <w:tcPr>
            <w:tcW w:w="176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24F00" w:rsidRPr="00813452" w:rsidRDefault="00824F00" w:rsidP="003B39DF">
            <w:pPr>
              <w:spacing w:after="0"/>
              <w:rPr>
                <w:rFonts w:ascii="Times New Roman" w:eastAsia="Times New Roman" w:hAnsi="Times New Roman" w:cs="Times New Roman"/>
                <w:b/>
                <w:bCs/>
                <w:color w:val="000000"/>
              </w:rPr>
            </w:pPr>
            <w:r w:rsidRPr="00813452">
              <w:rPr>
                <w:rFonts w:ascii="Times New Roman" w:eastAsia="Times New Roman" w:hAnsi="Times New Roman" w:cs="Times New Roman"/>
                <w:b/>
                <w:bCs/>
                <w:color w:val="000000"/>
              </w:rPr>
              <w:t>Firma</w:t>
            </w:r>
          </w:p>
        </w:tc>
        <w:tc>
          <w:tcPr>
            <w:tcW w:w="100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23943" w:rsidRDefault="00824F00" w:rsidP="00A73D18">
            <w:pPr>
              <w:spacing w:after="0"/>
              <w:jc w:val="center"/>
              <w:rPr>
                <w:rFonts w:ascii="Times New Roman" w:eastAsia="Times New Roman" w:hAnsi="Times New Roman" w:cs="Times New Roman"/>
                <w:b/>
                <w:bCs/>
                <w:color w:val="000000"/>
              </w:rPr>
            </w:pPr>
            <w:r w:rsidRPr="00813452">
              <w:rPr>
                <w:rFonts w:ascii="Times New Roman" w:eastAsia="Times New Roman" w:hAnsi="Times New Roman" w:cs="Times New Roman"/>
                <w:b/>
                <w:bCs/>
                <w:color w:val="000000"/>
              </w:rPr>
              <w:t xml:space="preserve">Dampinge Karşı Önlem </w:t>
            </w:r>
          </w:p>
          <w:p w:rsidR="00824F00" w:rsidRPr="00813452" w:rsidRDefault="00824F00" w:rsidP="00A73D18">
            <w:pPr>
              <w:spacing w:after="0"/>
              <w:jc w:val="center"/>
              <w:rPr>
                <w:rFonts w:ascii="Times New Roman" w:eastAsia="Times New Roman" w:hAnsi="Times New Roman" w:cs="Times New Roman"/>
                <w:b/>
                <w:bCs/>
                <w:color w:val="000000"/>
              </w:rPr>
            </w:pPr>
            <w:r w:rsidRPr="00813452">
              <w:rPr>
                <w:rFonts w:ascii="Times New Roman" w:eastAsia="Times New Roman" w:hAnsi="Times New Roman" w:cs="Times New Roman"/>
                <w:b/>
                <w:bCs/>
                <w:color w:val="000000"/>
              </w:rPr>
              <w:t>(CIF Bedelin %)</w:t>
            </w:r>
          </w:p>
        </w:tc>
      </w:tr>
      <w:tr w:rsidR="00824F00" w:rsidRPr="00813452" w:rsidTr="00323943">
        <w:trPr>
          <w:trHeight w:val="429"/>
        </w:trPr>
        <w:tc>
          <w:tcPr>
            <w:tcW w:w="935" w:type="pct"/>
            <w:vMerge/>
            <w:tcBorders>
              <w:top w:val="single" w:sz="8" w:space="0" w:color="auto"/>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b/>
                <w:bCs/>
                <w:color w:val="000000"/>
              </w:rPr>
            </w:pPr>
          </w:p>
        </w:tc>
        <w:tc>
          <w:tcPr>
            <w:tcW w:w="586" w:type="pct"/>
            <w:vMerge/>
            <w:tcBorders>
              <w:top w:val="single" w:sz="8" w:space="0" w:color="auto"/>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b/>
                <w:bCs/>
                <w:color w:val="000000"/>
              </w:rPr>
            </w:pPr>
          </w:p>
        </w:tc>
        <w:tc>
          <w:tcPr>
            <w:tcW w:w="708" w:type="pct"/>
            <w:vMerge/>
            <w:tcBorders>
              <w:top w:val="single" w:sz="8" w:space="0" w:color="auto"/>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b/>
                <w:bCs/>
                <w:color w:val="000000"/>
              </w:rPr>
            </w:pPr>
          </w:p>
        </w:tc>
        <w:tc>
          <w:tcPr>
            <w:tcW w:w="1768" w:type="pct"/>
            <w:vMerge/>
            <w:tcBorders>
              <w:top w:val="single" w:sz="8" w:space="0" w:color="auto"/>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b/>
                <w:bCs/>
                <w:color w:val="000000"/>
              </w:rPr>
            </w:pPr>
          </w:p>
        </w:tc>
        <w:tc>
          <w:tcPr>
            <w:tcW w:w="1003" w:type="pct"/>
            <w:vMerge/>
            <w:tcBorders>
              <w:top w:val="single" w:sz="8" w:space="0" w:color="auto"/>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b/>
                <w:bCs/>
                <w:color w:val="000000"/>
              </w:rPr>
            </w:pPr>
          </w:p>
        </w:tc>
      </w:tr>
      <w:tr w:rsidR="00824F00" w:rsidRPr="00813452" w:rsidTr="00323943">
        <w:trPr>
          <w:trHeight w:val="429"/>
        </w:trPr>
        <w:tc>
          <w:tcPr>
            <w:tcW w:w="935" w:type="pct"/>
            <w:vMerge/>
            <w:tcBorders>
              <w:top w:val="single" w:sz="8" w:space="0" w:color="auto"/>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b/>
                <w:bCs/>
                <w:color w:val="000000"/>
              </w:rPr>
            </w:pPr>
          </w:p>
        </w:tc>
        <w:tc>
          <w:tcPr>
            <w:tcW w:w="586" w:type="pct"/>
            <w:vMerge/>
            <w:tcBorders>
              <w:top w:val="single" w:sz="8" w:space="0" w:color="auto"/>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b/>
                <w:bCs/>
                <w:color w:val="000000"/>
              </w:rPr>
            </w:pPr>
          </w:p>
        </w:tc>
        <w:tc>
          <w:tcPr>
            <w:tcW w:w="708" w:type="pct"/>
            <w:vMerge/>
            <w:tcBorders>
              <w:top w:val="single" w:sz="8" w:space="0" w:color="auto"/>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b/>
                <w:bCs/>
                <w:color w:val="000000"/>
              </w:rPr>
            </w:pPr>
          </w:p>
        </w:tc>
        <w:tc>
          <w:tcPr>
            <w:tcW w:w="1768" w:type="pct"/>
            <w:vMerge/>
            <w:tcBorders>
              <w:top w:val="single" w:sz="8" w:space="0" w:color="auto"/>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b/>
                <w:bCs/>
                <w:color w:val="000000"/>
              </w:rPr>
            </w:pPr>
          </w:p>
        </w:tc>
        <w:tc>
          <w:tcPr>
            <w:tcW w:w="1003" w:type="pct"/>
            <w:vMerge/>
            <w:tcBorders>
              <w:top w:val="single" w:sz="8" w:space="0" w:color="auto"/>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b/>
                <w:bCs/>
                <w:color w:val="000000"/>
              </w:rPr>
            </w:pPr>
          </w:p>
        </w:tc>
      </w:tr>
      <w:tr w:rsidR="00824F00" w:rsidRPr="00813452" w:rsidTr="00323943">
        <w:trPr>
          <w:trHeight w:val="315"/>
        </w:trPr>
        <w:tc>
          <w:tcPr>
            <w:tcW w:w="935" w:type="pct"/>
            <w:vMerge w:val="restart"/>
            <w:tcBorders>
              <w:top w:val="nil"/>
              <w:left w:val="single" w:sz="8" w:space="0" w:color="auto"/>
              <w:bottom w:val="single" w:sz="8" w:space="0" w:color="000000"/>
              <w:right w:val="single" w:sz="8" w:space="0" w:color="auto"/>
            </w:tcBorders>
            <w:shd w:val="clear" w:color="auto" w:fill="auto"/>
            <w:vAlign w:val="center"/>
            <w:hideMark/>
          </w:tcPr>
          <w:p w:rsidR="00824F00" w:rsidRPr="00813452" w:rsidRDefault="00824F00" w:rsidP="00A73D18">
            <w:pPr>
              <w:spacing w:after="0"/>
              <w:jc w:val="center"/>
              <w:rPr>
                <w:rFonts w:ascii="Times New Roman" w:eastAsia="Times New Roman" w:hAnsi="Times New Roman" w:cs="Times New Roman"/>
                <w:color w:val="000000"/>
              </w:rPr>
            </w:pPr>
            <w:r w:rsidRPr="00813452">
              <w:rPr>
                <w:rFonts w:ascii="Times New Roman" w:eastAsia="Times New Roman" w:hAnsi="Times New Roman" w:cs="Times New Roman"/>
                <w:color w:val="000000"/>
              </w:rPr>
              <w:t>8419.11.00.00.00</w:t>
            </w:r>
          </w:p>
        </w:tc>
        <w:tc>
          <w:tcPr>
            <w:tcW w:w="586" w:type="pct"/>
            <w:vMerge w:val="restart"/>
            <w:tcBorders>
              <w:top w:val="nil"/>
              <w:left w:val="single" w:sz="8" w:space="0" w:color="auto"/>
              <w:bottom w:val="single" w:sz="8" w:space="0" w:color="000000"/>
              <w:right w:val="single" w:sz="8" w:space="0" w:color="auto"/>
            </w:tcBorders>
            <w:shd w:val="clear" w:color="auto" w:fill="auto"/>
            <w:vAlign w:val="center"/>
            <w:hideMark/>
          </w:tcPr>
          <w:p w:rsidR="00824F00" w:rsidRPr="00813452" w:rsidRDefault="00824F00" w:rsidP="00A73D18">
            <w:pPr>
              <w:spacing w:after="0"/>
              <w:jc w:val="center"/>
              <w:rPr>
                <w:rFonts w:ascii="Times New Roman" w:eastAsia="Times New Roman" w:hAnsi="Times New Roman" w:cs="Times New Roman"/>
                <w:color w:val="000000"/>
              </w:rPr>
            </w:pPr>
            <w:r w:rsidRPr="00813452">
              <w:rPr>
                <w:rFonts w:ascii="Times New Roman" w:eastAsia="Times New Roman" w:hAnsi="Times New Roman" w:cs="Times New Roman"/>
                <w:color w:val="000000"/>
              </w:rPr>
              <w:t>Gazla çalışan anında su ısıtıcılar</w:t>
            </w:r>
          </w:p>
        </w:tc>
        <w:tc>
          <w:tcPr>
            <w:tcW w:w="708" w:type="pct"/>
            <w:vMerge w:val="restart"/>
            <w:tcBorders>
              <w:top w:val="nil"/>
              <w:left w:val="single" w:sz="8" w:space="0" w:color="auto"/>
              <w:bottom w:val="single" w:sz="8" w:space="0" w:color="000000"/>
              <w:right w:val="single" w:sz="8" w:space="0" w:color="auto"/>
            </w:tcBorders>
            <w:shd w:val="clear" w:color="auto" w:fill="auto"/>
            <w:vAlign w:val="center"/>
            <w:hideMark/>
          </w:tcPr>
          <w:p w:rsidR="00824F00" w:rsidRPr="00813452" w:rsidRDefault="00824F00" w:rsidP="00A73D18">
            <w:pPr>
              <w:spacing w:after="0"/>
              <w:jc w:val="center"/>
              <w:rPr>
                <w:rFonts w:ascii="Times New Roman" w:eastAsia="Times New Roman" w:hAnsi="Times New Roman" w:cs="Times New Roman"/>
                <w:color w:val="000000"/>
              </w:rPr>
            </w:pPr>
            <w:r w:rsidRPr="00813452">
              <w:rPr>
                <w:rFonts w:ascii="Times New Roman" w:eastAsia="Times New Roman" w:hAnsi="Times New Roman" w:cs="Times New Roman"/>
                <w:color w:val="000000"/>
              </w:rPr>
              <w:t>Çin Halk Cumhuriyeti</w:t>
            </w:r>
          </w:p>
        </w:tc>
        <w:tc>
          <w:tcPr>
            <w:tcW w:w="1768" w:type="pct"/>
            <w:tcBorders>
              <w:top w:val="nil"/>
              <w:left w:val="nil"/>
              <w:bottom w:val="single" w:sz="8" w:space="0" w:color="auto"/>
              <w:right w:val="single" w:sz="8" w:space="0" w:color="auto"/>
            </w:tcBorders>
            <w:shd w:val="clear" w:color="auto" w:fill="auto"/>
            <w:vAlign w:val="center"/>
            <w:hideMark/>
          </w:tcPr>
          <w:p w:rsidR="00824F00" w:rsidRPr="00813452" w:rsidRDefault="00824F00" w:rsidP="00A73D18">
            <w:pPr>
              <w:spacing w:after="0"/>
              <w:rPr>
                <w:rFonts w:ascii="Times New Roman" w:eastAsia="Times New Roman" w:hAnsi="Times New Roman" w:cs="Times New Roman"/>
                <w:color w:val="000000"/>
              </w:rPr>
            </w:pPr>
            <w:r w:rsidRPr="00813452">
              <w:rPr>
                <w:rFonts w:ascii="Times New Roman" w:eastAsia="Times New Roman" w:hAnsi="Times New Roman" w:cs="Times New Roman"/>
                <w:color w:val="000000"/>
              </w:rPr>
              <w:t>Guangdong Vanward New Electric Co. Ltd.</w:t>
            </w:r>
          </w:p>
        </w:tc>
        <w:tc>
          <w:tcPr>
            <w:tcW w:w="1003" w:type="pct"/>
            <w:tcBorders>
              <w:top w:val="nil"/>
              <w:left w:val="nil"/>
              <w:bottom w:val="single" w:sz="8" w:space="0" w:color="auto"/>
              <w:right w:val="single" w:sz="8" w:space="0" w:color="auto"/>
            </w:tcBorders>
            <w:shd w:val="clear" w:color="auto" w:fill="auto"/>
            <w:vAlign w:val="center"/>
            <w:hideMark/>
          </w:tcPr>
          <w:p w:rsidR="00824F00" w:rsidRPr="00813452" w:rsidRDefault="00824F00" w:rsidP="00A73D18">
            <w:pPr>
              <w:spacing w:after="0"/>
              <w:jc w:val="right"/>
              <w:rPr>
                <w:rFonts w:ascii="Times New Roman" w:eastAsia="Times New Roman" w:hAnsi="Times New Roman" w:cs="Times New Roman"/>
                <w:color w:val="000000"/>
              </w:rPr>
            </w:pPr>
            <w:r w:rsidRPr="00813452">
              <w:rPr>
                <w:rFonts w:ascii="Times New Roman" w:eastAsia="Times New Roman" w:hAnsi="Times New Roman" w:cs="Times New Roman"/>
                <w:color w:val="000000"/>
              </w:rPr>
              <w:t>53,41%</w:t>
            </w:r>
          </w:p>
        </w:tc>
      </w:tr>
      <w:tr w:rsidR="00824F00" w:rsidRPr="00813452" w:rsidTr="00323943">
        <w:trPr>
          <w:trHeight w:val="615"/>
        </w:trPr>
        <w:tc>
          <w:tcPr>
            <w:tcW w:w="935"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586"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708"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1768" w:type="pct"/>
            <w:tcBorders>
              <w:top w:val="nil"/>
              <w:left w:val="nil"/>
              <w:bottom w:val="single" w:sz="8" w:space="0" w:color="auto"/>
              <w:right w:val="single" w:sz="8" w:space="0" w:color="auto"/>
            </w:tcBorders>
            <w:shd w:val="clear" w:color="auto" w:fill="auto"/>
            <w:vAlign w:val="center"/>
            <w:hideMark/>
          </w:tcPr>
          <w:p w:rsidR="00824F00" w:rsidRPr="00813452" w:rsidRDefault="00824F00" w:rsidP="00A73D18">
            <w:pPr>
              <w:spacing w:after="0"/>
              <w:rPr>
                <w:rFonts w:ascii="Times New Roman" w:eastAsia="Times New Roman" w:hAnsi="Times New Roman" w:cs="Times New Roman"/>
                <w:color w:val="000000"/>
              </w:rPr>
            </w:pPr>
            <w:r w:rsidRPr="00813452">
              <w:rPr>
                <w:rFonts w:ascii="Times New Roman" w:eastAsia="Times New Roman" w:hAnsi="Times New Roman" w:cs="Times New Roman"/>
                <w:color w:val="000000"/>
              </w:rPr>
              <w:t>Zhongshan Vatti Gas Appliance Stock Co. Ltd.</w:t>
            </w:r>
          </w:p>
        </w:tc>
        <w:tc>
          <w:tcPr>
            <w:tcW w:w="1003" w:type="pct"/>
            <w:tcBorders>
              <w:top w:val="nil"/>
              <w:left w:val="nil"/>
              <w:bottom w:val="single" w:sz="8" w:space="0" w:color="auto"/>
              <w:right w:val="single" w:sz="8" w:space="0" w:color="auto"/>
            </w:tcBorders>
            <w:shd w:val="clear" w:color="auto" w:fill="auto"/>
            <w:vAlign w:val="center"/>
            <w:hideMark/>
          </w:tcPr>
          <w:p w:rsidR="00824F00" w:rsidRPr="00813452" w:rsidRDefault="00824F00" w:rsidP="00A73D18">
            <w:pPr>
              <w:spacing w:after="0"/>
              <w:jc w:val="right"/>
              <w:rPr>
                <w:rFonts w:ascii="Times New Roman" w:eastAsia="Times New Roman" w:hAnsi="Times New Roman" w:cs="Times New Roman"/>
                <w:color w:val="000000"/>
              </w:rPr>
            </w:pPr>
            <w:r w:rsidRPr="00813452">
              <w:rPr>
                <w:rFonts w:ascii="Times New Roman" w:eastAsia="Times New Roman" w:hAnsi="Times New Roman" w:cs="Times New Roman"/>
                <w:color w:val="000000"/>
              </w:rPr>
              <w:t>51,38%</w:t>
            </w:r>
          </w:p>
        </w:tc>
      </w:tr>
      <w:tr w:rsidR="00824F00" w:rsidRPr="00813452" w:rsidTr="00323943">
        <w:trPr>
          <w:trHeight w:val="315"/>
        </w:trPr>
        <w:tc>
          <w:tcPr>
            <w:tcW w:w="935"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586"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708"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1768" w:type="pct"/>
            <w:tcBorders>
              <w:top w:val="nil"/>
              <w:left w:val="nil"/>
              <w:bottom w:val="single" w:sz="8" w:space="0" w:color="auto"/>
              <w:right w:val="single" w:sz="8" w:space="0" w:color="auto"/>
            </w:tcBorders>
            <w:shd w:val="clear" w:color="auto" w:fill="auto"/>
            <w:vAlign w:val="center"/>
            <w:hideMark/>
          </w:tcPr>
          <w:p w:rsidR="00824F00" w:rsidRPr="00813452" w:rsidRDefault="00824F00" w:rsidP="00A73D18">
            <w:pPr>
              <w:spacing w:after="0"/>
              <w:rPr>
                <w:rFonts w:ascii="Times New Roman" w:eastAsia="Times New Roman" w:hAnsi="Times New Roman" w:cs="Times New Roman"/>
                <w:color w:val="000000"/>
              </w:rPr>
            </w:pPr>
            <w:r w:rsidRPr="00813452">
              <w:rPr>
                <w:rFonts w:ascii="Times New Roman" w:eastAsia="Times New Roman" w:hAnsi="Times New Roman" w:cs="Times New Roman"/>
                <w:color w:val="000000"/>
              </w:rPr>
              <w:t>Guangdong Macro Gas Appliance Co. Ltd.</w:t>
            </w:r>
          </w:p>
        </w:tc>
        <w:tc>
          <w:tcPr>
            <w:tcW w:w="1003" w:type="pct"/>
            <w:tcBorders>
              <w:top w:val="nil"/>
              <w:left w:val="nil"/>
              <w:bottom w:val="single" w:sz="8" w:space="0" w:color="auto"/>
              <w:right w:val="single" w:sz="8" w:space="0" w:color="auto"/>
            </w:tcBorders>
            <w:shd w:val="clear" w:color="auto" w:fill="auto"/>
            <w:vAlign w:val="center"/>
            <w:hideMark/>
          </w:tcPr>
          <w:p w:rsidR="00824F00" w:rsidRPr="00813452" w:rsidRDefault="00824F00" w:rsidP="00A73D18">
            <w:pPr>
              <w:spacing w:after="0"/>
              <w:jc w:val="right"/>
              <w:rPr>
                <w:rFonts w:ascii="Times New Roman" w:eastAsia="Times New Roman" w:hAnsi="Times New Roman" w:cs="Times New Roman"/>
                <w:color w:val="000000"/>
              </w:rPr>
            </w:pPr>
            <w:r w:rsidRPr="00813452">
              <w:rPr>
                <w:rFonts w:ascii="Times New Roman" w:eastAsia="Times New Roman" w:hAnsi="Times New Roman" w:cs="Times New Roman"/>
                <w:color w:val="000000"/>
              </w:rPr>
              <w:t>43,12%</w:t>
            </w:r>
          </w:p>
        </w:tc>
      </w:tr>
      <w:tr w:rsidR="00824F00" w:rsidRPr="00813452" w:rsidTr="00323943">
        <w:trPr>
          <w:trHeight w:val="315"/>
        </w:trPr>
        <w:tc>
          <w:tcPr>
            <w:tcW w:w="935"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586"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708"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1768" w:type="pct"/>
            <w:tcBorders>
              <w:top w:val="nil"/>
              <w:left w:val="nil"/>
              <w:bottom w:val="single" w:sz="8" w:space="0" w:color="auto"/>
              <w:right w:val="single" w:sz="8" w:space="0" w:color="auto"/>
            </w:tcBorders>
            <w:shd w:val="clear" w:color="auto" w:fill="auto"/>
            <w:vAlign w:val="center"/>
            <w:hideMark/>
          </w:tcPr>
          <w:p w:rsidR="00824F00" w:rsidRPr="00813452" w:rsidRDefault="00824F00" w:rsidP="00A73D18">
            <w:pPr>
              <w:spacing w:after="0"/>
              <w:rPr>
                <w:rFonts w:ascii="Times New Roman" w:eastAsia="Times New Roman" w:hAnsi="Times New Roman" w:cs="Times New Roman"/>
                <w:color w:val="000000"/>
              </w:rPr>
            </w:pPr>
            <w:r w:rsidRPr="00813452">
              <w:rPr>
                <w:rFonts w:ascii="Times New Roman" w:eastAsia="Times New Roman" w:hAnsi="Times New Roman" w:cs="Times New Roman"/>
                <w:color w:val="000000"/>
              </w:rPr>
              <w:t>Ariston Thermo China Co. Ltd.</w:t>
            </w:r>
          </w:p>
        </w:tc>
        <w:tc>
          <w:tcPr>
            <w:tcW w:w="1003" w:type="pct"/>
            <w:tcBorders>
              <w:top w:val="nil"/>
              <w:left w:val="nil"/>
              <w:bottom w:val="single" w:sz="8" w:space="0" w:color="auto"/>
              <w:right w:val="single" w:sz="8" w:space="0" w:color="auto"/>
            </w:tcBorders>
            <w:shd w:val="clear" w:color="auto" w:fill="auto"/>
            <w:vAlign w:val="center"/>
            <w:hideMark/>
          </w:tcPr>
          <w:p w:rsidR="00824F00" w:rsidRPr="00813452" w:rsidRDefault="00824F00" w:rsidP="00A73D18">
            <w:pPr>
              <w:spacing w:after="0"/>
              <w:jc w:val="right"/>
              <w:rPr>
                <w:rFonts w:ascii="Times New Roman" w:eastAsia="Times New Roman" w:hAnsi="Times New Roman" w:cs="Times New Roman"/>
                <w:color w:val="000000"/>
              </w:rPr>
            </w:pPr>
            <w:r w:rsidRPr="00813452">
              <w:rPr>
                <w:rFonts w:ascii="Times New Roman" w:eastAsia="Times New Roman" w:hAnsi="Times New Roman" w:cs="Times New Roman"/>
                <w:color w:val="000000"/>
              </w:rPr>
              <w:t>20,12%</w:t>
            </w:r>
          </w:p>
        </w:tc>
      </w:tr>
      <w:tr w:rsidR="00824F00" w:rsidRPr="00813452" w:rsidTr="00323943">
        <w:trPr>
          <w:trHeight w:val="315"/>
        </w:trPr>
        <w:tc>
          <w:tcPr>
            <w:tcW w:w="935"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586"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708" w:type="pct"/>
            <w:vMerge/>
            <w:tcBorders>
              <w:top w:val="nil"/>
              <w:left w:val="single" w:sz="8" w:space="0" w:color="auto"/>
              <w:bottom w:val="single" w:sz="8" w:space="0" w:color="000000"/>
              <w:right w:val="single" w:sz="8" w:space="0" w:color="auto"/>
            </w:tcBorders>
            <w:vAlign w:val="center"/>
            <w:hideMark/>
          </w:tcPr>
          <w:p w:rsidR="00824F00" w:rsidRPr="00813452" w:rsidRDefault="00824F00" w:rsidP="00A73D18">
            <w:pPr>
              <w:spacing w:after="0"/>
              <w:rPr>
                <w:rFonts w:ascii="Times New Roman" w:eastAsia="Times New Roman" w:hAnsi="Times New Roman" w:cs="Times New Roman"/>
                <w:color w:val="000000"/>
              </w:rPr>
            </w:pPr>
          </w:p>
        </w:tc>
        <w:tc>
          <w:tcPr>
            <w:tcW w:w="1768" w:type="pct"/>
            <w:tcBorders>
              <w:top w:val="nil"/>
              <w:left w:val="nil"/>
              <w:bottom w:val="single" w:sz="8" w:space="0" w:color="auto"/>
              <w:right w:val="single" w:sz="8" w:space="0" w:color="auto"/>
            </w:tcBorders>
            <w:shd w:val="clear" w:color="auto" w:fill="auto"/>
            <w:vAlign w:val="center"/>
            <w:hideMark/>
          </w:tcPr>
          <w:p w:rsidR="00824F00" w:rsidRPr="00813452" w:rsidRDefault="00824F00" w:rsidP="00A73D18">
            <w:pPr>
              <w:spacing w:after="0"/>
              <w:rPr>
                <w:rFonts w:ascii="Times New Roman" w:eastAsia="Times New Roman" w:hAnsi="Times New Roman" w:cs="Times New Roman"/>
                <w:color w:val="000000"/>
              </w:rPr>
            </w:pPr>
            <w:r w:rsidRPr="00813452">
              <w:rPr>
                <w:rFonts w:ascii="Times New Roman" w:eastAsia="Times New Roman" w:hAnsi="Times New Roman" w:cs="Times New Roman"/>
                <w:color w:val="000000"/>
              </w:rPr>
              <w:t>Diğerleri</w:t>
            </w:r>
          </w:p>
        </w:tc>
        <w:tc>
          <w:tcPr>
            <w:tcW w:w="1003" w:type="pct"/>
            <w:tcBorders>
              <w:top w:val="nil"/>
              <w:left w:val="nil"/>
              <w:bottom w:val="single" w:sz="8" w:space="0" w:color="auto"/>
              <w:right w:val="single" w:sz="8" w:space="0" w:color="auto"/>
            </w:tcBorders>
            <w:shd w:val="clear" w:color="auto" w:fill="auto"/>
            <w:vAlign w:val="center"/>
            <w:hideMark/>
          </w:tcPr>
          <w:p w:rsidR="00824F00" w:rsidRPr="00813452" w:rsidRDefault="00824F00" w:rsidP="00A73D18">
            <w:pPr>
              <w:spacing w:after="0"/>
              <w:jc w:val="right"/>
              <w:rPr>
                <w:rFonts w:ascii="Times New Roman" w:eastAsia="Times New Roman" w:hAnsi="Times New Roman" w:cs="Times New Roman"/>
                <w:color w:val="000000"/>
              </w:rPr>
            </w:pPr>
            <w:r w:rsidRPr="00813452">
              <w:rPr>
                <w:rFonts w:ascii="Times New Roman" w:eastAsia="Times New Roman" w:hAnsi="Times New Roman" w:cs="Times New Roman"/>
                <w:color w:val="000000"/>
              </w:rPr>
              <w:t>59,65%</w:t>
            </w:r>
          </w:p>
        </w:tc>
      </w:tr>
    </w:tbl>
    <w:p w:rsidR="00824F00" w:rsidRPr="00813452" w:rsidRDefault="00824F00" w:rsidP="00A73D18">
      <w:pPr>
        <w:pStyle w:val="Default"/>
        <w:jc w:val="both"/>
        <w:rPr>
          <w:rFonts w:eastAsiaTheme="minorHAnsi"/>
          <w:bCs/>
          <w:color w:val="auto"/>
          <w:spacing w:val="-2"/>
          <w:lang w:eastAsia="en-US"/>
        </w:rPr>
      </w:pPr>
    </w:p>
    <w:p w:rsidR="002B5537" w:rsidRPr="00813452" w:rsidRDefault="002B5537" w:rsidP="00A73D18">
      <w:pPr>
        <w:tabs>
          <w:tab w:val="left" w:pos="360"/>
        </w:tabs>
        <w:spacing w:before="240" w:after="120"/>
        <w:jc w:val="both"/>
        <w:rPr>
          <w:rFonts w:ascii="Times New Roman" w:hAnsi="Times New Roman" w:cs="Times New Roman"/>
          <w:bCs/>
          <w:spacing w:val="-2"/>
          <w:sz w:val="24"/>
          <w:szCs w:val="24"/>
        </w:rPr>
      </w:pPr>
    </w:p>
    <w:sectPr w:rsidR="002B5537" w:rsidRPr="00813452" w:rsidSect="00E665D1">
      <w:footerReference w:type="default" r:id="rId8"/>
      <w:footerReference w:type="first" r:id="rId9"/>
      <w:pgSz w:w="12240" w:h="15840"/>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F8F" w:rsidRDefault="00833F8F" w:rsidP="005D6D04">
      <w:pPr>
        <w:spacing w:after="0"/>
      </w:pPr>
      <w:r>
        <w:separator/>
      </w:r>
    </w:p>
  </w:endnote>
  <w:endnote w:type="continuationSeparator" w:id="0">
    <w:p w:rsidR="00833F8F" w:rsidRDefault="00833F8F" w:rsidP="005D6D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066079"/>
      <w:docPartObj>
        <w:docPartGallery w:val="Page Numbers (Bottom of Page)"/>
        <w:docPartUnique/>
      </w:docPartObj>
    </w:sdtPr>
    <w:sdtEndPr/>
    <w:sdtContent>
      <w:p w:rsidR="00E665D1" w:rsidRDefault="00E665D1">
        <w:pPr>
          <w:pStyle w:val="Altbilgi"/>
          <w:jc w:val="right"/>
        </w:pPr>
        <w:r>
          <w:fldChar w:fldCharType="begin"/>
        </w:r>
        <w:r>
          <w:instrText>PAGE   \* MERGEFORMAT</w:instrText>
        </w:r>
        <w:r>
          <w:fldChar w:fldCharType="separate"/>
        </w:r>
        <w:r w:rsidR="00944A6C">
          <w:rPr>
            <w:noProof/>
          </w:rPr>
          <w:t>12</w:t>
        </w:r>
        <w:r>
          <w:fldChar w:fldCharType="end"/>
        </w:r>
      </w:p>
    </w:sdtContent>
  </w:sdt>
  <w:p w:rsidR="00E665D1" w:rsidRDefault="00E665D1">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581481"/>
      <w:docPartObj>
        <w:docPartGallery w:val="Page Numbers (Bottom of Page)"/>
        <w:docPartUnique/>
      </w:docPartObj>
    </w:sdtPr>
    <w:sdtEndPr/>
    <w:sdtContent>
      <w:p w:rsidR="00E665D1" w:rsidRDefault="00E665D1">
        <w:pPr>
          <w:pStyle w:val="Altbilgi"/>
          <w:jc w:val="right"/>
        </w:pPr>
        <w:r>
          <w:fldChar w:fldCharType="begin"/>
        </w:r>
        <w:r>
          <w:instrText>PAGE   \* MERGEFORMAT</w:instrText>
        </w:r>
        <w:r>
          <w:fldChar w:fldCharType="separate"/>
        </w:r>
        <w:r w:rsidR="00944A6C">
          <w:rPr>
            <w:noProof/>
          </w:rPr>
          <w:t>1</w:t>
        </w:r>
        <w:r>
          <w:fldChar w:fldCharType="end"/>
        </w:r>
      </w:p>
    </w:sdtContent>
  </w:sdt>
  <w:p w:rsidR="00E665D1" w:rsidRDefault="00E665D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F8F" w:rsidRDefault="00833F8F" w:rsidP="005D6D04">
      <w:pPr>
        <w:spacing w:after="0"/>
      </w:pPr>
      <w:r>
        <w:separator/>
      </w:r>
    </w:p>
  </w:footnote>
  <w:footnote w:type="continuationSeparator" w:id="0">
    <w:p w:rsidR="00833F8F" w:rsidRDefault="00833F8F" w:rsidP="005D6D0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CD3617"/>
    <w:multiLevelType w:val="multilevel"/>
    <w:tmpl w:val="C9C065EC"/>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118B2D65"/>
    <w:multiLevelType w:val="multilevel"/>
    <w:tmpl w:val="5D40E87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3E6FE5"/>
    <w:multiLevelType w:val="hybridMultilevel"/>
    <w:tmpl w:val="0590A83C"/>
    <w:lvl w:ilvl="0" w:tplc="CB006772">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5"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68471E3"/>
    <w:multiLevelType w:val="multilevel"/>
    <w:tmpl w:val="C20E0C34"/>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7717C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963537"/>
    <w:multiLevelType w:val="hybridMultilevel"/>
    <w:tmpl w:val="AAD8969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1B428E"/>
    <w:multiLevelType w:val="hybridMultilevel"/>
    <w:tmpl w:val="0DD05EB4"/>
    <w:lvl w:ilvl="0" w:tplc="4014C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67CC4"/>
    <w:multiLevelType w:val="multilevel"/>
    <w:tmpl w:val="96A0104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39F5485"/>
    <w:multiLevelType w:val="hybridMultilevel"/>
    <w:tmpl w:val="FAF6463A"/>
    <w:lvl w:ilvl="0" w:tplc="D5F48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322A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7925202"/>
    <w:multiLevelType w:val="hybridMultilevel"/>
    <w:tmpl w:val="952ADB3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D030816"/>
    <w:multiLevelType w:val="hybridMultilevel"/>
    <w:tmpl w:val="4DA66094"/>
    <w:lvl w:ilvl="0" w:tplc="AA76FF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C56657A"/>
    <w:multiLevelType w:val="hybridMultilevel"/>
    <w:tmpl w:val="06ECEF50"/>
    <w:lvl w:ilvl="0" w:tplc="9EAE064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1EE07C7"/>
    <w:multiLevelType w:val="multilevel"/>
    <w:tmpl w:val="C9C065E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6C23D08"/>
    <w:multiLevelType w:val="multilevel"/>
    <w:tmpl w:val="3F1A2E5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12"/>
  </w:num>
  <w:num w:numId="3">
    <w:abstractNumId w:val="7"/>
  </w:num>
  <w:num w:numId="4">
    <w:abstractNumId w:val="9"/>
  </w:num>
  <w:num w:numId="5">
    <w:abstractNumId w:val="11"/>
  </w:num>
  <w:num w:numId="6">
    <w:abstractNumId w:val="5"/>
  </w:num>
  <w:num w:numId="7">
    <w:abstractNumId w:val="13"/>
  </w:num>
  <w:num w:numId="8">
    <w:abstractNumId w:val="0"/>
  </w:num>
  <w:num w:numId="9">
    <w:abstractNumId w:val="17"/>
  </w:num>
  <w:num w:numId="10">
    <w:abstractNumId w:val="14"/>
  </w:num>
  <w:num w:numId="11">
    <w:abstractNumId w:val="19"/>
  </w:num>
  <w:num w:numId="12">
    <w:abstractNumId w:val="6"/>
  </w:num>
  <w:num w:numId="13">
    <w:abstractNumId w:val="3"/>
  </w:num>
  <w:num w:numId="14">
    <w:abstractNumId w:val="21"/>
  </w:num>
  <w:num w:numId="15">
    <w:abstractNumId w:val="2"/>
  </w:num>
  <w:num w:numId="16">
    <w:abstractNumId w:val="10"/>
  </w:num>
  <w:num w:numId="17">
    <w:abstractNumId w:val="22"/>
  </w:num>
  <w:num w:numId="18">
    <w:abstractNumId w:val="16"/>
  </w:num>
  <w:num w:numId="19">
    <w:abstractNumId w:val="4"/>
  </w:num>
  <w:num w:numId="20">
    <w:abstractNumId w:val="18"/>
  </w:num>
  <w:num w:numId="21">
    <w:abstractNumId w:val="15"/>
  </w:num>
  <w:num w:numId="22">
    <w:abstractNumId w:val="8"/>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3B5"/>
    <w:rsid w:val="000020A5"/>
    <w:rsid w:val="00005D92"/>
    <w:rsid w:val="00040585"/>
    <w:rsid w:val="0005715D"/>
    <w:rsid w:val="00084885"/>
    <w:rsid w:val="000A0FB2"/>
    <w:rsid w:val="000B285E"/>
    <w:rsid w:val="000C57CA"/>
    <w:rsid w:val="000F48AC"/>
    <w:rsid w:val="00115297"/>
    <w:rsid w:val="00123FF5"/>
    <w:rsid w:val="00126069"/>
    <w:rsid w:val="001719A5"/>
    <w:rsid w:val="00175D53"/>
    <w:rsid w:val="00187AEA"/>
    <w:rsid w:val="001C4114"/>
    <w:rsid w:val="001F2E00"/>
    <w:rsid w:val="00203609"/>
    <w:rsid w:val="00235D70"/>
    <w:rsid w:val="002466BC"/>
    <w:rsid w:val="002518DF"/>
    <w:rsid w:val="002563B5"/>
    <w:rsid w:val="00261136"/>
    <w:rsid w:val="002769C6"/>
    <w:rsid w:val="00294C73"/>
    <w:rsid w:val="0029610E"/>
    <w:rsid w:val="002A65C8"/>
    <w:rsid w:val="002B5537"/>
    <w:rsid w:val="002C3177"/>
    <w:rsid w:val="002F2F70"/>
    <w:rsid w:val="0031311D"/>
    <w:rsid w:val="00314157"/>
    <w:rsid w:val="00322CF6"/>
    <w:rsid w:val="00323943"/>
    <w:rsid w:val="0037122E"/>
    <w:rsid w:val="00372EA9"/>
    <w:rsid w:val="00395ADB"/>
    <w:rsid w:val="003B39DF"/>
    <w:rsid w:val="003D3BCF"/>
    <w:rsid w:val="00422D2C"/>
    <w:rsid w:val="004333BF"/>
    <w:rsid w:val="0045116C"/>
    <w:rsid w:val="004520BD"/>
    <w:rsid w:val="00456DB1"/>
    <w:rsid w:val="004B3A46"/>
    <w:rsid w:val="004E4551"/>
    <w:rsid w:val="005178EA"/>
    <w:rsid w:val="00521EB7"/>
    <w:rsid w:val="0052365E"/>
    <w:rsid w:val="00550D33"/>
    <w:rsid w:val="00551FA9"/>
    <w:rsid w:val="0057018E"/>
    <w:rsid w:val="00587723"/>
    <w:rsid w:val="005D6D04"/>
    <w:rsid w:val="00600C87"/>
    <w:rsid w:val="006133A1"/>
    <w:rsid w:val="0062177B"/>
    <w:rsid w:val="006571BA"/>
    <w:rsid w:val="00673A73"/>
    <w:rsid w:val="006A53FD"/>
    <w:rsid w:val="006B631F"/>
    <w:rsid w:val="006D16A3"/>
    <w:rsid w:val="006F0027"/>
    <w:rsid w:val="0070062C"/>
    <w:rsid w:val="00737453"/>
    <w:rsid w:val="0075191B"/>
    <w:rsid w:val="00756D47"/>
    <w:rsid w:val="00795328"/>
    <w:rsid w:val="00797FCF"/>
    <w:rsid w:val="008006AF"/>
    <w:rsid w:val="00811896"/>
    <w:rsid w:val="00813452"/>
    <w:rsid w:val="00814DBC"/>
    <w:rsid w:val="00824F00"/>
    <w:rsid w:val="00833F8F"/>
    <w:rsid w:val="00843788"/>
    <w:rsid w:val="00872708"/>
    <w:rsid w:val="00874A72"/>
    <w:rsid w:val="00883C4F"/>
    <w:rsid w:val="008A2981"/>
    <w:rsid w:val="008B03E3"/>
    <w:rsid w:val="008C0A75"/>
    <w:rsid w:val="008D0D7E"/>
    <w:rsid w:val="008E5417"/>
    <w:rsid w:val="009226D7"/>
    <w:rsid w:val="00923BCC"/>
    <w:rsid w:val="00932F48"/>
    <w:rsid w:val="00944A6C"/>
    <w:rsid w:val="00947445"/>
    <w:rsid w:val="00947ADA"/>
    <w:rsid w:val="0096144C"/>
    <w:rsid w:val="00992C2A"/>
    <w:rsid w:val="009C5199"/>
    <w:rsid w:val="009E1110"/>
    <w:rsid w:val="009F40CB"/>
    <w:rsid w:val="00A11179"/>
    <w:rsid w:val="00A16DF2"/>
    <w:rsid w:val="00A35228"/>
    <w:rsid w:val="00A625BC"/>
    <w:rsid w:val="00A73D18"/>
    <w:rsid w:val="00A813DF"/>
    <w:rsid w:val="00A86762"/>
    <w:rsid w:val="00A92FB7"/>
    <w:rsid w:val="00AA351D"/>
    <w:rsid w:val="00AA58B7"/>
    <w:rsid w:val="00AB026E"/>
    <w:rsid w:val="00AC26EA"/>
    <w:rsid w:val="00AC6616"/>
    <w:rsid w:val="00AE1D8F"/>
    <w:rsid w:val="00AE7541"/>
    <w:rsid w:val="00AF669C"/>
    <w:rsid w:val="00B01E87"/>
    <w:rsid w:val="00B01FEE"/>
    <w:rsid w:val="00B1558B"/>
    <w:rsid w:val="00B2483C"/>
    <w:rsid w:val="00B53EB1"/>
    <w:rsid w:val="00B6327A"/>
    <w:rsid w:val="00B63A9E"/>
    <w:rsid w:val="00B770D1"/>
    <w:rsid w:val="00BD5C5C"/>
    <w:rsid w:val="00BE23FE"/>
    <w:rsid w:val="00BF2294"/>
    <w:rsid w:val="00C13F15"/>
    <w:rsid w:val="00C80184"/>
    <w:rsid w:val="00CC501A"/>
    <w:rsid w:val="00CD4185"/>
    <w:rsid w:val="00CE1756"/>
    <w:rsid w:val="00CE1EC9"/>
    <w:rsid w:val="00D21BDA"/>
    <w:rsid w:val="00D36B74"/>
    <w:rsid w:val="00D95AAF"/>
    <w:rsid w:val="00DA241E"/>
    <w:rsid w:val="00DA344A"/>
    <w:rsid w:val="00E665D1"/>
    <w:rsid w:val="00E70BC4"/>
    <w:rsid w:val="00EA7754"/>
    <w:rsid w:val="00EC2BB6"/>
    <w:rsid w:val="00ED2EAC"/>
    <w:rsid w:val="00EE1EDD"/>
    <w:rsid w:val="00EF555F"/>
    <w:rsid w:val="00F273D6"/>
    <w:rsid w:val="00F60A8B"/>
    <w:rsid w:val="00F739E3"/>
    <w:rsid w:val="00F7533C"/>
    <w:rsid w:val="00F868EE"/>
    <w:rsid w:val="00F91016"/>
    <w:rsid w:val="00FA4807"/>
    <w:rsid w:val="00FC0E36"/>
    <w:rsid w:val="00FE0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chartTrackingRefBased/>
  <w15:docId w15:val="{65021F05-DB30-4A31-B6BF-06F6F2F06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tr-TR"/>
    </w:rPr>
  </w:style>
  <w:style w:type="paragraph" w:styleId="Balk1">
    <w:name w:val="heading 1"/>
    <w:basedOn w:val="Normal"/>
    <w:next w:val="Normal"/>
    <w:link w:val="Balk1Char"/>
    <w:uiPriority w:val="9"/>
    <w:qFormat/>
    <w:rsid w:val="002563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2563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5D6D0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2563B5"/>
    <w:pPr>
      <w:spacing w:after="0"/>
    </w:pPr>
    <w:rPr>
      <w:lang w:val="tr-TR"/>
    </w:rPr>
  </w:style>
  <w:style w:type="character" w:customStyle="1" w:styleId="Balk1Char">
    <w:name w:val="Başlık 1 Char"/>
    <w:basedOn w:val="VarsaylanParagrafYazTipi"/>
    <w:link w:val="Balk1"/>
    <w:uiPriority w:val="9"/>
    <w:rsid w:val="002563B5"/>
    <w:rPr>
      <w:rFonts w:asciiTheme="majorHAnsi" w:eastAsiaTheme="majorEastAsia" w:hAnsiTheme="majorHAnsi" w:cstheme="majorBidi"/>
      <w:color w:val="2E74B5" w:themeColor="accent1" w:themeShade="BF"/>
      <w:sz w:val="32"/>
      <w:szCs w:val="32"/>
      <w:lang w:val="tr-TR"/>
    </w:rPr>
  </w:style>
  <w:style w:type="character" w:customStyle="1" w:styleId="Balk2Char">
    <w:name w:val="Başlık 2 Char"/>
    <w:basedOn w:val="VarsaylanParagrafYazTipi"/>
    <w:link w:val="Balk2"/>
    <w:uiPriority w:val="9"/>
    <w:rsid w:val="002563B5"/>
    <w:rPr>
      <w:rFonts w:asciiTheme="majorHAnsi" w:eastAsiaTheme="majorEastAsia" w:hAnsiTheme="majorHAnsi" w:cstheme="majorBidi"/>
      <w:color w:val="2E74B5" w:themeColor="accent1" w:themeShade="BF"/>
      <w:sz w:val="26"/>
      <w:szCs w:val="26"/>
      <w:lang w:val="tr-TR"/>
    </w:rPr>
  </w:style>
  <w:style w:type="paragraph" w:styleId="ListeParagraf">
    <w:name w:val="List Paragraph"/>
    <w:basedOn w:val="Normal"/>
    <w:uiPriority w:val="34"/>
    <w:qFormat/>
    <w:rsid w:val="002563B5"/>
    <w:pPr>
      <w:ind w:left="720"/>
      <w:contextualSpacing/>
    </w:pPr>
  </w:style>
  <w:style w:type="paragraph" w:customStyle="1" w:styleId="Default">
    <w:name w:val="Default"/>
    <w:rsid w:val="002563B5"/>
    <w:pPr>
      <w:autoSpaceDE w:val="0"/>
      <w:autoSpaceDN w:val="0"/>
      <w:adjustRightInd w:val="0"/>
      <w:spacing w:after="0"/>
    </w:pPr>
    <w:rPr>
      <w:rFonts w:ascii="Times New Roman" w:eastAsia="Times New Roman" w:hAnsi="Times New Roman" w:cs="Times New Roman"/>
      <w:color w:val="000000"/>
      <w:sz w:val="24"/>
      <w:szCs w:val="24"/>
      <w:lang w:val="tr-TR" w:eastAsia="tr-TR"/>
    </w:rPr>
  </w:style>
  <w:style w:type="paragraph" w:styleId="GvdeMetniGirintisi2">
    <w:name w:val="Body Text Indent 2"/>
    <w:basedOn w:val="Normal"/>
    <w:link w:val="GvdeMetniGirintisi2Char"/>
    <w:rsid w:val="00AC6616"/>
    <w:pPr>
      <w:spacing w:after="0"/>
      <w:ind w:left="360"/>
      <w:jc w:val="both"/>
    </w:pPr>
    <w:rPr>
      <w:rFonts w:ascii="Times New Roman" w:eastAsia="Times New Roman" w:hAnsi="Times New Roman" w:cs="Times New Roman"/>
      <w:sz w:val="24"/>
      <w:szCs w:val="24"/>
    </w:rPr>
  </w:style>
  <w:style w:type="character" w:customStyle="1" w:styleId="GvdeMetniGirintisi2Char">
    <w:name w:val="Gövde Metni Girintisi 2 Char"/>
    <w:basedOn w:val="VarsaylanParagrafYazTipi"/>
    <w:link w:val="GvdeMetniGirintisi2"/>
    <w:rsid w:val="00AC6616"/>
    <w:rPr>
      <w:rFonts w:ascii="Times New Roman" w:eastAsia="Times New Roman" w:hAnsi="Times New Roman" w:cs="Times New Roman"/>
      <w:sz w:val="24"/>
      <w:szCs w:val="24"/>
      <w:lang w:val="tr-TR"/>
    </w:rPr>
  </w:style>
  <w:style w:type="character" w:customStyle="1" w:styleId="Balk3Char">
    <w:name w:val="Başlık 3 Char"/>
    <w:basedOn w:val="VarsaylanParagrafYazTipi"/>
    <w:link w:val="Balk3"/>
    <w:uiPriority w:val="9"/>
    <w:rsid w:val="005D6D04"/>
    <w:rPr>
      <w:rFonts w:asciiTheme="majorHAnsi" w:eastAsiaTheme="majorEastAsia" w:hAnsiTheme="majorHAnsi" w:cstheme="majorBidi"/>
      <w:color w:val="1F4D78" w:themeColor="accent1" w:themeShade="7F"/>
      <w:sz w:val="24"/>
      <w:szCs w:val="24"/>
      <w:lang w:val="tr-TR"/>
    </w:rPr>
  </w:style>
  <w:style w:type="paragraph" w:styleId="GvdeMetniGirintisi3">
    <w:name w:val="Body Text Indent 3"/>
    <w:basedOn w:val="Normal"/>
    <w:link w:val="GvdeMetniGirintisi3Char"/>
    <w:uiPriority w:val="99"/>
    <w:semiHidden/>
    <w:unhideWhenUsed/>
    <w:rsid w:val="005D6D04"/>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5D6D04"/>
    <w:rPr>
      <w:sz w:val="16"/>
      <w:szCs w:val="16"/>
      <w:lang w:val="tr-TR"/>
    </w:rPr>
  </w:style>
  <w:style w:type="paragraph" w:styleId="DipnotMetni">
    <w:name w:val="footnote text"/>
    <w:basedOn w:val="Normal"/>
    <w:link w:val="DipnotMetniChar"/>
    <w:rsid w:val="005D6D04"/>
    <w:pPr>
      <w:spacing w:after="0"/>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rsid w:val="005D6D04"/>
    <w:rPr>
      <w:rFonts w:ascii="Times New Roman" w:eastAsia="Times New Roman" w:hAnsi="Times New Roman" w:cs="Times New Roman"/>
      <w:sz w:val="20"/>
      <w:szCs w:val="20"/>
      <w:lang w:val="tr-TR" w:eastAsia="tr-TR"/>
    </w:rPr>
  </w:style>
  <w:style w:type="character" w:styleId="DipnotBavurusu">
    <w:name w:val="footnote reference"/>
    <w:rsid w:val="005D6D04"/>
    <w:rPr>
      <w:vertAlign w:val="superscript"/>
    </w:rPr>
  </w:style>
  <w:style w:type="character" w:styleId="Kpr">
    <w:name w:val="Hyperlink"/>
    <w:basedOn w:val="VarsaylanParagrafYazTipi"/>
    <w:uiPriority w:val="99"/>
    <w:unhideWhenUsed/>
    <w:rsid w:val="005D6D04"/>
    <w:rPr>
      <w:color w:val="0563C1" w:themeColor="hyperlink"/>
      <w:u w:val="single"/>
    </w:rPr>
  </w:style>
  <w:style w:type="paragraph" w:styleId="stbilgi">
    <w:name w:val="header"/>
    <w:basedOn w:val="Normal"/>
    <w:link w:val="stbilgiChar"/>
    <w:uiPriority w:val="99"/>
    <w:unhideWhenUsed/>
    <w:rsid w:val="008C0A75"/>
    <w:pPr>
      <w:tabs>
        <w:tab w:val="center" w:pos="4703"/>
        <w:tab w:val="right" w:pos="9406"/>
      </w:tabs>
      <w:spacing w:after="0"/>
    </w:pPr>
  </w:style>
  <w:style w:type="character" w:customStyle="1" w:styleId="stbilgiChar">
    <w:name w:val="Üstbilgi Char"/>
    <w:basedOn w:val="VarsaylanParagrafYazTipi"/>
    <w:link w:val="stbilgi"/>
    <w:uiPriority w:val="99"/>
    <w:rsid w:val="008C0A75"/>
    <w:rPr>
      <w:lang w:val="tr-TR"/>
    </w:rPr>
  </w:style>
  <w:style w:type="paragraph" w:styleId="Altbilgi">
    <w:name w:val="footer"/>
    <w:basedOn w:val="Normal"/>
    <w:link w:val="AltbilgiChar"/>
    <w:uiPriority w:val="99"/>
    <w:unhideWhenUsed/>
    <w:rsid w:val="008C0A75"/>
    <w:pPr>
      <w:tabs>
        <w:tab w:val="center" w:pos="4703"/>
        <w:tab w:val="right" w:pos="9406"/>
      </w:tabs>
      <w:spacing w:after="0"/>
    </w:pPr>
  </w:style>
  <w:style w:type="character" w:customStyle="1" w:styleId="AltbilgiChar">
    <w:name w:val="Altbilgi Char"/>
    <w:basedOn w:val="VarsaylanParagrafYazTipi"/>
    <w:link w:val="Altbilgi"/>
    <w:uiPriority w:val="99"/>
    <w:rsid w:val="008C0A75"/>
    <w:rPr>
      <w:lang w:val="tr-TR"/>
    </w:rPr>
  </w:style>
  <w:style w:type="paragraph" w:styleId="GvdeMetni2">
    <w:name w:val="Body Text 2"/>
    <w:basedOn w:val="Normal"/>
    <w:link w:val="GvdeMetni2Char"/>
    <w:rsid w:val="000C57CA"/>
    <w:pPr>
      <w:spacing w:after="120" w:line="480" w:lineRule="auto"/>
    </w:pPr>
    <w:rPr>
      <w:rFonts w:ascii="Times New Roman" w:eastAsia="Times New Roman" w:hAnsi="Times New Roman" w:cs="Times New Roman"/>
      <w:sz w:val="24"/>
      <w:szCs w:val="24"/>
      <w:lang w:val="x-none"/>
    </w:rPr>
  </w:style>
  <w:style w:type="character" w:customStyle="1" w:styleId="GvdeMetni2Char">
    <w:name w:val="Gövde Metni 2 Char"/>
    <w:basedOn w:val="VarsaylanParagrafYazTipi"/>
    <w:link w:val="GvdeMetni2"/>
    <w:rsid w:val="000C57CA"/>
    <w:rPr>
      <w:rFonts w:ascii="Times New Roman" w:eastAsia="Times New Roman" w:hAnsi="Times New Roman" w:cs="Times New Roman"/>
      <w:sz w:val="24"/>
      <w:szCs w:val="24"/>
      <w:lang w:val="x-none"/>
    </w:rPr>
  </w:style>
  <w:style w:type="table" w:styleId="TabloKlavuzu">
    <w:name w:val="Table Grid"/>
    <w:basedOn w:val="NormalTablo"/>
    <w:rsid w:val="004333B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550D33"/>
    <w:pPr>
      <w:spacing w:line="259" w:lineRule="auto"/>
      <w:outlineLvl w:val="9"/>
    </w:pPr>
    <w:rPr>
      <w:lang w:eastAsia="tr-TR"/>
    </w:rPr>
  </w:style>
  <w:style w:type="paragraph" w:styleId="T1">
    <w:name w:val="toc 1"/>
    <w:basedOn w:val="Normal"/>
    <w:next w:val="Normal"/>
    <w:autoRedefine/>
    <w:uiPriority w:val="39"/>
    <w:unhideWhenUsed/>
    <w:rsid w:val="00EE1EDD"/>
    <w:pPr>
      <w:tabs>
        <w:tab w:val="left" w:pos="440"/>
        <w:tab w:val="right" w:leader="dot" w:pos="9396"/>
      </w:tabs>
      <w:spacing w:after="100"/>
    </w:pPr>
    <w:rPr>
      <w:rFonts w:ascii="Times New Roman" w:hAnsi="Times New Roman" w:cs="Times New Roman"/>
      <w:b/>
      <w:noProof/>
      <w:color w:val="000000" w:themeColor="text1"/>
      <w:sz w:val="20"/>
      <w:szCs w:val="20"/>
    </w:rPr>
  </w:style>
  <w:style w:type="paragraph" w:styleId="T2">
    <w:name w:val="toc 2"/>
    <w:basedOn w:val="Normal"/>
    <w:next w:val="Normal"/>
    <w:autoRedefine/>
    <w:uiPriority w:val="39"/>
    <w:unhideWhenUsed/>
    <w:rsid w:val="00550D33"/>
    <w:pPr>
      <w:spacing w:after="100"/>
      <w:ind w:left="220"/>
    </w:pPr>
  </w:style>
  <w:style w:type="paragraph" w:styleId="T3">
    <w:name w:val="toc 3"/>
    <w:basedOn w:val="Normal"/>
    <w:next w:val="Normal"/>
    <w:autoRedefine/>
    <w:uiPriority w:val="39"/>
    <w:unhideWhenUsed/>
    <w:rsid w:val="00550D33"/>
    <w:pPr>
      <w:spacing w:after="100"/>
      <w:ind w:left="440"/>
    </w:pPr>
  </w:style>
  <w:style w:type="paragraph" w:styleId="BalonMetni">
    <w:name w:val="Balloon Text"/>
    <w:basedOn w:val="Normal"/>
    <w:link w:val="BalonMetniChar"/>
    <w:uiPriority w:val="99"/>
    <w:semiHidden/>
    <w:unhideWhenUsed/>
    <w:rsid w:val="00E70BC4"/>
    <w:pPr>
      <w:spacing w:after="0"/>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70BC4"/>
    <w:rPr>
      <w:rFonts w:ascii="Segoe UI"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26742">
      <w:bodyDiv w:val="1"/>
      <w:marLeft w:val="0"/>
      <w:marRight w:val="0"/>
      <w:marTop w:val="0"/>
      <w:marBottom w:val="0"/>
      <w:divBdr>
        <w:top w:val="none" w:sz="0" w:space="0" w:color="auto"/>
        <w:left w:val="none" w:sz="0" w:space="0" w:color="auto"/>
        <w:bottom w:val="none" w:sz="0" w:space="0" w:color="auto"/>
        <w:right w:val="none" w:sz="0" w:space="0" w:color="auto"/>
      </w:divBdr>
    </w:div>
    <w:div w:id="105850953">
      <w:bodyDiv w:val="1"/>
      <w:marLeft w:val="0"/>
      <w:marRight w:val="0"/>
      <w:marTop w:val="0"/>
      <w:marBottom w:val="0"/>
      <w:divBdr>
        <w:top w:val="none" w:sz="0" w:space="0" w:color="auto"/>
        <w:left w:val="none" w:sz="0" w:space="0" w:color="auto"/>
        <w:bottom w:val="none" w:sz="0" w:space="0" w:color="auto"/>
        <w:right w:val="none" w:sz="0" w:space="0" w:color="auto"/>
      </w:divBdr>
    </w:div>
    <w:div w:id="106703216">
      <w:bodyDiv w:val="1"/>
      <w:marLeft w:val="0"/>
      <w:marRight w:val="0"/>
      <w:marTop w:val="0"/>
      <w:marBottom w:val="0"/>
      <w:divBdr>
        <w:top w:val="none" w:sz="0" w:space="0" w:color="auto"/>
        <w:left w:val="none" w:sz="0" w:space="0" w:color="auto"/>
        <w:bottom w:val="none" w:sz="0" w:space="0" w:color="auto"/>
        <w:right w:val="none" w:sz="0" w:space="0" w:color="auto"/>
      </w:divBdr>
    </w:div>
    <w:div w:id="121387973">
      <w:bodyDiv w:val="1"/>
      <w:marLeft w:val="0"/>
      <w:marRight w:val="0"/>
      <w:marTop w:val="0"/>
      <w:marBottom w:val="0"/>
      <w:divBdr>
        <w:top w:val="none" w:sz="0" w:space="0" w:color="auto"/>
        <w:left w:val="none" w:sz="0" w:space="0" w:color="auto"/>
        <w:bottom w:val="none" w:sz="0" w:space="0" w:color="auto"/>
        <w:right w:val="none" w:sz="0" w:space="0" w:color="auto"/>
      </w:divBdr>
    </w:div>
    <w:div w:id="136651023">
      <w:bodyDiv w:val="1"/>
      <w:marLeft w:val="0"/>
      <w:marRight w:val="0"/>
      <w:marTop w:val="0"/>
      <w:marBottom w:val="0"/>
      <w:divBdr>
        <w:top w:val="none" w:sz="0" w:space="0" w:color="auto"/>
        <w:left w:val="none" w:sz="0" w:space="0" w:color="auto"/>
        <w:bottom w:val="none" w:sz="0" w:space="0" w:color="auto"/>
        <w:right w:val="none" w:sz="0" w:space="0" w:color="auto"/>
      </w:divBdr>
    </w:div>
    <w:div w:id="177432664">
      <w:bodyDiv w:val="1"/>
      <w:marLeft w:val="0"/>
      <w:marRight w:val="0"/>
      <w:marTop w:val="0"/>
      <w:marBottom w:val="0"/>
      <w:divBdr>
        <w:top w:val="none" w:sz="0" w:space="0" w:color="auto"/>
        <w:left w:val="none" w:sz="0" w:space="0" w:color="auto"/>
        <w:bottom w:val="none" w:sz="0" w:space="0" w:color="auto"/>
        <w:right w:val="none" w:sz="0" w:space="0" w:color="auto"/>
      </w:divBdr>
    </w:div>
    <w:div w:id="215048156">
      <w:bodyDiv w:val="1"/>
      <w:marLeft w:val="0"/>
      <w:marRight w:val="0"/>
      <w:marTop w:val="0"/>
      <w:marBottom w:val="0"/>
      <w:divBdr>
        <w:top w:val="none" w:sz="0" w:space="0" w:color="auto"/>
        <w:left w:val="none" w:sz="0" w:space="0" w:color="auto"/>
        <w:bottom w:val="none" w:sz="0" w:space="0" w:color="auto"/>
        <w:right w:val="none" w:sz="0" w:space="0" w:color="auto"/>
      </w:divBdr>
    </w:div>
    <w:div w:id="228075748">
      <w:bodyDiv w:val="1"/>
      <w:marLeft w:val="0"/>
      <w:marRight w:val="0"/>
      <w:marTop w:val="0"/>
      <w:marBottom w:val="0"/>
      <w:divBdr>
        <w:top w:val="none" w:sz="0" w:space="0" w:color="auto"/>
        <w:left w:val="none" w:sz="0" w:space="0" w:color="auto"/>
        <w:bottom w:val="none" w:sz="0" w:space="0" w:color="auto"/>
        <w:right w:val="none" w:sz="0" w:space="0" w:color="auto"/>
      </w:divBdr>
    </w:div>
    <w:div w:id="276376043">
      <w:bodyDiv w:val="1"/>
      <w:marLeft w:val="0"/>
      <w:marRight w:val="0"/>
      <w:marTop w:val="0"/>
      <w:marBottom w:val="0"/>
      <w:divBdr>
        <w:top w:val="none" w:sz="0" w:space="0" w:color="auto"/>
        <w:left w:val="none" w:sz="0" w:space="0" w:color="auto"/>
        <w:bottom w:val="none" w:sz="0" w:space="0" w:color="auto"/>
        <w:right w:val="none" w:sz="0" w:space="0" w:color="auto"/>
      </w:divBdr>
    </w:div>
    <w:div w:id="296224839">
      <w:bodyDiv w:val="1"/>
      <w:marLeft w:val="0"/>
      <w:marRight w:val="0"/>
      <w:marTop w:val="0"/>
      <w:marBottom w:val="0"/>
      <w:divBdr>
        <w:top w:val="none" w:sz="0" w:space="0" w:color="auto"/>
        <w:left w:val="none" w:sz="0" w:space="0" w:color="auto"/>
        <w:bottom w:val="none" w:sz="0" w:space="0" w:color="auto"/>
        <w:right w:val="none" w:sz="0" w:space="0" w:color="auto"/>
      </w:divBdr>
    </w:div>
    <w:div w:id="347414934">
      <w:bodyDiv w:val="1"/>
      <w:marLeft w:val="0"/>
      <w:marRight w:val="0"/>
      <w:marTop w:val="0"/>
      <w:marBottom w:val="0"/>
      <w:divBdr>
        <w:top w:val="none" w:sz="0" w:space="0" w:color="auto"/>
        <w:left w:val="none" w:sz="0" w:space="0" w:color="auto"/>
        <w:bottom w:val="none" w:sz="0" w:space="0" w:color="auto"/>
        <w:right w:val="none" w:sz="0" w:space="0" w:color="auto"/>
      </w:divBdr>
    </w:div>
    <w:div w:id="353918827">
      <w:bodyDiv w:val="1"/>
      <w:marLeft w:val="0"/>
      <w:marRight w:val="0"/>
      <w:marTop w:val="0"/>
      <w:marBottom w:val="0"/>
      <w:divBdr>
        <w:top w:val="none" w:sz="0" w:space="0" w:color="auto"/>
        <w:left w:val="none" w:sz="0" w:space="0" w:color="auto"/>
        <w:bottom w:val="none" w:sz="0" w:space="0" w:color="auto"/>
        <w:right w:val="none" w:sz="0" w:space="0" w:color="auto"/>
      </w:divBdr>
    </w:div>
    <w:div w:id="393697443">
      <w:bodyDiv w:val="1"/>
      <w:marLeft w:val="0"/>
      <w:marRight w:val="0"/>
      <w:marTop w:val="0"/>
      <w:marBottom w:val="0"/>
      <w:divBdr>
        <w:top w:val="none" w:sz="0" w:space="0" w:color="auto"/>
        <w:left w:val="none" w:sz="0" w:space="0" w:color="auto"/>
        <w:bottom w:val="none" w:sz="0" w:space="0" w:color="auto"/>
        <w:right w:val="none" w:sz="0" w:space="0" w:color="auto"/>
      </w:divBdr>
    </w:div>
    <w:div w:id="395708304">
      <w:bodyDiv w:val="1"/>
      <w:marLeft w:val="0"/>
      <w:marRight w:val="0"/>
      <w:marTop w:val="0"/>
      <w:marBottom w:val="0"/>
      <w:divBdr>
        <w:top w:val="none" w:sz="0" w:space="0" w:color="auto"/>
        <w:left w:val="none" w:sz="0" w:space="0" w:color="auto"/>
        <w:bottom w:val="none" w:sz="0" w:space="0" w:color="auto"/>
        <w:right w:val="none" w:sz="0" w:space="0" w:color="auto"/>
      </w:divBdr>
    </w:div>
    <w:div w:id="508909783">
      <w:bodyDiv w:val="1"/>
      <w:marLeft w:val="0"/>
      <w:marRight w:val="0"/>
      <w:marTop w:val="0"/>
      <w:marBottom w:val="0"/>
      <w:divBdr>
        <w:top w:val="none" w:sz="0" w:space="0" w:color="auto"/>
        <w:left w:val="none" w:sz="0" w:space="0" w:color="auto"/>
        <w:bottom w:val="none" w:sz="0" w:space="0" w:color="auto"/>
        <w:right w:val="none" w:sz="0" w:space="0" w:color="auto"/>
      </w:divBdr>
    </w:div>
    <w:div w:id="545681249">
      <w:bodyDiv w:val="1"/>
      <w:marLeft w:val="0"/>
      <w:marRight w:val="0"/>
      <w:marTop w:val="0"/>
      <w:marBottom w:val="0"/>
      <w:divBdr>
        <w:top w:val="none" w:sz="0" w:space="0" w:color="auto"/>
        <w:left w:val="none" w:sz="0" w:space="0" w:color="auto"/>
        <w:bottom w:val="none" w:sz="0" w:space="0" w:color="auto"/>
        <w:right w:val="none" w:sz="0" w:space="0" w:color="auto"/>
      </w:divBdr>
    </w:div>
    <w:div w:id="561671837">
      <w:bodyDiv w:val="1"/>
      <w:marLeft w:val="0"/>
      <w:marRight w:val="0"/>
      <w:marTop w:val="0"/>
      <w:marBottom w:val="0"/>
      <w:divBdr>
        <w:top w:val="none" w:sz="0" w:space="0" w:color="auto"/>
        <w:left w:val="none" w:sz="0" w:space="0" w:color="auto"/>
        <w:bottom w:val="none" w:sz="0" w:space="0" w:color="auto"/>
        <w:right w:val="none" w:sz="0" w:space="0" w:color="auto"/>
      </w:divBdr>
    </w:div>
    <w:div w:id="645472056">
      <w:bodyDiv w:val="1"/>
      <w:marLeft w:val="0"/>
      <w:marRight w:val="0"/>
      <w:marTop w:val="0"/>
      <w:marBottom w:val="0"/>
      <w:divBdr>
        <w:top w:val="none" w:sz="0" w:space="0" w:color="auto"/>
        <w:left w:val="none" w:sz="0" w:space="0" w:color="auto"/>
        <w:bottom w:val="none" w:sz="0" w:space="0" w:color="auto"/>
        <w:right w:val="none" w:sz="0" w:space="0" w:color="auto"/>
      </w:divBdr>
    </w:div>
    <w:div w:id="686054493">
      <w:bodyDiv w:val="1"/>
      <w:marLeft w:val="0"/>
      <w:marRight w:val="0"/>
      <w:marTop w:val="0"/>
      <w:marBottom w:val="0"/>
      <w:divBdr>
        <w:top w:val="none" w:sz="0" w:space="0" w:color="auto"/>
        <w:left w:val="none" w:sz="0" w:space="0" w:color="auto"/>
        <w:bottom w:val="none" w:sz="0" w:space="0" w:color="auto"/>
        <w:right w:val="none" w:sz="0" w:space="0" w:color="auto"/>
      </w:divBdr>
    </w:div>
    <w:div w:id="964653170">
      <w:bodyDiv w:val="1"/>
      <w:marLeft w:val="0"/>
      <w:marRight w:val="0"/>
      <w:marTop w:val="0"/>
      <w:marBottom w:val="0"/>
      <w:divBdr>
        <w:top w:val="none" w:sz="0" w:space="0" w:color="auto"/>
        <w:left w:val="none" w:sz="0" w:space="0" w:color="auto"/>
        <w:bottom w:val="none" w:sz="0" w:space="0" w:color="auto"/>
        <w:right w:val="none" w:sz="0" w:space="0" w:color="auto"/>
      </w:divBdr>
    </w:div>
    <w:div w:id="1022708688">
      <w:bodyDiv w:val="1"/>
      <w:marLeft w:val="0"/>
      <w:marRight w:val="0"/>
      <w:marTop w:val="0"/>
      <w:marBottom w:val="0"/>
      <w:divBdr>
        <w:top w:val="none" w:sz="0" w:space="0" w:color="auto"/>
        <w:left w:val="none" w:sz="0" w:space="0" w:color="auto"/>
        <w:bottom w:val="none" w:sz="0" w:space="0" w:color="auto"/>
        <w:right w:val="none" w:sz="0" w:space="0" w:color="auto"/>
      </w:divBdr>
    </w:div>
    <w:div w:id="1036124392">
      <w:bodyDiv w:val="1"/>
      <w:marLeft w:val="0"/>
      <w:marRight w:val="0"/>
      <w:marTop w:val="0"/>
      <w:marBottom w:val="0"/>
      <w:divBdr>
        <w:top w:val="none" w:sz="0" w:space="0" w:color="auto"/>
        <w:left w:val="none" w:sz="0" w:space="0" w:color="auto"/>
        <w:bottom w:val="none" w:sz="0" w:space="0" w:color="auto"/>
        <w:right w:val="none" w:sz="0" w:space="0" w:color="auto"/>
      </w:divBdr>
    </w:div>
    <w:div w:id="1050762554">
      <w:bodyDiv w:val="1"/>
      <w:marLeft w:val="0"/>
      <w:marRight w:val="0"/>
      <w:marTop w:val="0"/>
      <w:marBottom w:val="0"/>
      <w:divBdr>
        <w:top w:val="none" w:sz="0" w:space="0" w:color="auto"/>
        <w:left w:val="none" w:sz="0" w:space="0" w:color="auto"/>
        <w:bottom w:val="none" w:sz="0" w:space="0" w:color="auto"/>
        <w:right w:val="none" w:sz="0" w:space="0" w:color="auto"/>
      </w:divBdr>
    </w:div>
    <w:div w:id="1114056749">
      <w:bodyDiv w:val="1"/>
      <w:marLeft w:val="0"/>
      <w:marRight w:val="0"/>
      <w:marTop w:val="0"/>
      <w:marBottom w:val="0"/>
      <w:divBdr>
        <w:top w:val="none" w:sz="0" w:space="0" w:color="auto"/>
        <w:left w:val="none" w:sz="0" w:space="0" w:color="auto"/>
        <w:bottom w:val="none" w:sz="0" w:space="0" w:color="auto"/>
        <w:right w:val="none" w:sz="0" w:space="0" w:color="auto"/>
      </w:divBdr>
    </w:div>
    <w:div w:id="1296721364">
      <w:bodyDiv w:val="1"/>
      <w:marLeft w:val="0"/>
      <w:marRight w:val="0"/>
      <w:marTop w:val="0"/>
      <w:marBottom w:val="0"/>
      <w:divBdr>
        <w:top w:val="none" w:sz="0" w:space="0" w:color="auto"/>
        <w:left w:val="none" w:sz="0" w:space="0" w:color="auto"/>
        <w:bottom w:val="none" w:sz="0" w:space="0" w:color="auto"/>
        <w:right w:val="none" w:sz="0" w:space="0" w:color="auto"/>
      </w:divBdr>
    </w:div>
    <w:div w:id="1509370087">
      <w:bodyDiv w:val="1"/>
      <w:marLeft w:val="0"/>
      <w:marRight w:val="0"/>
      <w:marTop w:val="0"/>
      <w:marBottom w:val="0"/>
      <w:divBdr>
        <w:top w:val="none" w:sz="0" w:space="0" w:color="auto"/>
        <w:left w:val="none" w:sz="0" w:space="0" w:color="auto"/>
        <w:bottom w:val="none" w:sz="0" w:space="0" w:color="auto"/>
        <w:right w:val="none" w:sz="0" w:space="0" w:color="auto"/>
      </w:divBdr>
    </w:div>
    <w:div w:id="1591036315">
      <w:bodyDiv w:val="1"/>
      <w:marLeft w:val="0"/>
      <w:marRight w:val="0"/>
      <w:marTop w:val="0"/>
      <w:marBottom w:val="0"/>
      <w:divBdr>
        <w:top w:val="none" w:sz="0" w:space="0" w:color="auto"/>
        <w:left w:val="none" w:sz="0" w:space="0" w:color="auto"/>
        <w:bottom w:val="none" w:sz="0" w:space="0" w:color="auto"/>
        <w:right w:val="none" w:sz="0" w:space="0" w:color="auto"/>
      </w:divBdr>
    </w:div>
    <w:div w:id="1599171874">
      <w:bodyDiv w:val="1"/>
      <w:marLeft w:val="0"/>
      <w:marRight w:val="0"/>
      <w:marTop w:val="0"/>
      <w:marBottom w:val="0"/>
      <w:divBdr>
        <w:top w:val="none" w:sz="0" w:space="0" w:color="auto"/>
        <w:left w:val="none" w:sz="0" w:space="0" w:color="auto"/>
        <w:bottom w:val="none" w:sz="0" w:space="0" w:color="auto"/>
        <w:right w:val="none" w:sz="0" w:space="0" w:color="auto"/>
      </w:divBdr>
    </w:div>
    <w:div w:id="1891065889">
      <w:bodyDiv w:val="1"/>
      <w:marLeft w:val="0"/>
      <w:marRight w:val="0"/>
      <w:marTop w:val="0"/>
      <w:marBottom w:val="0"/>
      <w:divBdr>
        <w:top w:val="none" w:sz="0" w:space="0" w:color="auto"/>
        <w:left w:val="none" w:sz="0" w:space="0" w:color="auto"/>
        <w:bottom w:val="none" w:sz="0" w:space="0" w:color="auto"/>
        <w:right w:val="none" w:sz="0" w:space="0" w:color="auto"/>
      </w:divBdr>
    </w:div>
    <w:div w:id="191909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07E19-59CA-4DCD-9D90-BBDA4C917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4609</Words>
  <Characters>26272</Characters>
  <Application>Microsoft Office Word</Application>
  <DocSecurity>0</DocSecurity>
  <Lines>218</Lines>
  <Paragraphs>61</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T.C. Gümrük ve Ticaret Bakanlığı</Company>
  <LinksUpToDate>false</LinksUpToDate>
  <CharactersWithSpaces>30820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Miray BAĞCI</dc:creator>
  <cp:keywords/>
  <dc:description/>
  <cp:lastModifiedBy>Yasin SÖYLER</cp:lastModifiedBy>
  <cp:revision>2</cp:revision>
  <cp:lastPrinted>2019-12-18T07:06:00Z</cp:lastPrinted>
  <dcterms:created xsi:type="dcterms:W3CDTF">2020-01-03T08:02:00Z</dcterms:created>
  <dcterms:modified xsi:type="dcterms:W3CDTF">2020-01-03T08:02:00Z</dcterms:modified>
</cp:coreProperties>
</file>