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EB0" w:rsidRPr="00D97DF8" w:rsidRDefault="001C1EB0" w:rsidP="001C08F5">
      <w:pPr>
        <w:jc w:val="center"/>
        <w:rPr>
          <w:rFonts w:asciiTheme="minorHAnsi" w:hAnsiTheme="minorHAnsi" w:cstheme="minorHAnsi"/>
          <w:b/>
          <w:caps/>
          <w:sz w:val="22"/>
          <w:szCs w:val="22"/>
        </w:rPr>
      </w:pPr>
      <w:bookmarkStart w:id="0" w:name="_GoBack"/>
      <w:r w:rsidRPr="00D97DF8">
        <w:rPr>
          <w:rFonts w:asciiTheme="minorHAnsi" w:hAnsiTheme="minorHAnsi" w:cstheme="minorHAnsi"/>
          <w:b/>
          <w:caps/>
          <w:sz w:val="22"/>
          <w:szCs w:val="22"/>
        </w:rPr>
        <w:t>EK</w:t>
      </w:r>
    </w:p>
    <w:bookmarkEnd w:id="0"/>
    <w:p w:rsidR="001C1EB0" w:rsidRPr="00D97DF8" w:rsidRDefault="001C1EB0" w:rsidP="00D97DF8">
      <w:pPr>
        <w:jc w:val="center"/>
        <w:rPr>
          <w:rFonts w:asciiTheme="minorHAnsi" w:hAnsiTheme="minorHAnsi" w:cstheme="minorHAnsi"/>
          <w:b/>
          <w:caps/>
          <w:sz w:val="22"/>
          <w:szCs w:val="22"/>
        </w:rPr>
      </w:pPr>
    </w:p>
    <w:p w:rsidR="00914096" w:rsidRPr="00D97DF8" w:rsidRDefault="00380A12" w:rsidP="00D97DF8">
      <w:pPr>
        <w:jc w:val="center"/>
        <w:rPr>
          <w:rFonts w:asciiTheme="minorHAnsi" w:hAnsiTheme="minorHAnsi" w:cstheme="minorHAnsi"/>
          <w:b/>
          <w:caps/>
          <w:sz w:val="22"/>
          <w:szCs w:val="22"/>
        </w:rPr>
      </w:pPr>
      <w:r w:rsidRPr="00D97DF8">
        <w:rPr>
          <w:rFonts w:asciiTheme="minorHAnsi" w:hAnsiTheme="minorHAnsi" w:cstheme="minorHAnsi"/>
          <w:b/>
          <w:caps/>
          <w:sz w:val="22"/>
          <w:szCs w:val="22"/>
        </w:rPr>
        <w:t>2018/</w:t>
      </w:r>
      <w:r w:rsidR="00D921DD" w:rsidRPr="00D97DF8">
        <w:rPr>
          <w:rFonts w:asciiTheme="minorHAnsi" w:hAnsiTheme="minorHAnsi" w:cstheme="minorHAnsi"/>
          <w:b/>
          <w:caps/>
          <w:sz w:val="22"/>
          <w:szCs w:val="22"/>
        </w:rPr>
        <w:t>36</w:t>
      </w:r>
      <w:r w:rsidRPr="00D97DF8">
        <w:rPr>
          <w:rFonts w:asciiTheme="minorHAnsi" w:hAnsiTheme="minorHAnsi" w:cstheme="minorHAnsi"/>
          <w:b/>
          <w:caps/>
          <w:sz w:val="22"/>
          <w:szCs w:val="22"/>
        </w:rPr>
        <w:t xml:space="preserve"> SaYILI İTHALATTA HAKSIZ REKABETİN ÖNLENMESİNE İLİŞKİN TEBLİĞE DAİR </w:t>
      </w:r>
      <w:r w:rsidR="00914096" w:rsidRPr="00D97DF8">
        <w:rPr>
          <w:rFonts w:asciiTheme="minorHAnsi" w:hAnsiTheme="minorHAnsi" w:cstheme="minorHAnsi"/>
          <w:b/>
          <w:caps/>
          <w:sz w:val="22"/>
          <w:szCs w:val="22"/>
        </w:rPr>
        <w:t>BİLGİLENDİRME RAPORU</w:t>
      </w:r>
    </w:p>
    <w:p w:rsidR="00914096" w:rsidRPr="00D97DF8" w:rsidRDefault="00914096" w:rsidP="00D97DF8">
      <w:pPr>
        <w:jc w:val="both"/>
        <w:rPr>
          <w:rFonts w:asciiTheme="minorHAnsi" w:hAnsiTheme="minorHAnsi" w:cstheme="minorHAnsi"/>
          <w:b/>
          <w:caps/>
          <w:sz w:val="22"/>
          <w:szCs w:val="22"/>
        </w:rPr>
      </w:pPr>
    </w:p>
    <w:p w:rsidR="00D17BE4" w:rsidRPr="00D97DF8" w:rsidRDefault="00D17BE4" w:rsidP="00D97DF8">
      <w:pPr>
        <w:jc w:val="both"/>
        <w:rPr>
          <w:rFonts w:asciiTheme="minorHAnsi" w:hAnsiTheme="minorHAnsi" w:cstheme="minorHAnsi"/>
          <w:b/>
          <w:caps/>
          <w:sz w:val="22"/>
          <w:szCs w:val="22"/>
        </w:rPr>
      </w:pPr>
    </w:p>
    <w:p w:rsidR="00164FF4" w:rsidRPr="00D97DF8" w:rsidRDefault="00164FF4" w:rsidP="00D97DF8">
      <w:pPr>
        <w:jc w:val="both"/>
        <w:rPr>
          <w:rFonts w:asciiTheme="minorHAnsi" w:hAnsiTheme="minorHAnsi" w:cstheme="minorHAnsi"/>
          <w:b/>
          <w:caps/>
          <w:sz w:val="22"/>
          <w:szCs w:val="22"/>
        </w:rPr>
      </w:pPr>
      <w:r w:rsidRPr="00D97DF8">
        <w:rPr>
          <w:rFonts w:asciiTheme="minorHAnsi" w:hAnsiTheme="minorHAnsi" w:cstheme="minorHAnsi"/>
          <w:b/>
          <w:caps/>
          <w:sz w:val="22"/>
          <w:szCs w:val="22"/>
        </w:rPr>
        <w:t>1. soruşturmaya ilişkin GEnel BİLgi ve işlemler</w:t>
      </w:r>
    </w:p>
    <w:p w:rsidR="00164FF4" w:rsidRPr="00D97DF8" w:rsidRDefault="00164FF4" w:rsidP="00D97DF8">
      <w:pPr>
        <w:jc w:val="both"/>
        <w:rPr>
          <w:rFonts w:asciiTheme="minorHAnsi" w:hAnsiTheme="minorHAnsi" w:cstheme="minorHAnsi"/>
          <w:b/>
          <w:caps/>
          <w:sz w:val="22"/>
          <w:szCs w:val="22"/>
        </w:rPr>
      </w:pPr>
    </w:p>
    <w:p w:rsidR="00164FF4" w:rsidRPr="00D97DF8" w:rsidRDefault="00164FF4" w:rsidP="00D97DF8">
      <w:pPr>
        <w:contextualSpacing/>
        <w:jc w:val="both"/>
        <w:rPr>
          <w:rFonts w:asciiTheme="minorHAnsi" w:hAnsiTheme="minorHAnsi" w:cstheme="minorHAnsi"/>
          <w:b/>
          <w:caps/>
          <w:sz w:val="22"/>
          <w:szCs w:val="22"/>
        </w:rPr>
      </w:pPr>
      <w:r w:rsidRPr="00D97DF8">
        <w:rPr>
          <w:rFonts w:asciiTheme="minorHAnsi" w:hAnsiTheme="minorHAnsi" w:cstheme="minorHAnsi"/>
          <w:b/>
          <w:caps/>
          <w:sz w:val="22"/>
          <w:szCs w:val="22"/>
        </w:rPr>
        <w:t xml:space="preserve">1.1 </w:t>
      </w:r>
      <w:r w:rsidR="00731D63" w:rsidRPr="00D97DF8">
        <w:rPr>
          <w:rFonts w:asciiTheme="minorHAnsi" w:hAnsiTheme="minorHAnsi" w:cstheme="minorHAnsi"/>
          <w:b/>
          <w:sz w:val="22"/>
          <w:szCs w:val="22"/>
        </w:rPr>
        <w:t>Mevcut önlem</w:t>
      </w:r>
      <w:r w:rsidR="008C7F8B" w:rsidRPr="00D97DF8">
        <w:rPr>
          <w:rFonts w:asciiTheme="minorHAnsi" w:hAnsiTheme="minorHAnsi" w:cstheme="minorHAnsi"/>
          <w:b/>
          <w:sz w:val="22"/>
          <w:szCs w:val="22"/>
        </w:rPr>
        <w:t xml:space="preserve"> ve </w:t>
      </w:r>
      <w:r w:rsidR="00F85C0F" w:rsidRPr="00D97DF8">
        <w:rPr>
          <w:rFonts w:asciiTheme="minorHAnsi" w:hAnsiTheme="minorHAnsi" w:cstheme="minorHAnsi"/>
          <w:b/>
          <w:sz w:val="22"/>
          <w:szCs w:val="22"/>
        </w:rPr>
        <w:t>s</w:t>
      </w:r>
      <w:r w:rsidR="008C7F8B" w:rsidRPr="00D97DF8">
        <w:rPr>
          <w:rFonts w:asciiTheme="minorHAnsi" w:hAnsiTheme="minorHAnsi" w:cstheme="minorHAnsi"/>
          <w:b/>
          <w:sz w:val="22"/>
          <w:szCs w:val="22"/>
        </w:rPr>
        <w:t xml:space="preserve">oruşturma </w:t>
      </w:r>
      <w:r w:rsidR="00731D63" w:rsidRPr="00D97DF8">
        <w:rPr>
          <w:rFonts w:asciiTheme="minorHAnsi" w:hAnsiTheme="minorHAnsi" w:cstheme="minorHAnsi"/>
          <w:b/>
          <w:caps/>
          <w:sz w:val="22"/>
          <w:szCs w:val="22"/>
        </w:rPr>
        <w:t xml:space="preserve"> </w:t>
      </w:r>
    </w:p>
    <w:p w:rsidR="00784202"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01/09/2007 tarihli ve 26630 sayılı Resmi Gazete’de yayımlanan İthalatta Haksız Rekabetin Önlenmesine İlişkin Tebliğ (Tebliğ No:2007/13) ile Çin Halk Cumhuriyeti (ÇHC) ve Suudi Arabistan (S. Arabistan) menşeli “poliesterden sentetik devamsız lifler (polyester elyaf)” ithalatında, ÇHC için 0,08 ABD Doları/Kg ve S. Arabistan için 0,11 ABD Doları/Kg tutarında dampinge karşı önlem yürürlüğe konulmuştur.     </w:t>
      </w:r>
    </w:p>
    <w:p w:rsidR="00784202" w:rsidRPr="00D97DF8" w:rsidRDefault="00784202" w:rsidP="00D97DF8">
      <w:pPr>
        <w:ind w:firstLine="708"/>
        <w:jc w:val="both"/>
        <w:rPr>
          <w:rFonts w:asciiTheme="minorHAnsi" w:hAnsiTheme="minorHAnsi" w:cstheme="minorHAnsi"/>
          <w:sz w:val="22"/>
          <w:szCs w:val="22"/>
        </w:rPr>
      </w:pPr>
      <w:r w:rsidRPr="00D97DF8">
        <w:rPr>
          <w:rFonts w:asciiTheme="minorHAnsi" w:hAnsiTheme="minorHAnsi" w:cstheme="minorHAnsi"/>
          <w:sz w:val="22"/>
          <w:szCs w:val="22"/>
        </w:rPr>
        <w:t xml:space="preserve"> </w:t>
      </w:r>
    </w:p>
    <w:p w:rsidR="00784202" w:rsidRPr="00D97DF8" w:rsidRDefault="00784202" w:rsidP="00D97DF8">
      <w:pPr>
        <w:pStyle w:val="Default"/>
        <w:jc w:val="both"/>
        <w:rPr>
          <w:rFonts w:asciiTheme="minorHAnsi" w:hAnsiTheme="minorHAnsi" w:cstheme="minorHAnsi"/>
          <w:color w:val="auto"/>
          <w:sz w:val="22"/>
          <w:szCs w:val="22"/>
        </w:rPr>
      </w:pPr>
      <w:r w:rsidRPr="00D97DF8">
        <w:rPr>
          <w:rFonts w:asciiTheme="minorHAnsi" w:hAnsiTheme="minorHAnsi" w:cstheme="minorHAnsi"/>
          <w:color w:val="auto"/>
          <w:sz w:val="22"/>
          <w:szCs w:val="22"/>
        </w:rPr>
        <w:t>(2) Yerli üretim dalı tarafından yapılan başvuru üzerine, 18/04/2009 tarihli ve 27204 sayılı Resmi Gazete’de yayımlanan İthalatta Haksız Rekabetin Önlenmesine İlişkin 2009/9 sayılı Tebliğ ile ÇHC menşeli polyester elyaf için bir “zarar ara gözden geçirme soruşturması” açılmıştır. Yürütülen ara gözden geçirme soruşturması sonucunda, ÇHC için uygulanmakta olan 0,08 ABD Doları/Kg tutarındaki önlemin yerli üretim dalının dampingli ithalat nedeniyle uğradığı zararın ortadan kaldırılması için yeterli olmadığı değerlendirildiğinden, 05/10/2009 tarihli ve 27367 sayılı Resmi Gazete’de yayımlanan İthalatta Haksız Rekabetin Önlenmesine İlişkin Tebliğ(Tebliğ No:2009/33) ile ÇHC menşeli polyester elyaf ithalatında yürürlükte bulunan önlem, 0,21 ABD Doları/Kg’a yükseltilerek uygulanmaya devam edilmiştir.</w:t>
      </w:r>
    </w:p>
    <w:p w:rsidR="00784202" w:rsidRPr="00D97DF8" w:rsidRDefault="00784202" w:rsidP="00D97DF8">
      <w:pPr>
        <w:pStyle w:val="Default"/>
        <w:jc w:val="both"/>
        <w:rPr>
          <w:rFonts w:asciiTheme="minorHAnsi" w:hAnsiTheme="minorHAnsi" w:cstheme="minorHAnsi"/>
          <w:color w:val="FF0000"/>
          <w:sz w:val="22"/>
          <w:szCs w:val="22"/>
        </w:rPr>
      </w:pPr>
      <w:r w:rsidRPr="00D97DF8">
        <w:rPr>
          <w:rFonts w:asciiTheme="minorHAnsi" w:hAnsiTheme="minorHAnsi" w:cstheme="minorHAnsi"/>
          <w:color w:val="auto"/>
          <w:sz w:val="22"/>
          <w:szCs w:val="22"/>
        </w:rPr>
        <w:t>(3) Yerli üretim dalı tarafından yapılan başvuru üzerine, 7/8/2012 tarih ve 28377 sayılı Resmî Gazete’de yayımlanan İthalatta Haksız Rekabetin Önlenmesine İlişkin  Tebliğ (Tebliğ No: 2012/17) ile başlatılan NGGS, 16/7/2013 tarih ve 28709 sayılı Resmî Gazete’de yayımlanan İthalatta Haksız Rekabetin Önlenmesine İlişkin  Tebliğ (Tebliğ No: 2013/13) ile sonuçlandırılarak önlemin ÇHC için aynı seviyede devam etmesine karar verilmiştir. Yapılan başvuru, S. Arabistan menşeli ithalatı kapsamadığından, bu ülke menşeli ithalata yönelik uygulanan dampinge karşı önlem 5 yıllık uygulama süresi sonunda yürürlükten kalkmıştır.</w:t>
      </w:r>
    </w:p>
    <w:p w:rsidR="00784202" w:rsidRPr="00D97DF8" w:rsidRDefault="00784202" w:rsidP="00D97DF8">
      <w:pPr>
        <w:pStyle w:val="Default"/>
        <w:jc w:val="both"/>
        <w:rPr>
          <w:rFonts w:asciiTheme="minorHAnsi" w:hAnsiTheme="minorHAnsi" w:cstheme="minorHAnsi"/>
          <w:color w:val="auto"/>
          <w:sz w:val="22"/>
          <w:szCs w:val="22"/>
        </w:rPr>
      </w:pPr>
      <w:r w:rsidRPr="00D97DF8">
        <w:rPr>
          <w:rFonts w:asciiTheme="minorHAnsi" w:hAnsiTheme="minorHAnsi" w:cstheme="minorHAnsi"/>
          <w:color w:val="auto"/>
          <w:sz w:val="22"/>
          <w:szCs w:val="22"/>
        </w:rPr>
        <w:t xml:space="preserve">(4) İthalatta Haksız Rekabetin Önlenmesi Hakkında Yönetmeliğin 35’inci maddesinin ikinci fıkrası hükmünce 25/1/2018 tarihli ve 30312 sayılı Resmi Gazete’de yayımlanan  İthalatta Haksız Rekabetin Önlenmesine İlişkin  Tebliğ (Tebliğ No: 2018/1) vasıtasıyla mevcut önlemin yürürlükten kalkacağı ve ilgili ürünün yerli üreticilerinin mevzuatta öngörülen sürelerde yeterli delillerle desteklenmiş bir başvuru ile NGGS açılması talebinde bulunabilecekleri duyurulmuştur. </w:t>
      </w:r>
    </w:p>
    <w:p w:rsidR="00784202"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(5) Bu çerçevede, benzer ürünün Türkiye’de yerleşik yerli üreticileri olan </w:t>
      </w:r>
      <w:r w:rsidRPr="00D97DF8">
        <w:rPr>
          <w:rFonts w:asciiTheme="minorHAnsi" w:hAnsiTheme="minorHAnsi" w:cstheme="minorHAnsi"/>
          <w:bCs/>
          <w:sz w:val="22"/>
          <w:szCs w:val="22"/>
        </w:rPr>
        <w:t xml:space="preserve">Sasa Polyester Sanayi </w:t>
      </w:r>
      <w:r w:rsidRPr="00D97DF8">
        <w:rPr>
          <w:rFonts w:asciiTheme="minorHAnsi" w:hAnsiTheme="minorHAnsi" w:cstheme="minorHAnsi"/>
          <w:sz w:val="22"/>
          <w:szCs w:val="22"/>
        </w:rPr>
        <w:t xml:space="preserve">A.Ş. (Sasa), </w:t>
      </w:r>
      <w:r w:rsidRPr="00D97DF8">
        <w:rPr>
          <w:rFonts w:asciiTheme="minorHAnsi" w:hAnsiTheme="minorHAnsi" w:cstheme="minorHAnsi"/>
          <w:bCs/>
          <w:sz w:val="22"/>
          <w:szCs w:val="22"/>
        </w:rPr>
        <w:t>Ertona Tekstil Plastik Geri Dönüşüm San. ve Tic. A.Ş. (Ertona)</w:t>
      </w:r>
      <w:r w:rsidRPr="00D97DF8">
        <w:rPr>
          <w:rFonts w:asciiTheme="minorHAnsi" w:hAnsiTheme="minorHAnsi" w:cstheme="minorHAnsi"/>
          <w:sz w:val="22"/>
          <w:szCs w:val="22"/>
        </w:rPr>
        <w:t>, Yılmaz Ambalaj Atıkları Geri Dönüşüm San. ve Tic. Ltd.Şti.</w:t>
      </w:r>
      <w:r w:rsidRPr="00D97DF8">
        <w:rPr>
          <w:rFonts w:asciiTheme="minorHAnsi" w:hAnsiTheme="minorHAnsi" w:cstheme="minorHAnsi"/>
          <w:bCs/>
          <w:sz w:val="22"/>
          <w:szCs w:val="22"/>
        </w:rPr>
        <w:t xml:space="preserve"> (Yılmaz)</w:t>
      </w:r>
      <w:r w:rsidRPr="00D97DF8">
        <w:rPr>
          <w:rFonts w:asciiTheme="minorHAnsi" w:hAnsiTheme="minorHAnsi" w:cstheme="minorHAnsi"/>
          <w:sz w:val="22"/>
          <w:szCs w:val="22"/>
        </w:rPr>
        <w:t>, Koza Polyester San ve Tic. A.Ş.(Koza), Uğur Geri Dönüşüm ve Elyaf San. ve Ltd. Şti. (Uğur), Euro Fiber Teks. Plastik Elyaf Tur. Amb. Atıkları Geri Dönüşüm San. ve Tic. Ltd. Şti. (Euro Fiber), Ritaş Kimya ve Tekstil San. Tic A.Ş.</w:t>
      </w:r>
      <w:r w:rsidRPr="00D97DF8">
        <w:rPr>
          <w:rFonts w:asciiTheme="minorHAnsi" w:hAnsiTheme="minorHAnsi" w:cstheme="minorHAnsi"/>
          <w:bCs/>
          <w:sz w:val="22"/>
          <w:szCs w:val="22"/>
        </w:rPr>
        <w:t xml:space="preserve"> (Ritaş)</w:t>
      </w:r>
      <w:r w:rsidRPr="00D97DF8">
        <w:rPr>
          <w:rFonts w:asciiTheme="minorHAnsi" w:hAnsiTheme="minorHAnsi" w:cstheme="minorHAnsi"/>
          <w:sz w:val="22"/>
          <w:szCs w:val="22"/>
        </w:rPr>
        <w:t xml:space="preserve"> ve Altıparmaklar Tekstil Elyaf San. ve Tic Ltd. Şti (Altıparmaklar) tarafından yürürlükteki önlemin sona ermesi halinde dampingin ve zararın devam edeceği veya yeniden ortaya çıkacağı iddiası ve önleme konu ülke menşeli polyester elyaf ithalatına yönelik bir nihai gözden geçirme soruşturması açılması talebiyle Bakanlığımıza başvuruda bulunulmuştur. </w:t>
      </w:r>
      <w:r w:rsidR="007751F4" w:rsidRPr="00D97DF8">
        <w:rPr>
          <w:rFonts w:asciiTheme="minorHAnsi" w:hAnsiTheme="minorHAnsi" w:cstheme="minorHAnsi"/>
          <w:sz w:val="22"/>
          <w:szCs w:val="22"/>
        </w:rPr>
        <w:t xml:space="preserve">Anılan başvurunun değerlendirilmesi neticesinde, </w:t>
      </w:r>
      <w:r w:rsidRPr="00D97DF8">
        <w:rPr>
          <w:rFonts w:asciiTheme="minorHAnsi" w:hAnsiTheme="minorHAnsi" w:cstheme="minorHAnsi"/>
          <w:sz w:val="22"/>
          <w:szCs w:val="22"/>
        </w:rPr>
        <w:t>24/5/2018 tarihli ve 30430 sayılı Resmi Gazete’de yayımlanan İthalatta Haksız Rekabetin Önlenmesine İlişkin Tebliğ (Tebliğ No: 2018/20) ile başlatılan ve T.C. Ticaret Bakanlığı İthalat Genel Müdürlüğü tarafından yürütülen NGGS tamamlanmıştır.</w:t>
      </w:r>
    </w:p>
    <w:p w:rsidR="00784202" w:rsidRPr="00D97DF8" w:rsidRDefault="00784202" w:rsidP="00D97DF8">
      <w:pPr>
        <w:jc w:val="both"/>
        <w:rPr>
          <w:rFonts w:asciiTheme="minorHAnsi" w:hAnsiTheme="minorHAnsi" w:cstheme="minorHAnsi"/>
          <w:sz w:val="22"/>
          <w:szCs w:val="22"/>
        </w:rPr>
      </w:pPr>
    </w:p>
    <w:p w:rsidR="00164FF4" w:rsidRPr="00D97DF8" w:rsidRDefault="00164FF4" w:rsidP="00D97DF8">
      <w:pPr>
        <w:pStyle w:val="GvdeMetni"/>
        <w:numPr>
          <w:ilvl w:val="1"/>
          <w:numId w:val="1"/>
        </w:numPr>
        <w:rPr>
          <w:rFonts w:asciiTheme="minorHAnsi" w:hAnsiTheme="minorHAnsi" w:cstheme="minorHAnsi"/>
          <w:b/>
          <w:caps/>
          <w:color w:val="auto"/>
          <w:sz w:val="22"/>
          <w:szCs w:val="22"/>
        </w:rPr>
      </w:pPr>
      <w:r w:rsidRPr="00D97DF8">
        <w:rPr>
          <w:rFonts w:asciiTheme="minorHAnsi" w:hAnsiTheme="minorHAnsi" w:cstheme="minorHAnsi"/>
          <w:b/>
          <w:color w:val="auto"/>
          <w:sz w:val="22"/>
          <w:szCs w:val="22"/>
        </w:rPr>
        <w:t>Yerli üretim dalının temsil niteliği</w:t>
      </w:r>
    </w:p>
    <w:p w:rsidR="00164FF4"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(1) Başvuru aşamasında sunulan delillerden, başvuru</w:t>
      </w:r>
      <w:r w:rsidR="00F55C49" w:rsidRPr="00D97DF8">
        <w:rPr>
          <w:rFonts w:asciiTheme="minorHAnsi" w:hAnsiTheme="minorHAnsi" w:cstheme="minorHAnsi"/>
          <w:sz w:val="22"/>
          <w:szCs w:val="22"/>
        </w:rPr>
        <w:t xml:space="preserve"> sahibi firmanın</w:t>
      </w:r>
      <w:r w:rsidRPr="00D97DF8">
        <w:rPr>
          <w:rFonts w:asciiTheme="minorHAnsi" w:hAnsiTheme="minorHAnsi" w:cstheme="minorHAnsi"/>
          <w:sz w:val="22"/>
          <w:szCs w:val="22"/>
        </w:rPr>
        <w:t xml:space="preserve"> Yönetmeliğin 18 inci ve 20 nci maddeleri çerçevesinde yerli üretim dalını temsil niteliğini haiz olduğu tespit edilmiş olup başvuru sahibi Sasa firması raporun ilgili bölümlerinde yerl</w:t>
      </w:r>
      <w:r w:rsidR="00F55C49" w:rsidRPr="00D97DF8">
        <w:rPr>
          <w:rFonts w:asciiTheme="minorHAnsi" w:hAnsiTheme="minorHAnsi" w:cstheme="minorHAnsi"/>
          <w:sz w:val="22"/>
          <w:szCs w:val="22"/>
        </w:rPr>
        <w:t>i üretim dalı olarak anılacakt</w:t>
      </w:r>
      <w:r w:rsidRPr="00D97DF8">
        <w:rPr>
          <w:rFonts w:asciiTheme="minorHAnsi" w:hAnsiTheme="minorHAnsi" w:cstheme="minorHAnsi"/>
          <w:sz w:val="22"/>
          <w:szCs w:val="22"/>
        </w:rPr>
        <w:t>ır.</w:t>
      </w:r>
    </w:p>
    <w:p w:rsidR="00784202" w:rsidRPr="00D97DF8" w:rsidRDefault="00784202" w:rsidP="00D97DF8">
      <w:pPr>
        <w:jc w:val="both"/>
        <w:rPr>
          <w:rFonts w:asciiTheme="minorHAnsi" w:hAnsiTheme="minorHAnsi" w:cstheme="minorHAnsi"/>
          <w:sz w:val="22"/>
          <w:szCs w:val="22"/>
        </w:rPr>
      </w:pPr>
    </w:p>
    <w:p w:rsidR="00164FF4" w:rsidRPr="00D97DF8" w:rsidRDefault="00164FF4" w:rsidP="00D97DF8">
      <w:pPr>
        <w:jc w:val="both"/>
        <w:rPr>
          <w:rFonts w:asciiTheme="minorHAnsi" w:hAnsiTheme="minorHAnsi" w:cstheme="minorHAnsi"/>
          <w:b/>
          <w:sz w:val="22"/>
          <w:szCs w:val="22"/>
        </w:rPr>
      </w:pPr>
      <w:r w:rsidRPr="00D97DF8">
        <w:rPr>
          <w:rFonts w:asciiTheme="minorHAnsi" w:hAnsiTheme="minorHAnsi" w:cstheme="minorHAnsi"/>
          <w:b/>
          <w:caps/>
          <w:sz w:val="22"/>
          <w:szCs w:val="22"/>
        </w:rPr>
        <w:t>1.3</w:t>
      </w:r>
      <w:r w:rsidRPr="00D97DF8">
        <w:rPr>
          <w:rFonts w:asciiTheme="minorHAnsi" w:hAnsiTheme="minorHAnsi" w:cstheme="minorHAnsi"/>
          <w:caps/>
          <w:sz w:val="22"/>
          <w:szCs w:val="22"/>
        </w:rPr>
        <w:t xml:space="preserve"> </w:t>
      </w:r>
      <w:r w:rsidRPr="00D97DF8">
        <w:rPr>
          <w:rFonts w:asciiTheme="minorHAnsi" w:hAnsiTheme="minorHAnsi" w:cstheme="minorHAnsi"/>
          <w:b/>
          <w:sz w:val="22"/>
          <w:szCs w:val="22"/>
        </w:rPr>
        <w:t>İlgili tarafların bilgilendirilmesi, dinlenmesi ve bilgilerin değerlendirilmesi</w:t>
      </w: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(1) Soruşturma açılmasını müteakip, soruşturma konusu ürünün Bakanlık tarafından bilinen ÇHC’de yerleşik üreticilerine/ihracatçılarına, Türkiye’de yerleşik ithalatçılarına ve ayrıca soruşturmaya konu ülkede yerleşik diğer üreticilere/ihracatçılara iletilebilmesini teminen anılan ülkenin Ankara’daki Büyükelçiliğine soruşturmanın açılışına ilişkin bildirimde bulunulmuştur.</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(2) Bildirimde, soruşturma açılış Tebliğine, başvurunun gizli olmayan özetine ve soru formlarına nereden erişileceği hususunda bilgi verilmiştir.</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 xml:space="preserve">(3) Taraflara soru formunu yanıtlamaları için posta süresi dâhil 37 gün süre tanınmıştır. </w:t>
      </w: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 xml:space="preserve"> </w:t>
      </w: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 xml:space="preserve">(4) Yerli üretim dalı, soruşturma süresi boyunca Bakanlık ile işbirliği içinde olmuş ve gerektiğinde talep edilen ilave bilgileri temin etmiştir. </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 xml:space="preserve">(5) Soruşturma döneminde ithalat gerçekleştirdiği tespit edilen ithalatçı firmalardan kendilerine soru formu gönderilmiş olanlardan Mogul Tekstil San.ve Tic. A.Ş. ve Karteks Tekstil San. Tic. A.Ş.’den soru formuna yanıt alınmıştır. </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(6) Kendilerine soru formu gönderilmiş üretici/ihracatçı firmalar tarafından soru formuna yanıt verilmemiştir.</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(7) Yönetmeliğin 23 üncü maddesi kapsamında ilgili taraf olarak kabul edilen İstanbul Ticaret Odası’da soruşturmaya yönelik görüşlerini iletmiştir.</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 xml:space="preserve">(8) Ayrıca, ilgili taraflardan alınan bilgi ve belgelerin gizli olmayan özetleri talep eden bütün ilgili tarafların bilgisine sunulmak üzere hazır tutulmuştur. </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(9) Soruşturma sonucunda alınacak karara esas teşkil edecek bilgi, bulgu, tespit ve değerlendirmeleri içeren nihai bildirim raporu 16/7/2018 tarihinde ÇHC’nin Ankara Büyükelçiliği’ne, işbirliğinde bulunan ithalatçılara ve yerli üretim dalına iletilmiştir.</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(10) Nihai bildirim sonrasında, ilgili tarafların nihai bildirime ilişkin görüşlerini sözlü olarak da sunmalarına imkân tanımak amacıyla 30/7/2018 tarihinde kamu dinleme toplantısı düzenlenmiştir.</w:t>
      </w:r>
    </w:p>
    <w:p w:rsidR="00784202" w:rsidRPr="00D97DF8" w:rsidRDefault="00784202" w:rsidP="00D97DF8">
      <w:pPr>
        <w:contextualSpacing/>
        <w:jc w:val="both"/>
        <w:rPr>
          <w:rFonts w:asciiTheme="minorHAnsi" w:hAnsiTheme="minorHAnsi" w:cstheme="minorHAnsi"/>
          <w:sz w:val="22"/>
          <w:szCs w:val="22"/>
        </w:rPr>
      </w:pPr>
    </w:p>
    <w:p w:rsidR="00784202" w:rsidRPr="00D97DF8" w:rsidRDefault="00784202" w:rsidP="00D97DF8">
      <w:pPr>
        <w:contextualSpacing/>
        <w:jc w:val="both"/>
        <w:rPr>
          <w:rFonts w:asciiTheme="minorHAnsi" w:hAnsiTheme="minorHAnsi" w:cstheme="minorHAnsi"/>
          <w:sz w:val="22"/>
          <w:szCs w:val="22"/>
        </w:rPr>
      </w:pPr>
      <w:r w:rsidRPr="00D97DF8">
        <w:rPr>
          <w:rFonts w:asciiTheme="minorHAnsi" w:hAnsiTheme="minorHAnsi" w:cstheme="minorHAnsi"/>
          <w:sz w:val="22"/>
          <w:szCs w:val="22"/>
        </w:rPr>
        <w:t>(11) Tarafların soruşturma boyunca ortaya koyduğu tüm bilgi, belge ve görüşler incelenmiş, mezkûr görüşlerden mevzuat kapsamında değerlendirilebilecek olanlar değerlendirilmiştir.,</w:t>
      </w:r>
    </w:p>
    <w:p w:rsidR="00784202" w:rsidRPr="00D97DF8" w:rsidRDefault="00784202" w:rsidP="00D97DF8">
      <w:pPr>
        <w:contextualSpacing/>
        <w:jc w:val="both"/>
        <w:rPr>
          <w:rFonts w:asciiTheme="minorHAnsi" w:hAnsiTheme="minorHAnsi" w:cstheme="minorHAnsi"/>
          <w:sz w:val="22"/>
          <w:szCs w:val="22"/>
        </w:rPr>
      </w:pPr>
    </w:p>
    <w:p w:rsidR="0054491B" w:rsidRPr="00D97DF8" w:rsidRDefault="00EC3FF1" w:rsidP="00D97DF8">
      <w:pPr>
        <w:keepNext/>
        <w:contextualSpacing/>
        <w:outlineLvl w:val="1"/>
        <w:rPr>
          <w:rFonts w:asciiTheme="minorHAnsi" w:hAnsiTheme="minorHAnsi" w:cstheme="minorHAnsi"/>
          <w:b/>
          <w:sz w:val="22"/>
          <w:szCs w:val="22"/>
        </w:rPr>
      </w:pPr>
      <w:r w:rsidRPr="00D97DF8">
        <w:rPr>
          <w:rFonts w:asciiTheme="minorHAnsi" w:hAnsiTheme="minorHAnsi" w:cstheme="minorHAnsi"/>
          <w:b/>
          <w:sz w:val="22"/>
          <w:szCs w:val="22"/>
        </w:rPr>
        <w:t>1.</w:t>
      </w:r>
      <w:r w:rsidR="00DA029A" w:rsidRPr="00D97DF8">
        <w:rPr>
          <w:rFonts w:asciiTheme="minorHAnsi" w:hAnsiTheme="minorHAnsi" w:cstheme="minorHAnsi"/>
          <w:b/>
          <w:sz w:val="22"/>
          <w:szCs w:val="22"/>
        </w:rPr>
        <w:t>4</w:t>
      </w:r>
      <w:r w:rsidRPr="00D97DF8">
        <w:rPr>
          <w:rFonts w:asciiTheme="minorHAnsi" w:hAnsiTheme="minorHAnsi" w:cstheme="minorHAnsi"/>
          <w:b/>
          <w:sz w:val="22"/>
          <w:szCs w:val="22"/>
        </w:rPr>
        <w:t xml:space="preserve"> </w:t>
      </w:r>
      <w:r w:rsidR="00164FF4" w:rsidRPr="00D97DF8">
        <w:rPr>
          <w:rFonts w:asciiTheme="minorHAnsi" w:hAnsiTheme="minorHAnsi" w:cstheme="minorHAnsi"/>
          <w:b/>
          <w:sz w:val="22"/>
          <w:szCs w:val="22"/>
        </w:rPr>
        <w:t xml:space="preserve">Gözden geçirme dönemi </w:t>
      </w:r>
    </w:p>
    <w:p w:rsidR="00DA029A"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(1) Önlemin yürürlükten kalkması durumunda, dampingin ve zararın devamı veya yeniden meydana gelmesinin muhtemel olup olmadığının tespiti için 01/01/2015–31/12/2017 arasındaki dönem gözden geçirme dönemi olarak alınmıştır.</w:t>
      </w:r>
    </w:p>
    <w:p w:rsidR="008D6677" w:rsidRPr="00D97DF8" w:rsidRDefault="008D6677" w:rsidP="00D97DF8">
      <w:pPr>
        <w:jc w:val="both"/>
        <w:rPr>
          <w:rFonts w:asciiTheme="minorHAnsi" w:hAnsiTheme="minorHAnsi" w:cstheme="minorHAnsi"/>
          <w:sz w:val="22"/>
          <w:szCs w:val="22"/>
        </w:rPr>
      </w:pPr>
    </w:p>
    <w:p w:rsidR="008D6677" w:rsidRPr="00D97DF8" w:rsidRDefault="008D6677" w:rsidP="00D97DF8">
      <w:pPr>
        <w:jc w:val="both"/>
        <w:rPr>
          <w:rFonts w:asciiTheme="minorHAnsi" w:hAnsiTheme="minorHAnsi" w:cstheme="minorHAnsi"/>
          <w:sz w:val="22"/>
          <w:szCs w:val="22"/>
        </w:rPr>
      </w:pPr>
    </w:p>
    <w:p w:rsidR="00796554" w:rsidRPr="00D97DF8" w:rsidRDefault="00796554" w:rsidP="00D97DF8">
      <w:pPr>
        <w:jc w:val="both"/>
        <w:rPr>
          <w:rFonts w:asciiTheme="minorHAnsi" w:hAnsiTheme="minorHAnsi" w:cstheme="minorHAnsi"/>
          <w:sz w:val="22"/>
          <w:szCs w:val="22"/>
        </w:rPr>
      </w:pPr>
    </w:p>
    <w:p w:rsidR="00164FF4" w:rsidRPr="00D97DF8" w:rsidRDefault="00164FF4" w:rsidP="00D97DF8">
      <w:pPr>
        <w:contextualSpacing/>
        <w:jc w:val="both"/>
        <w:rPr>
          <w:rFonts w:asciiTheme="minorHAnsi" w:eastAsia="MS Mincho" w:hAnsiTheme="minorHAnsi" w:cstheme="minorHAnsi"/>
          <w:b/>
          <w:bCs/>
          <w:sz w:val="22"/>
          <w:szCs w:val="22"/>
          <w:lang w:eastAsia="ja-JP"/>
        </w:rPr>
      </w:pPr>
    </w:p>
    <w:p w:rsidR="008E4B08" w:rsidRPr="00D97DF8" w:rsidRDefault="00EC3FF1" w:rsidP="00D97DF8">
      <w:pPr>
        <w:jc w:val="both"/>
        <w:rPr>
          <w:rFonts w:asciiTheme="minorHAnsi" w:eastAsia="MS Mincho" w:hAnsiTheme="minorHAnsi" w:cstheme="minorHAnsi"/>
          <w:b/>
          <w:bCs/>
          <w:caps/>
          <w:sz w:val="22"/>
          <w:szCs w:val="22"/>
          <w:lang w:eastAsia="ja-JP"/>
        </w:rPr>
      </w:pPr>
      <w:r w:rsidRPr="00D97DF8">
        <w:rPr>
          <w:rFonts w:asciiTheme="minorHAnsi" w:eastAsia="MS Mincho" w:hAnsiTheme="minorHAnsi" w:cstheme="minorHAnsi"/>
          <w:b/>
          <w:bCs/>
          <w:caps/>
          <w:sz w:val="22"/>
          <w:szCs w:val="22"/>
          <w:lang w:eastAsia="ja-JP"/>
        </w:rPr>
        <w:t xml:space="preserve">2. </w:t>
      </w:r>
      <w:r w:rsidR="00164FF4" w:rsidRPr="00D97DF8">
        <w:rPr>
          <w:rFonts w:asciiTheme="minorHAnsi" w:eastAsia="MS Mincho" w:hAnsiTheme="minorHAnsi" w:cstheme="minorHAnsi"/>
          <w:b/>
          <w:bCs/>
          <w:caps/>
          <w:sz w:val="22"/>
          <w:szCs w:val="22"/>
          <w:lang w:eastAsia="ja-JP"/>
        </w:rPr>
        <w:t>Soruşturma konusu ürün ve benzer ürün</w:t>
      </w:r>
    </w:p>
    <w:p w:rsidR="00784202" w:rsidRPr="00D97DF8" w:rsidRDefault="00784202"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 xml:space="preserve">(1) </w:t>
      </w:r>
      <w:r w:rsidR="00796554" w:rsidRPr="00D97DF8">
        <w:rPr>
          <w:rFonts w:asciiTheme="minorHAnsi" w:hAnsiTheme="minorHAnsi" w:cstheme="minorHAnsi"/>
          <w:bCs/>
          <w:sz w:val="22"/>
          <w:szCs w:val="22"/>
        </w:rPr>
        <w:t>Soruşturma</w:t>
      </w:r>
      <w:r w:rsidRPr="00D97DF8">
        <w:rPr>
          <w:rFonts w:asciiTheme="minorHAnsi" w:hAnsiTheme="minorHAnsi" w:cstheme="minorHAnsi"/>
          <w:bCs/>
          <w:sz w:val="22"/>
          <w:szCs w:val="22"/>
        </w:rPr>
        <w:t xml:space="preserve"> konusu ürün, 5503.20.00.00.00 Gümrük Tarife İstatsitik Pozisyonu (GTİP) altında kayıtlı “poliesterlerden sentetik devamsız lifler (polyester elyaf)” dir.</w:t>
      </w:r>
    </w:p>
    <w:p w:rsidR="00784202"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 Polyester elyaf çekim ve </w:t>
      </w:r>
      <w:r w:rsidRPr="00D97DF8">
        <w:rPr>
          <w:rFonts w:asciiTheme="minorHAnsi" w:hAnsiTheme="minorHAnsi" w:cstheme="minorHAnsi"/>
          <w:bCs/>
          <w:sz w:val="22"/>
          <w:szCs w:val="22"/>
        </w:rPr>
        <w:t>ısıl sabitleme</w:t>
      </w:r>
      <w:r w:rsidRPr="00D97DF8">
        <w:rPr>
          <w:rFonts w:asciiTheme="minorHAnsi" w:hAnsiTheme="minorHAnsi" w:cstheme="minorHAnsi"/>
          <w:sz w:val="22"/>
          <w:szCs w:val="22"/>
        </w:rPr>
        <w:t xml:space="preserve"> işlemlerinden geçmiş polyester filamentlerden ya da devamlı lifler demetinden elde edilmekte olup kullanım yeri ve amacına göre alıcı tarafından talep edilen boyda kesilmektedir. Ürün teknik tekstilde (nonwoven), karışımlı iplik üretiminde, ayrıca yatak ve yorgan gibi çeşitli ev tekstili ürünlerinde dolgu malzemesi olarak kullanılmaktadır.</w:t>
      </w:r>
    </w:p>
    <w:p w:rsidR="00784202"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ab/>
      </w:r>
    </w:p>
    <w:p w:rsidR="00784202" w:rsidRPr="00D97DF8" w:rsidRDefault="00784202" w:rsidP="00D97DF8">
      <w:pPr>
        <w:jc w:val="both"/>
        <w:rPr>
          <w:rFonts w:asciiTheme="minorHAnsi" w:hAnsiTheme="minorHAnsi" w:cstheme="minorHAnsi"/>
          <w:i/>
          <w:iCs/>
          <w:sz w:val="22"/>
          <w:szCs w:val="22"/>
        </w:rPr>
      </w:pPr>
      <w:r w:rsidRPr="00D97DF8">
        <w:rPr>
          <w:rFonts w:asciiTheme="minorHAnsi" w:hAnsiTheme="minorHAnsi" w:cstheme="minorHAnsi"/>
          <w:sz w:val="22"/>
          <w:szCs w:val="22"/>
        </w:rPr>
        <w:t>(3) Ürünün üretim sürecine bakıldığında, Dimetil Tereftalat (DMT) veya Terephthalic Acid (PTA) ile Monoetilen Glikol (MEG) ana hammaddelerinin kimyasal birleşimi ile ester değişim ve polimerizasyon safhalarından sonra filament haline getirilmektedir. Daha sonra bu filament demetlerinin birleştirme, çekme, kıvırcık verme  ve finiş (yağ) verme işlemlerinden sonra elde edilen ürünün istenilen boylarda kesilerek balyalanması ile sevk için hazır hale getirilmektedir.</w:t>
      </w:r>
    </w:p>
    <w:p w:rsidR="00784202" w:rsidRPr="00D97DF8" w:rsidRDefault="00784202" w:rsidP="00D97DF8">
      <w:pPr>
        <w:pStyle w:val="GvdeMetni"/>
        <w:tabs>
          <w:tab w:val="left" w:pos="709"/>
        </w:tabs>
        <w:rPr>
          <w:rFonts w:asciiTheme="minorHAnsi" w:hAnsiTheme="minorHAnsi" w:cstheme="minorHAnsi"/>
          <w:b/>
          <w:bCs/>
          <w:sz w:val="22"/>
          <w:szCs w:val="22"/>
        </w:rPr>
      </w:pPr>
    </w:p>
    <w:p w:rsidR="00784202"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bCs/>
          <w:sz w:val="22"/>
          <w:szCs w:val="22"/>
        </w:rPr>
        <w:t>(4) Y</w:t>
      </w:r>
      <w:r w:rsidRPr="00D97DF8">
        <w:rPr>
          <w:rFonts w:asciiTheme="minorHAnsi" w:hAnsiTheme="minorHAnsi" w:cstheme="minorHAnsi"/>
          <w:sz w:val="22"/>
          <w:szCs w:val="22"/>
        </w:rPr>
        <w:t xml:space="preserve">apılan başvuruda, taraflarınca üretilen ürün ile başvuru konusu ithal ürün arasında teknik ve fiziki özellikler ile ürünün temel kullanım alanları bakımından bir fark bulunmadığı belirtilmiştir. Bu nedenle, Yönetmeliğin 4 üncü maddesi çerçevesinde, başvuru konusu ürün ile </w:t>
      </w:r>
      <w:r w:rsidRPr="00D97DF8">
        <w:rPr>
          <w:rFonts w:asciiTheme="minorHAnsi" w:hAnsiTheme="minorHAnsi" w:cstheme="minorHAnsi"/>
          <w:noProof/>
          <w:sz w:val="22"/>
          <w:szCs w:val="22"/>
        </w:rPr>
        <w:t>yerli üretim dalı</w:t>
      </w:r>
      <w:r w:rsidRPr="00D97DF8">
        <w:rPr>
          <w:rFonts w:asciiTheme="minorHAnsi" w:hAnsiTheme="minorHAnsi" w:cstheme="minorHAnsi"/>
          <w:sz w:val="22"/>
          <w:szCs w:val="22"/>
        </w:rPr>
        <w:t xml:space="preserve"> tarafından üretilen ürününün daha önceki esas ve nihai gözden geçirme soruşturmalarında olduğu gibi benzer ürün olarak kabul edilebileceği değerlendirilmiştir.</w:t>
      </w:r>
    </w:p>
    <w:p w:rsidR="00784202" w:rsidRPr="00D97DF8" w:rsidRDefault="00784202" w:rsidP="00D97DF8">
      <w:pPr>
        <w:ind w:left="210" w:firstLine="357"/>
        <w:jc w:val="both"/>
        <w:rPr>
          <w:rFonts w:asciiTheme="minorHAnsi" w:hAnsiTheme="minorHAnsi" w:cstheme="minorHAnsi"/>
          <w:sz w:val="22"/>
          <w:szCs w:val="22"/>
        </w:rPr>
      </w:pPr>
    </w:p>
    <w:p w:rsidR="00130EB7" w:rsidRPr="00D97DF8" w:rsidRDefault="00784202" w:rsidP="00D97DF8">
      <w:pPr>
        <w:jc w:val="both"/>
        <w:rPr>
          <w:rFonts w:asciiTheme="minorHAnsi" w:hAnsiTheme="minorHAnsi" w:cstheme="minorHAnsi"/>
          <w:sz w:val="22"/>
          <w:szCs w:val="22"/>
        </w:rPr>
      </w:pPr>
      <w:r w:rsidRPr="00D97DF8">
        <w:rPr>
          <w:rFonts w:asciiTheme="minorHAnsi" w:hAnsiTheme="minorHAnsi" w:cstheme="minorHAnsi"/>
          <w:sz w:val="22"/>
          <w:szCs w:val="22"/>
        </w:rPr>
        <w:t>(5)Yerli üretim dalı tarafından imal edilen polyester elyaf ile önlem konusu ülke menşeli polyester elyafın benzer ürün olduğu tespiti, mevcut önleme esas soruşturmada yapılmıştır. Bu kapsamda yerli üretim dalı tarafından üretilen ürün ile soruşturma konusu ülke menşeli ürün arasında teknik ve fiziki özellikler, ürün çeşitliliği, kullanım alanları, tüketici algılaması ve dağıtım kanalları bakımından yerli üretici tarafından üretilen ürün ile önleme konu ülke menşeli ürün arasında “benzer ürün” tanımı açısından ayrım yaratan herhangi bir farklılığın ortaya çıktığına ilişkin yeni bir bilgiye ulaşılmamıştır.</w:t>
      </w:r>
    </w:p>
    <w:p w:rsidR="00784202" w:rsidRPr="00D97DF8" w:rsidRDefault="00784202" w:rsidP="00D97DF8">
      <w:pPr>
        <w:jc w:val="both"/>
        <w:rPr>
          <w:rFonts w:asciiTheme="minorHAnsi" w:hAnsiTheme="minorHAnsi" w:cstheme="minorHAnsi"/>
          <w:sz w:val="22"/>
          <w:szCs w:val="22"/>
        </w:rPr>
      </w:pPr>
    </w:p>
    <w:p w:rsidR="00164FF4" w:rsidRPr="00D97DF8" w:rsidRDefault="008E4B08" w:rsidP="00D97DF8">
      <w:pPr>
        <w:jc w:val="both"/>
        <w:rPr>
          <w:rFonts w:asciiTheme="minorHAnsi" w:hAnsiTheme="minorHAnsi" w:cstheme="minorHAnsi"/>
          <w:sz w:val="22"/>
          <w:szCs w:val="22"/>
        </w:rPr>
      </w:pPr>
      <w:r w:rsidRPr="00D97DF8">
        <w:rPr>
          <w:rFonts w:asciiTheme="minorHAnsi" w:hAnsiTheme="minorHAnsi" w:cstheme="minorHAnsi"/>
          <w:b/>
          <w:caps/>
          <w:sz w:val="22"/>
          <w:szCs w:val="22"/>
        </w:rPr>
        <w:t xml:space="preserve">3. </w:t>
      </w:r>
      <w:r w:rsidR="007A24D0" w:rsidRPr="00D97DF8">
        <w:rPr>
          <w:rFonts w:asciiTheme="minorHAnsi" w:hAnsiTheme="minorHAnsi" w:cstheme="minorHAnsi"/>
          <w:b/>
          <w:caps/>
          <w:sz w:val="22"/>
          <w:szCs w:val="22"/>
        </w:rPr>
        <w:t>DAMPİNGİN DEVAMI VEYA YENİDEN MEYDANA GELMESİ İHTİMALİ</w:t>
      </w:r>
    </w:p>
    <w:p w:rsidR="008E4B08" w:rsidRPr="00D97DF8" w:rsidRDefault="008E4B08" w:rsidP="00D97DF8">
      <w:pPr>
        <w:jc w:val="both"/>
        <w:rPr>
          <w:rFonts w:asciiTheme="minorHAnsi" w:hAnsiTheme="minorHAnsi" w:cstheme="minorHAnsi"/>
          <w:b/>
          <w:sz w:val="22"/>
          <w:szCs w:val="22"/>
        </w:rPr>
      </w:pPr>
      <w:r w:rsidRPr="00D97DF8">
        <w:rPr>
          <w:rFonts w:asciiTheme="minorHAnsi" w:hAnsiTheme="minorHAnsi" w:cstheme="minorHAnsi"/>
          <w:b/>
          <w:sz w:val="22"/>
          <w:szCs w:val="22"/>
        </w:rPr>
        <w:t xml:space="preserve">3.1 </w:t>
      </w:r>
      <w:r w:rsidR="00164FF4" w:rsidRPr="00D97DF8">
        <w:rPr>
          <w:rFonts w:asciiTheme="minorHAnsi" w:hAnsiTheme="minorHAnsi" w:cstheme="minorHAnsi"/>
          <w:b/>
          <w:sz w:val="22"/>
          <w:szCs w:val="22"/>
        </w:rPr>
        <w:t xml:space="preserve">Genel açıklamalar </w:t>
      </w:r>
    </w:p>
    <w:p w:rsidR="007A24D0" w:rsidRPr="00D97DF8" w:rsidRDefault="007A24D0"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Yönetmeliğin 35 inci maddesi çerçevesinde önlemin yürürlükten kalkması halinde dampingin devam etmesinin veya yeniden meydana gelmesinin muhtemel olup olmadığı incelenmiştir.  </w:t>
      </w:r>
    </w:p>
    <w:p w:rsidR="007A24D0" w:rsidRPr="00D97DF8" w:rsidRDefault="007A24D0" w:rsidP="00D97DF8">
      <w:pPr>
        <w:jc w:val="both"/>
        <w:rPr>
          <w:rFonts w:asciiTheme="minorHAnsi" w:hAnsiTheme="minorHAnsi" w:cstheme="minorHAnsi"/>
          <w:sz w:val="22"/>
          <w:szCs w:val="22"/>
        </w:rPr>
      </w:pPr>
    </w:p>
    <w:p w:rsidR="009D52FF" w:rsidRPr="00D97DF8" w:rsidRDefault="007A24D0" w:rsidP="00D97DF8">
      <w:pPr>
        <w:jc w:val="both"/>
        <w:rPr>
          <w:rFonts w:asciiTheme="minorHAnsi" w:hAnsiTheme="minorHAnsi" w:cstheme="minorHAnsi"/>
          <w:sz w:val="22"/>
          <w:szCs w:val="22"/>
        </w:rPr>
      </w:pPr>
      <w:r w:rsidRPr="00D97DF8">
        <w:rPr>
          <w:rFonts w:asciiTheme="minorHAnsi" w:hAnsiTheme="minorHAnsi" w:cstheme="minorHAnsi"/>
          <w:sz w:val="22"/>
          <w:szCs w:val="22"/>
        </w:rPr>
        <w:t>(2) Yönetmeliğin 40 ıncı ve 41 inci maddeleri çerçevesinde, soruşturma sırasında yeni bir damping marjı hesaplanmamış, esas soruşturmada hesaplanmış olan damping marjı gösterge olarak dikkate alınmıştır.</w:t>
      </w:r>
    </w:p>
    <w:p w:rsidR="007A24D0" w:rsidRPr="00D97DF8" w:rsidRDefault="007A24D0" w:rsidP="00D97DF8">
      <w:pPr>
        <w:jc w:val="both"/>
        <w:rPr>
          <w:rFonts w:asciiTheme="minorHAnsi" w:hAnsiTheme="minorHAnsi" w:cstheme="minorHAnsi"/>
          <w:sz w:val="22"/>
          <w:szCs w:val="22"/>
        </w:rPr>
      </w:pPr>
    </w:p>
    <w:p w:rsidR="007A24D0" w:rsidRPr="00D97DF8" w:rsidRDefault="007A24D0" w:rsidP="00D97DF8">
      <w:pPr>
        <w:pStyle w:val="Balk2"/>
        <w:pBdr>
          <w:top w:val="none" w:sz="0" w:space="0" w:color="auto"/>
          <w:left w:val="none" w:sz="0" w:space="0" w:color="auto"/>
          <w:bottom w:val="none" w:sz="0" w:space="0" w:color="auto"/>
          <w:right w:val="none" w:sz="0" w:space="0" w:color="auto"/>
        </w:pBdr>
        <w:jc w:val="left"/>
        <w:rPr>
          <w:rFonts w:asciiTheme="minorHAnsi" w:hAnsiTheme="minorHAnsi" w:cstheme="minorHAnsi"/>
          <w:sz w:val="22"/>
          <w:szCs w:val="22"/>
        </w:rPr>
      </w:pPr>
      <w:bookmarkStart w:id="1" w:name="_Toc239562553"/>
      <w:r w:rsidRPr="00D97DF8">
        <w:rPr>
          <w:rFonts w:asciiTheme="minorHAnsi" w:hAnsiTheme="minorHAnsi" w:cstheme="minorHAnsi"/>
          <w:sz w:val="22"/>
          <w:szCs w:val="22"/>
        </w:rPr>
        <w:t>3.2 Esas Soruşturmada Tespit Edilen Damping Marj</w:t>
      </w:r>
      <w:bookmarkEnd w:id="1"/>
      <w:r w:rsidRPr="00D97DF8">
        <w:rPr>
          <w:rFonts w:asciiTheme="minorHAnsi" w:hAnsiTheme="minorHAnsi" w:cstheme="minorHAnsi"/>
          <w:sz w:val="22"/>
          <w:szCs w:val="22"/>
        </w:rPr>
        <w:t>ları</w:t>
      </w:r>
    </w:p>
    <w:p w:rsidR="007A24D0" w:rsidRPr="00D97DF8" w:rsidRDefault="007A24D0"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(1) Mevcut dampinge karşı önlemin hukuki ve idari altyapısını teşkil eden esas soruşturma esnasında tespit edilen damping marjları, firmaların önlemin yürürlükten kalkması halindeki muhtemel davranışlarını yansıtacak önemli bir göstergedir.</w:t>
      </w:r>
    </w:p>
    <w:p w:rsidR="007A24D0" w:rsidRPr="00D97DF8" w:rsidRDefault="007A24D0"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 xml:space="preserve"> </w:t>
      </w:r>
    </w:p>
    <w:p w:rsidR="007A24D0" w:rsidRPr="00D97DF8" w:rsidRDefault="007A24D0"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(2) Bu çerçevede esas soruşturmada ÇHC menşeli polyester elyaf için CIF ihraç fiyatının %19,94 ile %30,61’i arası oranlarda damping marjı hesaplanmıştır.</w:t>
      </w:r>
    </w:p>
    <w:p w:rsidR="007A24D0" w:rsidRPr="00D97DF8" w:rsidRDefault="007A24D0" w:rsidP="00D97DF8">
      <w:pPr>
        <w:jc w:val="both"/>
        <w:rPr>
          <w:rFonts w:asciiTheme="minorHAnsi" w:hAnsiTheme="minorHAnsi" w:cstheme="minorHAnsi"/>
          <w:bCs/>
          <w:sz w:val="22"/>
          <w:szCs w:val="22"/>
        </w:rPr>
      </w:pPr>
    </w:p>
    <w:p w:rsidR="007A24D0" w:rsidRPr="00D97DF8" w:rsidRDefault="007A24D0" w:rsidP="00D97DF8">
      <w:pPr>
        <w:jc w:val="both"/>
        <w:rPr>
          <w:rFonts w:asciiTheme="minorHAnsi" w:hAnsiTheme="minorHAnsi" w:cstheme="minorHAnsi"/>
          <w:b/>
          <w:sz w:val="22"/>
          <w:szCs w:val="22"/>
        </w:rPr>
      </w:pPr>
      <w:r w:rsidRPr="00D97DF8">
        <w:rPr>
          <w:rFonts w:asciiTheme="minorHAnsi" w:hAnsiTheme="minorHAnsi" w:cstheme="minorHAnsi"/>
          <w:b/>
          <w:sz w:val="22"/>
          <w:szCs w:val="22"/>
        </w:rPr>
        <w:t xml:space="preserve">3.3 Diğer ülkeler tarafından uygulanmakta olan damping önlemleri </w:t>
      </w:r>
    </w:p>
    <w:p w:rsidR="007A24D0" w:rsidRPr="00D97DF8" w:rsidRDefault="007A24D0" w:rsidP="00D97DF8">
      <w:pPr>
        <w:jc w:val="both"/>
        <w:rPr>
          <w:rFonts w:asciiTheme="minorHAnsi" w:hAnsiTheme="minorHAnsi" w:cstheme="minorHAnsi"/>
          <w:sz w:val="22"/>
          <w:szCs w:val="22"/>
        </w:rPr>
      </w:pPr>
      <w:r w:rsidRPr="00D97DF8">
        <w:rPr>
          <w:rFonts w:asciiTheme="minorHAnsi" w:hAnsiTheme="minorHAnsi" w:cstheme="minorHAnsi"/>
          <w:sz w:val="22"/>
          <w:szCs w:val="22"/>
        </w:rPr>
        <w:t>(1) Soruşturma konusu ülkelere diğer ülkeler tarafından uygulanan damping önlemleri yada damping soruşturmaları ihracatçı firmaların davranışlarını ve yapılabilmesi muhtemel olan dampingi göstermesi açısından önem taşımaktadır.</w:t>
      </w:r>
    </w:p>
    <w:p w:rsidR="007A24D0" w:rsidRPr="00D97DF8" w:rsidRDefault="007A24D0" w:rsidP="00D97DF8">
      <w:pPr>
        <w:ind w:firstLine="708"/>
        <w:jc w:val="both"/>
        <w:rPr>
          <w:rFonts w:asciiTheme="minorHAnsi" w:hAnsiTheme="minorHAnsi" w:cstheme="minorHAnsi"/>
          <w:sz w:val="22"/>
          <w:szCs w:val="22"/>
        </w:rPr>
      </w:pPr>
    </w:p>
    <w:p w:rsidR="007A24D0" w:rsidRPr="00D97DF8" w:rsidRDefault="007A24D0"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 Amerika Birleşik Devletleri (ABD) tarafından 1/6/2007 tarihinden bu yana ÇHC menşeli polyester elyaf ithalatına karşı damping önlemi uygulanmaktadır. ABD tarafından ÇHC menşeli ince denyeli polyester elyaf tiplerinin ithalatına yönelik olarak 27/06/2017 tarihinde başlatılan damping soruşturması da halihazırda devam etmektedir.  </w:t>
      </w:r>
    </w:p>
    <w:p w:rsidR="00B20C66" w:rsidRPr="00D97DF8" w:rsidRDefault="00B20C66" w:rsidP="00D97DF8">
      <w:pPr>
        <w:jc w:val="both"/>
        <w:rPr>
          <w:rFonts w:asciiTheme="minorHAnsi" w:hAnsiTheme="minorHAnsi" w:cstheme="minorHAnsi"/>
          <w:sz w:val="22"/>
          <w:szCs w:val="22"/>
        </w:rPr>
      </w:pPr>
    </w:p>
    <w:p w:rsidR="00164FF4" w:rsidRPr="00D97DF8" w:rsidRDefault="009A1355" w:rsidP="00D97DF8">
      <w:pPr>
        <w:jc w:val="both"/>
        <w:rPr>
          <w:rFonts w:asciiTheme="minorHAnsi" w:hAnsiTheme="minorHAnsi" w:cstheme="minorHAnsi"/>
          <w:b/>
          <w:caps/>
          <w:sz w:val="22"/>
          <w:szCs w:val="22"/>
        </w:rPr>
      </w:pPr>
      <w:r w:rsidRPr="00D97DF8">
        <w:rPr>
          <w:rFonts w:asciiTheme="minorHAnsi" w:hAnsiTheme="minorHAnsi" w:cstheme="minorHAnsi"/>
          <w:b/>
          <w:caps/>
          <w:sz w:val="22"/>
          <w:szCs w:val="22"/>
        </w:rPr>
        <w:t>4</w:t>
      </w:r>
      <w:r w:rsidR="008E4B08" w:rsidRPr="00D97DF8">
        <w:rPr>
          <w:rFonts w:asciiTheme="minorHAnsi" w:hAnsiTheme="minorHAnsi" w:cstheme="minorHAnsi"/>
          <w:b/>
          <w:caps/>
          <w:sz w:val="22"/>
          <w:szCs w:val="22"/>
        </w:rPr>
        <w:t xml:space="preserve">. </w:t>
      </w:r>
      <w:r w:rsidR="009A3198" w:rsidRPr="00D97DF8">
        <w:rPr>
          <w:rFonts w:asciiTheme="minorHAnsi" w:hAnsiTheme="minorHAnsi" w:cstheme="minorHAnsi"/>
          <w:b/>
          <w:caps/>
          <w:sz w:val="22"/>
          <w:szCs w:val="22"/>
        </w:rPr>
        <w:t>ZARARIN DEVAMI VEYA YENİDEN MEYDANA GELMESİ İHTİMALİ</w:t>
      </w:r>
    </w:p>
    <w:p w:rsidR="009A3198" w:rsidRPr="00D97DF8" w:rsidRDefault="009A3198" w:rsidP="00D97DF8">
      <w:pPr>
        <w:jc w:val="both"/>
        <w:rPr>
          <w:rFonts w:asciiTheme="minorHAnsi" w:hAnsiTheme="minorHAnsi" w:cstheme="minorHAnsi"/>
          <w:b/>
          <w:sz w:val="22"/>
          <w:szCs w:val="22"/>
        </w:rPr>
      </w:pPr>
      <w:r w:rsidRPr="00D97DF8">
        <w:rPr>
          <w:rFonts w:asciiTheme="minorHAnsi" w:hAnsiTheme="minorHAnsi" w:cstheme="minorHAnsi"/>
          <w:b/>
          <w:sz w:val="22"/>
          <w:szCs w:val="22"/>
        </w:rPr>
        <w:t>4.1 Genel açıklamalar</w:t>
      </w:r>
    </w:p>
    <w:p w:rsidR="009A3198" w:rsidRPr="00D97DF8" w:rsidRDefault="009A3198"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Yönetmeliğin 35 inci maddesi çerçevesinde, gözden geçirme döneminde yerli üretim dalındaki zarar durumu ve önlemlerin yürürlükten kalkması halinde zarara etki edebilecek muhtemel gelişmeler incelenmiştir. Bu çerçevede, ithalatın miktarı ve gelişimi, ithalat fiyatlarının gelişimi, fiyat kırılması ve baskısı ile yerli üretim dalının ekonomik göstergeleri, dördüncü maddede belirtilen gözden geçirme dönemi için incelenmiştir. </w:t>
      </w:r>
    </w:p>
    <w:p w:rsidR="009A3198" w:rsidRPr="00D97DF8" w:rsidRDefault="009A3198" w:rsidP="00D97DF8">
      <w:pPr>
        <w:jc w:val="both"/>
        <w:rPr>
          <w:rFonts w:asciiTheme="minorHAnsi" w:hAnsiTheme="minorHAnsi" w:cstheme="minorHAnsi"/>
          <w:bCs/>
          <w:noProof/>
          <w:sz w:val="22"/>
          <w:szCs w:val="22"/>
        </w:rPr>
      </w:pPr>
      <w:r w:rsidRPr="00D97DF8">
        <w:rPr>
          <w:rFonts w:asciiTheme="minorHAnsi" w:hAnsiTheme="minorHAnsi" w:cstheme="minorHAnsi"/>
          <w:sz w:val="22"/>
          <w:szCs w:val="22"/>
        </w:rPr>
        <w:t>(2) Soruşturma</w:t>
      </w:r>
      <w:r w:rsidRPr="00D97DF8">
        <w:rPr>
          <w:rFonts w:asciiTheme="minorHAnsi" w:hAnsiTheme="minorHAnsi" w:cstheme="minorHAnsi"/>
          <w:bCs/>
          <w:noProof/>
          <w:sz w:val="22"/>
          <w:szCs w:val="22"/>
        </w:rPr>
        <w:t xml:space="preserve"> konusu ürünün genel ithalatı ve soruşturmaya konu ülkeden yapılan ithalatın incelemesinde Türkiye İstatistik Kurumu (TÜİK) verileri kullanılmıştır.</w:t>
      </w:r>
    </w:p>
    <w:p w:rsidR="009A3198" w:rsidRPr="00D97DF8" w:rsidRDefault="009A3198" w:rsidP="00D97DF8">
      <w:pPr>
        <w:jc w:val="both"/>
        <w:rPr>
          <w:rFonts w:asciiTheme="minorHAnsi" w:hAnsiTheme="minorHAnsi" w:cstheme="minorHAnsi"/>
          <w:sz w:val="22"/>
          <w:szCs w:val="22"/>
        </w:rPr>
      </w:pPr>
    </w:p>
    <w:p w:rsidR="00944349" w:rsidRPr="00D97DF8" w:rsidRDefault="009A1355" w:rsidP="00D97DF8">
      <w:pPr>
        <w:jc w:val="both"/>
        <w:rPr>
          <w:rFonts w:asciiTheme="minorHAnsi" w:hAnsiTheme="minorHAnsi" w:cstheme="minorHAnsi"/>
          <w:b/>
          <w:sz w:val="22"/>
          <w:szCs w:val="22"/>
        </w:rPr>
      </w:pPr>
      <w:r w:rsidRPr="00D97DF8">
        <w:rPr>
          <w:rFonts w:asciiTheme="minorHAnsi" w:hAnsiTheme="minorHAnsi" w:cstheme="minorHAnsi"/>
          <w:b/>
          <w:sz w:val="22"/>
          <w:szCs w:val="22"/>
        </w:rPr>
        <w:t>4</w:t>
      </w:r>
      <w:r w:rsidR="008E4B08" w:rsidRPr="00D97DF8">
        <w:rPr>
          <w:rFonts w:asciiTheme="minorHAnsi" w:hAnsiTheme="minorHAnsi" w:cstheme="minorHAnsi"/>
          <w:b/>
          <w:sz w:val="22"/>
          <w:szCs w:val="22"/>
        </w:rPr>
        <w:t xml:space="preserve">.2 </w:t>
      </w:r>
      <w:r w:rsidR="004B6771" w:rsidRPr="00D97DF8">
        <w:rPr>
          <w:rFonts w:asciiTheme="minorHAnsi" w:hAnsiTheme="minorHAnsi" w:cstheme="minorHAnsi"/>
          <w:b/>
          <w:sz w:val="22"/>
          <w:szCs w:val="22"/>
        </w:rPr>
        <w:t>G</w:t>
      </w:r>
      <w:r w:rsidR="00164FF4" w:rsidRPr="00D97DF8">
        <w:rPr>
          <w:rFonts w:asciiTheme="minorHAnsi" w:hAnsiTheme="minorHAnsi" w:cstheme="minorHAnsi"/>
          <w:b/>
          <w:sz w:val="22"/>
          <w:szCs w:val="22"/>
        </w:rPr>
        <w:t>enel ithalatı</w:t>
      </w:r>
      <w:r w:rsidR="004B6771" w:rsidRPr="00D97DF8">
        <w:rPr>
          <w:rFonts w:asciiTheme="minorHAnsi" w:hAnsiTheme="minorHAnsi" w:cstheme="minorHAnsi"/>
          <w:b/>
          <w:sz w:val="22"/>
          <w:szCs w:val="22"/>
        </w:rPr>
        <w:t>n</w:t>
      </w:r>
      <w:r w:rsidR="00164FF4" w:rsidRPr="00D97DF8">
        <w:rPr>
          <w:rFonts w:asciiTheme="minorHAnsi" w:hAnsiTheme="minorHAnsi" w:cstheme="minorHAnsi"/>
          <w:b/>
          <w:sz w:val="22"/>
          <w:szCs w:val="22"/>
        </w:rPr>
        <w:t xml:space="preserve"> </w:t>
      </w:r>
      <w:r w:rsidR="004B6771" w:rsidRPr="00D97DF8">
        <w:rPr>
          <w:rFonts w:asciiTheme="minorHAnsi" w:hAnsiTheme="minorHAnsi" w:cstheme="minorHAnsi"/>
          <w:b/>
          <w:sz w:val="22"/>
          <w:szCs w:val="22"/>
        </w:rPr>
        <w:t>mutlak gelişimi</w:t>
      </w: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Önleme konu ürüne ilişkin tüm ülkelerden gerçekleşen ithalat istatistiklerine bakıldığında, ürünün 2015 yılında 164 bin ton olan ithalat miktarının, 2016 yılında 152 bin tona gerilediği ve 2017 yılında ise 192 bin ton seviyesine yükseldiği görülmektedir.  </w:t>
      </w:r>
    </w:p>
    <w:p w:rsidR="00B47871" w:rsidRPr="00D97DF8" w:rsidRDefault="00B47871" w:rsidP="00D97DF8">
      <w:pPr>
        <w:ind w:firstLine="708"/>
        <w:jc w:val="both"/>
        <w:rPr>
          <w:rFonts w:asciiTheme="minorHAnsi" w:hAnsiTheme="minorHAnsi" w:cstheme="minorHAnsi"/>
          <w:sz w:val="22"/>
          <w:szCs w:val="22"/>
        </w:rPr>
      </w:pP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 Önleme konu ürünün toplam ithalatı değer olarak incelendiğinde ise 2015 yılında 251 milyon ABD Doları, 2016 yılında 230 milyon ABD Doları seviyelerinde gerçekleşen ithalatın 2017 yılında ise 291 milyon ABD Dolarına yükseldiği tespit edilmiştir. </w:t>
      </w:r>
    </w:p>
    <w:p w:rsidR="00B47871" w:rsidRPr="00D97DF8" w:rsidRDefault="00B47871" w:rsidP="00D97DF8">
      <w:pPr>
        <w:ind w:firstLine="708"/>
        <w:jc w:val="both"/>
        <w:rPr>
          <w:rFonts w:asciiTheme="minorHAnsi" w:hAnsiTheme="minorHAnsi" w:cstheme="minorHAnsi"/>
          <w:sz w:val="22"/>
          <w:szCs w:val="22"/>
        </w:rPr>
      </w:pP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(3)Yukarıdaki veriler çerçevesinde ürün ithalatının ortalama birim fiyatları hesaplanmıştır. Buna göre ithalatın ortalama birim fiyatları incelenen yıllar itibariyle düşüş trendi göstermiş ve sırasıyla 1.535 ABD Doları/Ton, 1.517 ABD Doları/Ton  ve 1.516 ABD Doları/Ton olarak gerçekleşmiştir.</w:t>
      </w:r>
    </w:p>
    <w:p w:rsidR="00B47871" w:rsidRPr="00D97DF8" w:rsidRDefault="00B47871" w:rsidP="00D97DF8">
      <w:pPr>
        <w:jc w:val="both"/>
        <w:rPr>
          <w:rFonts w:asciiTheme="minorHAnsi" w:hAnsiTheme="minorHAnsi" w:cstheme="minorHAnsi"/>
          <w:sz w:val="22"/>
          <w:szCs w:val="22"/>
        </w:rPr>
      </w:pPr>
    </w:p>
    <w:p w:rsidR="008E4B08" w:rsidRPr="00D97DF8" w:rsidRDefault="009A1355" w:rsidP="00D97DF8">
      <w:pPr>
        <w:jc w:val="both"/>
        <w:rPr>
          <w:rFonts w:asciiTheme="minorHAnsi" w:hAnsiTheme="minorHAnsi" w:cstheme="minorHAnsi"/>
          <w:b/>
          <w:sz w:val="22"/>
          <w:szCs w:val="22"/>
        </w:rPr>
      </w:pPr>
      <w:r w:rsidRPr="00D97DF8">
        <w:rPr>
          <w:rFonts w:asciiTheme="minorHAnsi" w:hAnsiTheme="minorHAnsi" w:cstheme="minorHAnsi"/>
          <w:b/>
          <w:sz w:val="22"/>
          <w:szCs w:val="22"/>
        </w:rPr>
        <w:t>4.</w:t>
      </w:r>
      <w:r w:rsidR="008E4B08" w:rsidRPr="00D97DF8">
        <w:rPr>
          <w:rFonts w:asciiTheme="minorHAnsi" w:hAnsiTheme="minorHAnsi" w:cstheme="minorHAnsi"/>
          <w:b/>
          <w:sz w:val="22"/>
          <w:szCs w:val="22"/>
        </w:rPr>
        <w:t xml:space="preserve">3 </w:t>
      </w:r>
      <w:r w:rsidR="004B6771" w:rsidRPr="00D97DF8">
        <w:rPr>
          <w:rFonts w:asciiTheme="minorHAnsi" w:hAnsiTheme="minorHAnsi" w:cstheme="minorHAnsi"/>
          <w:b/>
          <w:sz w:val="22"/>
          <w:szCs w:val="22"/>
        </w:rPr>
        <w:t>Ö</w:t>
      </w:r>
      <w:r w:rsidR="00164FF4" w:rsidRPr="00D97DF8">
        <w:rPr>
          <w:rFonts w:asciiTheme="minorHAnsi" w:hAnsiTheme="minorHAnsi" w:cstheme="minorHAnsi"/>
          <w:b/>
          <w:sz w:val="22"/>
          <w:szCs w:val="22"/>
        </w:rPr>
        <w:t>nlem konusu ülkeden ithalatı</w:t>
      </w:r>
      <w:r w:rsidR="004B6771" w:rsidRPr="00D97DF8">
        <w:rPr>
          <w:rFonts w:asciiTheme="minorHAnsi" w:hAnsiTheme="minorHAnsi" w:cstheme="minorHAnsi"/>
          <w:b/>
          <w:sz w:val="22"/>
          <w:szCs w:val="22"/>
        </w:rPr>
        <w:t>n mutlak gelişimi</w:t>
      </w: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Önleme konu ürünün ÇHC’den yapılan ithalatı 2015-2017 yılları arasında sırasıyla 30.244 ton, 23.120 ton ve 19.251 ton olarak gerçekleşmiştir. İthalat değerleri ise sırasıyla yıllar itibariyle 40,9 milyon ABD Doları, 28 milyon ABD Doları ve 24 milyon ABD Doları olarak gerçekleşmiştir. </w:t>
      </w:r>
    </w:p>
    <w:p w:rsidR="00B47871" w:rsidRPr="00D97DF8" w:rsidRDefault="00B47871" w:rsidP="00D97DF8">
      <w:pPr>
        <w:ind w:firstLine="708"/>
        <w:jc w:val="both"/>
        <w:rPr>
          <w:rFonts w:asciiTheme="minorHAnsi" w:hAnsiTheme="minorHAnsi" w:cstheme="minorHAnsi"/>
          <w:sz w:val="22"/>
          <w:szCs w:val="22"/>
        </w:rPr>
      </w:pP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 ÇHC menşeli ürün ithalatının toplam ithalat içindeki payı incelendiğinde ise 2015 yılında % 18 olan payın 2017 yılında %10 seviyesine gerilediği görülmektedir. </w:t>
      </w:r>
    </w:p>
    <w:p w:rsidR="00B47871" w:rsidRPr="00D97DF8" w:rsidRDefault="00B47871" w:rsidP="00D97DF8">
      <w:pPr>
        <w:ind w:firstLine="708"/>
        <w:jc w:val="both"/>
        <w:rPr>
          <w:rFonts w:asciiTheme="minorHAnsi" w:hAnsiTheme="minorHAnsi" w:cstheme="minorHAnsi"/>
          <w:sz w:val="22"/>
          <w:szCs w:val="22"/>
        </w:rPr>
      </w:pP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(3) ÇHC menşeli ithalatın birim fiyatlarına bakıldığında ise genel ithalat birim fiyatlarında yaşanan gerilemeye benzer bir eğilimin olduğu ve genel ithalat birim fiyatlarının oldukça altında seyrettiği görülmektedir. 2015 yılı ithal birim fiyatı 1.355 ABD Doları/Ton olarak gerçekleşirken, 2016 yılında 1.213 ABD Doları/Ton ve 2017 yılında 1.279 ABD Doları/Ton seviyesinde gerçekleşmiştir.</w:t>
      </w:r>
    </w:p>
    <w:p w:rsidR="00B20C66" w:rsidRPr="00D97DF8" w:rsidRDefault="00B20C66" w:rsidP="00D97DF8">
      <w:pPr>
        <w:jc w:val="both"/>
        <w:rPr>
          <w:rFonts w:asciiTheme="minorHAnsi" w:hAnsiTheme="minorHAnsi" w:cstheme="minorHAnsi"/>
          <w:b/>
          <w:sz w:val="22"/>
          <w:szCs w:val="22"/>
        </w:rPr>
      </w:pPr>
    </w:p>
    <w:p w:rsidR="00164FF4" w:rsidRPr="00D97DF8" w:rsidRDefault="009A1355" w:rsidP="00D97DF8">
      <w:pPr>
        <w:jc w:val="both"/>
        <w:rPr>
          <w:rFonts w:asciiTheme="minorHAnsi" w:hAnsiTheme="minorHAnsi" w:cstheme="minorHAnsi"/>
          <w:b/>
          <w:sz w:val="22"/>
          <w:szCs w:val="22"/>
        </w:rPr>
      </w:pPr>
      <w:r w:rsidRPr="00D97DF8">
        <w:rPr>
          <w:rFonts w:asciiTheme="minorHAnsi" w:hAnsiTheme="minorHAnsi" w:cstheme="minorHAnsi"/>
          <w:b/>
          <w:sz w:val="22"/>
          <w:szCs w:val="22"/>
        </w:rPr>
        <w:t>4</w:t>
      </w:r>
      <w:r w:rsidR="008E4B08" w:rsidRPr="00D97DF8">
        <w:rPr>
          <w:rFonts w:asciiTheme="minorHAnsi" w:hAnsiTheme="minorHAnsi" w:cstheme="minorHAnsi"/>
          <w:b/>
          <w:sz w:val="22"/>
          <w:szCs w:val="22"/>
        </w:rPr>
        <w:t xml:space="preserve">.4 </w:t>
      </w:r>
      <w:r w:rsidR="004B6771" w:rsidRPr="00D97DF8">
        <w:rPr>
          <w:rFonts w:asciiTheme="minorHAnsi" w:hAnsiTheme="minorHAnsi" w:cstheme="minorHAnsi"/>
          <w:b/>
          <w:sz w:val="22"/>
          <w:szCs w:val="22"/>
        </w:rPr>
        <w:t>Üçüncü ülkelerden ithalatın mutlak gelişimi</w:t>
      </w: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Önleme konu ürüne ilişkin diğer ülkelerden gerçekleşen ithalat istatistiklerine bakıldığında, ürünün 2015 yılında 133 bin ton olan ithalatının, 2016 yılında 129 bin tona gerilediği ve 2017 yılında ise 172 bin ton seviyesine yükseldiği görülmektedir.  </w:t>
      </w:r>
    </w:p>
    <w:p w:rsidR="00B47871" w:rsidRPr="00D97DF8" w:rsidRDefault="00B47871" w:rsidP="00D97DF8">
      <w:pPr>
        <w:ind w:firstLine="708"/>
        <w:jc w:val="both"/>
        <w:rPr>
          <w:rFonts w:asciiTheme="minorHAnsi" w:hAnsiTheme="minorHAnsi" w:cstheme="minorHAnsi"/>
          <w:sz w:val="22"/>
          <w:szCs w:val="22"/>
        </w:rPr>
      </w:pP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(2)Diğer ülkelerden gerçekleşen ithalat değer olarak incelendiğinde ise 2015 yılında 210 milyon ABD Doları, 2016 yılında 202 milyon ABD Doları seviyelerinde gerçekleşen ithalatın 2017 yılında ise 266 milyon ABD Dolarına yükseldiği tespit edilmiştir. </w:t>
      </w:r>
    </w:p>
    <w:p w:rsidR="00B47871" w:rsidRPr="00D97DF8" w:rsidRDefault="00B47871" w:rsidP="00D97DF8">
      <w:pPr>
        <w:ind w:firstLine="708"/>
        <w:jc w:val="both"/>
        <w:rPr>
          <w:rFonts w:asciiTheme="minorHAnsi" w:hAnsiTheme="minorHAnsi" w:cstheme="minorHAnsi"/>
          <w:sz w:val="22"/>
          <w:szCs w:val="22"/>
        </w:rPr>
      </w:pPr>
    </w:p>
    <w:p w:rsidR="00B47871" w:rsidRPr="00D97DF8" w:rsidRDefault="00B47871" w:rsidP="00D97DF8">
      <w:pPr>
        <w:jc w:val="both"/>
        <w:rPr>
          <w:rFonts w:asciiTheme="minorHAnsi" w:hAnsiTheme="minorHAnsi" w:cstheme="minorHAnsi"/>
          <w:sz w:val="22"/>
          <w:szCs w:val="22"/>
        </w:rPr>
      </w:pPr>
      <w:r w:rsidRPr="00D97DF8">
        <w:rPr>
          <w:rFonts w:asciiTheme="minorHAnsi" w:hAnsiTheme="minorHAnsi" w:cstheme="minorHAnsi"/>
          <w:sz w:val="22"/>
          <w:szCs w:val="22"/>
        </w:rPr>
        <w:t>(3)Yukarıdaki veriler çerçevesinde ürün ithalatının ortalama birim fiyatları hesaplanmıştır. Buna göre ithalatın ortalama birim fiyatları incelenen yıllar itibariyle düşüş trendi göstermiş ve sırasıyla 1.576 ABD Doları/Ton, 1.572 ABD Doları/Ton ve 1.542 ABD Doları/Ton olarak gerçekleşmiştir.</w:t>
      </w:r>
    </w:p>
    <w:p w:rsidR="00B47871" w:rsidRPr="00D97DF8" w:rsidRDefault="00B47871" w:rsidP="00D97DF8">
      <w:pPr>
        <w:jc w:val="both"/>
        <w:rPr>
          <w:rFonts w:asciiTheme="minorHAnsi" w:hAnsiTheme="minorHAnsi" w:cstheme="minorHAnsi"/>
          <w:sz w:val="22"/>
          <w:szCs w:val="22"/>
        </w:rPr>
      </w:pPr>
    </w:p>
    <w:p w:rsidR="004B6771" w:rsidRPr="00D97DF8" w:rsidRDefault="009A1355" w:rsidP="00D97DF8">
      <w:pPr>
        <w:jc w:val="both"/>
        <w:rPr>
          <w:rFonts w:asciiTheme="minorHAnsi" w:hAnsiTheme="minorHAnsi" w:cstheme="minorHAnsi"/>
          <w:b/>
          <w:sz w:val="22"/>
          <w:szCs w:val="22"/>
        </w:rPr>
      </w:pPr>
      <w:r w:rsidRPr="00D97DF8">
        <w:rPr>
          <w:rFonts w:asciiTheme="minorHAnsi" w:hAnsiTheme="minorHAnsi" w:cstheme="minorHAnsi"/>
          <w:b/>
          <w:sz w:val="22"/>
          <w:szCs w:val="22"/>
        </w:rPr>
        <w:t>4</w:t>
      </w:r>
      <w:r w:rsidR="008E4B08" w:rsidRPr="00D97DF8">
        <w:rPr>
          <w:rFonts w:asciiTheme="minorHAnsi" w:hAnsiTheme="minorHAnsi" w:cstheme="minorHAnsi"/>
          <w:b/>
          <w:sz w:val="22"/>
          <w:szCs w:val="22"/>
        </w:rPr>
        <w:t xml:space="preserve">.5 </w:t>
      </w:r>
      <w:r w:rsidR="004B6771" w:rsidRPr="00D97DF8">
        <w:rPr>
          <w:rFonts w:asciiTheme="minorHAnsi" w:hAnsiTheme="minorHAnsi" w:cstheme="minorHAnsi"/>
          <w:b/>
          <w:sz w:val="22"/>
          <w:szCs w:val="22"/>
        </w:rPr>
        <w:t>Soruşturma konusu ürün ithalatının nispi gelişimi</w:t>
      </w:r>
    </w:p>
    <w:p w:rsidR="00B47871" w:rsidRPr="00D97DF8" w:rsidRDefault="00B47871"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(1) Soruşturma konusu ithalatın nispi olarak değişimini görebilmek için, söz konusu ithalatın toplam Türkiye benzer mal tüketimi içindeki payı incelenmiştir. Bu bağlamda, tespit edilen tüm yerli üreticilerden temin edilen yurt içi satış miktarları ile genel ithalat miktarları ton bazında toplanarak ilgili yılda benzer mala ilişkin Türkiye toplam tüketim rakamı elde edilmiştir. Veriler eğilimin sağlıklı şekilde görülmesi için 2015 yılı 100 olacak şekilde endekslenmiştir.</w:t>
      </w:r>
    </w:p>
    <w:p w:rsidR="00B47871" w:rsidRPr="00D97DF8" w:rsidRDefault="00B47871" w:rsidP="00D97DF8">
      <w:pPr>
        <w:ind w:firstLine="708"/>
        <w:jc w:val="both"/>
        <w:rPr>
          <w:rFonts w:asciiTheme="minorHAnsi" w:hAnsiTheme="minorHAnsi" w:cstheme="minorHAnsi"/>
          <w:bCs/>
          <w:sz w:val="22"/>
          <w:szCs w:val="22"/>
        </w:rPr>
      </w:pPr>
    </w:p>
    <w:p w:rsidR="00B47871" w:rsidRPr="00D97DF8" w:rsidRDefault="00B47871"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(2) Bu veriler çerçevesinde, Türkiye benzer mal tüketimi endeks değeri 2015 yılı için 100 olarak alındığında 2016 yılında 118’e, 2017 yılında ise 135’e yükselmiştir.</w:t>
      </w:r>
    </w:p>
    <w:p w:rsidR="00B47871" w:rsidRPr="00D97DF8" w:rsidRDefault="00B47871" w:rsidP="00D97DF8">
      <w:pPr>
        <w:ind w:firstLine="708"/>
        <w:jc w:val="both"/>
        <w:rPr>
          <w:rFonts w:asciiTheme="minorHAnsi" w:hAnsiTheme="minorHAnsi" w:cstheme="minorHAnsi"/>
          <w:bCs/>
          <w:sz w:val="22"/>
          <w:szCs w:val="22"/>
        </w:rPr>
      </w:pPr>
    </w:p>
    <w:p w:rsidR="00B47871" w:rsidRPr="00D97DF8" w:rsidRDefault="00B47871"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(3) Yerli üretim dalının pazar payı 2015 yılında 100 iken, 2016 yılında 120 olarak gerçekleşmiş, 2017 yılında ise 111 seviyesinde gerçekleşmiştir.</w:t>
      </w:r>
    </w:p>
    <w:p w:rsidR="00B47871" w:rsidRPr="00D97DF8" w:rsidRDefault="00B47871" w:rsidP="00D97DF8">
      <w:pPr>
        <w:ind w:firstLine="708"/>
        <w:jc w:val="both"/>
        <w:rPr>
          <w:rFonts w:asciiTheme="minorHAnsi" w:hAnsiTheme="minorHAnsi" w:cstheme="minorHAnsi"/>
          <w:bCs/>
          <w:sz w:val="22"/>
          <w:szCs w:val="22"/>
        </w:rPr>
      </w:pPr>
    </w:p>
    <w:p w:rsidR="00B47871" w:rsidRPr="00D97DF8" w:rsidRDefault="00B47871"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(4) ÇHC’nin Türkiye benzer mal tüketimi içindeki pazar payı 2015-2017 yıllarında sırasıyla 100, 65 ve 47 olarak gerçekleşmiştir.</w:t>
      </w:r>
    </w:p>
    <w:p w:rsidR="00B47871" w:rsidRPr="00D97DF8" w:rsidRDefault="00B47871" w:rsidP="00D97DF8">
      <w:pPr>
        <w:ind w:firstLine="708"/>
        <w:jc w:val="both"/>
        <w:rPr>
          <w:rFonts w:asciiTheme="minorHAnsi" w:hAnsiTheme="minorHAnsi" w:cstheme="minorHAnsi"/>
          <w:bCs/>
          <w:sz w:val="22"/>
          <w:szCs w:val="22"/>
        </w:rPr>
      </w:pPr>
    </w:p>
    <w:p w:rsidR="00B47871" w:rsidRPr="00D97DF8" w:rsidRDefault="00B47871" w:rsidP="00D97DF8">
      <w:pPr>
        <w:jc w:val="both"/>
        <w:rPr>
          <w:rFonts w:asciiTheme="minorHAnsi" w:hAnsiTheme="minorHAnsi" w:cstheme="minorHAnsi"/>
          <w:bCs/>
          <w:sz w:val="22"/>
          <w:szCs w:val="22"/>
        </w:rPr>
      </w:pPr>
      <w:r w:rsidRPr="00D97DF8">
        <w:rPr>
          <w:rFonts w:asciiTheme="minorHAnsi" w:hAnsiTheme="minorHAnsi" w:cstheme="minorHAnsi"/>
          <w:bCs/>
          <w:sz w:val="22"/>
          <w:szCs w:val="22"/>
        </w:rPr>
        <w:t>(5) Diğer ülkelerden gerçekleştirilen ithalatın Türkiye benzer mal tüketimi içindeki pazar payı ise 2015-2017 döneminde sırasıyla 100, 82 ve 96 olarak gerçekleşmiştir.</w:t>
      </w:r>
    </w:p>
    <w:p w:rsidR="00B47871" w:rsidRPr="00D97DF8" w:rsidRDefault="00B47871" w:rsidP="00D97DF8">
      <w:pPr>
        <w:jc w:val="both"/>
        <w:rPr>
          <w:rFonts w:asciiTheme="minorHAnsi" w:hAnsiTheme="minorHAnsi" w:cstheme="minorHAnsi"/>
          <w:bCs/>
          <w:sz w:val="22"/>
          <w:szCs w:val="22"/>
        </w:rPr>
      </w:pPr>
    </w:p>
    <w:p w:rsidR="005E18A0" w:rsidRPr="00D97DF8" w:rsidRDefault="009A1355" w:rsidP="00D97DF8">
      <w:pPr>
        <w:jc w:val="both"/>
        <w:rPr>
          <w:rFonts w:asciiTheme="minorHAnsi" w:hAnsiTheme="minorHAnsi" w:cstheme="minorHAnsi"/>
          <w:b/>
          <w:sz w:val="22"/>
          <w:szCs w:val="22"/>
        </w:rPr>
      </w:pPr>
      <w:r w:rsidRPr="00D97DF8">
        <w:rPr>
          <w:rFonts w:asciiTheme="minorHAnsi" w:hAnsiTheme="minorHAnsi" w:cstheme="minorHAnsi"/>
          <w:b/>
          <w:sz w:val="22"/>
          <w:szCs w:val="22"/>
        </w:rPr>
        <w:t>4</w:t>
      </w:r>
      <w:r w:rsidR="00E30C99" w:rsidRPr="00D97DF8">
        <w:rPr>
          <w:rFonts w:asciiTheme="minorHAnsi" w:hAnsiTheme="minorHAnsi" w:cstheme="minorHAnsi"/>
          <w:b/>
          <w:sz w:val="22"/>
          <w:szCs w:val="22"/>
        </w:rPr>
        <w:t>.6</w:t>
      </w:r>
      <w:r w:rsidR="008E4B08" w:rsidRPr="00D97DF8">
        <w:rPr>
          <w:rFonts w:asciiTheme="minorHAnsi" w:hAnsiTheme="minorHAnsi" w:cstheme="minorHAnsi"/>
          <w:b/>
          <w:sz w:val="22"/>
          <w:szCs w:val="22"/>
        </w:rPr>
        <w:t xml:space="preserve"> </w:t>
      </w:r>
      <w:r w:rsidR="005E18A0" w:rsidRPr="00D97DF8">
        <w:rPr>
          <w:rFonts w:asciiTheme="minorHAnsi" w:hAnsiTheme="minorHAnsi" w:cstheme="minorHAnsi"/>
          <w:b/>
          <w:sz w:val="22"/>
          <w:szCs w:val="22"/>
        </w:rPr>
        <w:t xml:space="preserve">Fiyat kırılması </w:t>
      </w:r>
      <w:r w:rsidR="00B47871" w:rsidRPr="00D97DF8">
        <w:rPr>
          <w:rFonts w:asciiTheme="minorHAnsi" w:hAnsiTheme="minorHAnsi" w:cstheme="minorHAnsi"/>
          <w:b/>
          <w:sz w:val="22"/>
          <w:szCs w:val="22"/>
        </w:rPr>
        <w:t>ve baskısı</w:t>
      </w:r>
    </w:p>
    <w:p w:rsidR="008B5D66" w:rsidRPr="00D97DF8" w:rsidRDefault="005E18A0"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w:t>
      </w:r>
      <w:r w:rsidR="008B5D66" w:rsidRPr="00D97DF8">
        <w:rPr>
          <w:rFonts w:asciiTheme="minorHAnsi" w:hAnsiTheme="minorHAnsi" w:cstheme="minorHAnsi"/>
          <w:sz w:val="22"/>
          <w:szCs w:val="22"/>
        </w:rPr>
        <w:t>Fiyat kırılması, soruşturma konusu ürünün Türkiye piyasasında oluşan fiyatlarının yerli üretim dalının yurtiçi satış fiyatlarının ne kadar altında kaldığını göstermektedir. Bu kapsamda, soruşturma konusu ülkelerden gerçekleştirilen ithalatın yerli üretim dalının fiyatlarını ne ölçüde kırdığı incelenmiştir.</w:t>
      </w:r>
    </w:p>
    <w:p w:rsidR="008B5D66" w:rsidRPr="00D97DF8" w:rsidRDefault="008B5D66" w:rsidP="00D97DF8">
      <w:pPr>
        <w:jc w:val="both"/>
        <w:rPr>
          <w:rFonts w:asciiTheme="minorHAnsi" w:hAnsiTheme="minorHAnsi" w:cstheme="minorHAnsi"/>
          <w:sz w:val="22"/>
          <w:szCs w:val="22"/>
        </w:rPr>
      </w:pPr>
    </w:p>
    <w:p w:rsidR="00DD4946" w:rsidRPr="00D97DF8" w:rsidRDefault="008B5D66"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 </w:t>
      </w:r>
      <w:r w:rsidR="00B47871" w:rsidRPr="00D97DF8">
        <w:rPr>
          <w:rFonts w:asciiTheme="minorHAnsi" w:hAnsiTheme="minorHAnsi" w:cstheme="minorHAnsi"/>
          <w:sz w:val="22"/>
          <w:szCs w:val="22"/>
        </w:rPr>
        <w:t>Fiyat kırılması hesaplanırken; CIF ithal fiyatın üzerine, ithalat için %4 gümrük vergisi ile başvuru konusu ülke için makul sayılabilecek bir oran olarak CIF kıymetin %2’si tutarındaki diğer ithal masrafları eklenerek ürünün Türkiye piyasasına giriş fiyatı bulunmuştur. Dampinge karşı önlemin söz konusu olmadığı bir ortamda fiyatların hangi düzeyde oluşacağına ilişkin değerlendirmeyi mümkün kılmak amacıyla anılan fiyatlara dampinge karşı önlem eklenmemiştir. Bulunan değerler ile başvuru sahibi yerli üreticinin yurtiçi satış fiyatları karşılaştırılmıştır. Hesaplamalar 2015-2017 yılları için yapılmış olup, buna göre ÇHC menşeli ithalatın yerli üretim dalının iç piyasa satış fiyatlarını 2017 yılında %1X oranında kırdığı görülmektedir.</w:t>
      </w:r>
    </w:p>
    <w:p w:rsidR="00DD223B" w:rsidRPr="00D97DF8" w:rsidRDefault="00DD223B" w:rsidP="00D97DF8">
      <w:pPr>
        <w:jc w:val="both"/>
        <w:rPr>
          <w:rFonts w:asciiTheme="minorHAnsi" w:hAnsiTheme="minorHAnsi" w:cstheme="minorHAnsi"/>
          <w:sz w:val="22"/>
          <w:szCs w:val="22"/>
        </w:rPr>
      </w:pPr>
    </w:p>
    <w:p w:rsidR="00DD223B" w:rsidRPr="00D97DF8" w:rsidRDefault="00DD223B" w:rsidP="00D97DF8">
      <w:pPr>
        <w:pStyle w:val="Altbilgi"/>
        <w:tabs>
          <w:tab w:val="clear" w:pos="4536"/>
          <w:tab w:val="clear" w:pos="9072"/>
        </w:tabs>
        <w:jc w:val="both"/>
        <w:rPr>
          <w:rFonts w:asciiTheme="minorHAnsi" w:hAnsiTheme="minorHAnsi" w:cstheme="minorHAnsi"/>
          <w:bCs/>
          <w:sz w:val="22"/>
          <w:szCs w:val="22"/>
        </w:rPr>
      </w:pPr>
      <w:r w:rsidRPr="00D97DF8">
        <w:rPr>
          <w:rFonts w:asciiTheme="minorHAnsi" w:hAnsiTheme="minorHAnsi" w:cstheme="minorHAnsi"/>
          <w:bCs/>
          <w:sz w:val="22"/>
          <w:szCs w:val="22"/>
        </w:rPr>
        <w:t xml:space="preserve">(3) Fiyat baskısı ise ithal ürün fiyatlarının Türkiye piyasasında yerli üretim dalının benzer üründeki ticari maliyeti ve makul kar oranı dikkate alınarak tespit edilen, olması gereken satış fiyatının yüzde olarak ne kadar altında kaldığını göstermektedir. </w:t>
      </w:r>
    </w:p>
    <w:p w:rsidR="00DD223B" w:rsidRPr="00D97DF8" w:rsidRDefault="00DD223B" w:rsidP="00D97DF8">
      <w:pPr>
        <w:pStyle w:val="Altbilgi"/>
        <w:tabs>
          <w:tab w:val="clear" w:pos="4536"/>
          <w:tab w:val="clear" w:pos="9072"/>
        </w:tabs>
        <w:jc w:val="both"/>
        <w:rPr>
          <w:rFonts w:asciiTheme="minorHAnsi" w:hAnsiTheme="minorHAnsi" w:cstheme="minorHAnsi"/>
          <w:bCs/>
          <w:sz w:val="22"/>
          <w:szCs w:val="22"/>
        </w:rPr>
      </w:pPr>
    </w:p>
    <w:p w:rsidR="00DD223B" w:rsidRPr="00D97DF8" w:rsidRDefault="00DD223B" w:rsidP="00D97DF8">
      <w:pPr>
        <w:pStyle w:val="Altbilgi"/>
        <w:tabs>
          <w:tab w:val="clear" w:pos="4536"/>
          <w:tab w:val="clear" w:pos="9072"/>
        </w:tabs>
        <w:jc w:val="both"/>
        <w:rPr>
          <w:rFonts w:asciiTheme="minorHAnsi" w:hAnsiTheme="minorHAnsi" w:cstheme="minorHAnsi"/>
          <w:sz w:val="22"/>
          <w:szCs w:val="22"/>
        </w:rPr>
      </w:pPr>
      <w:r w:rsidRPr="00D97DF8">
        <w:rPr>
          <w:rFonts w:asciiTheme="minorHAnsi" w:hAnsiTheme="minorHAnsi" w:cstheme="minorHAnsi"/>
          <w:bCs/>
          <w:sz w:val="22"/>
          <w:szCs w:val="22"/>
        </w:rPr>
        <w:t>(4) Fiyat baskısı hesaplanırken; CIF ithal fiyatın üzerine, ithalat için %4 gümrük vergisi ile başvuru konusu ülke için makul sayılabilecek bir oran olarak CIF kıymetin %2’si tutarındaki diğer ithal masrafları eklenerek ürünün Türkiye piyasasına giriş fiyatı bulunmuştur. Hesaplamalar 2015-2017 yılları için yapılmış olup, buna göre ÇHC menşeli ithalatın yerli üretim dalının fiyatları üzerinde 2017 yılında %1X oranında fiyat baskısına neden olduğu saptanmıştır.</w:t>
      </w:r>
    </w:p>
    <w:p w:rsidR="00B47871" w:rsidRPr="00D97DF8" w:rsidRDefault="00B47871" w:rsidP="00D97DF8">
      <w:pPr>
        <w:jc w:val="both"/>
        <w:rPr>
          <w:rFonts w:asciiTheme="minorHAnsi" w:hAnsiTheme="minorHAnsi" w:cstheme="minorHAnsi"/>
          <w:sz w:val="22"/>
          <w:szCs w:val="22"/>
        </w:rPr>
      </w:pPr>
    </w:p>
    <w:p w:rsidR="0025290B" w:rsidRPr="00D97DF8" w:rsidRDefault="005E18A0" w:rsidP="00D97DF8">
      <w:pPr>
        <w:jc w:val="both"/>
        <w:rPr>
          <w:rFonts w:asciiTheme="minorHAnsi" w:hAnsiTheme="minorHAnsi" w:cstheme="minorHAnsi"/>
          <w:b/>
          <w:sz w:val="22"/>
          <w:szCs w:val="22"/>
        </w:rPr>
      </w:pPr>
      <w:r w:rsidRPr="00D97DF8">
        <w:rPr>
          <w:rFonts w:asciiTheme="minorHAnsi" w:hAnsiTheme="minorHAnsi" w:cstheme="minorHAnsi"/>
          <w:b/>
          <w:sz w:val="22"/>
          <w:szCs w:val="22"/>
        </w:rPr>
        <w:t xml:space="preserve">4.7 </w:t>
      </w:r>
      <w:r w:rsidR="00164FF4" w:rsidRPr="00D97DF8">
        <w:rPr>
          <w:rFonts w:asciiTheme="minorHAnsi" w:hAnsiTheme="minorHAnsi" w:cstheme="minorHAnsi"/>
          <w:b/>
          <w:sz w:val="22"/>
          <w:szCs w:val="22"/>
        </w:rPr>
        <w:t xml:space="preserve">Yerli üretim dalının ekonomik göstergeleri </w:t>
      </w:r>
    </w:p>
    <w:p w:rsidR="00DD223B" w:rsidRPr="00D97DF8" w:rsidRDefault="00DD223B" w:rsidP="00D97DF8">
      <w:pPr>
        <w:jc w:val="both"/>
        <w:rPr>
          <w:rFonts w:asciiTheme="minorHAnsi" w:hAnsiTheme="minorHAnsi" w:cstheme="minorHAnsi"/>
          <w:sz w:val="22"/>
          <w:szCs w:val="22"/>
        </w:rPr>
      </w:pPr>
      <w:r w:rsidRPr="00D97DF8">
        <w:rPr>
          <w:rFonts w:asciiTheme="minorHAnsi" w:hAnsiTheme="minorHAnsi" w:cstheme="minorHAnsi"/>
          <w:bCs/>
          <w:sz w:val="22"/>
          <w:szCs w:val="22"/>
        </w:rPr>
        <w:t xml:space="preserve">(1) Yerli üretim dalının ekonomik göstergelerinin değerlendirilmesinde şikâyetçi yerli üreticinin verileri kullanılmıştır. Eğilimlerin sağlıklı bir şekilde incelenmesi amacıyla Türk Lirası bazındaki veriler için yıllık ortalama Üretici Fiyat Endeksi (ÜFE) kullanılarak enflasyondan arındırılmış reel değerler esas alınmış ve veriler 2015 yılı 100 olacak şekilde endekslenmiştir.  </w:t>
      </w:r>
    </w:p>
    <w:p w:rsidR="00DD223B" w:rsidRPr="00D97DF8" w:rsidRDefault="00DD223B" w:rsidP="00D97DF8">
      <w:pPr>
        <w:ind w:firstLine="708"/>
        <w:jc w:val="both"/>
        <w:rPr>
          <w:rFonts w:asciiTheme="minorHAnsi" w:hAnsiTheme="minorHAnsi" w:cstheme="minorHAnsi"/>
          <w:sz w:val="22"/>
          <w:szCs w:val="22"/>
        </w:rPr>
      </w:pP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a) Üretim, Kapasite ve Kapasite Kullanım Oranı (KKO)</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z w:val="22"/>
          <w:szCs w:val="22"/>
        </w:rPr>
        <w:t xml:space="preserve"> şikayet konusu ürün için 2015 yılında 100 olan üretim miktar endeksi, 2016 yılında 110’a, 2017 yılında 115’e yükselmiştir. Aynı dönemde </w:t>
      </w:r>
      <w:r w:rsidRPr="00D97DF8">
        <w:rPr>
          <w:rFonts w:asciiTheme="minorHAnsi" w:hAnsiTheme="minorHAnsi" w:cstheme="minorHAnsi"/>
          <w:noProof/>
          <w:sz w:val="22"/>
          <w:szCs w:val="22"/>
        </w:rPr>
        <w:t>yerli üretim dalının</w:t>
      </w:r>
      <w:r w:rsidRPr="00D97DF8">
        <w:rPr>
          <w:rFonts w:asciiTheme="minorHAnsi" w:hAnsiTheme="minorHAnsi" w:cstheme="minorHAnsi"/>
          <w:bCs/>
          <w:sz w:val="22"/>
          <w:szCs w:val="22"/>
        </w:rPr>
        <w:t xml:space="preserve"> kurulu kapasitesi kullanım oranı endeksi sırasıyla 100, 110 ve 111 olarak gerçekleşmiştir.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b) Yurtiçi  ve yurtdışı satışlar</w:t>
      </w:r>
      <w:r w:rsidRPr="00D97DF8">
        <w:rPr>
          <w:rFonts w:asciiTheme="minorHAnsi" w:hAnsiTheme="minorHAnsi" w:cstheme="minorHAnsi"/>
          <w:b/>
          <w:bCs/>
          <w:spacing w:val="-2"/>
          <w:sz w:val="22"/>
          <w:szCs w:val="22"/>
        </w:rPr>
        <w:tab/>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şikayet konusu ürün için 2015 yılında 100 olarak kabul edilen yurtiçi satış miktarı endeksi 2016 yılında 142’ye ve 2017 yılında ise 150’ye yükselmiştir. Aynı dönemde yurtiçi satış hasılası endeksi ise sırasıyla 100, 135 ve 163 olarak gerçekleşmiştir.</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(2)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ihracat miktar endeksi 2015 yılında 100, 2016 yılında 11 olarak gerçekleşmiş ve  2016 yılında ise 0,3’e gerilemiştir.</w:t>
      </w:r>
    </w:p>
    <w:p w:rsidR="00DD223B" w:rsidRPr="00D97DF8" w:rsidRDefault="00DD223B" w:rsidP="00D97DF8">
      <w:pPr>
        <w:jc w:val="both"/>
        <w:rPr>
          <w:rFonts w:asciiTheme="minorHAnsi" w:hAnsiTheme="minorHAnsi" w:cstheme="minorHAnsi"/>
          <w:b/>
          <w:bCs/>
          <w:color w:val="0070C0"/>
          <w:spacing w:val="-2"/>
          <w:sz w:val="22"/>
          <w:szCs w:val="22"/>
        </w:rPr>
      </w:pPr>
      <w:r w:rsidRPr="00D97DF8">
        <w:rPr>
          <w:rFonts w:asciiTheme="minorHAnsi" w:hAnsiTheme="minorHAnsi" w:cstheme="minorHAnsi"/>
          <w:b/>
          <w:bCs/>
          <w:spacing w:val="-2"/>
          <w:sz w:val="22"/>
          <w:szCs w:val="22"/>
        </w:rPr>
        <w:t xml:space="preserve">c) </w:t>
      </w:r>
      <w:r w:rsidRPr="00D97DF8">
        <w:rPr>
          <w:rFonts w:asciiTheme="minorHAnsi" w:hAnsiTheme="minorHAnsi" w:cstheme="minorHAnsi"/>
          <w:b/>
          <w:sz w:val="22"/>
          <w:szCs w:val="22"/>
        </w:rPr>
        <w:t xml:space="preserve">Yurtiçi fiyatlar ve yurtiçi fiyatları etkileyen hususlar </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şikayet konusu ürün için ağırlıklı ortalama yurtiçi satış fiyatı 2015 yılında 100, 2016 yılında 95 ve 2017 yılında ise 109 olarak gerçekleşmiştir. </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(2) Tekstil sektöründeki genel üretim ve satış eğilimleri, iplik ve dolgu malzemesi yapımında girdi olarak kullanılan soruşturma konusu ürünün yurtiçi fiyatlarını etkilemektedir.</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ç) Maliyetler ve karlılık</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söz konusu ürün için 2015 yılında reel olarak 100 kabul edilen birim ticari maliyeti 2016 yılında 93’e gerilemiş ve 2017 yılında ise 102’ye yükselmiştir.</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(2)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satış birim fiyatlarının ticari maliyetlerine oranla daha fazla artış göstermesi nedeniyle yurtiçi satışlardan elde ettiği birim kar 2015 yılında 100 olarak kabul edildiğinde, 2016 yılında 122’ye ve 2017 yılında ise 191’e yükselmiştir. Yurtdışı satışların birim karlılıklarına bakıldığında ise incelenen yıllar itibariyle 100, 141 ve 468 olarak gerçekleşmiştir.</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d) Pazar Payı</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pazar payı endeksi 2015 yılında 100 iken, 2016 yılında 120’ye yükselmiş ve 2017 yılında ise 111 olarak gerçekleşmiştir.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e) Verimlilik</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Üretimde çalışan işçi başına üretim miktarını gösteren verimlilik endeksi 2015 yılında 100 iken 2016 yılında 98’e, 2017 yılında ise 85’e gerilemiştir.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 xml:space="preserve">f) Nakit Akışı </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polyester elyaf üretim ve satışı ile sağladığı reel nakit akışı endeksi (Kar+Amortisman) 2015 yılında 100 iken 2016 ve 2017 yıllarında ise sırasıyla 147 ve 223 olarak gerçekleşmiştir.</w:t>
      </w:r>
    </w:p>
    <w:p w:rsidR="005F4249" w:rsidRPr="00D97DF8" w:rsidRDefault="005F4249" w:rsidP="00D97DF8">
      <w:pPr>
        <w:jc w:val="both"/>
        <w:rPr>
          <w:rFonts w:asciiTheme="minorHAnsi" w:hAnsiTheme="minorHAnsi" w:cstheme="minorHAnsi"/>
          <w:bCs/>
          <w:spacing w:val="-2"/>
          <w:sz w:val="22"/>
          <w:szCs w:val="22"/>
        </w:rPr>
      </w:pPr>
    </w:p>
    <w:p w:rsidR="005F4249" w:rsidRPr="00D97DF8" w:rsidRDefault="005F4249" w:rsidP="00D97DF8">
      <w:pPr>
        <w:jc w:val="both"/>
        <w:rPr>
          <w:rFonts w:asciiTheme="minorHAnsi" w:hAnsiTheme="minorHAnsi" w:cstheme="minorHAnsi"/>
          <w:bCs/>
          <w:spacing w:val="-2"/>
          <w:sz w:val="22"/>
          <w:szCs w:val="22"/>
          <w:u w:val="single"/>
        </w:rPr>
      </w:pP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g) Stoklar</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2015 yılında 100 olan dönem sonu stok miktar endeksi 2016 yılında ise 64’e gerilemiş,  2017 yılında ise 82 olarak gerçekleşmiştir.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ğ) İstihdam</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2015 yılında 100 olarak kabul edilen polyester elyaf üretiminde çalışan doğrudan işçi sayısı endeksi 2016 yılında 112’ye ve 2017 yılında ise 135 seviyesine yükselmiştir.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h) Ücretler</w:t>
      </w:r>
    </w:p>
    <w:p w:rsidR="00DD223B" w:rsidRPr="00D97DF8" w:rsidRDefault="00DD223B" w:rsidP="00D97DF8">
      <w:pPr>
        <w:jc w:val="both"/>
        <w:rPr>
          <w:rFonts w:asciiTheme="minorHAnsi" w:hAnsiTheme="minorHAnsi" w:cstheme="minorHAnsi"/>
          <w:bCs/>
          <w:spacing w:val="-2"/>
          <w:sz w:val="22"/>
          <w:szCs w:val="22"/>
          <w:u w:val="single"/>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dalında</w:t>
      </w:r>
      <w:r w:rsidRPr="00D97DF8">
        <w:rPr>
          <w:rFonts w:asciiTheme="minorHAnsi" w:hAnsiTheme="minorHAnsi" w:cstheme="minorHAnsi"/>
          <w:bCs/>
          <w:spacing w:val="-2"/>
          <w:sz w:val="22"/>
          <w:szCs w:val="22"/>
        </w:rPr>
        <w:t xml:space="preserve"> çalışan işçilerin aylık ücretleri endeksi 2015 yılında 100 olarak kabul edildiğinde, 2016 yılında 105’e ve 2017 yılında ise 102’ye yükselmiştir.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ı) Büyüme</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bütün faaliyetlerini kapsayan aktif büyüklüğü 2015 yılında 100 iken 2016 yılında 139’a, 2017 yılında ise  210’a yükselmiştir. </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i) Sermaye artırma yeteneği</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2015 yılında 100 olarak kabul edilen öz sermayesi 2016 yılında 162’e yükselmiş, 2017 yılında ise 158 olarak gerçekleşmiştir.</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j) Yatırımları artırma yeteneği</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bütün faaliyetlerine ilişkin yenileme yatırımları 2015 yılında 100 iken 2015 yılında 125’e yükselmiş ve 2017 yılında ise 39’a inmiştir. Kapasite artışı için yapılan tevsi yatırımlar endeksi ise 2015 yılında 100 iken 2016 yılında 2.826’ya ve 2017 yılında 17.601’e yükselmiştir.</w:t>
      </w:r>
    </w:p>
    <w:p w:rsidR="00DD223B" w:rsidRPr="00D97DF8" w:rsidRDefault="00DD223B" w:rsidP="00D97DF8">
      <w:pPr>
        <w:jc w:val="both"/>
        <w:rPr>
          <w:rFonts w:asciiTheme="minorHAnsi" w:hAnsiTheme="minorHAnsi" w:cstheme="minorHAnsi"/>
          <w:b/>
          <w:bCs/>
          <w:spacing w:val="-2"/>
          <w:sz w:val="22"/>
          <w:szCs w:val="22"/>
        </w:rPr>
      </w:pPr>
      <w:r w:rsidRPr="00D97DF8">
        <w:rPr>
          <w:rFonts w:asciiTheme="minorHAnsi" w:hAnsiTheme="minorHAnsi" w:cstheme="minorHAnsi"/>
          <w:b/>
          <w:bCs/>
          <w:spacing w:val="-2"/>
          <w:sz w:val="22"/>
          <w:szCs w:val="22"/>
        </w:rPr>
        <w:t>k) Yatırımların Geri Dönüş Oranı</w:t>
      </w:r>
    </w:p>
    <w:p w:rsidR="00DD223B"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pacing w:val="-2"/>
          <w:sz w:val="22"/>
          <w:szCs w:val="22"/>
        </w:rPr>
        <w:t xml:space="preserve">(1) </w:t>
      </w:r>
      <w:r w:rsidRPr="00D97DF8">
        <w:rPr>
          <w:rFonts w:asciiTheme="minorHAnsi" w:hAnsiTheme="minorHAnsi" w:cstheme="minorHAnsi"/>
          <w:noProof/>
          <w:sz w:val="22"/>
          <w:szCs w:val="22"/>
        </w:rPr>
        <w:t>Yerli üretim dalının</w:t>
      </w:r>
      <w:r w:rsidRPr="00D97DF8">
        <w:rPr>
          <w:rFonts w:asciiTheme="minorHAnsi" w:hAnsiTheme="minorHAnsi" w:cstheme="minorHAnsi"/>
          <w:bCs/>
          <w:spacing w:val="-2"/>
          <w:sz w:val="22"/>
          <w:szCs w:val="22"/>
        </w:rPr>
        <w:t xml:space="preserve"> söz konusu üründe yatırım hasılatı (Kar/Aktifler) oranı 2015 yılında 100 iken 2016 yılında 45’e ve 2017 yılında ise 43’e gerilemiştir.</w:t>
      </w:r>
    </w:p>
    <w:p w:rsidR="00DD223B" w:rsidRPr="00D97DF8" w:rsidRDefault="00DD223B" w:rsidP="00D97DF8">
      <w:pPr>
        <w:jc w:val="both"/>
        <w:rPr>
          <w:rFonts w:asciiTheme="minorHAnsi" w:hAnsiTheme="minorHAnsi" w:cstheme="minorHAnsi"/>
          <w:b/>
          <w:sz w:val="22"/>
          <w:szCs w:val="22"/>
        </w:rPr>
      </w:pPr>
      <w:r w:rsidRPr="00D97DF8">
        <w:rPr>
          <w:rFonts w:asciiTheme="minorHAnsi" w:hAnsiTheme="minorHAnsi" w:cstheme="minorHAnsi"/>
          <w:b/>
          <w:bCs/>
          <w:spacing w:val="-2"/>
          <w:sz w:val="22"/>
          <w:szCs w:val="22"/>
        </w:rPr>
        <w:t xml:space="preserve">l) </w:t>
      </w:r>
      <w:r w:rsidRPr="00D97DF8">
        <w:rPr>
          <w:rFonts w:asciiTheme="minorHAnsi" w:hAnsiTheme="minorHAnsi" w:cstheme="minorHAnsi"/>
          <w:b/>
          <w:sz w:val="22"/>
          <w:szCs w:val="22"/>
        </w:rPr>
        <w:t>Önceki soruşturmalarda tespit edilen damping marjının büyüklüğü</w:t>
      </w:r>
    </w:p>
    <w:p w:rsidR="009573E9" w:rsidRPr="00D97DF8" w:rsidRDefault="00DD223B"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Esas soruşturma </w:t>
      </w:r>
      <w:r w:rsidRPr="00D97DF8">
        <w:rPr>
          <w:rFonts w:asciiTheme="minorHAnsi" w:hAnsiTheme="minorHAnsi" w:cstheme="minorHAnsi"/>
          <w:bCs/>
          <w:sz w:val="22"/>
          <w:szCs w:val="22"/>
        </w:rPr>
        <w:t xml:space="preserve">esnasında </w:t>
      </w:r>
      <w:r w:rsidRPr="00D97DF8">
        <w:rPr>
          <w:rFonts w:asciiTheme="minorHAnsi" w:hAnsiTheme="minorHAnsi" w:cstheme="minorHAnsi"/>
          <w:sz w:val="22"/>
          <w:szCs w:val="22"/>
        </w:rPr>
        <w:t>CIF ihraç fiyatının %19,94 ile %30,61’i arasında damping marjları tespit edilmiştir.</w:t>
      </w:r>
    </w:p>
    <w:p w:rsidR="008E4B08" w:rsidRPr="00D97DF8" w:rsidRDefault="009A1355" w:rsidP="00D97DF8">
      <w:pPr>
        <w:rPr>
          <w:rFonts w:asciiTheme="minorHAnsi" w:hAnsiTheme="minorHAnsi" w:cstheme="minorHAnsi"/>
          <w:b/>
          <w:sz w:val="22"/>
          <w:szCs w:val="22"/>
        </w:rPr>
      </w:pPr>
      <w:r w:rsidRPr="00D97DF8">
        <w:rPr>
          <w:rFonts w:asciiTheme="minorHAnsi" w:hAnsiTheme="minorHAnsi" w:cstheme="minorHAnsi"/>
          <w:b/>
          <w:sz w:val="22"/>
          <w:szCs w:val="22"/>
        </w:rPr>
        <w:t>4</w:t>
      </w:r>
      <w:r w:rsidR="008E4B08" w:rsidRPr="00D97DF8">
        <w:rPr>
          <w:rFonts w:asciiTheme="minorHAnsi" w:hAnsiTheme="minorHAnsi" w:cstheme="minorHAnsi"/>
          <w:b/>
          <w:sz w:val="22"/>
          <w:szCs w:val="22"/>
        </w:rPr>
        <w:t xml:space="preserve">.8 </w:t>
      </w:r>
      <w:r w:rsidR="00164FF4" w:rsidRPr="00D97DF8">
        <w:rPr>
          <w:rFonts w:asciiTheme="minorHAnsi" w:hAnsiTheme="minorHAnsi" w:cstheme="minorHAnsi"/>
          <w:b/>
          <w:sz w:val="22"/>
          <w:szCs w:val="22"/>
        </w:rPr>
        <w:t>Yerli üretim dalının ekonomik göstergelerinin değerlendirilmesi</w:t>
      </w:r>
    </w:p>
    <w:p w:rsidR="00DD223B" w:rsidRPr="00D97DF8" w:rsidRDefault="00DD223B"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(1) Yukarıdaki veriler ışığında, yerli üretim dalının yurtdışı satışlarında, verimliliğinde ve yatırımların geri dönüş oranında (kar/aktifler) düşüş olduğu tespit edilmiştir </w:t>
      </w:r>
    </w:p>
    <w:p w:rsidR="00DD223B" w:rsidRPr="00D97DF8" w:rsidRDefault="00DD223B" w:rsidP="00D97DF8">
      <w:pPr>
        <w:jc w:val="both"/>
        <w:rPr>
          <w:rFonts w:asciiTheme="minorHAnsi" w:hAnsiTheme="minorHAnsi" w:cstheme="minorHAnsi"/>
          <w:sz w:val="22"/>
          <w:szCs w:val="22"/>
        </w:rPr>
      </w:pPr>
      <w:r w:rsidRPr="00D97DF8">
        <w:rPr>
          <w:rFonts w:asciiTheme="minorHAnsi" w:hAnsiTheme="minorHAnsi" w:cstheme="minorHAnsi"/>
          <w:sz w:val="22"/>
          <w:szCs w:val="22"/>
        </w:rPr>
        <w:t xml:space="preserve">(2) Ayrıca, dampinge karşı önlemin varlığında yerli üretim dalının yurtiçi satış verilerinde iyileşme olduğu görülmekle beraber yurtiçi satışların miktar temelindeki artış hızında 2017 yılında gerileme olduğu izlenmiştir. Nitekim 2015 yılından 2016 yılına geçişte 42 endeks puan artan yurt içi satışların miktarının 2017 yılına geçişte yalnızca 8 endeks puan arttığı tespit edilmiştir. Yurtdışı satış miktarında, özellikle 2017 yılında ortaya çıkan gerileme de dikkate alındığında zarar inceleme dönemindeki üretim artış hızının yurtiçi satışlardaki artış hızının gerisinde kaldığı izlenmiştir. 2017 yılında yurtiçi satışlardaki artış hızının gerilemesi neticesinde stok miktarında 2017 yılında artış saptanmıştır. </w:t>
      </w:r>
    </w:p>
    <w:p w:rsidR="00DD223B" w:rsidRPr="00D97DF8" w:rsidRDefault="00DD223B" w:rsidP="00D97DF8">
      <w:pPr>
        <w:jc w:val="both"/>
        <w:rPr>
          <w:rFonts w:asciiTheme="minorHAnsi" w:hAnsiTheme="minorHAnsi" w:cstheme="minorHAnsi"/>
          <w:b/>
          <w:bCs/>
          <w:caps/>
          <w:sz w:val="22"/>
          <w:szCs w:val="22"/>
        </w:rPr>
      </w:pPr>
      <w:r w:rsidRPr="00D97DF8">
        <w:rPr>
          <w:rFonts w:asciiTheme="minorHAnsi" w:hAnsiTheme="minorHAnsi" w:cstheme="minorHAnsi"/>
          <w:sz w:val="22"/>
          <w:szCs w:val="22"/>
        </w:rPr>
        <w:t xml:space="preserve">(3) Diğer taraftan, yurtiçi satış ve toplam satış ürün karlılığında, üretim kapasitesinde, kapasite kullanım oranında, ürün nakit akışında, firma tevsi yatırımlarında, firma aktiflerinde ve öz sermayesinde artışlar olduğu tespit edilmiştir. </w:t>
      </w:r>
    </w:p>
    <w:p w:rsidR="00DD223B" w:rsidRPr="00D97DF8" w:rsidRDefault="00DD223B" w:rsidP="00D97DF8">
      <w:pPr>
        <w:tabs>
          <w:tab w:val="left" w:pos="709"/>
        </w:tabs>
        <w:rPr>
          <w:rFonts w:asciiTheme="minorHAnsi" w:hAnsiTheme="minorHAnsi" w:cstheme="minorHAnsi"/>
          <w:b/>
          <w:bCs/>
          <w:caps/>
          <w:sz w:val="22"/>
          <w:szCs w:val="22"/>
        </w:rPr>
      </w:pPr>
    </w:p>
    <w:p w:rsidR="00164FF4" w:rsidRPr="00D97DF8" w:rsidRDefault="00DF4E77" w:rsidP="00D97DF8">
      <w:pPr>
        <w:tabs>
          <w:tab w:val="left" w:pos="709"/>
        </w:tabs>
        <w:rPr>
          <w:rFonts w:asciiTheme="minorHAnsi" w:hAnsiTheme="minorHAnsi" w:cstheme="minorHAnsi"/>
          <w:b/>
          <w:bCs/>
          <w:caps/>
          <w:sz w:val="22"/>
          <w:szCs w:val="22"/>
        </w:rPr>
      </w:pPr>
      <w:r w:rsidRPr="00D97DF8">
        <w:rPr>
          <w:rFonts w:asciiTheme="minorHAnsi" w:hAnsiTheme="minorHAnsi" w:cstheme="minorHAnsi"/>
          <w:b/>
          <w:bCs/>
          <w:caps/>
          <w:sz w:val="22"/>
          <w:szCs w:val="22"/>
        </w:rPr>
        <w:t>5</w:t>
      </w:r>
      <w:r w:rsidR="008E4B08" w:rsidRPr="00D97DF8">
        <w:rPr>
          <w:rFonts w:asciiTheme="minorHAnsi" w:hAnsiTheme="minorHAnsi" w:cstheme="minorHAnsi"/>
          <w:b/>
          <w:bCs/>
          <w:caps/>
          <w:sz w:val="22"/>
          <w:szCs w:val="22"/>
        </w:rPr>
        <w:t xml:space="preserve">. </w:t>
      </w:r>
      <w:r w:rsidR="00164FF4" w:rsidRPr="00D97DF8">
        <w:rPr>
          <w:rFonts w:asciiTheme="minorHAnsi" w:hAnsiTheme="minorHAnsi" w:cstheme="minorHAnsi"/>
          <w:b/>
          <w:bCs/>
          <w:caps/>
          <w:sz w:val="22"/>
          <w:szCs w:val="22"/>
        </w:rPr>
        <w:t>Dampingin ve Zararın Devamı veya Yeniden Meydana Gelmesi İhtimalinin Değerlendirilmesi</w:t>
      </w:r>
    </w:p>
    <w:p w:rsidR="00164FF4" w:rsidRPr="00D97DF8" w:rsidRDefault="00164FF4" w:rsidP="00D97DF8">
      <w:pPr>
        <w:tabs>
          <w:tab w:val="left" w:pos="709"/>
        </w:tabs>
        <w:ind w:firstLine="567"/>
        <w:rPr>
          <w:rFonts w:asciiTheme="minorHAnsi" w:hAnsiTheme="minorHAnsi" w:cstheme="minorHAnsi"/>
          <w:b/>
          <w:bCs/>
          <w:sz w:val="22"/>
          <w:szCs w:val="22"/>
        </w:rPr>
      </w:pPr>
    </w:p>
    <w:p w:rsidR="00164FF4" w:rsidRPr="00D97DF8" w:rsidRDefault="00DF4E77" w:rsidP="00D97DF8">
      <w:pPr>
        <w:tabs>
          <w:tab w:val="left" w:pos="709"/>
        </w:tabs>
        <w:rPr>
          <w:rFonts w:asciiTheme="minorHAnsi" w:hAnsiTheme="minorHAnsi" w:cstheme="minorHAnsi"/>
          <w:b/>
          <w:bCs/>
          <w:sz w:val="22"/>
          <w:szCs w:val="22"/>
        </w:rPr>
      </w:pPr>
      <w:r w:rsidRPr="00D97DF8">
        <w:rPr>
          <w:rFonts w:asciiTheme="minorHAnsi" w:hAnsiTheme="minorHAnsi" w:cstheme="minorHAnsi"/>
          <w:b/>
          <w:bCs/>
          <w:sz w:val="22"/>
          <w:szCs w:val="22"/>
        </w:rPr>
        <w:t>5</w:t>
      </w:r>
      <w:r w:rsidR="008E4B08" w:rsidRPr="00D97DF8">
        <w:rPr>
          <w:rFonts w:asciiTheme="minorHAnsi" w:hAnsiTheme="minorHAnsi" w:cstheme="minorHAnsi"/>
          <w:b/>
          <w:bCs/>
          <w:sz w:val="22"/>
          <w:szCs w:val="22"/>
        </w:rPr>
        <w:t xml:space="preserve">.1 </w:t>
      </w:r>
      <w:r w:rsidR="00164FF4" w:rsidRPr="00D97DF8">
        <w:rPr>
          <w:rFonts w:asciiTheme="minorHAnsi" w:hAnsiTheme="minorHAnsi" w:cstheme="minorHAnsi"/>
          <w:b/>
          <w:bCs/>
          <w:sz w:val="22"/>
          <w:szCs w:val="22"/>
        </w:rPr>
        <w:t>Genel açıklamalar</w:t>
      </w:r>
    </w:p>
    <w:p w:rsidR="00602476" w:rsidRPr="00D97DF8" w:rsidRDefault="00164FF4" w:rsidP="00D97DF8">
      <w:pPr>
        <w:pStyle w:val="GvdeMetniGirintisi3"/>
        <w:ind w:left="0" w:firstLine="0"/>
        <w:rPr>
          <w:rFonts w:asciiTheme="minorHAnsi" w:hAnsiTheme="minorHAnsi" w:cstheme="minorHAnsi"/>
          <w:bCs/>
          <w:sz w:val="22"/>
          <w:szCs w:val="22"/>
        </w:rPr>
      </w:pPr>
      <w:r w:rsidRPr="00D97DF8">
        <w:rPr>
          <w:rFonts w:asciiTheme="minorHAnsi" w:hAnsiTheme="minorHAnsi" w:cstheme="minorHAnsi"/>
          <w:sz w:val="22"/>
          <w:szCs w:val="22"/>
        </w:rPr>
        <w:t>(1)</w:t>
      </w:r>
      <w:r w:rsidRPr="00D97DF8">
        <w:rPr>
          <w:rFonts w:asciiTheme="minorHAnsi" w:hAnsiTheme="minorHAnsi" w:cstheme="minorHAnsi"/>
          <w:b/>
          <w:bCs/>
          <w:sz w:val="22"/>
          <w:szCs w:val="22"/>
        </w:rPr>
        <w:t xml:space="preserve"> </w:t>
      </w:r>
      <w:r w:rsidR="007B1ADE" w:rsidRPr="00D97DF8">
        <w:rPr>
          <w:rFonts w:asciiTheme="minorHAnsi" w:hAnsiTheme="minorHAnsi" w:cstheme="minorHAnsi"/>
          <w:sz w:val="22"/>
          <w:szCs w:val="22"/>
        </w:rPr>
        <w:t>Yönetmelik’in</w:t>
      </w:r>
      <w:r w:rsidR="00BC461F" w:rsidRPr="00D97DF8">
        <w:rPr>
          <w:rFonts w:asciiTheme="minorHAnsi" w:hAnsiTheme="minorHAnsi" w:cstheme="minorHAnsi"/>
          <w:bCs/>
          <w:sz w:val="22"/>
          <w:szCs w:val="22"/>
        </w:rPr>
        <w:t xml:space="preserve"> 35 inci maddesi hükümleri gereğince, önlemin yürürlükten kalkması halinde dampingin ve zararın devam etmesinin veya yeniden meydana gelmesinin muhtemel olup olmadığı değerlendirilmiştir.</w:t>
      </w:r>
      <w:r w:rsidR="00BC461F" w:rsidRPr="00D97DF8">
        <w:rPr>
          <w:rFonts w:asciiTheme="minorHAnsi" w:hAnsiTheme="minorHAnsi" w:cstheme="minorHAnsi"/>
          <w:sz w:val="22"/>
          <w:szCs w:val="22"/>
        </w:rPr>
        <w:t xml:space="preserve"> </w:t>
      </w:r>
      <w:r w:rsidR="00BC461F" w:rsidRPr="00D97DF8">
        <w:rPr>
          <w:rFonts w:asciiTheme="minorHAnsi" w:hAnsiTheme="minorHAnsi" w:cstheme="minorHAnsi"/>
          <w:bCs/>
          <w:sz w:val="22"/>
          <w:szCs w:val="22"/>
        </w:rPr>
        <w:t>Bu çerçevede, önleme tabi ülke</w:t>
      </w:r>
      <w:r w:rsidR="00A84324" w:rsidRPr="00D97DF8">
        <w:rPr>
          <w:rFonts w:asciiTheme="minorHAnsi" w:hAnsiTheme="minorHAnsi" w:cstheme="minorHAnsi"/>
          <w:bCs/>
          <w:sz w:val="22"/>
          <w:szCs w:val="22"/>
        </w:rPr>
        <w:t>ler</w:t>
      </w:r>
      <w:r w:rsidR="00BC461F" w:rsidRPr="00D97DF8">
        <w:rPr>
          <w:rFonts w:asciiTheme="minorHAnsi" w:hAnsiTheme="minorHAnsi" w:cstheme="minorHAnsi"/>
          <w:bCs/>
          <w:sz w:val="22"/>
          <w:szCs w:val="22"/>
        </w:rPr>
        <w:t xml:space="preserve">deki kapasite ve ihracat potansiyeli ile talebi etkileyen unsurlar incelenmiştir. </w:t>
      </w:r>
      <w:r w:rsidR="00BC461F" w:rsidRPr="00D97DF8">
        <w:rPr>
          <w:rFonts w:asciiTheme="minorHAnsi" w:hAnsiTheme="minorHAnsi" w:cstheme="minorHAnsi"/>
          <w:sz w:val="22"/>
          <w:szCs w:val="22"/>
        </w:rPr>
        <w:t xml:space="preserve">Önleme tabi </w:t>
      </w:r>
      <w:r w:rsidR="00602476" w:rsidRPr="00D97DF8">
        <w:rPr>
          <w:rFonts w:asciiTheme="minorHAnsi" w:hAnsiTheme="minorHAnsi" w:cstheme="minorHAnsi"/>
          <w:sz w:val="22"/>
          <w:szCs w:val="22"/>
        </w:rPr>
        <w:t>ülkelerin ihracat kabiliyeti, Uluslararası Ticaret Merkezi (International Trade Center - ITC) verileri</w:t>
      </w:r>
      <w:r w:rsidR="000A7B8F" w:rsidRPr="00D97DF8">
        <w:rPr>
          <w:rFonts w:asciiTheme="minorHAnsi" w:hAnsiTheme="minorHAnsi" w:cstheme="minorHAnsi"/>
          <w:bCs/>
          <w:sz w:val="22"/>
          <w:szCs w:val="22"/>
        </w:rPr>
        <w:t>nden</w:t>
      </w:r>
      <w:r w:rsidR="00602476" w:rsidRPr="00D97DF8">
        <w:rPr>
          <w:rFonts w:asciiTheme="minorHAnsi" w:hAnsiTheme="minorHAnsi" w:cstheme="minorHAnsi"/>
          <w:bCs/>
          <w:sz w:val="22"/>
          <w:szCs w:val="22"/>
        </w:rPr>
        <w:t xml:space="preserve"> faydalanılarak incelenmiştir.</w:t>
      </w:r>
    </w:p>
    <w:p w:rsidR="00D658B0" w:rsidRPr="00D97DF8" w:rsidRDefault="00D658B0" w:rsidP="00D97DF8">
      <w:pPr>
        <w:pStyle w:val="GvdeMetniGirintisi3"/>
        <w:ind w:left="0" w:firstLine="0"/>
        <w:rPr>
          <w:rFonts w:asciiTheme="minorHAnsi" w:hAnsiTheme="minorHAnsi" w:cstheme="minorHAnsi"/>
          <w:b/>
          <w:sz w:val="22"/>
          <w:szCs w:val="22"/>
        </w:rPr>
      </w:pPr>
    </w:p>
    <w:p w:rsidR="009D662D" w:rsidRPr="00D97DF8" w:rsidRDefault="00DF4E77" w:rsidP="00D97DF8">
      <w:pPr>
        <w:pStyle w:val="GvdeMetniGirintisi3"/>
        <w:ind w:left="0" w:firstLine="0"/>
        <w:rPr>
          <w:rFonts w:asciiTheme="minorHAnsi" w:hAnsiTheme="minorHAnsi" w:cstheme="minorHAnsi"/>
          <w:b/>
          <w:sz w:val="22"/>
          <w:szCs w:val="22"/>
        </w:rPr>
      </w:pPr>
      <w:r w:rsidRPr="00D97DF8">
        <w:rPr>
          <w:rFonts w:asciiTheme="minorHAnsi" w:hAnsiTheme="minorHAnsi" w:cstheme="minorHAnsi"/>
          <w:b/>
          <w:sz w:val="22"/>
          <w:szCs w:val="22"/>
        </w:rPr>
        <w:t>5</w:t>
      </w:r>
      <w:r w:rsidR="009D662D" w:rsidRPr="00D97DF8">
        <w:rPr>
          <w:rFonts w:asciiTheme="minorHAnsi" w:hAnsiTheme="minorHAnsi" w:cstheme="minorHAnsi"/>
          <w:b/>
          <w:sz w:val="22"/>
          <w:szCs w:val="22"/>
        </w:rPr>
        <w:t>.2 Damping</w:t>
      </w:r>
      <w:r w:rsidR="00A97583" w:rsidRPr="00D97DF8">
        <w:rPr>
          <w:rFonts w:asciiTheme="minorHAnsi" w:hAnsiTheme="minorHAnsi" w:cstheme="minorHAnsi"/>
          <w:b/>
          <w:sz w:val="22"/>
          <w:szCs w:val="22"/>
        </w:rPr>
        <w:t>in</w:t>
      </w:r>
      <w:r w:rsidR="009D662D" w:rsidRPr="00D97DF8">
        <w:rPr>
          <w:rFonts w:asciiTheme="minorHAnsi" w:hAnsiTheme="minorHAnsi" w:cstheme="minorHAnsi"/>
          <w:b/>
          <w:sz w:val="22"/>
          <w:szCs w:val="22"/>
        </w:rPr>
        <w:t xml:space="preserve"> devamına veya yeniden meydana </w:t>
      </w:r>
      <w:r w:rsidR="00B63F74" w:rsidRPr="00D97DF8">
        <w:rPr>
          <w:rFonts w:asciiTheme="minorHAnsi" w:hAnsiTheme="minorHAnsi" w:cstheme="minorHAnsi"/>
          <w:b/>
          <w:sz w:val="22"/>
          <w:szCs w:val="22"/>
        </w:rPr>
        <w:t>gelme</w:t>
      </w:r>
      <w:r w:rsidR="009D662D" w:rsidRPr="00D97DF8">
        <w:rPr>
          <w:rFonts w:asciiTheme="minorHAnsi" w:hAnsiTheme="minorHAnsi" w:cstheme="minorHAnsi"/>
          <w:b/>
          <w:sz w:val="22"/>
          <w:szCs w:val="22"/>
        </w:rPr>
        <w:t xml:space="preserve"> ihtimaline ilişkin belirlemeler</w:t>
      </w:r>
    </w:p>
    <w:p w:rsidR="00DD223B" w:rsidRPr="00D97DF8" w:rsidRDefault="00DD223B" w:rsidP="00D97DF8">
      <w:pPr>
        <w:shd w:val="clear" w:color="auto" w:fill="FFFFFF"/>
        <w:jc w:val="both"/>
        <w:rPr>
          <w:rFonts w:asciiTheme="minorHAnsi" w:hAnsiTheme="minorHAnsi" w:cstheme="minorHAnsi"/>
          <w:sz w:val="22"/>
          <w:szCs w:val="22"/>
        </w:rPr>
      </w:pPr>
      <w:r w:rsidRPr="00D97DF8">
        <w:rPr>
          <w:rFonts w:asciiTheme="minorHAnsi" w:hAnsiTheme="minorHAnsi" w:cstheme="minorHAnsi"/>
          <w:sz w:val="22"/>
          <w:szCs w:val="22"/>
        </w:rPr>
        <w:t xml:space="preserve">(1) Önleme tabi ülkedeki soruşturma ürün konusu ürünün üretim kapasitesi ve ihracat potansiyeli incelenmiştir. Bu çerçevede, önlem konusu ülkenin üretim miktarları PCI Wood Mackenzie raporlarından, ihracat kabiliyetleri ise Uluslararası Ticaret Merkezi (International Trade Center) verileri kapsamında incelenmiştir. </w:t>
      </w:r>
    </w:p>
    <w:p w:rsidR="00DD223B" w:rsidRPr="00D97DF8" w:rsidRDefault="00DD223B" w:rsidP="00D97DF8">
      <w:pPr>
        <w:shd w:val="clear" w:color="auto" w:fill="FFFFFF"/>
        <w:ind w:firstLine="708"/>
        <w:jc w:val="both"/>
        <w:rPr>
          <w:rFonts w:asciiTheme="minorHAnsi" w:hAnsiTheme="minorHAnsi" w:cstheme="minorHAnsi"/>
          <w:sz w:val="22"/>
          <w:szCs w:val="22"/>
        </w:rPr>
      </w:pPr>
    </w:p>
    <w:p w:rsidR="00DD223B" w:rsidRPr="00D97DF8" w:rsidRDefault="00DD223B" w:rsidP="00D97DF8">
      <w:pPr>
        <w:shd w:val="clear" w:color="auto" w:fill="FFFFFF"/>
        <w:jc w:val="both"/>
        <w:rPr>
          <w:rFonts w:asciiTheme="minorHAnsi" w:hAnsiTheme="minorHAnsi" w:cstheme="minorHAnsi"/>
          <w:sz w:val="22"/>
          <w:szCs w:val="22"/>
        </w:rPr>
      </w:pPr>
      <w:r w:rsidRPr="00D97DF8">
        <w:rPr>
          <w:rFonts w:asciiTheme="minorHAnsi" w:hAnsiTheme="minorHAnsi" w:cstheme="minorHAnsi"/>
          <w:sz w:val="22"/>
          <w:szCs w:val="22"/>
        </w:rPr>
        <w:t xml:space="preserve">(2) ÇHC’nin 2017 yılı üretim rakamı 9,8 milyon ton seviyesinde gerçekleşmiş olup söz konusu üretim miktarı dünya üretiminin %60’ını oluşturmaktadır. Diğer taraftan, ÇHC’nin üretim kapasitesinin ise 15 milyon ton seviyesinde olduğu görülmektedir. ÇHC’nin gerçekleştirdiği ihracata bakıldığında ise, 2014 yılında 873 bin ton, 2015 yılında 943 bin ton, 2016 yılında ise 1.006 bin ton seviyelerinde gerçekleşmiştir. Bu çerçevede, ÇHC söz konusu ürünün ihracatında yaklaşık %29 pay ile 2016 yılında dünya sıralamasında ilk sırada yer almaktadır. Bu durum ÇHC’nin hali hazırda önemli bir ihracat potansiyeli bulunduğunu göstermektedir. </w:t>
      </w:r>
    </w:p>
    <w:p w:rsidR="00DD223B" w:rsidRPr="00D97DF8" w:rsidRDefault="00DD223B" w:rsidP="00D97DF8">
      <w:pPr>
        <w:shd w:val="clear" w:color="auto" w:fill="FFFFFF"/>
        <w:ind w:firstLine="708"/>
        <w:jc w:val="both"/>
        <w:rPr>
          <w:rFonts w:asciiTheme="minorHAnsi" w:hAnsiTheme="minorHAnsi" w:cstheme="minorHAnsi"/>
          <w:sz w:val="22"/>
          <w:szCs w:val="22"/>
        </w:rPr>
      </w:pPr>
    </w:p>
    <w:p w:rsidR="00DD223B" w:rsidRPr="00D97DF8" w:rsidRDefault="00DD223B" w:rsidP="00D97DF8">
      <w:pPr>
        <w:shd w:val="clear" w:color="auto" w:fill="FFFFFF"/>
        <w:jc w:val="both"/>
        <w:rPr>
          <w:rFonts w:asciiTheme="minorHAnsi" w:hAnsiTheme="minorHAnsi" w:cstheme="minorHAnsi"/>
          <w:sz w:val="22"/>
          <w:szCs w:val="22"/>
        </w:rPr>
      </w:pPr>
      <w:r w:rsidRPr="00D97DF8">
        <w:rPr>
          <w:rFonts w:asciiTheme="minorHAnsi" w:hAnsiTheme="minorHAnsi" w:cstheme="minorHAnsi"/>
          <w:sz w:val="22"/>
          <w:szCs w:val="22"/>
        </w:rPr>
        <w:t>(3) ÇHC’nin dünyaya ihracatındaki birim fiyatlara bakıldığında, 2014’de 1.266 ABD Dolar/Ton olan birim fiyatın 2015’de 1.047 ABD Dolar/Ton’a, 2016’da ise 935 ABD Dolar/Ton’a gerilediği ve sürekli dünya ortalamasının altında seyrettiği görülmüştür.</w:t>
      </w:r>
    </w:p>
    <w:p w:rsidR="00DD223B" w:rsidRPr="00D97DF8" w:rsidRDefault="00DD223B" w:rsidP="00D97DF8">
      <w:pPr>
        <w:shd w:val="clear" w:color="auto" w:fill="FFFFFF"/>
        <w:ind w:firstLine="708"/>
        <w:jc w:val="both"/>
        <w:rPr>
          <w:rFonts w:asciiTheme="minorHAnsi" w:hAnsiTheme="minorHAnsi" w:cstheme="minorHAnsi"/>
          <w:sz w:val="22"/>
          <w:szCs w:val="22"/>
        </w:rPr>
      </w:pPr>
    </w:p>
    <w:p w:rsidR="00DD223B" w:rsidRPr="00D97DF8" w:rsidRDefault="00DD223B" w:rsidP="00D97DF8">
      <w:pPr>
        <w:shd w:val="clear" w:color="auto" w:fill="FFFFFF"/>
        <w:jc w:val="both"/>
        <w:rPr>
          <w:rFonts w:asciiTheme="minorHAnsi" w:hAnsiTheme="minorHAnsi" w:cstheme="minorHAnsi"/>
          <w:sz w:val="22"/>
          <w:szCs w:val="22"/>
        </w:rPr>
      </w:pPr>
      <w:r w:rsidRPr="00D97DF8">
        <w:rPr>
          <w:rFonts w:asciiTheme="minorHAnsi" w:hAnsiTheme="minorHAnsi" w:cstheme="minorHAnsi"/>
          <w:sz w:val="22"/>
          <w:szCs w:val="22"/>
        </w:rPr>
        <w:t xml:space="preserve">(4) </w:t>
      </w:r>
      <w:r w:rsidR="005F4249" w:rsidRPr="00D97DF8">
        <w:rPr>
          <w:rFonts w:asciiTheme="minorHAnsi" w:hAnsiTheme="minorHAnsi" w:cstheme="minorHAnsi"/>
          <w:sz w:val="22"/>
          <w:szCs w:val="22"/>
        </w:rPr>
        <w:t>Halihazırda, yukarıda değinildiği üzere diğer ülkelerden de ÇHC menşeli polyester elyafa ilişkin dampinge karşı önlem uygulanması ve damping soruşturmalarının yürütülüyor olması ile mevcut önlemin yürürlükten kalkması halinde ÇHC’de yerleşik üretici/ihracatçı firmaların üretim ve satışlarını önemli bir pazar olan Türkiye’ye yönlendirme ihtimalinin olması, ihracatçı firmaların davranışlarını ve yapılabilmesi muhtemel olan dampingi göstermesi açısından önem taşımaktadır.</w:t>
      </w:r>
    </w:p>
    <w:p w:rsidR="005F4249" w:rsidRPr="00D97DF8" w:rsidRDefault="005F4249" w:rsidP="00D97DF8">
      <w:pPr>
        <w:shd w:val="clear" w:color="auto" w:fill="FFFFFF"/>
        <w:jc w:val="both"/>
        <w:rPr>
          <w:rFonts w:asciiTheme="minorHAnsi" w:hAnsiTheme="minorHAnsi" w:cstheme="minorHAnsi"/>
          <w:sz w:val="22"/>
          <w:szCs w:val="22"/>
        </w:rPr>
      </w:pPr>
    </w:p>
    <w:p w:rsidR="00DD223B" w:rsidRPr="00D97DF8" w:rsidRDefault="00DD223B" w:rsidP="00D97DF8">
      <w:pPr>
        <w:shd w:val="clear" w:color="auto" w:fill="FFFFFF"/>
        <w:jc w:val="both"/>
        <w:rPr>
          <w:rFonts w:asciiTheme="minorHAnsi" w:hAnsiTheme="minorHAnsi" w:cstheme="minorHAnsi"/>
          <w:sz w:val="22"/>
          <w:szCs w:val="22"/>
        </w:rPr>
      </w:pPr>
      <w:r w:rsidRPr="00D97DF8">
        <w:rPr>
          <w:rFonts w:asciiTheme="minorHAnsi" w:hAnsiTheme="minorHAnsi" w:cstheme="minorHAnsi"/>
          <w:sz w:val="22"/>
          <w:szCs w:val="22"/>
        </w:rPr>
        <w:t xml:space="preserve">(5) Esas soruşturma esnasında tespit edilen CIF ihraç fiyatının %19,94 ile %30,61’i arasındaki damping marjları ÇHC’de </w:t>
      </w:r>
      <w:r w:rsidR="0029078B" w:rsidRPr="00D97DF8">
        <w:rPr>
          <w:rFonts w:asciiTheme="minorHAnsi" w:hAnsiTheme="minorHAnsi" w:cstheme="minorHAnsi"/>
          <w:sz w:val="22"/>
          <w:szCs w:val="22"/>
        </w:rPr>
        <w:t>yerleşik</w:t>
      </w:r>
      <w:r w:rsidRPr="00D97DF8">
        <w:rPr>
          <w:rFonts w:asciiTheme="minorHAnsi" w:hAnsiTheme="minorHAnsi" w:cstheme="minorHAnsi"/>
          <w:sz w:val="22"/>
          <w:szCs w:val="22"/>
        </w:rPr>
        <w:t xml:space="preserve"> firmaların, önlemin yürürlükten kalkması halindeki muhtemel davranışlarını yansıtacak diğer önemli bir göstergedir.</w:t>
      </w:r>
    </w:p>
    <w:p w:rsidR="00DD223B" w:rsidRPr="00D97DF8" w:rsidRDefault="00DD223B" w:rsidP="00D97DF8">
      <w:pPr>
        <w:shd w:val="clear" w:color="auto" w:fill="FFFFFF"/>
        <w:ind w:firstLine="708"/>
        <w:jc w:val="both"/>
        <w:rPr>
          <w:rFonts w:asciiTheme="minorHAnsi" w:hAnsiTheme="minorHAnsi" w:cstheme="minorHAnsi"/>
          <w:sz w:val="22"/>
          <w:szCs w:val="22"/>
        </w:rPr>
      </w:pPr>
    </w:p>
    <w:p w:rsidR="00DD223B" w:rsidRPr="00D97DF8" w:rsidRDefault="00DD223B" w:rsidP="00D97DF8">
      <w:pPr>
        <w:shd w:val="clear" w:color="auto" w:fill="FFFFFF"/>
        <w:jc w:val="both"/>
        <w:rPr>
          <w:rFonts w:asciiTheme="minorHAnsi" w:hAnsiTheme="minorHAnsi" w:cstheme="minorHAnsi"/>
          <w:sz w:val="22"/>
          <w:szCs w:val="22"/>
        </w:rPr>
      </w:pPr>
      <w:r w:rsidRPr="00D97DF8">
        <w:rPr>
          <w:rFonts w:asciiTheme="minorHAnsi" w:hAnsiTheme="minorHAnsi" w:cstheme="minorHAnsi"/>
          <w:sz w:val="22"/>
          <w:szCs w:val="22"/>
        </w:rPr>
        <w:t>(6) Bu değerlendirmeler çerçevesinde meri önlemin yürürlükten kalkması halinde dampingin devam etmesinin veya yeniden meydana gelmesinin muhtemel olduğu değerlendirilmektedir.</w:t>
      </w:r>
    </w:p>
    <w:p w:rsidR="00BC461F" w:rsidRPr="00D97DF8" w:rsidRDefault="00BC461F" w:rsidP="00D97DF8">
      <w:pPr>
        <w:jc w:val="both"/>
        <w:rPr>
          <w:rFonts w:asciiTheme="minorHAnsi" w:hAnsiTheme="minorHAnsi" w:cstheme="minorHAnsi"/>
          <w:sz w:val="22"/>
          <w:szCs w:val="22"/>
        </w:rPr>
      </w:pPr>
    </w:p>
    <w:p w:rsidR="009D662D" w:rsidRPr="00D97DF8" w:rsidRDefault="00DF4E77" w:rsidP="00D97DF8">
      <w:pPr>
        <w:jc w:val="both"/>
        <w:rPr>
          <w:rFonts w:asciiTheme="minorHAnsi" w:hAnsiTheme="minorHAnsi" w:cstheme="minorHAnsi"/>
          <w:b/>
          <w:sz w:val="22"/>
          <w:szCs w:val="22"/>
        </w:rPr>
      </w:pPr>
      <w:r w:rsidRPr="00D97DF8">
        <w:rPr>
          <w:rFonts w:asciiTheme="minorHAnsi" w:hAnsiTheme="minorHAnsi" w:cstheme="minorHAnsi"/>
          <w:b/>
          <w:sz w:val="22"/>
          <w:szCs w:val="22"/>
        </w:rPr>
        <w:t>5</w:t>
      </w:r>
      <w:r w:rsidR="009D662D" w:rsidRPr="00D97DF8">
        <w:rPr>
          <w:rFonts w:asciiTheme="minorHAnsi" w:hAnsiTheme="minorHAnsi" w:cstheme="minorHAnsi"/>
          <w:b/>
          <w:sz w:val="22"/>
          <w:szCs w:val="22"/>
        </w:rPr>
        <w:t xml:space="preserve">.3 Zararın devamı veya yeniden meydana gelebilme ihtimaline ilişkin belirlemeler </w:t>
      </w:r>
    </w:p>
    <w:p w:rsidR="00DD223B" w:rsidRPr="00D97DF8" w:rsidRDefault="00DD223B" w:rsidP="00D97DF8">
      <w:pPr>
        <w:jc w:val="both"/>
        <w:rPr>
          <w:rFonts w:asciiTheme="minorHAnsi" w:hAnsiTheme="minorHAnsi" w:cstheme="minorHAnsi"/>
          <w:bCs/>
          <w:sz w:val="22"/>
          <w:szCs w:val="22"/>
        </w:rPr>
      </w:pPr>
      <w:r w:rsidRPr="00D97DF8">
        <w:rPr>
          <w:rFonts w:asciiTheme="minorHAnsi" w:hAnsiTheme="minorHAnsi" w:cstheme="minorHAnsi"/>
          <w:color w:val="000000"/>
          <w:sz w:val="22"/>
          <w:szCs w:val="22"/>
        </w:rPr>
        <w:t>(1) So</w:t>
      </w:r>
      <w:r w:rsidRPr="00D97DF8">
        <w:rPr>
          <w:rFonts w:asciiTheme="minorHAnsi" w:hAnsiTheme="minorHAnsi" w:cstheme="minorHAnsi"/>
          <w:bCs/>
          <w:sz w:val="22"/>
          <w:szCs w:val="22"/>
        </w:rPr>
        <w:t xml:space="preserve">ruşturmaya konu ürüne ilişkin tüm ülkelerden gerçekleşen ithalat miktarı 2015 yılında 164 bin ton olarak gerçekleşirken, söz konusu ithalatın 2016 yılında 152 bin tona gerilediği ve 2017 yılında ise 192 bin ton seviyesine yükseldiği görülmektedir.  </w:t>
      </w:r>
    </w:p>
    <w:p w:rsidR="00E50E9E" w:rsidRPr="00D97DF8" w:rsidRDefault="00DD223B" w:rsidP="00D97DF8">
      <w:pPr>
        <w:jc w:val="both"/>
        <w:rPr>
          <w:rFonts w:asciiTheme="minorHAnsi" w:hAnsiTheme="minorHAnsi" w:cstheme="minorHAnsi"/>
          <w:bCs/>
          <w:spacing w:val="-2"/>
          <w:sz w:val="22"/>
          <w:szCs w:val="22"/>
        </w:rPr>
      </w:pPr>
      <w:r w:rsidRPr="00D97DF8">
        <w:rPr>
          <w:rFonts w:asciiTheme="minorHAnsi" w:hAnsiTheme="minorHAnsi" w:cstheme="minorHAnsi"/>
          <w:bCs/>
          <w:sz w:val="22"/>
          <w:szCs w:val="22"/>
        </w:rPr>
        <w:t xml:space="preserve">(2) </w:t>
      </w:r>
      <w:r w:rsidR="00E50E9E" w:rsidRPr="00D97DF8">
        <w:rPr>
          <w:rFonts w:asciiTheme="minorHAnsi" w:hAnsiTheme="minorHAnsi" w:cstheme="minorHAnsi"/>
          <w:bCs/>
          <w:spacing w:val="-2"/>
          <w:sz w:val="22"/>
          <w:szCs w:val="22"/>
        </w:rPr>
        <w:t xml:space="preserve">Önleme konu ürünün ÇHC’den yapılan ithalatı 2015-2017 yılları arasında sırasıyla 30.244 ton, 23.120 ton ve 19.251 ton olarak gerçekleşmiştir. Diğer taraftan, Türkiye benzer mal tüketimi endeks değeri 2015 yılı için 100 olarak alındığında 2016 yılında 118’e, 2017 yılında ise 135’e yükselmiştir. ÇHC’nin Türkiye benzer mal tüketimi içindeki pazar payı ise 2015-2017 yıllarında sırasıyla 100, 65 ve 47 olarak gerçekleşmiştir. Diğer taraftan, yerli üretim dalının pazar payı ise yıllar itibariyle 100,  120 ve 111 olarak gerçekleşmiş olup bu oranlardaki artış hızı Türkiye benzer mal tüketim artışı oranın altında gerçekleştiği görülmektedir. </w:t>
      </w:r>
    </w:p>
    <w:p w:rsidR="00DD223B" w:rsidRPr="00D97DF8" w:rsidRDefault="00DD223B" w:rsidP="00D97DF8">
      <w:pPr>
        <w:jc w:val="both"/>
        <w:rPr>
          <w:rFonts w:asciiTheme="minorHAnsi" w:hAnsiTheme="minorHAnsi" w:cstheme="minorHAnsi"/>
          <w:color w:val="000000"/>
          <w:sz w:val="22"/>
          <w:szCs w:val="22"/>
        </w:rPr>
      </w:pPr>
      <w:r w:rsidRPr="00D97DF8">
        <w:rPr>
          <w:rFonts w:asciiTheme="minorHAnsi" w:hAnsiTheme="minorHAnsi" w:cstheme="minorHAnsi"/>
          <w:color w:val="000000"/>
          <w:sz w:val="22"/>
          <w:szCs w:val="22"/>
        </w:rPr>
        <w:t xml:space="preserve">(3) </w:t>
      </w:r>
      <w:r w:rsidRPr="00D97DF8">
        <w:rPr>
          <w:rFonts w:asciiTheme="minorHAnsi" w:hAnsiTheme="minorHAnsi" w:cstheme="minorHAnsi"/>
          <w:sz w:val="22"/>
          <w:szCs w:val="22"/>
        </w:rPr>
        <w:t>ÇHC menşeli ithalatın yerli üretim dalının iç piyasa satış fiyatlarını incelenen dönemlerde kırdığı ve fiyatlar üzerinde baskı oluşturduğu görülmektedir.</w:t>
      </w:r>
    </w:p>
    <w:p w:rsidR="00DD223B" w:rsidRPr="00D97DF8" w:rsidRDefault="00E50E9E" w:rsidP="00D97DF8">
      <w:pPr>
        <w:pStyle w:val="GvdeMetniGirintisi3"/>
        <w:ind w:left="0" w:firstLine="0"/>
        <w:rPr>
          <w:rFonts w:asciiTheme="minorHAnsi" w:hAnsiTheme="minorHAnsi" w:cstheme="minorHAnsi"/>
          <w:bCs/>
          <w:sz w:val="22"/>
          <w:szCs w:val="22"/>
        </w:rPr>
      </w:pPr>
      <w:r w:rsidRPr="00D97DF8">
        <w:rPr>
          <w:rFonts w:asciiTheme="minorHAnsi" w:hAnsiTheme="minorHAnsi" w:cstheme="minorHAnsi"/>
          <w:bCs/>
          <w:sz w:val="22"/>
          <w:szCs w:val="22"/>
        </w:rPr>
        <w:t>(4) Yerli üretim dalının başta yurtiçi satışların artış hızında, yurtdışı satışlarında, verimliliğinde ve yatırımların geri dönüş oranı (kar/aktifler) olmak üzere bazı ekonomik göstergelerinde bozulmalar tespit edilmiştir. Diğer taraftan, dampinge karşı önlemin varlığında yerli üretim dalının yurtiçi satış verilerinde iyileşme olduğu görülmekle beraber yurtiçi satışlarında yaşanan artış kadar üretimde bir artışın olmamasının sebebi yerli üretim dalının yurtdışı satışlardan feragat etmesi ve stoklarının azalması olduğu değerlendirilmektedir.</w:t>
      </w:r>
    </w:p>
    <w:p w:rsidR="00E50E9E" w:rsidRPr="00D97DF8" w:rsidRDefault="00E50E9E" w:rsidP="00D97DF8">
      <w:pPr>
        <w:pStyle w:val="GvdeMetniGirintisi3"/>
        <w:ind w:left="0" w:firstLine="0"/>
        <w:rPr>
          <w:rFonts w:asciiTheme="minorHAnsi" w:hAnsiTheme="minorHAnsi" w:cstheme="minorHAnsi"/>
          <w:noProof/>
          <w:sz w:val="22"/>
          <w:szCs w:val="22"/>
        </w:rPr>
      </w:pPr>
    </w:p>
    <w:p w:rsidR="00DD223B" w:rsidRPr="00D97DF8" w:rsidRDefault="00DD223B" w:rsidP="00D97DF8">
      <w:pPr>
        <w:pStyle w:val="GvdeMetniGirintisi3"/>
        <w:ind w:left="0" w:firstLine="0"/>
        <w:rPr>
          <w:rFonts w:asciiTheme="minorHAnsi" w:hAnsiTheme="minorHAnsi" w:cstheme="minorHAnsi"/>
          <w:bCs/>
          <w:sz w:val="22"/>
          <w:szCs w:val="22"/>
        </w:rPr>
      </w:pPr>
      <w:r w:rsidRPr="00D97DF8">
        <w:rPr>
          <w:rFonts w:asciiTheme="minorHAnsi" w:hAnsiTheme="minorHAnsi" w:cstheme="minorHAnsi"/>
          <w:noProof/>
          <w:sz w:val="22"/>
          <w:szCs w:val="22"/>
        </w:rPr>
        <w:t>(5) Bu çerçevede, meri önlemin yürürlükten kalkması halinde zararın devam etmesinin veya yeniden meydana gelmesinin muhtemel olduğu değerlendirilmektedir</w:t>
      </w:r>
      <w:r w:rsidRPr="00D97DF8">
        <w:rPr>
          <w:rFonts w:asciiTheme="minorHAnsi" w:hAnsiTheme="minorHAnsi" w:cstheme="minorHAnsi"/>
          <w:bCs/>
          <w:sz w:val="22"/>
          <w:szCs w:val="22"/>
        </w:rPr>
        <w:t xml:space="preserve">. </w:t>
      </w:r>
    </w:p>
    <w:p w:rsidR="00DA4039" w:rsidRPr="00D97DF8" w:rsidRDefault="00DA4039" w:rsidP="00D97DF8">
      <w:pPr>
        <w:jc w:val="both"/>
        <w:rPr>
          <w:rFonts w:asciiTheme="minorHAnsi" w:hAnsiTheme="minorHAnsi" w:cstheme="minorHAnsi"/>
          <w:b/>
          <w:sz w:val="22"/>
          <w:szCs w:val="22"/>
        </w:rPr>
      </w:pPr>
    </w:p>
    <w:p w:rsidR="00164FF4" w:rsidRPr="00D97DF8" w:rsidRDefault="00DF4E77" w:rsidP="00D97DF8">
      <w:pPr>
        <w:jc w:val="both"/>
        <w:rPr>
          <w:rFonts w:asciiTheme="minorHAnsi" w:hAnsiTheme="minorHAnsi" w:cstheme="minorHAnsi"/>
          <w:b/>
          <w:caps/>
          <w:sz w:val="22"/>
          <w:szCs w:val="22"/>
        </w:rPr>
      </w:pPr>
      <w:r w:rsidRPr="00D97DF8">
        <w:rPr>
          <w:rFonts w:asciiTheme="minorHAnsi" w:hAnsiTheme="minorHAnsi" w:cstheme="minorHAnsi"/>
          <w:b/>
          <w:caps/>
          <w:sz w:val="22"/>
          <w:szCs w:val="22"/>
        </w:rPr>
        <w:t>6</w:t>
      </w:r>
      <w:r w:rsidR="008E4B08" w:rsidRPr="00D97DF8">
        <w:rPr>
          <w:rFonts w:asciiTheme="minorHAnsi" w:hAnsiTheme="minorHAnsi" w:cstheme="minorHAnsi"/>
          <w:b/>
          <w:caps/>
          <w:sz w:val="22"/>
          <w:szCs w:val="22"/>
        </w:rPr>
        <w:t xml:space="preserve">. Genel </w:t>
      </w:r>
      <w:r w:rsidR="00164FF4" w:rsidRPr="00D97DF8">
        <w:rPr>
          <w:rFonts w:asciiTheme="minorHAnsi" w:hAnsiTheme="minorHAnsi" w:cstheme="minorHAnsi"/>
          <w:b/>
          <w:caps/>
          <w:sz w:val="22"/>
          <w:szCs w:val="22"/>
        </w:rPr>
        <w:t>Değerlendirme</w:t>
      </w:r>
      <w:r w:rsidR="008E4B08" w:rsidRPr="00D97DF8">
        <w:rPr>
          <w:rFonts w:asciiTheme="minorHAnsi" w:hAnsiTheme="minorHAnsi" w:cstheme="minorHAnsi"/>
          <w:b/>
          <w:caps/>
          <w:sz w:val="22"/>
          <w:szCs w:val="22"/>
        </w:rPr>
        <w:t xml:space="preserve"> ve Sonuç</w:t>
      </w:r>
    </w:p>
    <w:p w:rsidR="007F0565" w:rsidRPr="00D97DF8" w:rsidRDefault="007F0565" w:rsidP="00D97DF8">
      <w:pPr>
        <w:jc w:val="both"/>
        <w:rPr>
          <w:rFonts w:asciiTheme="minorHAnsi" w:hAnsiTheme="minorHAnsi" w:cstheme="minorHAnsi"/>
          <w:b/>
          <w:caps/>
          <w:sz w:val="22"/>
          <w:szCs w:val="22"/>
        </w:rPr>
      </w:pPr>
    </w:p>
    <w:p w:rsidR="009D52FF" w:rsidRPr="00D97DF8" w:rsidRDefault="007F0565" w:rsidP="00D97DF8">
      <w:pPr>
        <w:pStyle w:val="GvdeMetni"/>
        <w:widowControl w:val="0"/>
        <w:shd w:val="clear" w:color="auto" w:fill="auto"/>
        <w:tabs>
          <w:tab w:val="left" w:pos="990"/>
          <w:tab w:val="left" w:pos="1620"/>
          <w:tab w:val="left" w:pos="2268"/>
          <w:tab w:val="left" w:pos="2410"/>
        </w:tabs>
        <w:suppressAutoHyphens/>
        <w:autoSpaceDE w:val="0"/>
        <w:autoSpaceDN w:val="0"/>
        <w:rPr>
          <w:rFonts w:asciiTheme="minorHAnsi" w:hAnsiTheme="minorHAnsi" w:cstheme="minorHAnsi"/>
          <w:color w:val="auto"/>
          <w:sz w:val="22"/>
          <w:szCs w:val="22"/>
        </w:rPr>
      </w:pPr>
      <w:r w:rsidRPr="00D97DF8">
        <w:rPr>
          <w:rFonts w:asciiTheme="minorHAnsi" w:hAnsiTheme="minorHAnsi" w:cstheme="minorHAnsi"/>
          <w:color w:val="auto"/>
          <w:sz w:val="22"/>
          <w:szCs w:val="22"/>
        </w:rPr>
        <w:t>(</w:t>
      </w:r>
      <w:r w:rsidR="00164FF4" w:rsidRPr="00D97DF8">
        <w:rPr>
          <w:rFonts w:asciiTheme="minorHAnsi" w:hAnsiTheme="minorHAnsi" w:cstheme="minorHAnsi"/>
          <w:color w:val="auto"/>
          <w:sz w:val="22"/>
          <w:szCs w:val="22"/>
        </w:rPr>
        <w:t xml:space="preserve">1) </w:t>
      </w:r>
      <w:r w:rsidR="009D52FF" w:rsidRPr="00D97DF8">
        <w:rPr>
          <w:rFonts w:asciiTheme="minorHAnsi" w:hAnsiTheme="minorHAnsi" w:cstheme="minorHAnsi"/>
          <w:color w:val="auto"/>
          <w:sz w:val="22"/>
          <w:szCs w:val="22"/>
        </w:rPr>
        <w:t xml:space="preserve">Bu çerçevede, soruşturma neticesinde ulaşılan tespitleri değerlendiren Kurul’un kararı ve </w:t>
      </w:r>
      <w:r w:rsidR="009E4EEC" w:rsidRPr="00D97DF8">
        <w:rPr>
          <w:rFonts w:asciiTheme="minorHAnsi" w:hAnsiTheme="minorHAnsi" w:cstheme="minorHAnsi"/>
          <w:color w:val="auto"/>
          <w:sz w:val="22"/>
          <w:szCs w:val="22"/>
        </w:rPr>
        <w:t xml:space="preserve">Ticaret </w:t>
      </w:r>
      <w:r w:rsidR="009D52FF" w:rsidRPr="00D97DF8">
        <w:rPr>
          <w:rFonts w:asciiTheme="minorHAnsi" w:hAnsiTheme="minorHAnsi" w:cstheme="minorHAnsi"/>
          <w:color w:val="auto"/>
          <w:sz w:val="22"/>
          <w:szCs w:val="22"/>
        </w:rPr>
        <w:t xml:space="preserve">Bakanının onayı ile </w:t>
      </w:r>
      <w:r w:rsidR="00DD223B" w:rsidRPr="00D97DF8">
        <w:rPr>
          <w:rFonts w:asciiTheme="minorHAnsi" w:hAnsiTheme="minorHAnsi" w:cstheme="minorHAnsi"/>
          <w:color w:val="auto"/>
          <w:sz w:val="22"/>
          <w:szCs w:val="22"/>
        </w:rPr>
        <w:t>16</w:t>
      </w:r>
      <w:r w:rsidR="00B9675E" w:rsidRPr="00D97DF8">
        <w:rPr>
          <w:rFonts w:asciiTheme="minorHAnsi" w:hAnsiTheme="minorHAnsi" w:cstheme="minorHAnsi"/>
          <w:color w:val="auto"/>
          <w:sz w:val="22"/>
          <w:szCs w:val="22"/>
        </w:rPr>
        <w:t>/</w:t>
      </w:r>
      <w:r w:rsidR="00DD223B" w:rsidRPr="00D97DF8">
        <w:rPr>
          <w:rFonts w:asciiTheme="minorHAnsi" w:hAnsiTheme="minorHAnsi" w:cstheme="minorHAnsi"/>
          <w:color w:val="auto"/>
          <w:sz w:val="22"/>
          <w:szCs w:val="22"/>
        </w:rPr>
        <w:t>7/2013</w:t>
      </w:r>
      <w:r w:rsidR="00B9675E" w:rsidRPr="00D97DF8">
        <w:rPr>
          <w:rFonts w:asciiTheme="minorHAnsi" w:hAnsiTheme="minorHAnsi" w:cstheme="minorHAnsi"/>
          <w:color w:val="auto"/>
          <w:sz w:val="22"/>
          <w:szCs w:val="22"/>
        </w:rPr>
        <w:t xml:space="preserve"> tarihli ve </w:t>
      </w:r>
      <w:r w:rsidR="00DD223B" w:rsidRPr="00D97DF8">
        <w:rPr>
          <w:rFonts w:asciiTheme="minorHAnsi" w:hAnsiTheme="minorHAnsi" w:cstheme="minorHAnsi"/>
          <w:color w:val="auto"/>
          <w:sz w:val="22"/>
          <w:szCs w:val="22"/>
        </w:rPr>
        <w:t>28709</w:t>
      </w:r>
      <w:r w:rsidR="00B9675E" w:rsidRPr="00D97DF8">
        <w:rPr>
          <w:rFonts w:asciiTheme="minorHAnsi" w:hAnsiTheme="minorHAnsi" w:cstheme="minorHAnsi"/>
          <w:color w:val="auto"/>
          <w:sz w:val="22"/>
          <w:szCs w:val="22"/>
        </w:rPr>
        <w:t xml:space="preserve"> sayılı Resmî Gazete’de yayımlanan İthalatta Haksız Rekabetin Önlenmesine İlişkin Tebliğ (Tebliğ No: 201</w:t>
      </w:r>
      <w:r w:rsidR="00DD223B" w:rsidRPr="00D97DF8">
        <w:rPr>
          <w:rFonts w:asciiTheme="minorHAnsi" w:hAnsiTheme="minorHAnsi" w:cstheme="minorHAnsi"/>
          <w:color w:val="auto"/>
          <w:sz w:val="22"/>
          <w:szCs w:val="22"/>
        </w:rPr>
        <w:t>3</w:t>
      </w:r>
      <w:r w:rsidR="00B9675E" w:rsidRPr="00D97DF8">
        <w:rPr>
          <w:rFonts w:asciiTheme="minorHAnsi" w:hAnsiTheme="minorHAnsi" w:cstheme="minorHAnsi"/>
          <w:color w:val="auto"/>
          <w:sz w:val="22"/>
          <w:szCs w:val="22"/>
        </w:rPr>
        <w:t>/1</w:t>
      </w:r>
      <w:r w:rsidR="00DD223B" w:rsidRPr="00D97DF8">
        <w:rPr>
          <w:rFonts w:asciiTheme="minorHAnsi" w:hAnsiTheme="minorHAnsi" w:cstheme="minorHAnsi"/>
          <w:color w:val="auto"/>
          <w:sz w:val="22"/>
          <w:szCs w:val="22"/>
        </w:rPr>
        <w:t>3</w:t>
      </w:r>
      <w:r w:rsidR="00B9675E" w:rsidRPr="00D97DF8">
        <w:rPr>
          <w:rFonts w:asciiTheme="minorHAnsi" w:hAnsiTheme="minorHAnsi" w:cstheme="minorHAnsi"/>
          <w:color w:val="auto"/>
          <w:sz w:val="22"/>
          <w:szCs w:val="22"/>
        </w:rPr>
        <w:t>) vasıtasıyla yürürlükte olan dampinge karşı önlemin</w:t>
      </w:r>
      <w:r w:rsidR="00C91AFB" w:rsidRPr="00D97DF8">
        <w:rPr>
          <w:rFonts w:asciiTheme="minorHAnsi" w:hAnsiTheme="minorHAnsi" w:cstheme="minorHAnsi"/>
          <w:color w:val="auto"/>
          <w:sz w:val="22"/>
          <w:szCs w:val="22"/>
        </w:rPr>
        <w:t>, aşağıdaki</w:t>
      </w:r>
      <w:r w:rsidR="00B9675E" w:rsidRPr="00D97DF8">
        <w:rPr>
          <w:rFonts w:asciiTheme="minorHAnsi" w:hAnsiTheme="minorHAnsi" w:cstheme="minorHAnsi"/>
          <w:color w:val="auto"/>
          <w:sz w:val="22"/>
          <w:szCs w:val="22"/>
        </w:rPr>
        <w:t xml:space="preserve"> tabloda gösterilen mevcut biçimiyle uygulanmaya devam edilmesine </w:t>
      </w:r>
      <w:r w:rsidR="009D52FF" w:rsidRPr="00D97DF8">
        <w:rPr>
          <w:rFonts w:asciiTheme="minorHAnsi" w:hAnsiTheme="minorHAnsi" w:cstheme="minorHAnsi"/>
          <w:color w:val="auto"/>
          <w:sz w:val="22"/>
          <w:szCs w:val="22"/>
        </w:rPr>
        <w:t>karar verilmiştir.</w:t>
      </w:r>
      <w:r w:rsidR="009E4EEC" w:rsidRPr="00D97DF8">
        <w:rPr>
          <w:rFonts w:asciiTheme="minorHAnsi" w:hAnsiTheme="minorHAnsi" w:cstheme="minorHAnsi"/>
          <w:color w:val="auto"/>
          <w:sz w:val="22"/>
          <w:szCs w:val="22"/>
        </w:rPr>
        <w:t xml:space="preserve"> </w:t>
      </w:r>
    </w:p>
    <w:p w:rsidR="00D17BE4" w:rsidRPr="00D97DF8" w:rsidRDefault="00DD223B" w:rsidP="00D97DF8">
      <w:pPr>
        <w:pStyle w:val="GvdeMetni"/>
        <w:widowControl w:val="0"/>
        <w:shd w:val="clear" w:color="auto" w:fill="auto"/>
        <w:tabs>
          <w:tab w:val="left" w:pos="5409"/>
        </w:tabs>
        <w:suppressAutoHyphens/>
        <w:autoSpaceDE w:val="0"/>
        <w:autoSpaceDN w:val="0"/>
        <w:rPr>
          <w:rFonts w:asciiTheme="minorHAnsi" w:hAnsiTheme="minorHAnsi" w:cstheme="minorHAnsi"/>
          <w:color w:val="auto"/>
          <w:sz w:val="22"/>
          <w:szCs w:val="22"/>
        </w:rPr>
      </w:pPr>
      <w:r w:rsidRPr="00D97DF8">
        <w:rPr>
          <w:rFonts w:asciiTheme="minorHAnsi" w:hAnsiTheme="minorHAnsi" w:cstheme="minorHAnsi"/>
          <w:color w:val="auto"/>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4"/>
        <w:gridCol w:w="1952"/>
        <w:gridCol w:w="2359"/>
        <w:gridCol w:w="2785"/>
      </w:tblGrid>
      <w:tr w:rsidR="00DD223B" w:rsidRPr="00D97DF8" w:rsidTr="00490309">
        <w:tc>
          <w:tcPr>
            <w:tcW w:w="1968"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
                <w:bCs/>
                <w:color w:val="000000"/>
                <w:sz w:val="22"/>
                <w:szCs w:val="22"/>
              </w:rPr>
            </w:pPr>
            <w:r w:rsidRPr="00D97DF8">
              <w:rPr>
                <w:rFonts w:asciiTheme="minorHAnsi" w:hAnsiTheme="minorHAnsi" w:cstheme="minorHAnsi"/>
                <w:b/>
                <w:bCs/>
                <w:color w:val="000000"/>
                <w:sz w:val="22"/>
                <w:szCs w:val="22"/>
              </w:rPr>
              <w:t>GT</w:t>
            </w:r>
            <w:r w:rsidR="000A4397" w:rsidRPr="00D97DF8">
              <w:rPr>
                <w:rFonts w:asciiTheme="minorHAnsi" w:hAnsiTheme="minorHAnsi" w:cstheme="minorHAnsi"/>
                <w:b/>
                <w:bCs/>
                <w:color w:val="000000"/>
                <w:sz w:val="22"/>
                <w:szCs w:val="22"/>
              </w:rPr>
              <w:t>İ</w:t>
            </w:r>
            <w:r w:rsidRPr="00D97DF8">
              <w:rPr>
                <w:rFonts w:asciiTheme="minorHAnsi" w:hAnsiTheme="minorHAnsi" w:cstheme="minorHAnsi"/>
                <w:b/>
                <w:bCs/>
                <w:color w:val="000000"/>
                <w:sz w:val="22"/>
                <w:szCs w:val="22"/>
              </w:rPr>
              <w:t>P</w:t>
            </w:r>
          </w:p>
        </w:tc>
        <w:tc>
          <w:tcPr>
            <w:tcW w:w="1968"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
                <w:bCs/>
                <w:color w:val="000000"/>
                <w:sz w:val="22"/>
                <w:szCs w:val="22"/>
              </w:rPr>
            </w:pPr>
            <w:r w:rsidRPr="00D97DF8">
              <w:rPr>
                <w:rFonts w:asciiTheme="minorHAnsi" w:hAnsiTheme="minorHAnsi" w:cstheme="minorHAnsi"/>
                <w:b/>
                <w:bCs/>
                <w:color w:val="000000"/>
                <w:sz w:val="22"/>
                <w:szCs w:val="22"/>
              </w:rPr>
              <w:t>Eşyanın Tanımı</w:t>
            </w:r>
          </w:p>
        </w:tc>
        <w:tc>
          <w:tcPr>
            <w:tcW w:w="2409"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
                <w:bCs/>
                <w:color w:val="000000"/>
                <w:sz w:val="22"/>
                <w:szCs w:val="22"/>
              </w:rPr>
            </w:pPr>
            <w:r w:rsidRPr="00D97DF8">
              <w:rPr>
                <w:rFonts w:asciiTheme="minorHAnsi" w:hAnsiTheme="minorHAnsi" w:cstheme="minorHAnsi"/>
                <w:b/>
                <w:bCs/>
                <w:color w:val="000000"/>
                <w:sz w:val="22"/>
                <w:szCs w:val="22"/>
              </w:rPr>
              <w:t>Menşe Ülke</w:t>
            </w:r>
          </w:p>
        </w:tc>
        <w:tc>
          <w:tcPr>
            <w:tcW w:w="2866"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
                <w:bCs/>
                <w:color w:val="000000"/>
                <w:sz w:val="22"/>
                <w:szCs w:val="22"/>
              </w:rPr>
            </w:pPr>
            <w:r w:rsidRPr="00D97DF8">
              <w:rPr>
                <w:rFonts w:asciiTheme="minorHAnsi" w:hAnsiTheme="minorHAnsi" w:cstheme="minorHAnsi"/>
                <w:b/>
                <w:bCs/>
                <w:color w:val="000000"/>
                <w:sz w:val="22"/>
                <w:szCs w:val="22"/>
              </w:rPr>
              <w:t>Dampinge Karşı Önlem Miktarı</w:t>
            </w:r>
          </w:p>
        </w:tc>
      </w:tr>
      <w:tr w:rsidR="00DD223B" w:rsidRPr="00D97DF8" w:rsidTr="00490309">
        <w:tc>
          <w:tcPr>
            <w:tcW w:w="1968"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Cs/>
                <w:color w:val="000000"/>
                <w:sz w:val="22"/>
                <w:szCs w:val="22"/>
              </w:rPr>
            </w:pPr>
            <w:r w:rsidRPr="00D97DF8">
              <w:rPr>
                <w:rFonts w:asciiTheme="minorHAnsi" w:hAnsiTheme="minorHAnsi" w:cstheme="minorHAnsi"/>
                <w:bCs/>
                <w:color w:val="000000"/>
                <w:sz w:val="22"/>
                <w:szCs w:val="22"/>
              </w:rPr>
              <w:t>5503.20.00.00.00</w:t>
            </w:r>
          </w:p>
        </w:tc>
        <w:tc>
          <w:tcPr>
            <w:tcW w:w="1968"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Cs/>
                <w:color w:val="000000"/>
                <w:sz w:val="22"/>
                <w:szCs w:val="22"/>
              </w:rPr>
            </w:pPr>
            <w:r w:rsidRPr="00D97DF8">
              <w:rPr>
                <w:rFonts w:asciiTheme="minorHAnsi" w:hAnsiTheme="minorHAnsi" w:cstheme="minorHAnsi"/>
                <w:bCs/>
                <w:color w:val="000000"/>
                <w:sz w:val="22"/>
                <w:szCs w:val="22"/>
              </w:rPr>
              <w:t>Poliesterlerden</w:t>
            </w:r>
          </w:p>
        </w:tc>
        <w:tc>
          <w:tcPr>
            <w:tcW w:w="2409"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Cs/>
                <w:color w:val="000000"/>
                <w:sz w:val="22"/>
                <w:szCs w:val="22"/>
              </w:rPr>
            </w:pPr>
            <w:r w:rsidRPr="00D97DF8">
              <w:rPr>
                <w:rFonts w:asciiTheme="minorHAnsi" w:hAnsiTheme="minorHAnsi" w:cstheme="minorHAnsi"/>
                <w:bCs/>
                <w:color w:val="000000"/>
                <w:sz w:val="22"/>
                <w:szCs w:val="22"/>
              </w:rPr>
              <w:t>Çin Halk Cumhuriyeti</w:t>
            </w:r>
          </w:p>
        </w:tc>
        <w:tc>
          <w:tcPr>
            <w:tcW w:w="2866" w:type="dxa"/>
            <w:shd w:val="clear" w:color="auto" w:fill="auto"/>
            <w:vAlign w:val="center"/>
          </w:tcPr>
          <w:p w:rsidR="00DD223B" w:rsidRPr="00D97DF8" w:rsidRDefault="00DD223B" w:rsidP="00D97DF8">
            <w:pPr>
              <w:autoSpaceDE w:val="0"/>
              <w:autoSpaceDN w:val="0"/>
              <w:adjustRightInd w:val="0"/>
              <w:jc w:val="center"/>
              <w:rPr>
                <w:rFonts w:asciiTheme="minorHAnsi" w:hAnsiTheme="minorHAnsi" w:cstheme="minorHAnsi"/>
                <w:bCs/>
                <w:color w:val="000000"/>
                <w:sz w:val="22"/>
                <w:szCs w:val="22"/>
              </w:rPr>
            </w:pPr>
            <w:r w:rsidRPr="00D97DF8">
              <w:rPr>
                <w:rFonts w:asciiTheme="minorHAnsi" w:hAnsiTheme="minorHAnsi" w:cstheme="minorHAnsi"/>
                <w:bCs/>
                <w:color w:val="000000"/>
                <w:sz w:val="22"/>
                <w:szCs w:val="22"/>
              </w:rPr>
              <w:t>0,21 ABD Doları/Kg</w:t>
            </w:r>
          </w:p>
        </w:tc>
      </w:tr>
    </w:tbl>
    <w:p w:rsidR="00D658B0" w:rsidRPr="00D97DF8" w:rsidRDefault="00D658B0" w:rsidP="00D97DF8">
      <w:pPr>
        <w:pStyle w:val="GvdeMetni"/>
        <w:widowControl w:val="0"/>
        <w:shd w:val="clear" w:color="auto" w:fill="auto"/>
        <w:tabs>
          <w:tab w:val="left" w:pos="990"/>
          <w:tab w:val="left" w:pos="1620"/>
          <w:tab w:val="left" w:pos="2268"/>
          <w:tab w:val="left" w:pos="2410"/>
        </w:tabs>
        <w:suppressAutoHyphens/>
        <w:autoSpaceDE w:val="0"/>
        <w:autoSpaceDN w:val="0"/>
        <w:rPr>
          <w:rFonts w:asciiTheme="minorHAnsi" w:hAnsiTheme="minorHAnsi" w:cstheme="minorHAnsi"/>
          <w:color w:val="auto"/>
          <w:sz w:val="22"/>
          <w:szCs w:val="22"/>
        </w:rPr>
      </w:pPr>
    </w:p>
    <w:p w:rsidR="00D17BE4" w:rsidRPr="00D97DF8" w:rsidRDefault="00D17BE4" w:rsidP="00D97DF8">
      <w:pPr>
        <w:pStyle w:val="GvdeMetni"/>
        <w:widowControl w:val="0"/>
        <w:shd w:val="clear" w:color="auto" w:fill="auto"/>
        <w:tabs>
          <w:tab w:val="left" w:pos="990"/>
          <w:tab w:val="left" w:pos="1620"/>
          <w:tab w:val="left" w:pos="2268"/>
          <w:tab w:val="left" w:pos="2410"/>
        </w:tabs>
        <w:suppressAutoHyphens/>
        <w:autoSpaceDE w:val="0"/>
        <w:autoSpaceDN w:val="0"/>
        <w:rPr>
          <w:rFonts w:asciiTheme="minorHAnsi" w:hAnsiTheme="minorHAnsi" w:cstheme="minorHAnsi"/>
          <w:color w:val="auto"/>
          <w:sz w:val="22"/>
          <w:szCs w:val="22"/>
        </w:rPr>
      </w:pPr>
    </w:p>
    <w:p w:rsidR="00D17BE4" w:rsidRPr="00D97DF8" w:rsidRDefault="00D17BE4" w:rsidP="00D97DF8">
      <w:pPr>
        <w:pStyle w:val="GvdeMetni"/>
        <w:widowControl w:val="0"/>
        <w:shd w:val="clear" w:color="auto" w:fill="auto"/>
        <w:tabs>
          <w:tab w:val="left" w:pos="990"/>
          <w:tab w:val="left" w:pos="1620"/>
          <w:tab w:val="left" w:pos="2268"/>
          <w:tab w:val="left" w:pos="2410"/>
        </w:tabs>
        <w:suppressAutoHyphens/>
        <w:autoSpaceDE w:val="0"/>
        <w:autoSpaceDN w:val="0"/>
        <w:rPr>
          <w:rFonts w:asciiTheme="minorHAnsi" w:hAnsiTheme="minorHAnsi" w:cstheme="minorHAnsi"/>
          <w:color w:val="auto"/>
          <w:sz w:val="22"/>
          <w:szCs w:val="22"/>
        </w:rPr>
      </w:pPr>
    </w:p>
    <w:p w:rsidR="00D17BE4" w:rsidRPr="00D97DF8" w:rsidRDefault="00D17BE4" w:rsidP="00D97DF8">
      <w:pPr>
        <w:pStyle w:val="GvdeMetni"/>
        <w:widowControl w:val="0"/>
        <w:shd w:val="clear" w:color="auto" w:fill="auto"/>
        <w:tabs>
          <w:tab w:val="left" w:pos="990"/>
          <w:tab w:val="left" w:pos="1620"/>
          <w:tab w:val="left" w:pos="2268"/>
          <w:tab w:val="left" w:pos="2410"/>
        </w:tabs>
        <w:suppressAutoHyphens/>
        <w:autoSpaceDE w:val="0"/>
        <w:autoSpaceDN w:val="0"/>
        <w:rPr>
          <w:rFonts w:asciiTheme="minorHAnsi" w:hAnsiTheme="minorHAnsi" w:cstheme="minorHAnsi"/>
          <w:color w:val="auto"/>
          <w:sz w:val="22"/>
          <w:szCs w:val="22"/>
        </w:rPr>
      </w:pPr>
    </w:p>
    <w:p w:rsidR="00D17BE4" w:rsidRPr="00D97DF8" w:rsidRDefault="00D17BE4" w:rsidP="00D97DF8">
      <w:pPr>
        <w:pStyle w:val="GvdeMetni"/>
        <w:widowControl w:val="0"/>
        <w:shd w:val="clear" w:color="auto" w:fill="auto"/>
        <w:tabs>
          <w:tab w:val="left" w:pos="990"/>
          <w:tab w:val="left" w:pos="1620"/>
          <w:tab w:val="left" w:pos="2268"/>
          <w:tab w:val="left" w:pos="2410"/>
        </w:tabs>
        <w:suppressAutoHyphens/>
        <w:autoSpaceDE w:val="0"/>
        <w:autoSpaceDN w:val="0"/>
        <w:rPr>
          <w:rFonts w:asciiTheme="minorHAnsi" w:hAnsiTheme="minorHAnsi" w:cstheme="minorHAnsi"/>
          <w:color w:val="auto"/>
          <w:sz w:val="22"/>
          <w:szCs w:val="22"/>
        </w:rPr>
      </w:pPr>
    </w:p>
    <w:p w:rsidR="00D658B0" w:rsidRPr="00D97DF8" w:rsidRDefault="00D658B0" w:rsidP="00D97DF8">
      <w:pPr>
        <w:tabs>
          <w:tab w:val="left" w:pos="566"/>
        </w:tabs>
        <w:jc w:val="both"/>
        <w:rPr>
          <w:rFonts w:asciiTheme="minorHAnsi" w:hAnsiTheme="minorHAnsi" w:cstheme="minorHAnsi"/>
          <w:sz w:val="22"/>
          <w:szCs w:val="22"/>
        </w:rPr>
      </w:pPr>
    </w:p>
    <w:p w:rsidR="003A59EB" w:rsidRPr="00D97DF8" w:rsidRDefault="003A59EB" w:rsidP="00D97DF8">
      <w:pPr>
        <w:tabs>
          <w:tab w:val="left" w:pos="566"/>
        </w:tabs>
        <w:jc w:val="both"/>
        <w:rPr>
          <w:rFonts w:asciiTheme="minorHAnsi" w:hAnsiTheme="minorHAnsi" w:cstheme="minorHAnsi"/>
          <w:sz w:val="22"/>
          <w:szCs w:val="22"/>
        </w:rPr>
      </w:pPr>
    </w:p>
    <w:p w:rsidR="00F217D8" w:rsidRPr="00D97DF8" w:rsidRDefault="00F217D8" w:rsidP="00D97DF8">
      <w:pPr>
        <w:tabs>
          <w:tab w:val="left" w:pos="566"/>
        </w:tabs>
        <w:jc w:val="center"/>
        <w:rPr>
          <w:rFonts w:asciiTheme="minorHAnsi" w:hAnsiTheme="minorHAnsi" w:cstheme="minorHAnsi"/>
          <w:sz w:val="22"/>
          <w:szCs w:val="22"/>
        </w:rPr>
      </w:pPr>
    </w:p>
    <w:p w:rsidR="00164FF4" w:rsidRPr="00D97DF8" w:rsidRDefault="00164FF4" w:rsidP="00D97DF8">
      <w:pPr>
        <w:jc w:val="both"/>
        <w:rPr>
          <w:rFonts w:asciiTheme="minorHAnsi" w:hAnsiTheme="minorHAnsi" w:cstheme="minorHAnsi"/>
          <w:bCs/>
          <w:sz w:val="22"/>
          <w:szCs w:val="22"/>
        </w:rPr>
      </w:pPr>
    </w:p>
    <w:sectPr w:rsidR="00164FF4" w:rsidRPr="00D97DF8" w:rsidSect="00C83A49">
      <w:footerReference w:type="default" r:id="rId8"/>
      <w:footerReference w:type="first" r:id="rId9"/>
      <w:pgSz w:w="11906" w:h="16838" w:code="9"/>
      <w:pgMar w:top="851" w:right="1418" w:bottom="1418" w:left="1418" w:header="851" w:footer="85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FFF" w:rsidRDefault="00F31FFF">
      <w:r>
        <w:separator/>
      </w:r>
    </w:p>
  </w:endnote>
  <w:endnote w:type="continuationSeparator" w:id="0">
    <w:p w:rsidR="00F31FFF" w:rsidRDefault="00F31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8817853"/>
      <w:docPartObj>
        <w:docPartGallery w:val="Page Numbers (Bottom of Page)"/>
        <w:docPartUnique/>
      </w:docPartObj>
    </w:sdtPr>
    <w:sdtEndPr/>
    <w:sdtContent>
      <w:p w:rsidR="00C83A49" w:rsidRDefault="00C83A49">
        <w:pPr>
          <w:pStyle w:val="Altbilgi"/>
          <w:jc w:val="right"/>
        </w:pPr>
        <w:r>
          <w:fldChar w:fldCharType="begin"/>
        </w:r>
        <w:r>
          <w:instrText>PAGE   \* MERGEFORMAT</w:instrText>
        </w:r>
        <w:r>
          <w:fldChar w:fldCharType="separate"/>
        </w:r>
        <w:r>
          <w:rPr>
            <w:noProof/>
          </w:rPr>
          <w:t>2</w:t>
        </w:r>
        <w:r>
          <w:fldChar w:fldCharType="end"/>
        </w:r>
      </w:p>
    </w:sdtContent>
  </w:sdt>
  <w:p w:rsidR="00C83A49" w:rsidRDefault="00C83A4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199943"/>
      <w:docPartObj>
        <w:docPartGallery w:val="Page Numbers (Bottom of Page)"/>
        <w:docPartUnique/>
      </w:docPartObj>
    </w:sdtPr>
    <w:sdtEndPr/>
    <w:sdtContent>
      <w:p w:rsidR="00C83A49" w:rsidRDefault="00C83A49">
        <w:pPr>
          <w:pStyle w:val="Altbilgi"/>
          <w:jc w:val="right"/>
        </w:pPr>
        <w:r>
          <w:fldChar w:fldCharType="begin"/>
        </w:r>
        <w:r>
          <w:instrText>PAGE   \* MERGEFORMAT</w:instrText>
        </w:r>
        <w:r>
          <w:fldChar w:fldCharType="separate"/>
        </w:r>
        <w:r>
          <w:rPr>
            <w:noProof/>
          </w:rPr>
          <w:t>1</w:t>
        </w:r>
        <w:r>
          <w:fldChar w:fldCharType="end"/>
        </w:r>
      </w:p>
    </w:sdtContent>
  </w:sdt>
  <w:p w:rsidR="00400EB9" w:rsidRDefault="00400EB9" w:rsidP="00BD4724">
    <w:pPr>
      <w:pStyle w:val="Altbilgi"/>
      <w:tabs>
        <w:tab w:val="clear" w:pos="4536"/>
        <w:tab w:val="clear" w:pos="9072"/>
        <w:tab w:val="left" w:pos="9529"/>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FFF" w:rsidRDefault="00F31FFF">
      <w:r>
        <w:separator/>
      </w:r>
    </w:p>
  </w:footnote>
  <w:footnote w:type="continuationSeparator" w:id="0">
    <w:p w:rsidR="00F31FFF" w:rsidRDefault="00F31F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B07F8"/>
    <w:multiLevelType w:val="hybridMultilevel"/>
    <w:tmpl w:val="21D2CD5A"/>
    <w:lvl w:ilvl="0" w:tplc="0F1AAFC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FF032D4"/>
    <w:multiLevelType w:val="multilevel"/>
    <w:tmpl w:val="154A03A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7A7A5F0C"/>
    <w:multiLevelType w:val="hybridMultilevel"/>
    <w:tmpl w:val="1652C73E"/>
    <w:lvl w:ilvl="0" w:tplc="F9387586">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isplayBackgroundShape/>
  <w:gutterAtTop/>
  <w:hideGrammaticalErrors/>
  <w:defaultTabStop w:val="357"/>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01"/>
    <w:rsid w:val="00000ED5"/>
    <w:rsid w:val="00000FA3"/>
    <w:rsid w:val="00001490"/>
    <w:rsid w:val="000014DA"/>
    <w:rsid w:val="00002DAA"/>
    <w:rsid w:val="0000430C"/>
    <w:rsid w:val="0000641A"/>
    <w:rsid w:val="00006558"/>
    <w:rsid w:val="00006960"/>
    <w:rsid w:val="00006D5A"/>
    <w:rsid w:val="00006DAD"/>
    <w:rsid w:val="000128DC"/>
    <w:rsid w:val="0001506B"/>
    <w:rsid w:val="000157F2"/>
    <w:rsid w:val="0001582F"/>
    <w:rsid w:val="0001665D"/>
    <w:rsid w:val="000170E8"/>
    <w:rsid w:val="0001715A"/>
    <w:rsid w:val="000174E6"/>
    <w:rsid w:val="00017BAE"/>
    <w:rsid w:val="00017E31"/>
    <w:rsid w:val="000207DA"/>
    <w:rsid w:val="00021A58"/>
    <w:rsid w:val="00022BE4"/>
    <w:rsid w:val="00022FA6"/>
    <w:rsid w:val="00023BCC"/>
    <w:rsid w:val="0002593D"/>
    <w:rsid w:val="00026DA8"/>
    <w:rsid w:val="00030BAE"/>
    <w:rsid w:val="00031B8C"/>
    <w:rsid w:val="00031EF4"/>
    <w:rsid w:val="00032151"/>
    <w:rsid w:val="00032B72"/>
    <w:rsid w:val="00032D04"/>
    <w:rsid w:val="000335FA"/>
    <w:rsid w:val="000347DC"/>
    <w:rsid w:val="00034C6B"/>
    <w:rsid w:val="00036684"/>
    <w:rsid w:val="0003698B"/>
    <w:rsid w:val="0003701D"/>
    <w:rsid w:val="0003706C"/>
    <w:rsid w:val="000373A2"/>
    <w:rsid w:val="000379D3"/>
    <w:rsid w:val="00040079"/>
    <w:rsid w:val="00040B60"/>
    <w:rsid w:val="00040D20"/>
    <w:rsid w:val="000424D9"/>
    <w:rsid w:val="00042B13"/>
    <w:rsid w:val="00042B99"/>
    <w:rsid w:val="00043991"/>
    <w:rsid w:val="00043B65"/>
    <w:rsid w:val="000446CD"/>
    <w:rsid w:val="00045065"/>
    <w:rsid w:val="000460DF"/>
    <w:rsid w:val="00050A1E"/>
    <w:rsid w:val="00051130"/>
    <w:rsid w:val="000513CD"/>
    <w:rsid w:val="00051791"/>
    <w:rsid w:val="0005360C"/>
    <w:rsid w:val="00054177"/>
    <w:rsid w:val="00055C84"/>
    <w:rsid w:val="00055EEA"/>
    <w:rsid w:val="00057562"/>
    <w:rsid w:val="000579FB"/>
    <w:rsid w:val="000602BD"/>
    <w:rsid w:val="000617D3"/>
    <w:rsid w:val="00063E39"/>
    <w:rsid w:val="00064D77"/>
    <w:rsid w:val="00067354"/>
    <w:rsid w:val="00067D03"/>
    <w:rsid w:val="000711C0"/>
    <w:rsid w:val="000718D3"/>
    <w:rsid w:val="00071E18"/>
    <w:rsid w:val="00071EDF"/>
    <w:rsid w:val="00074808"/>
    <w:rsid w:val="000753C7"/>
    <w:rsid w:val="00075D14"/>
    <w:rsid w:val="0007770D"/>
    <w:rsid w:val="00077816"/>
    <w:rsid w:val="00077966"/>
    <w:rsid w:val="0008027C"/>
    <w:rsid w:val="000808EC"/>
    <w:rsid w:val="00081948"/>
    <w:rsid w:val="00083ABC"/>
    <w:rsid w:val="00083D4C"/>
    <w:rsid w:val="0008559E"/>
    <w:rsid w:val="000856D7"/>
    <w:rsid w:val="000865CB"/>
    <w:rsid w:val="00086F2F"/>
    <w:rsid w:val="0008759A"/>
    <w:rsid w:val="0008766D"/>
    <w:rsid w:val="00087A36"/>
    <w:rsid w:val="000924A1"/>
    <w:rsid w:val="000925EE"/>
    <w:rsid w:val="00092C3E"/>
    <w:rsid w:val="00093829"/>
    <w:rsid w:val="00094A4B"/>
    <w:rsid w:val="000954B2"/>
    <w:rsid w:val="000966C4"/>
    <w:rsid w:val="000A0655"/>
    <w:rsid w:val="000A0D6B"/>
    <w:rsid w:val="000A2DE8"/>
    <w:rsid w:val="000A3337"/>
    <w:rsid w:val="000A3490"/>
    <w:rsid w:val="000A4397"/>
    <w:rsid w:val="000A45DA"/>
    <w:rsid w:val="000A6C13"/>
    <w:rsid w:val="000A758A"/>
    <w:rsid w:val="000A77B2"/>
    <w:rsid w:val="000A7B8F"/>
    <w:rsid w:val="000B01C9"/>
    <w:rsid w:val="000B06E4"/>
    <w:rsid w:val="000B0BBC"/>
    <w:rsid w:val="000B1757"/>
    <w:rsid w:val="000B1C87"/>
    <w:rsid w:val="000B28E5"/>
    <w:rsid w:val="000B3786"/>
    <w:rsid w:val="000B3CAE"/>
    <w:rsid w:val="000B44ED"/>
    <w:rsid w:val="000B5F0B"/>
    <w:rsid w:val="000B6EE9"/>
    <w:rsid w:val="000B7159"/>
    <w:rsid w:val="000B7BF2"/>
    <w:rsid w:val="000C0149"/>
    <w:rsid w:val="000C262C"/>
    <w:rsid w:val="000C37E7"/>
    <w:rsid w:val="000C62FC"/>
    <w:rsid w:val="000C6921"/>
    <w:rsid w:val="000D1400"/>
    <w:rsid w:val="000D206B"/>
    <w:rsid w:val="000D216F"/>
    <w:rsid w:val="000D25AE"/>
    <w:rsid w:val="000D32AF"/>
    <w:rsid w:val="000D45AA"/>
    <w:rsid w:val="000D6037"/>
    <w:rsid w:val="000D63DE"/>
    <w:rsid w:val="000D6EAA"/>
    <w:rsid w:val="000D72DD"/>
    <w:rsid w:val="000D76D7"/>
    <w:rsid w:val="000E3A0E"/>
    <w:rsid w:val="000E4B4F"/>
    <w:rsid w:val="000E5193"/>
    <w:rsid w:val="000E5D3C"/>
    <w:rsid w:val="000E734D"/>
    <w:rsid w:val="000E7D9A"/>
    <w:rsid w:val="000F1AEE"/>
    <w:rsid w:val="000F1C6A"/>
    <w:rsid w:val="000F30BD"/>
    <w:rsid w:val="000F3658"/>
    <w:rsid w:val="000F3BBA"/>
    <w:rsid w:val="000F6EC6"/>
    <w:rsid w:val="000F798A"/>
    <w:rsid w:val="000F7997"/>
    <w:rsid w:val="00100060"/>
    <w:rsid w:val="00101B68"/>
    <w:rsid w:val="00101DFD"/>
    <w:rsid w:val="00102A01"/>
    <w:rsid w:val="001046A3"/>
    <w:rsid w:val="001046DC"/>
    <w:rsid w:val="00104A8C"/>
    <w:rsid w:val="001057A7"/>
    <w:rsid w:val="0010591E"/>
    <w:rsid w:val="001102D8"/>
    <w:rsid w:val="00111A83"/>
    <w:rsid w:val="001126BA"/>
    <w:rsid w:val="00113929"/>
    <w:rsid w:val="001143DE"/>
    <w:rsid w:val="0011472A"/>
    <w:rsid w:val="001169A7"/>
    <w:rsid w:val="00117837"/>
    <w:rsid w:val="0012051F"/>
    <w:rsid w:val="00120898"/>
    <w:rsid w:val="00121476"/>
    <w:rsid w:val="001221BB"/>
    <w:rsid w:val="001228B9"/>
    <w:rsid w:val="00122920"/>
    <w:rsid w:val="00122AD9"/>
    <w:rsid w:val="00124096"/>
    <w:rsid w:val="00125664"/>
    <w:rsid w:val="001257B0"/>
    <w:rsid w:val="0012580B"/>
    <w:rsid w:val="00126BB6"/>
    <w:rsid w:val="001276CD"/>
    <w:rsid w:val="001302EC"/>
    <w:rsid w:val="00130326"/>
    <w:rsid w:val="001305C0"/>
    <w:rsid w:val="00130EB7"/>
    <w:rsid w:val="001322ED"/>
    <w:rsid w:val="00132417"/>
    <w:rsid w:val="00132658"/>
    <w:rsid w:val="0013499C"/>
    <w:rsid w:val="001351F8"/>
    <w:rsid w:val="00136A61"/>
    <w:rsid w:val="00141ABB"/>
    <w:rsid w:val="00141B3F"/>
    <w:rsid w:val="001421E5"/>
    <w:rsid w:val="001435F1"/>
    <w:rsid w:val="00143B15"/>
    <w:rsid w:val="00145955"/>
    <w:rsid w:val="0014600D"/>
    <w:rsid w:val="00146D32"/>
    <w:rsid w:val="00150555"/>
    <w:rsid w:val="00150AAC"/>
    <w:rsid w:val="00151803"/>
    <w:rsid w:val="00152172"/>
    <w:rsid w:val="001534CC"/>
    <w:rsid w:val="00153BC4"/>
    <w:rsid w:val="0015454D"/>
    <w:rsid w:val="00157AB1"/>
    <w:rsid w:val="00161548"/>
    <w:rsid w:val="00161E7C"/>
    <w:rsid w:val="00163C3E"/>
    <w:rsid w:val="0016461B"/>
    <w:rsid w:val="00164FC7"/>
    <w:rsid w:val="00164FF4"/>
    <w:rsid w:val="0016519E"/>
    <w:rsid w:val="001653EB"/>
    <w:rsid w:val="001659D5"/>
    <w:rsid w:val="00166437"/>
    <w:rsid w:val="00166EBF"/>
    <w:rsid w:val="00167798"/>
    <w:rsid w:val="0017061B"/>
    <w:rsid w:val="00171C39"/>
    <w:rsid w:val="0017241B"/>
    <w:rsid w:val="00174CD8"/>
    <w:rsid w:val="00175D49"/>
    <w:rsid w:val="00176946"/>
    <w:rsid w:val="00176FB0"/>
    <w:rsid w:val="00182973"/>
    <w:rsid w:val="00182A6C"/>
    <w:rsid w:val="0018478C"/>
    <w:rsid w:val="0018577F"/>
    <w:rsid w:val="00186471"/>
    <w:rsid w:val="00186A7A"/>
    <w:rsid w:val="001876C9"/>
    <w:rsid w:val="00187BFA"/>
    <w:rsid w:val="0019004B"/>
    <w:rsid w:val="0019009B"/>
    <w:rsid w:val="00190450"/>
    <w:rsid w:val="00190B78"/>
    <w:rsid w:val="00190DC4"/>
    <w:rsid w:val="00191736"/>
    <w:rsid w:val="0019405E"/>
    <w:rsid w:val="00194A98"/>
    <w:rsid w:val="00194C3D"/>
    <w:rsid w:val="001971B5"/>
    <w:rsid w:val="001972FE"/>
    <w:rsid w:val="001A4A53"/>
    <w:rsid w:val="001A5A2B"/>
    <w:rsid w:val="001A5A36"/>
    <w:rsid w:val="001A6768"/>
    <w:rsid w:val="001A76DD"/>
    <w:rsid w:val="001A7F5C"/>
    <w:rsid w:val="001B2701"/>
    <w:rsid w:val="001B36CE"/>
    <w:rsid w:val="001B3785"/>
    <w:rsid w:val="001B3B60"/>
    <w:rsid w:val="001B3FD2"/>
    <w:rsid w:val="001B4A6E"/>
    <w:rsid w:val="001B7396"/>
    <w:rsid w:val="001B75B1"/>
    <w:rsid w:val="001C07DA"/>
    <w:rsid w:val="001C07EE"/>
    <w:rsid w:val="001C08F5"/>
    <w:rsid w:val="001C1424"/>
    <w:rsid w:val="001C1EB0"/>
    <w:rsid w:val="001C242B"/>
    <w:rsid w:val="001C268B"/>
    <w:rsid w:val="001C5A83"/>
    <w:rsid w:val="001C5B7D"/>
    <w:rsid w:val="001C5CBC"/>
    <w:rsid w:val="001C7BB5"/>
    <w:rsid w:val="001D00FE"/>
    <w:rsid w:val="001D0F06"/>
    <w:rsid w:val="001D108C"/>
    <w:rsid w:val="001D1403"/>
    <w:rsid w:val="001D2435"/>
    <w:rsid w:val="001D2BF5"/>
    <w:rsid w:val="001D3669"/>
    <w:rsid w:val="001D72BF"/>
    <w:rsid w:val="001E07B4"/>
    <w:rsid w:val="001E2451"/>
    <w:rsid w:val="001E4E25"/>
    <w:rsid w:val="001E51ED"/>
    <w:rsid w:val="001E59D5"/>
    <w:rsid w:val="001E6882"/>
    <w:rsid w:val="001E7094"/>
    <w:rsid w:val="001E726D"/>
    <w:rsid w:val="001F0BB7"/>
    <w:rsid w:val="001F1111"/>
    <w:rsid w:val="001F2060"/>
    <w:rsid w:val="001F3D2D"/>
    <w:rsid w:val="001F45C4"/>
    <w:rsid w:val="001F4693"/>
    <w:rsid w:val="001F7E7D"/>
    <w:rsid w:val="00200B0F"/>
    <w:rsid w:val="0020167B"/>
    <w:rsid w:val="00203069"/>
    <w:rsid w:val="00203C91"/>
    <w:rsid w:val="0020432B"/>
    <w:rsid w:val="00204A0D"/>
    <w:rsid w:val="002051BE"/>
    <w:rsid w:val="00205EAB"/>
    <w:rsid w:val="00206F8B"/>
    <w:rsid w:val="002076CA"/>
    <w:rsid w:val="0021082B"/>
    <w:rsid w:val="00210F20"/>
    <w:rsid w:val="0021154A"/>
    <w:rsid w:val="002115F6"/>
    <w:rsid w:val="002125E2"/>
    <w:rsid w:val="00212EC7"/>
    <w:rsid w:val="002131B3"/>
    <w:rsid w:val="00213449"/>
    <w:rsid w:val="0021396F"/>
    <w:rsid w:val="00214FE8"/>
    <w:rsid w:val="00221315"/>
    <w:rsid w:val="002215A8"/>
    <w:rsid w:val="00221C80"/>
    <w:rsid w:val="00221EC2"/>
    <w:rsid w:val="00222BB2"/>
    <w:rsid w:val="002261D2"/>
    <w:rsid w:val="00226BCE"/>
    <w:rsid w:val="00226FB6"/>
    <w:rsid w:val="0022780C"/>
    <w:rsid w:val="002304D6"/>
    <w:rsid w:val="00231337"/>
    <w:rsid w:val="00233C7D"/>
    <w:rsid w:val="0023793B"/>
    <w:rsid w:val="00241ADA"/>
    <w:rsid w:val="00242673"/>
    <w:rsid w:val="00243666"/>
    <w:rsid w:val="002438AD"/>
    <w:rsid w:val="002446BD"/>
    <w:rsid w:val="002468C7"/>
    <w:rsid w:val="002509C9"/>
    <w:rsid w:val="0025114F"/>
    <w:rsid w:val="00251887"/>
    <w:rsid w:val="002526F8"/>
    <w:rsid w:val="0025290B"/>
    <w:rsid w:val="00256B12"/>
    <w:rsid w:val="0025723E"/>
    <w:rsid w:val="00257840"/>
    <w:rsid w:val="00261B91"/>
    <w:rsid w:val="00263201"/>
    <w:rsid w:val="002638A9"/>
    <w:rsid w:val="00263FFA"/>
    <w:rsid w:val="00264113"/>
    <w:rsid w:val="00264450"/>
    <w:rsid w:val="00266C33"/>
    <w:rsid w:val="0027429C"/>
    <w:rsid w:val="0027642A"/>
    <w:rsid w:val="00286163"/>
    <w:rsid w:val="002861CC"/>
    <w:rsid w:val="002868B7"/>
    <w:rsid w:val="002879D1"/>
    <w:rsid w:val="0029018C"/>
    <w:rsid w:val="0029078B"/>
    <w:rsid w:val="00292667"/>
    <w:rsid w:val="00293B68"/>
    <w:rsid w:val="00295E5A"/>
    <w:rsid w:val="00295EA6"/>
    <w:rsid w:val="002964F1"/>
    <w:rsid w:val="002A0373"/>
    <w:rsid w:val="002A1DE4"/>
    <w:rsid w:val="002A3910"/>
    <w:rsid w:val="002A5D83"/>
    <w:rsid w:val="002A6B74"/>
    <w:rsid w:val="002A77E2"/>
    <w:rsid w:val="002B1794"/>
    <w:rsid w:val="002B22B0"/>
    <w:rsid w:val="002B3F5D"/>
    <w:rsid w:val="002B46A6"/>
    <w:rsid w:val="002B4CCF"/>
    <w:rsid w:val="002B6FA2"/>
    <w:rsid w:val="002B7CF8"/>
    <w:rsid w:val="002C059B"/>
    <w:rsid w:val="002C0625"/>
    <w:rsid w:val="002C0BF3"/>
    <w:rsid w:val="002C1B62"/>
    <w:rsid w:val="002C2924"/>
    <w:rsid w:val="002C3CC3"/>
    <w:rsid w:val="002C4451"/>
    <w:rsid w:val="002C609D"/>
    <w:rsid w:val="002C7256"/>
    <w:rsid w:val="002D15A9"/>
    <w:rsid w:val="002D2F0B"/>
    <w:rsid w:val="002D3479"/>
    <w:rsid w:val="002D35AA"/>
    <w:rsid w:val="002D503F"/>
    <w:rsid w:val="002D5B4C"/>
    <w:rsid w:val="002D7236"/>
    <w:rsid w:val="002E019D"/>
    <w:rsid w:val="002E0CCE"/>
    <w:rsid w:val="002E109D"/>
    <w:rsid w:val="002E1F68"/>
    <w:rsid w:val="002E2ACF"/>
    <w:rsid w:val="002E33A8"/>
    <w:rsid w:val="002E33F1"/>
    <w:rsid w:val="002E4C5A"/>
    <w:rsid w:val="002E54ED"/>
    <w:rsid w:val="002E7C9B"/>
    <w:rsid w:val="002F05C1"/>
    <w:rsid w:val="002F1132"/>
    <w:rsid w:val="002F370C"/>
    <w:rsid w:val="00300712"/>
    <w:rsid w:val="00302B56"/>
    <w:rsid w:val="00302C3D"/>
    <w:rsid w:val="00303F1A"/>
    <w:rsid w:val="0030414B"/>
    <w:rsid w:val="00305B2A"/>
    <w:rsid w:val="00305D50"/>
    <w:rsid w:val="003077EF"/>
    <w:rsid w:val="00311D0C"/>
    <w:rsid w:val="00315FB9"/>
    <w:rsid w:val="00317CF7"/>
    <w:rsid w:val="00320ABC"/>
    <w:rsid w:val="00320EB1"/>
    <w:rsid w:val="00321AAF"/>
    <w:rsid w:val="003220CB"/>
    <w:rsid w:val="0032265B"/>
    <w:rsid w:val="00322D81"/>
    <w:rsid w:val="0032311C"/>
    <w:rsid w:val="00323BB5"/>
    <w:rsid w:val="00323D68"/>
    <w:rsid w:val="00323D6B"/>
    <w:rsid w:val="00325507"/>
    <w:rsid w:val="00326E61"/>
    <w:rsid w:val="0033242A"/>
    <w:rsid w:val="003325D8"/>
    <w:rsid w:val="00334E1F"/>
    <w:rsid w:val="00334EDA"/>
    <w:rsid w:val="00336456"/>
    <w:rsid w:val="003402E3"/>
    <w:rsid w:val="00340E35"/>
    <w:rsid w:val="00340FAA"/>
    <w:rsid w:val="003418F0"/>
    <w:rsid w:val="00341C9F"/>
    <w:rsid w:val="00341CD9"/>
    <w:rsid w:val="00341D99"/>
    <w:rsid w:val="00341EBE"/>
    <w:rsid w:val="003422AF"/>
    <w:rsid w:val="0034299F"/>
    <w:rsid w:val="00342F0E"/>
    <w:rsid w:val="0034328B"/>
    <w:rsid w:val="003436B5"/>
    <w:rsid w:val="00343DBB"/>
    <w:rsid w:val="00344DA7"/>
    <w:rsid w:val="00345786"/>
    <w:rsid w:val="00347561"/>
    <w:rsid w:val="00347840"/>
    <w:rsid w:val="003510A3"/>
    <w:rsid w:val="003514D8"/>
    <w:rsid w:val="003516B3"/>
    <w:rsid w:val="00351DDC"/>
    <w:rsid w:val="00351FDA"/>
    <w:rsid w:val="00353184"/>
    <w:rsid w:val="00353B7E"/>
    <w:rsid w:val="00355886"/>
    <w:rsid w:val="0035752E"/>
    <w:rsid w:val="00360D7D"/>
    <w:rsid w:val="00361FF5"/>
    <w:rsid w:val="00363DE2"/>
    <w:rsid w:val="003642DA"/>
    <w:rsid w:val="00364A60"/>
    <w:rsid w:val="00365FF0"/>
    <w:rsid w:val="00366AC6"/>
    <w:rsid w:val="00367162"/>
    <w:rsid w:val="00370B1E"/>
    <w:rsid w:val="00371AD9"/>
    <w:rsid w:val="0037251B"/>
    <w:rsid w:val="00372D3B"/>
    <w:rsid w:val="00373F29"/>
    <w:rsid w:val="0037465B"/>
    <w:rsid w:val="00374A0D"/>
    <w:rsid w:val="00375AAE"/>
    <w:rsid w:val="0037617A"/>
    <w:rsid w:val="00376E8D"/>
    <w:rsid w:val="00380159"/>
    <w:rsid w:val="003803B2"/>
    <w:rsid w:val="00380A12"/>
    <w:rsid w:val="00381410"/>
    <w:rsid w:val="00381A01"/>
    <w:rsid w:val="0038237F"/>
    <w:rsid w:val="0038271E"/>
    <w:rsid w:val="00382B09"/>
    <w:rsid w:val="00384028"/>
    <w:rsid w:val="003840A3"/>
    <w:rsid w:val="00386027"/>
    <w:rsid w:val="0038614A"/>
    <w:rsid w:val="00386778"/>
    <w:rsid w:val="00391221"/>
    <w:rsid w:val="00392F90"/>
    <w:rsid w:val="0039361E"/>
    <w:rsid w:val="003938F0"/>
    <w:rsid w:val="00394AB0"/>
    <w:rsid w:val="003A078F"/>
    <w:rsid w:val="003A0B3D"/>
    <w:rsid w:val="003A1113"/>
    <w:rsid w:val="003A2778"/>
    <w:rsid w:val="003A28E3"/>
    <w:rsid w:val="003A2AA0"/>
    <w:rsid w:val="003A449C"/>
    <w:rsid w:val="003A4634"/>
    <w:rsid w:val="003A56C1"/>
    <w:rsid w:val="003A59EB"/>
    <w:rsid w:val="003A59FB"/>
    <w:rsid w:val="003B0554"/>
    <w:rsid w:val="003B0F76"/>
    <w:rsid w:val="003B1A87"/>
    <w:rsid w:val="003B1DBC"/>
    <w:rsid w:val="003B2000"/>
    <w:rsid w:val="003B2137"/>
    <w:rsid w:val="003B2D4C"/>
    <w:rsid w:val="003B426A"/>
    <w:rsid w:val="003B670C"/>
    <w:rsid w:val="003B7352"/>
    <w:rsid w:val="003C1369"/>
    <w:rsid w:val="003C188C"/>
    <w:rsid w:val="003C36CA"/>
    <w:rsid w:val="003C3861"/>
    <w:rsid w:val="003C457D"/>
    <w:rsid w:val="003C6689"/>
    <w:rsid w:val="003C6CB7"/>
    <w:rsid w:val="003C6F38"/>
    <w:rsid w:val="003C7B03"/>
    <w:rsid w:val="003D123F"/>
    <w:rsid w:val="003D2294"/>
    <w:rsid w:val="003D2AAC"/>
    <w:rsid w:val="003D3349"/>
    <w:rsid w:val="003D41F9"/>
    <w:rsid w:val="003D4467"/>
    <w:rsid w:val="003D4E5B"/>
    <w:rsid w:val="003D5AE8"/>
    <w:rsid w:val="003D5BF1"/>
    <w:rsid w:val="003D6D2B"/>
    <w:rsid w:val="003D6EBA"/>
    <w:rsid w:val="003D7E00"/>
    <w:rsid w:val="003D7F73"/>
    <w:rsid w:val="003E0D34"/>
    <w:rsid w:val="003E2402"/>
    <w:rsid w:val="003E6769"/>
    <w:rsid w:val="003E7EA4"/>
    <w:rsid w:val="003F0663"/>
    <w:rsid w:val="003F1387"/>
    <w:rsid w:val="003F1DAD"/>
    <w:rsid w:val="003F243B"/>
    <w:rsid w:val="003F2EB7"/>
    <w:rsid w:val="003F4461"/>
    <w:rsid w:val="003F48BF"/>
    <w:rsid w:val="003F6152"/>
    <w:rsid w:val="003F6487"/>
    <w:rsid w:val="003F6E8A"/>
    <w:rsid w:val="003F7FD6"/>
    <w:rsid w:val="00400290"/>
    <w:rsid w:val="00400EB9"/>
    <w:rsid w:val="00401693"/>
    <w:rsid w:val="00402840"/>
    <w:rsid w:val="00403829"/>
    <w:rsid w:val="00403B65"/>
    <w:rsid w:val="004065AB"/>
    <w:rsid w:val="00406B4A"/>
    <w:rsid w:val="004077B4"/>
    <w:rsid w:val="00411537"/>
    <w:rsid w:val="00412765"/>
    <w:rsid w:val="004141F9"/>
    <w:rsid w:val="00414AFA"/>
    <w:rsid w:val="00416FCE"/>
    <w:rsid w:val="00417613"/>
    <w:rsid w:val="00421D71"/>
    <w:rsid w:val="00422631"/>
    <w:rsid w:val="00423C74"/>
    <w:rsid w:val="0042422B"/>
    <w:rsid w:val="004242C9"/>
    <w:rsid w:val="00424DD0"/>
    <w:rsid w:val="00430509"/>
    <w:rsid w:val="004310FE"/>
    <w:rsid w:val="00431C6F"/>
    <w:rsid w:val="00434246"/>
    <w:rsid w:val="004364CB"/>
    <w:rsid w:val="00436B0D"/>
    <w:rsid w:val="00436E97"/>
    <w:rsid w:val="004377F4"/>
    <w:rsid w:val="00437DA4"/>
    <w:rsid w:val="004405D6"/>
    <w:rsid w:val="00441FE9"/>
    <w:rsid w:val="004420D1"/>
    <w:rsid w:val="00443D77"/>
    <w:rsid w:val="00444F2D"/>
    <w:rsid w:val="00444F3F"/>
    <w:rsid w:val="00445ACE"/>
    <w:rsid w:val="00447F97"/>
    <w:rsid w:val="00450BC6"/>
    <w:rsid w:val="00450F40"/>
    <w:rsid w:val="00451237"/>
    <w:rsid w:val="00452A12"/>
    <w:rsid w:val="00452B73"/>
    <w:rsid w:val="00454F59"/>
    <w:rsid w:val="00456C74"/>
    <w:rsid w:val="00460CAE"/>
    <w:rsid w:val="00464771"/>
    <w:rsid w:val="004677BF"/>
    <w:rsid w:val="00467DFE"/>
    <w:rsid w:val="00470487"/>
    <w:rsid w:val="00470549"/>
    <w:rsid w:val="00470C16"/>
    <w:rsid w:val="00473C66"/>
    <w:rsid w:val="00473FAA"/>
    <w:rsid w:val="00474CB7"/>
    <w:rsid w:val="00475C80"/>
    <w:rsid w:val="00475EB4"/>
    <w:rsid w:val="0047649C"/>
    <w:rsid w:val="0047764E"/>
    <w:rsid w:val="00477A4F"/>
    <w:rsid w:val="00480EB7"/>
    <w:rsid w:val="00482487"/>
    <w:rsid w:val="0048279E"/>
    <w:rsid w:val="004828D0"/>
    <w:rsid w:val="0048576C"/>
    <w:rsid w:val="004862A4"/>
    <w:rsid w:val="00486E42"/>
    <w:rsid w:val="00490009"/>
    <w:rsid w:val="00490085"/>
    <w:rsid w:val="00491262"/>
    <w:rsid w:val="00491609"/>
    <w:rsid w:val="00491B15"/>
    <w:rsid w:val="004963B8"/>
    <w:rsid w:val="00497A2F"/>
    <w:rsid w:val="004A0AD4"/>
    <w:rsid w:val="004A2166"/>
    <w:rsid w:val="004A4A9B"/>
    <w:rsid w:val="004A51DC"/>
    <w:rsid w:val="004A6997"/>
    <w:rsid w:val="004A7348"/>
    <w:rsid w:val="004B1F70"/>
    <w:rsid w:val="004B296D"/>
    <w:rsid w:val="004B6771"/>
    <w:rsid w:val="004B74BB"/>
    <w:rsid w:val="004C1711"/>
    <w:rsid w:val="004C3938"/>
    <w:rsid w:val="004C50FF"/>
    <w:rsid w:val="004C5B4B"/>
    <w:rsid w:val="004D1081"/>
    <w:rsid w:val="004D1C54"/>
    <w:rsid w:val="004D2A07"/>
    <w:rsid w:val="004D3586"/>
    <w:rsid w:val="004D4701"/>
    <w:rsid w:val="004D4A27"/>
    <w:rsid w:val="004D5190"/>
    <w:rsid w:val="004E29A6"/>
    <w:rsid w:val="004E6BCF"/>
    <w:rsid w:val="004E6FBC"/>
    <w:rsid w:val="004E78AF"/>
    <w:rsid w:val="004F2FA0"/>
    <w:rsid w:val="004F39CA"/>
    <w:rsid w:val="004F5B74"/>
    <w:rsid w:val="004F69F9"/>
    <w:rsid w:val="004F6FFD"/>
    <w:rsid w:val="004F71A5"/>
    <w:rsid w:val="004F7F43"/>
    <w:rsid w:val="0050107D"/>
    <w:rsid w:val="0050122C"/>
    <w:rsid w:val="00502F79"/>
    <w:rsid w:val="0050348A"/>
    <w:rsid w:val="00503930"/>
    <w:rsid w:val="00504B7A"/>
    <w:rsid w:val="005056F1"/>
    <w:rsid w:val="005059A2"/>
    <w:rsid w:val="00507119"/>
    <w:rsid w:val="005118E1"/>
    <w:rsid w:val="0051200F"/>
    <w:rsid w:val="0051204A"/>
    <w:rsid w:val="0051207B"/>
    <w:rsid w:val="00512169"/>
    <w:rsid w:val="00512587"/>
    <w:rsid w:val="005134E1"/>
    <w:rsid w:val="00513726"/>
    <w:rsid w:val="00514730"/>
    <w:rsid w:val="00514E6C"/>
    <w:rsid w:val="00514FB8"/>
    <w:rsid w:val="00515925"/>
    <w:rsid w:val="0051655D"/>
    <w:rsid w:val="0051703B"/>
    <w:rsid w:val="00517CE7"/>
    <w:rsid w:val="00520952"/>
    <w:rsid w:val="00523809"/>
    <w:rsid w:val="00523C41"/>
    <w:rsid w:val="00524015"/>
    <w:rsid w:val="0052592A"/>
    <w:rsid w:val="00526EEC"/>
    <w:rsid w:val="0052764A"/>
    <w:rsid w:val="00527F26"/>
    <w:rsid w:val="00530A65"/>
    <w:rsid w:val="00530D50"/>
    <w:rsid w:val="005328DC"/>
    <w:rsid w:val="00534D98"/>
    <w:rsid w:val="005350A5"/>
    <w:rsid w:val="00535878"/>
    <w:rsid w:val="0053613C"/>
    <w:rsid w:val="005363C6"/>
    <w:rsid w:val="00542B51"/>
    <w:rsid w:val="00543A2D"/>
    <w:rsid w:val="00544075"/>
    <w:rsid w:val="0054491B"/>
    <w:rsid w:val="0054682C"/>
    <w:rsid w:val="005468E0"/>
    <w:rsid w:val="00547C8C"/>
    <w:rsid w:val="00550715"/>
    <w:rsid w:val="0055153D"/>
    <w:rsid w:val="00552261"/>
    <w:rsid w:val="00552378"/>
    <w:rsid w:val="00552690"/>
    <w:rsid w:val="00552E04"/>
    <w:rsid w:val="00553543"/>
    <w:rsid w:val="0055393D"/>
    <w:rsid w:val="00554FF8"/>
    <w:rsid w:val="0055544E"/>
    <w:rsid w:val="00555DC5"/>
    <w:rsid w:val="00556703"/>
    <w:rsid w:val="00557E8D"/>
    <w:rsid w:val="005605A7"/>
    <w:rsid w:val="00560EFB"/>
    <w:rsid w:val="005622F5"/>
    <w:rsid w:val="00564825"/>
    <w:rsid w:val="00564C75"/>
    <w:rsid w:val="005652E8"/>
    <w:rsid w:val="00565800"/>
    <w:rsid w:val="00566983"/>
    <w:rsid w:val="00566ED6"/>
    <w:rsid w:val="00567BA5"/>
    <w:rsid w:val="00570602"/>
    <w:rsid w:val="00570B9D"/>
    <w:rsid w:val="00570D83"/>
    <w:rsid w:val="005744E0"/>
    <w:rsid w:val="00574BAD"/>
    <w:rsid w:val="005752DB"/>
    <w:rsid w:val="00576BA1"/>
    <w:rsid w:val="00576BE1"/>
    <w:rsid w:val="00582197"/>
    <w:rsid w:val="0058262C"/>
    <w:rsid w:val="00582639"/>
    <w:rsid w:val="00582A31"/>
    <w:rsid w:val="00582C12"/>
    <w:rsid w:val="0058437F"/>
    <w:rsid w:val="00584AA5"/>
    <w:rsid w:val="0059117B"/>
    <w:rsid w:val="00591F81"/>
    <w:rsid w:val="005925AF"/>
    <w:rsid w:val="00596278"/>
    <w:rsid w:val="00596BDD"/>
    <w:rsid w:val="00597E25"/>
    <w:rsid w:val="005A0603"/>
    <w:rsid w:val="005A0D98"/>
    <w:rsid w:val="005A1308"/>
    <w:rsid w:val="005A2A7A"/>
    <w:rsid w:val="005A4028"/>
    <w:rsid w:val="005A6474"/>
    <w:rsid w:val="005A6781"/>
    <w:rsid w:val="005A6AF1"/>
    <w:rsid w:val="005A7681"/>
    <w:rsid w:val="005A7A64"/>
    <w:rsid w:val="005B0D70"/>
    <w:rsid w:val="005B2021"/>
    <w:rsid w:val="005B33CD"/>
    <w:rsid w:val="005B34C9"/>
    <w:rsid w:val="005B41D4"/>
    <w:rsid w:val="005B4EC2"/>
    <w:rsid w:val="005B5E39"/>
    <w:rsid w:val="005B5F39"/>
    <w:rsid w:val="005B7FB1"/>
    <w:rsid w:val="005C1FD9"/>
    <w:rsid w:val="005C3683"/>
    <w:rsid w:val="005C4476"/>
    <w:rsid w:val="005C4E57"/>
    <w:rsid w:val="005C57F6"/>
    <w:rsid w:val="005C7014"/>
    <w:rsid w:val="005C725C"/>
    <w:rsid w:val="005C72E8"/>
    <w:rsid w:val="005C7949"/>
    <w:rsid w:val="005C7E01"/>
    <w:rsid w:val="005D42D7"/>
    <w:rsid w:val="005D65D1"/>
    <w:rsid w:val="005D6AD0"/>
    <w:rsid w:val="005E0901"/>
    <w:rsid w:val="005E13FD"/>
    <w:rsid w:val="005E18A0"/>
    <w:rsid w:val="005E190D"/>
    <w:rsid w:val="005E2083"/>
    <w:rsid w:val="005E237D"/>
    <w:rsid w:val="005E2C18"/>
    <w:rsid w:val="005E39B2"/>
    <w:rsid w:val="005E48DB"/>
    <w:rsid w:val="005E4CA9"/>
    <w:rsid w:val="005E4D4D"/>
    <w:rsid w:val="005E4FC1"/>
    <w:rsid w:val="005E52AA"/>
    <w:rsid w:val="005E7940"/>
    <w:rsid w:val="005E7D00"/>
    <w:rsid w:val="005F099E"/>
    <w:rsid w:val="005F1621"/>
    <w:rsid w:val="005F4249"/>
    <w:rsid w:val="005F4B0C"/>
    <w:rsid w:val="005F6A98"/>
    <w:rsid w:val="005F7339"/>
    <w:rsid w:val="005F7371"/>
    <w:rsid w:val="00601A50"/>
    <w:rsid w:val="0060240E"/>
    <w:rsid w:val="00602476"/>
    <w:rsid w:val="006037FA"/>
    <w:rsid w:val="00603F19"/>
    <w:rsid w:val="0060490D"/>
    <w:rsid w:val="0060741A"/>
    <w:rsid w:val="0060752E"/>
    <w:rsid w:val="00614004"/>
    <w:rsid w:val="0061586A"/>
    <w:rsid w:val="00616A47"/>
    <w:rsid w:val="006220A9"/>
    <w:rsid w:val="006222EA"/>
    <w:rsid w:val="00622858"/>
    <w:rsid w:val="00624467"/>
    <w:rsid w:val="00624DC2"/>
    <w:rsid w:val="00624E16"/>
    <w:rsid w:val="00624ED4"/>
    <w:rsid w:val="006259B7"/>
    <w:rsid w:val="006276B4"/>
    <w:rsid w:val="00630D05"/>
    <w:rsid w:val="0063102D"/>
    <w:rsid w:val="00632EEA"/>
    <w:rsid w:val="00634F2E"/>
    <w:rsid w:val="00643F95"/>
    <w:rsid w:val="0064421C"/>
    <w:rsid w:val="006464D9"/>
    <w:rsid w:val="00653CF5"/>
    <w:rsid w:val="00655F9E"/>
    <w:rsid w:val="00655FA8"/>
    <w:rsid w:val="006570A9"/>
    <w:rsid w:val="006570D6"/>
    <w:rsid w:val="00661FC3"/>
    <w:rsid w:val="0066283C"/>
    <w:rsid w:val="0066285A"/>
    <w:rsid w:val="00663C27"/>
    <w:rsid w:val="006640B7"/>
    <w:rsid w:val="006641AB"/>
    <w:rsid w:val="00664667"/>
    <w:rsid w:val="006662AF"/>
    <w:rsid w:val="00666427"/>
    <w:rsid w:val="006679CB"/>
    <w:rsid w:val="006702BD"/>
    <w:rsid w:val="00670D34"/>
    <w:rsid w:val="006713B0"/>
    <w:rsid w:val="006726E7"/>
    <w:rsid w:val="00672CA8"/>
    <w:rsid w:val="00673327"/>
    <w:rsid w:val="00673868"/>
    <w:rsid w:val="00674E20"/>
    <w:rsid w:val="00675054"/>
    <w:rsid w:val="006757F3"/>
    <w:rsid w:val="00675933"/>
    <w:rsid w:val="006763CD"/>
    <w:rsid w:val="006766FC"/>
    <w:rsid w:val="0068057E"/>
    <w:rsid w:val="00680A41"/>
    <w:rsid w:val="00681A46"/>
    <w:rsid w:val="00682547"/>
    <w:rsid w:val="006827D1"/>
    <w:rsid w:val="00682D8B"/>
    <w:rsid w:val="0068403A"/>
    <w:rsid w:val="0068559F"/>
    <w:rsid w:val="00685A02"/>
    <w:rsid w:val="00687B87"/>
    <w:rsid w:val="00690C3D"/>
    <w:rsid w:val="0069153F"/>
    <w:rsid w:val="00692500"/>
    <w:rsid w:val="00692C8B"/>
    <w:rsid w:val="0069373B"/>
    <w:rsid w:val="00693795"/>
    <w:rsid w:val="00693870"/>
    <w:rsid w:val="006943A8"/>
    <w:rsid w:val="00695421"/>
    <w:rsid w:val="00695657"/>
    <w:rsid w:val="00695813"/>
    <w:rsid w:val="006A2136"/>
    <w:rsid w:val="006A3446"/>
    <w:rsid w:val="006A43F4"/>
    <w:rsid w:val="006A44CD"/>
    <w:rsid w:val="006A5B0C"/>
    <w:rsid w:val="006B08CC"/>
    <w:rsid w:val="006B0982"/>
    <w:rsid w:val="006B2407"/>
    <w:rsid w:val="006B27D3"/>
    <w:rsid w:val="006B466B"/>
    <w:rsid w:val="006B59DA"/>
    <w:rsid w:val="006B6289"/>
    <w:rsid w:val="006B73D7"/>
    <w:rsid w:val="006C06A6"/>
    <w:rsid w:val="006C0967"/>
    <w:rsid w:val="006C0FE7"/>
    <w:rsid w:val="006C13E8"/>
    <w:rsid w:val="006C1A3C"/>
    <w:rsid w:val="006C1B3C"/>
    <w:rsid w:val="006C1D85"/>
    <w:rsid w:val="006C315B"/>
    <w:rsid w:val="006C3D3D"/>
    <w:rsid w:val="006C687C"/>
    <w:rsid w:val="006D1387"/>
    <w:rsid w:val="006D2E3C"/>
    <w:rsid w:val="006D34B8"/>
    <w:rsid w:val="006D44B1"/>
    <w:rsid w:val="006D55C7"/>
    <w:rsid w:val="006D655D"/>
    <w:rsid w:val="006D669C"/>
    <w:rsid w:val="006D6BFC"/>
    <w:rsid w:val="006D6FF3"/>
    <w:rsid w:val="006D7400"/>
    <w:rsid w:val="006D7C45"/>
    <w:rsid w:val="006D7D00"/>
    <w:rsid w:val="006E0424"/>
    <w:rsid w:val="006E084C"/>
    <w:rsid w:val="006E159A"/>
    <w:rsid w:val="006E17A3"/>
    <w:rsid w:val="006E2077"/>
    <w:rsid w:val="006E35A6"/>
    <w:rsid w:val="006E396F"/>
    <w:rsid w:val="006E4030"/>
    <w:rsid w:val="006E40CA"/>
    <w:rsid w:val="006E57AC"/>
    <w:rsid w:val="006E5E9C"/>
    <w:rsid w:val="006E641E"/>
    <w:rsid w:val="006E7748"/>
    <w:rsid w:val="006E774C"/>
    <w:rsid w:val="006F1B73"/>
    <w:rsid w:val="006F44EC"/>
    <w:rsid w:val="006F6334"/>
    <w:rsid w:val="006F6A8F"/>
    <w:rsid w:val="006F77A2"/>
    <w:rsid w:val="006F7BE5"/>
    <w:rsid w:val="007003FE"/>
    <w:rsid w:val="00700571"/>
    <w:rsid w:val="00700F1B"/>
    <w:rsid w:val="007011CB"/>
    <w:rsid w:val="00701654"/>
    <w:rsid w:val="00701AFB"/>
    <w:rsid w:val="00702063"/>
    <w:rsid w:val="00703EF6"/>
    <w:rsid w:val="007072B5"/>
    <w:rsid w:val="007077AF"/>
    <w:rsid w:val="00707A53"/>
    <w:rsid w:val="00710A10"/>
    <w:rsid w:val="00711912"/>
    <w:rsid w:val="00711FEA"/>
    <w:rsid w:val="0071478E"/>
    <w:rsid w:val="00714BAC"/>
    <w:rsid w:val="00714FF4"/>
    <w:rsid w:val="00716D34"/>
    <w:rsid w:val="0072086C"/>
    <w:rsid w:val="00720FC9"/>
    <w:rsid w:val="00724201"/>
    <w:rsid w:val="00726400"/>
    <w:rsid w:val="00731C6B"/>
    <w:rsid w:val="00731D63"/>
    <w:rsid w:val="0073375B"/>
    <w:rsid w:val="00733EDF"/>
    <w:rsid w:val="007344BF"/>
    <w:rsid w:val="00741189"/>
    <w:rsid w:val="00742AEF"/>
    <w:rsid w:val="0074307D"/>
    <w:rsid w:val="00744912"/>
    <w:rsid w:val="00744ACE"/>
    <w:rsid w:val="00744B35"/>
    <w:rsid w:val="007453A4"/>
    <w:rsid w:val="0074616F"/>
    <w:rsid w:val="0075072B"/>
    <w:rsid w:val="00752AF2"/>
    <w:rsid w:val="00753D02"/>
    <w:rsid w:val="00755C0A"/>
    <w:rsid w:val="007569D2"/>
    <w:rsid w:val="00757631"/>
    <w:rsid w:val="00760C90"/>
    <w:rsid w:val="00761574"/>
    <w:rsid w:val="00764DB8"/>
    <w:rsid w:val="0076504B"/>
    <w:rsid w:val="0076584F"/>
    <w:rsid w:val="007673FC"/>
    <w:rsid w:val="00770987"/>
    <w:rsid w:val="00770C64"/>
    <w:rsid w:val="00772AC0"/>
    <w:rsid w:val="00773DB9"/>
    <w:rsid w:val="007751F4"/>
    <w:rsid w:val="007755DE"/>
    <w:rsid w:val="0077610C"/>
    <w:rsid w:val="00776B55"/>
    <w:rsid w:val="00776FDE"/>
    <w:rsid w:val="00777E30"/>
    <w:rsid w:val="00782364"/>
    <w:rsid w:val="00783FA5"/>
    <w:rsid w:val="00784202"/>
    <w:rsid w:val="007843C5"/>
    <w:rsid w:val="007849FB"/>
    <w:rsid w:val="00784CA0"/>
    <w:rsid w:val="00787D71"/>
    <w:rsid w:val="00791061"/>
    <w:rsid w:val="00791339"/>
    <w:rsid w:val="00791F7A"/>
    <w:rsid w:val="00793655"/>
    <w:rsid w:val="00793FB8"/>
    <w:rsid w:val="007947ED"/>
    <w:rsid w:val="00794D87"/>
    <w:rsid w:val="00795913"/>
    <w:rsid w:val="00795A2F"/>
    <w:rsid w:val="00795CD4"/>
    <w:rsid w:val="00796554"/>
    <w:rsid w:val="007A1AE8"/>
    <w:rsid w:val="007A1D35"/>
    <w:rsid w:val="007A2238"/>
    <w:rsid w:val="007A24D0"/>
    <w:rsid w:val="007A2EF6"/>
    <w:rsid w:val="007A489B"/>
    <w:rsid w:val="007A4E87"/>
    <w:rsid w:val="007A4F01"/>
    <w:rsid w:val="007A5847"/>
    <w:rsid w:val="007A5A89"/>
    <w:rsid w:val="007A7E8C"/>
    <w:rsid w:val="007B00C8"/>
    <w:rsid w:val="007B18E6"/>
    <w:rsid w:val="007B19FD"/>
    <w:rsid w:val="007B1A88"/>
    <w:rsid w:val="007B1ADE"/>
    <w:rsid w:val="007B1C69"/>
    <w:rsid w:val="007B1D68"/>
    <w:rsid w:val="007B292B"/>
    <w:rsid w:val="007B2BA0"/>
    <w:rsid w:val="007B5059"/>
    <w:rsid w:val="007B5D16"/>
    <w:rsid w:val="007B6C3E"/>
    <w:rsid w:val="007B7960"/>
    <w:rsid w:val="007C051F"/>
    <w:rsid w:val="007C1878"/>
    <w:rsid w:val="007C1F27"/>
    <w:rsid w:val="007C1FCE"/>
    <w:rsid w:val="007C2284"/>
    <w:rsid w:val="007C27DA"/>
    <w:rsid w:val="007C2D93"/>
    <w:rsid w:val="007C3556"/>
    <w:rsid w:val="007C3695"/>
    <w:rsid w:val="007C37A6"/>
    <w:rsid w:val="007C521A"/>
    <w:rsid w:val="007C73AF"/>
    <w:rsid w:val="007C765E"/>
    <w:rsid w:val="007D0BA9"/>
    <w:rsid w:val="007D196A"/>
    <w:rsid w:val="007D1A8D"/>
    <w:rsid w:val="007D2416"/>
    <w:rsid w:val="007D291F"/>
    <w:rsid w:val="007D2AE1"/>
    <w:rsid w:val="007D458B"/>
    <w:rsid w:val="007D4CBB"/>
    <w:rsid w:val="007D4E4C"/>
    <w:rsid w:val="007D50AB"/>
    <w:rsid w:val="007D51D2"/>
    <w:rsid w:val="007D6627"/>
    <w:rsid w:val="007D6B88"/>
    <w:rsid w:val="007D6DA0"/>
    <w:rsid w:val="007D7E56"/>
    <w:rsid w:val="007E00BD"/>
    <w:rsid w:val="007E05E8"/>
    <w:rsid w:val="007E06FC"/>
    <w:rsid w:val="007E0BD3"/>
    <w:rsid w:val="007E2FFF"/>
    <w:rsid w:val="007E635D"/>
    <w:rsid w:val="007E68E0"/>
    <w:rsid w:val="007E7ACB"/>
    <w:rsid w:val="007F0565"/>
    <w:rsid w:val="007F0A7E"/>
    <w:rsid w:val="007F0B6D"/>
    <w:rsid w:val="007F1315"/>
    <w:rsid w:val="007F1B41"/>
    <w:rsid w:val="007F586C"/>
    <w:rsid w:val="007F5BD7"/>
    <w:rsid w:val="007F5D51"/>
    <w:rsid w:val="007F69ED"/>
    <w:rsid w:val="007F7963"/>
    <w:rsid w:val="00800106"/>
    <w:rsid w:val="00800B4E"/>
    <w:rsid w:val="008012FE"/>
    <w:rsid w:val="008016DC"/>
    <w:rsid w:val="00801BE7"/>
    <w:rsid w:val="00801E55"/>
    <w:rsid w:val="00801EE2"/>
    <w:rsid w:val="00805758"/>
    <w:rsid w:val="00805A07"/>
    <w:rsid w:val="00807B52"/>
    <w:rsid w:val="00807D3B"/>
    <w:rsid w:val="00810519"/>
    <w:rsid w:val="0081086C"/>
    <w:rsid w:val="008145DE"/>
    <w:rsid w:val="00817172"/>
    <w:rsid w:val="008174F4"/>
    <w:rsid w:val="00820E7D"/>
    <w:rsid w:val="00821AFB"/>
    <w:rsid w:val="00823255"/>
    <w:rsid w:val="00823959"/>
    <w:rsid w:val="008240DF"/>
    <w:rsid w:val="0082479F"/>
    <w:rsid w:val="008251C8"/>
    <w:rsid w:val="00827055"/>
    <w:rsid w:val="0083040B"/>
    <w:rsid w:val="00831D09"/>
    <w:rsid w:val="0083277D"/>
    <w:rsid w:val="00832B1A"/>
    <w:rsid w:val="008342FA"/>
    <w:rsid w:val="008344A6"/>
    <w:rsid w:val="00834FC5"/>
    <w:rsid w:val="00840096"/>
    <w:rsid w:val="008403A6"/>
    <w:rsid w:val="0084042D"/>
    <w:rsid w:val="00842112"/>
    <w:rsid w:val="00842BBA"/>
    <w:rsid w:val="0084331E"/>
    <w:rsid w:val="00844431"/>
    <w:rsid w:val="008446EA"/>
    <w:rsid w:val="00846A3A"/>
    <w:rsid w:val="008476CF"/>
    <w:rsid w:val="00850680"/>
    <w:rsid w:val="008513A0"/>
    <w:rsid w:val="00851E47"/>
    <w:rsid w:val="00853EA4"/>
    <w:rsid w:val="0085405D"/>
    <w:rsid w:val="00854BFA"/>
    <w:rsid w:val="0085524E"/>
    <w:rsid w:val="008552E5"/>
    <w:rsid w:val="008564E0"/>
    <w:rsid w:val="00856B80"/>
    <w:rsid w:val="008624AB"/>
    <w:rsid w:val="00862516"/>
    <w:rsid w:val="008634B0"/>
    <w:rsid w:val="0086437F"/>
    <w:rsid w:val="008649B9"/>
    <w:rsid w:val="00864E7C"/>
    <w:rsid w:val="008651F4"/>
    <w:rsid w:val="008655F5"/>
    <w:rsid w:val="0086563E"/>
    <w:rsid w:val="00866648"/>
    <w:rsid w:val="00867683"/>
    <w:rsid w:val="008705EB"/>
    <w:rsid w:val="00873BFE"/>
    <w:rsid w:val="00876200"/>
    <w:rsid w:val="00876874"/>
    <w:rsid w:val="008777BD"/>
    <w:rsid w:val="00880046"/>
    <w:rsid w:val="00880054"/>
    <w:rsid w:val="00880EAC"/>
    <w:rsid w:val="0088191F"/>
    <w:rsid w:val="0088253C"/>
    <w:rsid w:val="008826FA"/>
    <w:rsid w:val="0088291F"/>
    <w:rsid w:val="008835BA"/>
    <w:rsid w:val="00884940"/>
    <w:rsid w:val="00886CDD"/>
    <w:rsid w:val="00887FB9"/>
    <w:rsid w:val="008900C0"/>
    <w:rsid w:val="00893251"/>
    <w:rsid w:val="00897AE0"/>
    <w:rsid w:val="00897D2C"/>
    <w:rsid w:val="00897F4B"/>
    <w:rsid w:val="008A1839"/>
    <w:rsid w:val="008A19F1"/>
    <w:rsid w:val="008A3DD7"/>
    <w:rsid w:val="008A41EB"/>
    <w:rsid w:val="008A461B"/>
    <w:rsid w:val="008A4F57"/>
    <w:rsid w:val="008A5583"/>
    <w:rsid w:val="008A676A"/>
    <w:rsid w:val="008A6C75"/>
    <w:rsid w:val="008B0534"/>
    <w:rsid w:val="008B0A53"/>
    <w:rsid w:val="008B24ED"/>
    <w:rsid w:val="008B4365"/>
    <w:rsid w:val="008B5D66"/>
    <w:rsid w:val="008B7500"/>
    <w:rsid w:val="008B7A42"/>
    <w:rsid w:val="008B7AB9"/>
    <w:rsid w:val="008C0138"/>
    <w:rsid w:val="008C0561"/>
    <w:rsid w:val="008C19DB"/>
    <w:rsid w:val="008C1F03"/>
    <w:rsid w:val="008C307E"/>
    <w:rsid w:val="008C40B8"/>
    <w:rsid w:val="008C4BA4"/>
    <w:rsid w:val="008C62E5"/>
    <w:rsid w:val="008C7C5B"/>
    <w:rsid w:val="008C7F8B"/>
    <w:rsid w:val="008C7FFB"/>
    <w:rsid w:val="008D084A"/>
    <w:rsid w:val="008D3506"/>
    <w:rsid w:val="008D516B"/>
    <w:rsid w:val="008D5964"/>
    <w:rsid w:val="008D6240"/>
    <w:rsid w:val="008D62D3"/>
    <w:rsid w:val="008D6575"/>
    <w:rsid w:val="008D6677"/>
    <w:rsid w:val="008E02BF"/>
    <w:rsid w:val="008E1203"/>
    <w:rsid w:val="008E174D"/>
    <w:rsid w:val="008E24B9"/>
    <w:rsid w:val="008E33BA"/>
    <w:rsid w:val="008E347C"/>
    <w:rsid w:val="008E34C4"/>
    <w:rsid w:val="008E3584"/>
    <w:rsid w:val="008E35C4"/>
    <w:rsid w:val="008E3662"/>
    <w:rsid w:val="008E37D3"/>
    <w:rsid w:val="008E3E75"/>
    <w:rsid w:val="008E4B08"/>
    <w:rsid w:val="008F018F"/>
    <w:rsid w:val="008F0CA1"/>
    <w:rsid w:val="008F263C"/>
    <w:rsid w:val="008F2EB2"/>
    <w:rsid w:val="008F4CDB"/>
    <w:rsid w:val="008F525C"/>
    <w:rsid w:val="008F6DE4"/>
    <w:rsid w:val="00900181"/>
    <w:rsid w:val="00900B6A"/>
    <w:rsid w:val="00904FBC"/>
    <w:rsid w:val="009062D0"/>
    <w:rsid w:val="00906585"/>
    <w:rsid w:val="009069DA"/>
    <w:rsid w:val="0091013A"/>
    <w:rsid w:val="0091021F"/>
    <w:rsid w:val="00911837"/>
    <w:rsid w:val="00911CA0"/>
    <w:rsid w:val="00911F62"/>
    <w:rsid w:val="00912C5B"/>
    <w:rsid w:val="00913183"/>
    <w:rsid w:val="00913B10"/>
    <w:rsid w:val="00913BFD"/>
    <w:rsid w:val="00914096"/>
    <w:rsid w:val="00914D60"/>
    <w:rsid w:val="0091593D"/>
    <w:rsid w:val="0091730E"/>
    <w:rsid w:val="00920A3D"/>
    <w:rsid w:val="009211D4"/>
    <w:rsid w:val="00921629"/>
    <w:rsid w:val="0092235F"/>
    <w:rsid w:val="00922B44"/>
    <w:rsid w:val="009243D3"/>
    <w:rsid w:val="009244D1"/>
    <w:rsid w:val="00924730"/>
    <w:rsid w:val="00927C60"/>
    <w:rsid w:val="009320A9"/>
    <w:rsid w:val="00934275"/>
    <w:rsid w:val="0093557C"/>
    <w:rsid w:val="00935849"/>
    <w:rsid w:val="0093716B"/>
    <w:rsid w:val="0094057B"/>
    <w:rsid w:val="009407EE"/>
    <w:rsid w:val="00940BFF"/>
    <w:rsid w:val="00941430"/>
    <w:rsid w:val="00941F51"/>
    <w:rsid w:val="0094272F"/>
    <w:rsid w:val="00944349"/>
    <w:rsid w:val="00944B01"/>
    <w:rsid w:val="00945ACE"/>
    <w:rsid w:val="00946D58"/>
    <w:rsid w:val="00947536"/>
    <w:rsid w:val="00950382"/>
    <w:rsid w:val="00951210"/>
    <w:rsid w:val="00952D42"/>
    <w:rsid w:val="00953310"/>
    <w:rsid w:val="00954560"/>
    <w:rsid w:val="00954D17"/>
    <w:rsid w:val="00955287"/>
    <w:rsid w:val="00955D1B"/>
    <w:rsid w:val="009573E9"/>
    <w:rsid w:val="00960113"/>
    <w:rsid w:val="009615D6"/>
    <w:rsid w:val="00962070"/>
    <w:rsid w:val="00962EEA"/>
    <w:rsid w:val="00962F7E"/>
    <w:rsid w:val="00963F75"/>
    <w:rsid w:val="009642D8"/>
    <w:rsid w:val="00964C4D"/>
    <w:rsid w:val="00964CA6"/>
    <w:rsid w:val="00964F3E"/>
    <w:rsid w:val="00965386"/>
    <w:rsid w:val="0096577F"/>
    <w:rsid w:val="00970896"/>
    <w:rsid w:val="009709AB"/>
    <w:rsid w:val="00970CA2"/>
    <w:rsid w:val="00971732"/>
    <w:rsid w:val="00971D29"/>
    <w:rsid w:val="00972EEA"/>
    <w:rsid w:val="009734DE"/>
    <w:rsid w:val="00974B7C"/>
    <w:rsid w:val="00975299"/>
    <w:rsid w:val="00975BF7"/>
    <w:rsid w:val="0097672A"/>
    <w:rsid w:val="009858BD"/>
    <w:rsid w:val="0099110F"/>
    <w:rsid w:val="009920BB"/>
    <w:rsid w:val="00992AA3"/>
    <w:rsid w:val="00995F14"/>
    <w:rsid w:val="0099603C"/>
    <w:rsid w:val="00997938"/>
    <w:rsid w:val="00997945"/>
    <w:rsid w:val="00997980"/>
    <w:rsid w:val="009A1355"/>
    <w:rsid w:val="009A2BF4"/>
    <w:rsid w:val="009A2D7C"/>
    <w:rsid w:val="009A3198"/>
    <w:rsid w:val="009A38A6"/>
    <w:rsid w:val="009A3A0A"/>
    <w:rsid w:val="009A4102"/>
    <w:rsid w:val="009A51FA"/>
    <w:rsid w:val="009A61E5"/>
    <w:rsid w:val="009B119E"/>
    <w:rsid w:val="009B2C5F"/>
    <w:rsid w:val="009B2FAB"/>
    <w:rsid w:val="009B3F24"/>
    <w:rsid w:val="009B45B7"/>
    <w:rsid w:val="009B4C10"/>
    <w:rsid w:val="009B5D80"/>
    <w:rsid w:val="009B68C1"/>
    <w:rsid w:val="009B7452"/>
    <w:rsid w:val="009B7499"/>
    <w:rsid w:val="009C0980"/>
    <w:rsid w:val="009C3301"/>
    <w:rsid w:val="009C3394"/>
    <w:rsid w:val="009C37DF"/>
    <w:rsid w:val="009C3BDC"/>
    <w:rsid w:val="009C45E9"/>
    <w:rsid w:val="009C55F7"/>
    <w:rsid w:val="009D0389"/>
    <w:rsid w:val="009D047B"/>
    <w:rsid w:val="009D12DD"/>
    <w:rsid w:val="009D14D9"/>
    <w:rsid w:val="009D37E1"/>
    <w:rsid w:val="009D4EF2"/>
    <w:rsid w:val="009D50B5"/>
    <w:rsid w:val="009D52FF"/>
    <w:rsid w:val="009D585B"/>
    <w:rsid w:val="009D6181"/>
    <w:rsid w:val="009D662D"/>
    <w:rsid w:val="009D6BF4"/>
    <w:rsid w:val="009D7CD7"/>
    <w:rsid w:val="009E0A42"/>
    <w:rsid w:val="009E4EEC"/>
    <w:rsid w:val="009E52E0"/>
    <w:rsid w:val="009E797B"/>
    <w:rsid w:val="009F484B"/>
    <w:rsid w:val="009F585D"/>
    <w:rsid w:val="009F596D"/>
    <w:rsid w:val="009F7DF1"/>
    <w:rsid w:val="00A002C7"/>
    <w:rsid w:val="00A01EF1"/>
    <w:rsid w:val="00A0382C"/>
    <w:rsid w:val="00A03F68"/>
    <w:rsid w:val="00A03F85"/>
    <w:rsid w:val="00A0476B"/>
    <w:rsid w:val="00A04ABA"/>
    <w:rsid w:val="00A055BB"/>
    <w:rsid w:val="00A05B4B"/>
    <w:rsid w:val="00A1002B"/>
    <w:rsid w:val="00A10F81"/>
    <w:rsid w:val="00A1153A"/>
    <w:rsid w:val="00A12EEE"/>
    <w:rsid w:val="00A13428"/>
    <w:rsid w:val="00A14ACD"/>
    <w:rsid w:val="00A15701"/>
    <w:rsid w:val="00A165D1"/>
    <w:rsid w:val="00A174A3"/>
    <w:rsid w:val="00A222F0"/>
    <w:rsid w:val="00A2231C"/>
    <w:rsid w:val="00A2424D"/>
    <w:rsid w:val="00A262DC"/>
    <w:rsid w:val="00A266F4"/>
    <w:rsid w:val="00A2714C"/>
    <w:rsid w:val="00A27539"/>
    <w:rsid w:val="00A27F4C"/>
    <w:rsid w:val="00A30DDF"/>
    <w:rsid w:val="00A3232A"/>
    <w:rsid w:val="00A33EFA"/>
    <w:rsid w:val="00A33FC3"/>
    <w:rsid w:val="00A343EA"/>
    <w:rsid w:val="00A34A8A"/>
    <w:rsid w:val="00A36B7E"/>
    <w:rsid w:val="00A40398"/>
    <w:rsid w:val="00A40435"/>
    <w:rsid w:val="00A40F40"/>
    <w:rsid w:val="00A42E64"/>
    <w:rsid w:val="00A438FA"/>
    <w:rsid w:val="00A43D09"/>
    <w:rsid w:val="00A43D23"/>
    <w:rsid w:val="00A43F5A"/>
    <w:rsid w:val="00A44518"/>
    <w:rsid w:val="00A448A7"/>
    <w:rsid w:val="00A45DA6"/>
    <w:rsid w:val="00A47801"/>
    <w:rsid w:val="00A478C3"/>
    <w:rsid w:val="00A51ABB"/>
    <w:rsid w:val="00A524A2"/>
    <w:rsid w:val="00A5420E"/>
    <w:rsid w:val="00A552BF"/>
    <w:rsid w:val="00A56758"/>
    <w:rsid w:val="00A57C5B"/>
    <w:rsid w:val="00A61B44"/>
    <w:rsid w:val="00A61D22"/>
    <w:rsid w:val="00A6256A"/>
    <w:rsid w:val="00A62901"/>
    <w:rsid w:val="00A638D3"/>
    <w:rsid w:val="00A638DE"/>
    <w:rsid w:val="00A65EC8"/>
    <w:rsid w:val="00A660B7"/>
    <w:rsid w:val="00A67737"/>
    <w:rsid w:val="00A6780F"/>
    <w:rsid w:val="00A738FF"/>
    <w:rsid w:val="00A746AF"/>
    <w:rsid w:val="00A75A11"/>
    <w:rsid w:val="00A76298"/>
    <w:rsid w:val="00A762A9"/>
    <w:rsid w:val="00A778DA"/>
    <w:rsid w:val="00A77D33"/>
    <w:rsid w:val="00A77DBD"/>
    <w:rsid w:val="00A80FC6"/>
    <w:rsid w:val="00A81F0B"/>
    <w:rsid w:val="00A83D3D"/>
    <w:rsid w:val="00A84146"/>
    <w:rsid w:val="00A842BB"/>
    <w:rsid w:val="00A84324"/>
    <w:rsid w:val="00A8619C"/>
    <w:rsid w:val="00A8695A"/>
    <w:rsid w:val="00A87368"/>
    <w:rsid w:val="00A90138"/>
    <w:rsid w:val="00A90B66"/>
    <w:rsid w:val="00A90D0C"/>
    <w:rsid w:val="00A91960"/>
    <w:rsid w:val="00A91C1D"/>
    <w:rsid w:val="00A91D5B"/>
    <w:rsid w:val="00A945EB"/>
    <w:rsid w:val="00A9491B"/>
    <w:rsid w:val="00A9536C"/>
    <w:rsid w:val="00A96941"/>
    <w:rsid w:val="00A96A15"/>
    <w:rsid w:val="00A97583"/>
    <w:rsid w:val="00A977FB"/>
    <w:rsid w:val="00A978A7"/>
    <w:rsid w:val="00A97BC9"/>
    <w:rsid w:val="00AA1758"/>
    <w:rsid w:val="00AA1D23"/>
    <w:rsid w:val="00AA3819"/>
    <w:rsid w:val="00AA4062"/>
    <w:rsid w:val="00AA4213"/>
    <w:rsid w:val="00AA45D0"/>
    <w:rsid w:val="00AA49B2"/>
    <w:rsid w:val="00AA5B00"/>
    <w:rsid w:val="00AA6AB0"/>
    <w:rsid w:val="00AA7E09"/>
    <w:rsid w:val="00AB0EB3"/>
    <w:rsid w:val="00AB0FD1"/>
    <w:rsid w:val="00AB1D5A"/>
    <w:rsid w:val="00AB4BE9"/>
    <w:rsid w:val="00AB583A"/>
    <w:rsid w:val="00AB597F"/>
    <w:rsid w:val="00AB72BF"/>
    <w:rsid w:val="00AC06A7"/>
    <w:rsid w:val="00AC159C"/>
    <w:rsid w:val="00AC1774"/>
    <w:rsid w:val="00AC2156"/>
    <w:rsid w:val="00AC3A2A"/>
    <w:rsid w:val="00AC5E05"/>
    <w:rsid w:val="00AC6A27"/>
    <w:rsid w:val="00AD1284"/>
    <w:rsid w:val="00AD1D4F"/>
    <w:rsid w:val="00AD1F9B"/>
    <w:rsid w:val="00AD3AAB"/>
    <w:rsid w:val="00AD3C96"/>
    <w:rsid w:val="00AD5959"/>
    <w:rsid w:val="00AD6FA8"/>
    <w:rsid w:val="00AD700E"/>
    <w:rsid w:val="00AD75A0"/>
    <w:rsid w:val="00AE1D2F"/>
    <w:rsid w:val="00AE29AD"/>
    <w:rsid w:val="00AE3643"/>
    <w:rsid w:val="00AE383E"/>
    <w:rsid w:val="00AE3D9B"/>
    <w:rsid w:val="00AE513E"/>
    <w:rsid w:val="00AE567E"/>
    <w:rsid w:val="00AE582D"/>
    <w:rsid w:val="00AF00DD"/>
    <w:rsid w:val="00AF01D5"/>
    <w:rsid w:val="00AF2BBE"/>
    <w:rsid w:val="00AF35C9"/>
    <w:rsid w:val="00AF3FDA"/>
    <w:rsid w:val="00AF50BF"/>
    <w:rsid w:val="00AF56AA"/>
    <w:rsid w:val="00AF6C2A"/>
    <w:rsid w:val="00AF6F23"/>
    <w:rsid w:val="00B00257"/>
    <w:rsid w:val="00B00A03"/>
    <w:rsid w:val="00B01BE3"/>
    <w:rsid w:val="00B058F2"/>
    <w:rsid w:val="00B104D6"/>
    <w:rsid w:val="00B10F8F"/>
    <w:rsid w:val="00B1183C"/>
    <w:rsid w:val="00B1186F"/>
    <w:rsid w:val="00B120FA"/>
    <w:rsid w:val="00B12464"/>
    <w:rsid w:val="00B12690"/>
    <w:rsid w:val="00B128DF"/>
    <w:rsid w:val="00B12D91"/>
    <w:rsid w:val="00B1596D"/>
    <w:rsid w:val="00B15B07"/>
    <w:rsid w:val="00B1627F"/>
    <w:rsid w:val="00B162D3"/>
    <w:rsid w:val="00B16DA4"/>
    <w:rsid w:val="00B17FA4"/>
    <w:rsid w:val="00B20C66"/>
    <w:rsid w:val="00B21136"/>
    <w:rsid w:val="00B2270F"/>
    <w:rsid w:val="00B24617"/>
    <w:rsid w:val="00B27565"/>
    <w:rsid w:val="00B31329"/>
    <w:rsid w:val="00B32D0F"/>
    <w:rsid w:val="00B33D6D"/>
    <w:rsid w:val="00B35105"/>
    <w:rsid w:val="00B35408"/>
    <w:rsid w:val="00B367A9"/>
    <w:rsid w:val="00B40567"/>
    <w:rsid w:val="00B40A02"/>
    <w:rsid w:val="00B40D10"/>
    <w:rsid w:val="00B41092"/>
    <w:rsid w:val="00B416C5"/>
    <w:rsid w:val="00B41D90"/>
    <w:rsid w:val="00B41ED3"/>
    <w:rsid w:val="00B42814"/>
    <w:rsid w:val="00B44821"/>
    <w:rsid w:val="00B44DD5"/>
    <w:rsid w:val="00B450AC"/>
    <w:rsid w:val="00B45C41"/>
    <w:rsid w:val="00B46790"/>
    <w:rsid w:val="00B47871"/>
    <w:rsid w:val="00B50018"/>
    <w:rsid w:val="00B50332"/>
    <w:rsid w:val="00B52663"/>
    <w:rsid w:val="00B529C2"/>
    <w:rsid w:val="00B536FE"/>
    <w:rsid w:val="00B53A5F"/>
    <w:rsid w:val="00B552CE"/>
    <w:rsid w:val="00B55567"/>
    <w:rsid w:val="00B55D39"/>
    <w:rsid w:val="00B560E7"/>
    <w:rsid w:val="00B561DE"/>
    <w:rsid w:val="00B624D0"/>
    <w:rsid w:val="00B631BF"/>
    <w:rsid w:val="00B63D54"/>
    <w:rsid w:val="00B63F74"/>
    <w:rsid w:val="00B6590D"/>
    <w:rsid w:val="00B66DC6"/>
    <w:rsid w:val="00B66EB7"/>
    <w:rsid w:val="00B67013"/>
    <w:rsid w:val="00B6775E"/>
    <w:rsid w:val="00B67AC7"/>
    <w:rsid w:val="00B7042D"/>
    <w:rsid w:val="00B70F74"/>
    <w:rsid w:val="00B70F96"/>
    <w:rsid w:val="00B73BA3"/>
    <w:rsid w:val="00B761FE"/>
    <w:rsid w:val="00B7661B"/>
    <w:rsid w:val="00B771C5"/>
    <w:rsid w:val="00B77CC5"/>
    <w:rsid w:val="00B77F36"/>
    <w:rsid w:val="00B81E55"/>
    <w:rsid w:val="00B82477"/>
    <w:rsid w:val="00B825FA"/>
    <w:rsid w:val="00B82D95"/>
    <w:rsid w:val="00B83F9F"/>
    <w:rsid w:val="00B84303"/>
    <w:rsid w:val="00B847D6"/>
    <w:rsid w:val="00B85B60"/>
    <w:rsid w:val="00B87FB8"/>
    <w:rsid w:val="00B929D1"/>
    <w:rsid w:val="00B93FDF"/>
    <w:rsid w:val="00B94A68"/>
    <w:rsid w:val="00B94AFE"/>
    <w:rsid w:val="00B94D26"/>
    <w:rsid w:val="00B94EA9"/>
    <w:rsid w:val="00B9556A"/>
    <w:rsid w:val="00B95D76"/>
    <w:rsid w:val="00B95FB7"/>
    <w:rsid w:val="00B9675E"/>
    <w:rsid w:val="00B96F1A"/>
    <w:rsid w:val="00B97CC6"/>
    <w:rsid w:val="00BA0B41"/>
    <w:rsid w:val="00BA0B9C"/>
    <w:rsid w:val="00BA17B4"/>
    <w:rsid w:val="00BA2D4E"/>
    <w:rsid w:val="00BA3B82"/>
    <w:rsid w:val="00BA3FBE"/>
    <w:rsid w:val="00BA4E61"/>
    <w:rsid w:val="00BA52FD"/>
    <w:rsid w:val="00BA7845"/>
    <w:rsid w:val="00BA7BFD"/>
    <w:rsid w:val="00BB2BE9"/>
    <w:rsid w:val="00BB4D1A"/>
    <w:rsid w:val="00BB5842"/>
    <w:rsid w:val="00BB5B33"/>
    <w:rsid w:val="00BB6903"/>
    <w:rsid w:val="00BB72F8"/>
    <w:rsid w:val="00BB76BB"/>
    <w:rsid w:val="00BC0541"/>
    <w:rsid w:val="00BC1B87"/>
    <w:rsid w:val="00BC2856"/>
    <w:rsid w:val="00BC2FBF"/>
    <w:rsid w:val="00BC3241"/>
    <w:rsid w:val="00BC4062"/>
    <w:rsid w:val="00BC4581"/>
    <w:rsid w:val="00BC461F"/>
    <w:rsid w:val="00BC52A7"/>
    <w:rsid w:val="00BC54B0"/>
    <w:rsid w:val="00BC564B"/>
    <w:rsid w:val="00BC5F9C"/>
    <w:rsid w:val="00BC5FC2"/>
    <w:rsid w:val="00BD0A35"/>
    <w:rsid w:val="00BD1544"/>
    <w:rsid w:val="00BD1B4C"/>
    <w:rsid w:val="00BD3213"/>
    <w:rsid w:val="00BD4724"/>
    <w:rsid w:val="00BD53F4"/>
    <w:rsid w:val="00BD648D"/>
    <w:rsid w:val="00BD7AE7"/>
    <w:rsid w:val="00BD7F9A"/>
    <w:rsid w:val="00BE0969"/>
    <w:rsid w:val="00BE0E87"/>
    <w:rsid w:val="00BE15F6"/>
    <w:rsid w:val="00BE1E66"/>
    <w:rsid w:val="00BE1E90"/>
    <w:rsid w:val="00BE2324"/>
    <w:rsid w:val="00BE2844"/>
    <w:rsid w:val="00BE2884"/>
    <w:rsid w:val="00BE29C4"/>
    <w:rsid w:val="00BE408A"/>
    <w:rsid w:val="00BE76E2"/>
    <w:rsid w:val="00BF17A4"/>
    <w:rsid w:val="00BF1D2D"/>
    <w:rsid w:val="00BF3C12"/>
    <w:rsid w:val="00BF5772"/>
    <w:rsid w:val="00BF794C"/>
    <w:rsid w:val="00C01289"/>
    <w:rsid w:val="00C02AB8"/>
    <w:rsid w:val="00C04CE6"/>
    <w:rsid w:val="00C04FF9"/>
    <w:rsid w:val="00C05CAA"/>
    <w:rsid w:val="00C0671C"/>
    <w:rsid w:val="00C07C66"/>
    <w:rsid w:val="00C108D2"/>
    <w:rsid w:val="00C117B4"/>
    <w:rsid w:val="00C11952"/>
    <w:rsid w:val="00C11C24"/>
    <w:rsid w:val="00C12E00"/>
    <w:rsid w:val="00C13745"/>
    <w:rsid w:val="00C13F22"/>
    <w:rsid w:val="00C16A7B"/>
    <w:rsid w:val="00C20AC9"/>
    <w:rsid w:val="00C22BAD"/>
    <w:rsid w:val="00C23CFE"/>
    <w:rsid w:val="00C24FEF"/>
    <w:rsid w:val="00C25337"/>
    <w:rsid w:val="00C25D0B"/>
    <w:rsid w:val="00C2640E"/>
    <w:rsid w:val="00C26653"/>
    <w:rsid w:val="00C31155"/>
    <w:rsid w:val="00C31374"/>
    <w:rsid w:val="00C322C1"/>
    <w:rsid w:val="00C34BA1"/>
    <w:rsid w:val="00C35531"/>
    <w:rsid w:val="00C35715"/>
    <w:rsid w:val="00C35A5B"/>
    <w:rsid w:val="00C36623"/>
    <w:rsid w:val="00C37BAD"/>
    <w:rsid w:val="00C43C1E"/>
    <w:rsid w:val="00C43F8D"/>
    <w:rsid w:val="00C47614"/>
    <w:rsid w:val="00C479F8"/>
    <w:rsid w:val="00C50A4B"/>
    <w:rsid w:val="00C518EF"/>
    <w:rsid w:val="00C51CAA"/>
    <w:rsid w:val="00C526E6"/>
    <w:rsid w:val="00C529E7"/>
    <w:rsid w:val="00C52DC7"/>
    <w:rsid w:val="00C55209"/>
    <w:rsid w:val="00C561F1"/>
    <w:rsid w:val="00C6030E"/>
    <w:rsid w:val="00C61B53"/>
    <w:rsid w:val="00C62400"/>
    <w:rsid w:val="00C62778"/>
    <w:rsid w:val="00C62F3E"/>
    <w:rsid w:val="00C63855"/>
    <w:rsid w:val="00C645B4"/>
    <w:rsid w:val="00C65445"/>
    <w:rsid w:val="00C65970"/>
    <w:rsid w:val="00C669C7"/>
    <w:rsid w:val="00C672A2"/>
    <w:rsid w:val="00C673A7"/>
    <w:rsid w:val="00C67EFA"/>
    <w:rsid w:val="00C707F7"/>
    <w:rsid w:val="00C70B54"/>
    <w:rsid w:val="00C715BA"/>
    <w:rsid w:val="00C728C1"/>
    <w:rsid w:val="00C72BC2"/>
    <w:rsid w:val="00C73B66"/>
    <w:rsid w:val="00C742B5"/>
    <w:rsid w:val="00C74518"/>
    <w:rsid w:val="00C75BE3"/>
    <w:rsid w:val="00C803ED"/>
    <w:rsid w:val="00C80E84"/>
    <w:rsid w:val="00C81288"/>
    <w:rsid w:val="00C82134"/>
    <w:rsid w:val="00C8267D"/>
    <w:rsid w:val="00C83A49"/>
    <w:rsid w:val="00C8491C"/>
    <w:rsid w:val="00C85FEE"/>
    <w:rsid w:val="00C8750E"/>
    <w:rsid w:val="00C91AFB"/>
    <w:rsid w:val="00C92166"/>
    <w:rsid w:val="00C922F6"/>
    <w:rsid w:val="00C96370"/>
    <w:rsid w:val="00C96396"/>
    <w:rsid w:val="00C964BE"/>
    <w:rsid w:val="00C96E66"/>
    <w:rsid w:val="00CA05D3"/>
    <w:rsid w:val="00CA1BD0"/>
    <w:rsid w:val="00CA40EB"/>
    <w:rsid w:val="00CA5AC5"/>
    <w:rsid w:val="00CA600E"/>
    <w:rsid w:val="00CA6D49"/>
    <w:rsid w:val="00CA7880"/>
    <w:rsid w:val="00CB1A5F"/>
    <w:rsid w:val="00CB2309"/>
    <w:rsid w:val="00CB26BF"/>
    <w:rsid w:val="00CB322A"/>
    <w:rsid w:val="00CB3BDF"/>
    <w:rsid w:val="00CB3E80"/>
    <w:rsid w:val="00CB530F"/>
    <w:rsid w:val="00CB7438"/>
    <w:rsid w:val="00CC03C0"/>
    <w:rsid w:val="00CC08A5"/>
    <w:rsid w:val="00CC118F"/>
    <w:rsid w:val="00CC11EF"/>
    <w:rsid w:val="00CC1893"/>
    <w:rsid w:val="00CC2392"/>
    <w:rsid w:val="00CC2A7E"/>
    <w:rsid w:val="00CC2DB3"/>
    <w:rsid w:val="00CC3517"/>
    <w:rsid w:val="00CC36D2"/>
    <w:rsid w:val="00CC50D4"/>
    <w:rsid w:val="00CC6878"/>
    <w:rsid w:val="00CD04CF"/>
    <w:rsid w:val="00CD1032"/>
    <w:rsid w:val="00CD1093"/>
    <w:rsid w:val="00CD1202"/>
    <w:rsid w:val="00CD13C8"/>
    <w:rsid w:val="00CD1B38"/>
    <w:rsid w:val="00CD2514"/>
    <w:rsid w:val="00CD2977"/>
    <w:rsid w:val="00CD2CC4"/>
    <w:rsid w:val="00CD2F88"/>
    <w:rsid w:val="00CD404E"/>
    <w:rsid w:val="00CD4B88"/>
    <w:rsid w:val="00CD596F"/>
    <w:rsid w:val="00CD5ED3"/>
    <w:rsid w:val="00CD721C"/>
    <w:rsid w:val="00CE0B64"/>
    <w:rsid w:val="00CE0F12"/>
    <w:rsid w:val="00CE1468"/>
    <w:rsid w:val="00CE1D22"/>
    <w:rsid w:val="00CE4017"/>
    <w:rsid w:val="00CE67C3"/>
    <w:rsid w:val="00CE6996"/>
    <w:rsid w:val="00CE6CB4"/>
    <w:rsid w:val="00CF034D"/>
    <w:rsid w:val="00CF0C77"/>
    <w:rsid w:val="00CF13EB"/>
    <w:rsid w:val="00CF1461"/>
    <w:rsid w:val="00CF1545"/>
    <w:rsid w:val="00CF1A36"/>
    <w:rsid w:val="00CF3832"/>
    <w:rsid w:val="00CF4600"/>
    <w:rsid w:val="00CF5749"/>
    <w:rsid w:val="00CF5CDA"/>
    <w:rsid w:val="00CF621F"/>
    <w:rsid w:val="00CF70E6"/>
    <w:rsid w:val="00D00D9D"/>
    <w:rsid w:val="00D014A5"/>
    <w:rsid w:val="00D0157F"/>
    <w:rsid w:val="00D01848"/>
    <w:rsid w:val="00D01D95"/>
    <w:rsid w:val="00D03409"/>
    <w:rsid w:val="00D035C5"/>
    <w:rsid w:val="00D0373E"/>
    <w:rsid w:val="00D03C6B"/>
    <w:rsid w:val="00D03F3B"/>
    <w:rsid w:val="00D04A60"/>
    <w:rsid w:val="00D05201"/>
    <w:rsid w:val="00D06EB3"/>
    <w:rsid w:val="00D07ADB"/>
    <w:rsid w:val="00D07E40"/>
    <w:rsid w:val="00D10810"/>
    <w:rsid w:val="00D10EA8"/>
    <w:rsid w:val="00D116C9"/>
    <w:rsid w:val="00D11B09"/>
    <w:rsid w:val="00D144E8"/>
    <w:rsid w:val="00D1572D"/>
    <w:rsid w:val="00D159E7"/>
    <w:rsid w:val="00D174D5"/>
    <w:rsid w:val="00D17BE4"/>
    <w:rsid w:val="00D17BEA"/>
    <w:rsid w:val="00D20746"/>
    <w:rsid w:val="00D211C2"/>
    <w:rsid w:val="00D21C30"/>
    <w:rsid w:val="00D2243D"/>
    <w:rsid w:val="00D2269E"/>
    <w:rsid w:val="00D229CA"/>
    <w:rsid w:val="00D22EAC"/>
    <w:rsid w:val="00D24C12"/>
    <w:rsid w:val="00D24EEE"/>
    <w:rsid w:val="00D25C9C"/>
    <w:rsid w:val="00D265EF"/>
    <w:rsid w:val="00D3052C"/>
    <w:rsid w:val="00D311F0"/>
    <w:rsid w:val="00D31FCC"/>
    <w:rsid w:val="00D32963"/>
    <w:rsid w:val="00D331D2"/>
    <w:rsid w:val="00D34DE9"/>
    <w:rsid w:val="00D36166"/>
    <w:rsid w:val="00D369F9"/>
    <w:rsid w:val="00D37BFA"/>
    <w:rsid w:val="00D37D90"/>
    <w:rsid w:val="00D40A66"/>
    <w:rsid w:val="00D412D5"/>
    <w:rsid w:val="00D41ECC"/>
    <w:rsid w:val="00D42BAF"/>
    <w:rsid w:val="00D44318"/>
    <w:rsid w:val="00D44950"/>
    <w:rsid w:val="00D44DAA"/>
    <w:rsid w:val="00D46396"/>
    <w:rsid w:val="00D47061"/>
    <w:rsid w:val="00D479CB"/>
    <w:rsid w:val="00D50B4F"/>
    <w:rsid w:val="00D50DCE"/>
    <w:rsid w:val="00D50E0C"/>
    <w:rsid w:val="00D513D4"/>
    <w:rsid w:val="00D51647"/>
    <w:rsid w:val="00D51888"/>
    <w:rsid w:val="00D51A58"/>
    <w:rsid w:val="00D5301D"/>
    <w:rsid w:val="00D54115"/>
    <w:rsid w:val="00D54980"/>
    <w:rsid w:val="00D54BD3"/>
    <w:rsid w:val="00D55A66"/>
    <w:rsid w:val="00D55B50"/>
    <w:rsid w:val="00D56A70"/>
    <w:rsid w:val="00D56DD1"/>
    <w:rsid w:val="00D5746A"/>
    <w:rsid w:val="00D607A5"/>
    <w:rsid w:val="00D60DF8"/>
    <w:rsid w:val="00D611EB"/>
    <w:rsid w:val="00D612E6"/>
    <w:rsid w:val="00D639B6"/>
    <w:rsid w:val="00D63E61"/>
    <w:rsid w:val="00D64470"/>
    <w:rsid w:val="00D64BD4"/>
    <w:rsid w:val="00D658B0"/>
    <w:rsid w:val="00D65DE2"/>
    <w:rsid w:val="00D66EA5"/>
    <w:rsid w:val="00D67735"/>
    <w:rsid w:val="00D7084D"/>
    <w:rsid w:val="00D70AE3"/>
    <w:rsid w:val="00D74033"/>
    <w:rsid w:val="00D74CCB"/>
    <w:rsid w:val="00D75D2D"/>
    <w:rsid w:val="00D767F3"/>
    <w:rsid w:val="00D77C71"/>
    <w:rsid w:val="00D80130"/>
    <w:rsid w:val="00D8224C"/>
    <w:rsid w:val="00D82532"/>
    <w:rsid w:val="00D82B06"/>
    <w:rsid w:val="00D839A7"/>
    <w:rsid w:val="00D861AA"/>
    <w:rsid w:val="00D87E3E"/>
    <w:rsid w:val="00D921DD"/>
    <w:rsid w:val="00D9355A"/>
    <w:rsid w:val="00D9391F"/>
    <w:rsid w:val="00D95E3C"/>
    <w:rsid w:val="00D96C0E"/>
    <w:rsid w:val="00D971E3"/>
    <w:rsid w:val="00D97682"/>
    <w:rsid w:val="00D97DF8"/>
    <w:rsid w:val="00DA029A"/>
    <w:rsid w:val="00DA266E"/>
    <w:rsid w:val="00DA3797"/>
    <w:rsid w:val="00DA4039"/>
    <w:rsid w:val="00DA4BF2"/>
    <w:rsid w:val="00DA52D7"/>
    <w:rsid w:val="00DA58C6"/>
    <w:rsid w:val="00DA6DCE"/>
    <w:rsid w:val="00DB07F6"/>
    <w:rsid w:val="00DB0EC8"/>
    <w:rsid w:val="00DB1653"/>
    <w:rsid w:val="00DB330F"/>
    <w:rsid w:val="00DB3BA9"/>
    <w:rsid w:val="00DB4A04"/>
    <w:rsid w:val="00DB54E2"/>
    <w:rsid w:val="00DB5782"/>
    <w:rsid w:val="00DB684A"/>
    <w:rsid w:val="00DB718F"/>
    <w:rsid w:val="00DB72AC"/>
    <w:rsid w:val="00DB72BC"/>
    <w:rsid w:val="00DB7C77"/>
    <w:rsid w:val="00DB7EA8"/>
    <w:rsid w:val="00DC292A"/>
    <w:rsid w:val="00DC2A1F"/>
    <w:rsid w:val="00DC4AB7"/>
    <w:rsid w:val="00DC5C02"/>
    <w:rsid w:val="00DC6A40"/>
    <w:rsid w:val="00DC7A39"/>
    <w:rsid w:val="00DD223B"/>
    <w:rsid w:val="00DD3203"/>
    <w:rsid w:val="00DD3BE0"/>
    <w:rsid w:val="00DD4125"/>
    <w:rsid w:val="00DD4946"/>
    <w:rsid w:val="00DD4D21"/>
    <w:rsid w:val="00DD5B8B"/>
    <w:rsid w:val="00DD5C52"/>
    <w:rsid w:val="00DD5C70"/>
    <w:rsid w:val="00DD61EC"/>
    <w:rsid w:val="00DD6567"/>
    <w:rsid w:val="00DD7000"/>
    <w:rsid w:val="00DD734C"/>
    <w:rsid w:val="00DD78FA"/>
    <w:rsid w:val="00DD7BE9"/>
    <w:rsid w:val="00DE0154"/>
    <w:rsid w:val="00DE14D4"/>
    <w:rsid w:val="00DE18F8"/>
    <w:rsid w:val="00DE4EB6"/>
    <w:rsid w:val="00DE5879"/>
    <w:rsid w:val="00DE6EC9"/>
    <w:rsid w:val="00DF0A94"/>
    <w:rsid w:val="00DF1A09"/>
    <w:rsid w:val="00DF4E77"/>
    <w:rsid w:val="00DF4EA6"/>
    <w:rsid w:val="00DF5F9A"/>
    <w:rsid w:val="00DF6534"/>
    <w:rsid w:val="00DF67CA"/>
    <w:rsid w:val="00DF67DA"/>
    <w:rsid w:val="00E00254"/>
    <w:rsid w:val="00E006FE"/>
    <w:rsid w:val="00E00FBD"/>
    <w:rsid w:val="00E0139A"/>
    <w:rsid w:val="00E0173A"/>
    <w:rsid w:val="00E022A6"/>
    <w:rsid w:val="00E02ACC"/>
    <w:rsid w:val="00E04B4F"/>
    <w:rsid w:val="00E05536"/>
    <w:rsid w:val="00E05BBC"/>
    <w:rsid w:val="00E1300D"/>
    <w:rsid w:val="00E13A91"/>
    <w:rsid w:val="00E164A0"/>
    <w:rsid w:val="00E1689F"/>
    <w:rsid w:val="00E174F9"/>
    <w:rsid w:val="00E179B4"/>
    <w:rsid w:val="00E17FE8"/>
    <w:rsid w:val="00E202C4"/>
    <w:rsid w:val="00E21665"/>
    <w:rsid w:val="00E21D8C"/>
    <w:rsid w:val="00E235EF"/>
    <w:rsid w:val="00E23AB2"/>
    <w:rsid w:val="00E24458"/>
    <w:rsid w:val="00E24B23"/>
    <w:rsid w:val="00E27C2F"/>
    <w:rsid w:val="00E30BAC"/>
    <w:rsid w:val="00E30C99"/>
    <w:rsid w:val="00E3153E"/>
    <w:rsid w:val="00E3235F"/>
    <w:rsid w:val="00E326A8"/>
    <w:rsid w:val="00E326EF"/>
    <w:rsid w:val="00E32854"/>
    <w:rsid w:val="00E32D08"/>
    <w:rsid w:val="00E33A6D"/>
    <w:rsid w:val="00E359B8"/>
    <w:rsid w:val="00E36DB0"/>
    <w:rsid w:val="00E36E2A"/>
    <w:rsid w:val="00E37661"/>
    <w:rsid w:val="00E37DDD"/>
    <w:rsid w:val="00E400C1"/>
    <w:rsid w:val="00E4066D"/>
    <w:rsid w:val="00E424F8"/>
    <w:rsid w:val="00E433A8"/>
    <w:rsid w:val="00E44373"/>
    <w:rsid w:val="00E50629"/>
    <w:rsid w:val="00E5091A"/>
    <w:rsid w:val="00E50E9E"/>
    <w:rsid w:val="00E514BF"/>
    <w:rsid w:val="00E5388D"/>
    <w:rsid w:val="00E53D7F"/>
    <w:rsid w:val="00E5779A"/>
    <w:rsid w:val="00E61993"/>
    <w:rsid w:val="00E61C2C"/>
    <w:rsid w:val="00E6219B"/>
    <w:rsid w:val="00E63DA5"/>
    <w:rsid w:val="00E64D6F"/>
    <w:rsid w:val="00E663C6"/>
    <w:rsid w:val="00E71D61"/>
    <w:rsid w:val="00E71E0F"/>
    <w:rsid w:val="00E7400B"/>
    <w:rsid w:val="00E742F9"/>
    <w:rsid w:val="00E74EED"/>
    <w:rsid w:val="00E757EF"/>
    <w:rsid w:val="00E76DA2"/>
    <w:rsid w:val="00E7708E"/>
    <w:rsid w:val="00E807C8"/>
    <w:rsid w:val="00E81C92"/>
    <w:rsid w:val="00E81D38"/>
    <w:rsid w:val="00E85955"/>
    <w:rsid w:val="00E86734"/>
    <w:rsid w:val="00E87BC0"/>
    <w:rsid w:val="00E87E64"/>
    <w:rsid w:val="00E91080"/>
    <w:rsid w:val="00E911AA"/>
    <w:rsid w:val="00E912B0"/>
    <w:rsid w:val="00E915BE"/>
    <w:rsid w:val="00E9395D"/>
    <w:rsid w:val="00E93C14"/>
    <w:rsid w:val="00E9441B"/>
    <w:rsid w:val="00E97CA1"/>
    <w:rsid w:val="00EA015C"/>
    <w:rsid w:val="00EA01BA"/>
    <w:rsid w:val="00EA0885"/>
    <w:rsid w:val="00EA1000"/>
    <w:rsid w:val="00EA29D7"/>
    <w:rsid w:val="00EA2EB6"/>
    <w:rsid w:val="00EA38D5"/>
    <w:rsid w:val="00EA3997"/>
    <w:rsid w:val="00EA55A8"/>
    <w:rsid w:val="00EB0673"/>
    <w:rsid w:val="00EB1CA4"/>
    <w:rsid w:val="00EB26D5"/>
    <w:rsid w:val="00EB2A6C"/>
    <w:rsid w:val="00EB2AAB"/>
    <w:rsid w:val="00EB2D23"/>
    <w:rsid w:val="00EB3C25"/>
    <w:rsid w:val="00EB5423"/>
    <w:rsid w:val="00EB5FC9"/>
    <w:rsid w:val="00EB63D0"/>
    <w:rsid w:val="00EB6C3C"/>
    <w:rsid w:val="00EB71EA"/>
    <w:rsid w:val="00EC172B"/>
    <w:rsid w:val="00EC3B6D"/>
    <w:rsid w:val="00EC3FF1"/>
    <w:rsid w:val="00EC44A5"/>
    <w:rsid w:val="00EC50F8"/>
    <w:rsid w:val="00EC5DC7"/>
    <w:rsid w:val="00EC716B"/>
    <w:rsid w:val="00EC7CE5"/>
    <w:rsid w:val="00ED1F2F"/>
    <w:rsid w:val="00ED3CFC"/>
    <w:rsid w:val="00ED3E4A"/>
    <w:rsid w:val="00ED51F2"/>
    <w:rsid w:val="00ED5594"/>
    <w:rsid w:val="00ED61B1"/>
    <w:rsid w:val="00ED6421"/>
    <w:rsid w:val="00ED6532"/>
    <w:rsid w:val="00ED72F3"/>
    <w:rsid w:val="00EE0030"/>
    <w:rsid w:val="00EE08D6"/>
    <w:rsid w:val="00EE0B63"/>
    <w:rsid w:val="00EE0E33"/>
    <w:rsid w:val="00EE33AA"/>
    <w:rsid w:val="00EE40DE"/>
    <w:rsid w:val="00EE4D91"/>
    <w:rsid w:val="00EE5CA1"/>
    <w:rsid w:val="00EE6644"/>
    <w:rsid w:val="00EE6C2C"/>
    <w:rsid w:val="00EE748C"/>
    <w:rsid w:val="00EE76CE"/>
    <w:rsid w:val="00EF0C38"/>
    <w:rsid w:val="00EF2DED"/>
    <w:rsid w:val="00EF433F"/>
    <w:rsid w:val="00EF7C96"/>
    <w:rsid w:val="00F01348"/>
    <w:rsid w:val="00F01CDC"/>
    <w:rsid w:val="00F022AE"/>
    <w:rsid w:val="00F028A9"/>
    <w:rsid w:val="00F038D4"/>
    <w:rsid w:val="00F0413D"/>
    <w:rsid w:val="00F04E2A"/>
    <w:rsid w:val="00F05246"/>
    <w:rsid w:val="00F07154"/>
    <w:rsid w:val="00F07920"/>
    <w:rsid w:val="00F1000F"/>
    <w:rsid w:val="00F114C7"/>
    <w:rsid w:val="00F11946"/>
    <w:rsid w:val="00F11A86"/>
    <w:rsid w:val="00F12AA7"/>
    <w:rsid w:val="00F12CBF"/>
    <w:rsid w:val="00F14A1A"/>
    <w:rsid w:val="00F1790A"/>
    <w:rsid w:val="00F17A74"/>
    <w:rsid w:val="00F21123"/>
    <w:rsid w:val="00F211D3"/>
    <w:rsid w:val="00F217D8"/>
    <w:rsid w:val="00F2194A"/>
    <w:rsid w:val="00F220A7"/>
    <w:rsid w:val="00F2223B"/>
    <w:rsid w:val="00F22864"/>
    <w:rsid w:val="00F2289B"/>
    <w:rsid w:val="00F228CB"/>
    <w:rsid w:val="00F229E0"/>
    <w:rsid w:val="00F2504A"/>
    <w:rsid w:val="00F25072"/>
    <w:rsid w:val="00F255D4"/>
    <w:rsid w:val="00F25CFB"/>
    <w:rsid w:val="00F27113"/>
    <w:rsid w:val="00F27847"/>
    <w:rsid w:val="00F302F6"/>
    <w:rsid w:val="00F318D3"/>
    <w:rsid w:val="00F31FFF"/>
    <w:rsid w:val="00F3228E"/>
    <w:rsid w:val="00F3276A"/>
    <w:rsid w:val="00F32DDF"/>
    <w:rsid w:val="00F34931"/>
    <w:rsid w:val="00F34B7B"/>
    <w:rsid w:val="00F35D79"/>
    <w:rsid w:val="00F367B6"/>
    <w:rsid w:val="00F368DE"/>
    <w:rsid w:val="00F40445"/>
    <w:rsid w:val="00F40C18"/>
    <w:rsid w:val="00F42150"/>
    <w:rsid w:val="00F4271A"/>
    <w:rsid w:val="00F44500"/>
    <w:rsid w:val="00F4513A"/>
    <w:rsid w:val="00F46B76"/>
    <w:rsid w:val="00F46DD5"/>
    <w:rsid w:val="00F50AA0"/>
    <w:rsid w:val="00F529EC"/>
    <w:rsid w:val="00F53F8F"/>
    <w:rsid w:val="00F54D57"/>
    <w:rsid w:val="00F55C49"/>
    <w:rsid w:val="00F570E2"/>
    <w:rsid w:val="00F57A0B"/>
    <w:rsid w:val="00F6074A"/>
    <w:rsid w:val="00F60DBA"/>
    <w:rsid w:val="00F610F1"/>
    <w:rsid w:val="00F62758"/>
    <w:rsid w:val="00F62FE6"/>
    <w:rsid w:val="00F631F5"/>
    <w:rsid w:val="00F6561E"/>
    <w:rsid w:val="00F6697A"/>
    <w:rsid w:val="00F7034F"/>
    <w:rsid w:val="00F703EF"/>
    <w:rsid w:val="00F723F0"/>
    <w:rsid w:val="00F73432"/>
    <w:rsid w:val="00F73C6A"/>
    <w:rsid w:val="00F7470E"/>
    <w:rsid w:val="00F74DB8"/>
    <w:rsid w:val="00F74F58"/>
    <w:rsid w:val="00F75263"/>
    <w:rsid w:val="00F76B63"/>
    <w:rsid w:val="00F80B24"/>
    <w:rsid w:val="00F82837"/>
    <w:rsid w:val="00F82E54"/>
    <w:rsid w:val="00F8561D"/>
    <w:rsid w:val="00F85C0F"/>
    <w:rsid w:val="00F87304"/>
    <w:rsid w:val="00F87B38"/>
    <w:rsid w:val="00F90061"/>
    <w:rsid w:val="00F9098A"/>
    <w:rsid w:val="00F91459"/>
    <w:rsid w:val="00F93513"/>
    <w:rsid w:val="00F938B0"/>
    <w:rsid w:val="00F94679"/>
    <w:rsid w:val="00F94DBA"/>
    <w:rsid w:val="00F9509E"/>
    <w:rsid w:val="00F950B6"/>
    <w:rsid w:val="00F95439"/>
    <w:rsid w:val="00F97D3D"/>
    <w:rsid w:val="00FA0117"/>
    <w:rsid w:val="00FA0796"/>
    <w:rsid w:val="00FA15C4"/>
    <w:rsid w:val="00FA4421"/>
    <w:rsid w:val="00FA527F"/>
    <w:rsid w:val="00FA56A8"/>
    <w:rsid w:val="00FA6706"/>
    <w:rsid w:val="00FA6ABB"/>
    <w:rsid w:val="00FA6D31"/>
    <w:rsid w:val="00FA7E87"/>
    <w:rsid w:val="00FB0400"/>
    <w:rsid w:val="00FB0AB4"/>
    <w:rsid w:val="00FB0B62"/>
    <w:rsid w:val="00FB0C9E"/>
    <w:rsid w:val="00FB2010"/>
    <w:rsid w:val="00FB2628"/>
    <w:rsid w:val="00FB524B"/>
    <w:rsid w:val="00FB5CCF"/>
    <w:rsid w:val="00FB6735"/>
    <w:rsid w:val="00FB6EE5"/>
    <w:rsid w:val="00FB721D"/>
    <w:rsid w:val="00FB7DD7"/>
    <w:rsid w:val="00FC0BE6"/>
    <w:rsid w:val="00FC16C0"/>
    <w:rsid w:val="00FC2D8B"/>
    <w:rsid w:val="00FC3559"/>
    <w:rsid w:val="00FC4645"/>
    <w:rsid w:val="00FC4B81"/>
    <w:rsid w:val="00FC4C74"/>
    <w:rsid w:val="00FD0829"/>
    <w:rsid w:val="00FD1592"/>
    <w:rsid w:val="00FD16A6"/>
    <w:rsid w:val="00FD1D49"/>
    <w:rsid w:val="00FD2D3A"/>
    <w:rsid w:val="00FD2DB0"/>
    <w:rsid w:val="00FD2ED8"/>
    <w:rsid w:val="00FD3F80"/>
    <w:rsid w:val="00FD4808"/>
    <w:rsid w:val="00FD7300"/>
    <w:rsid w:val="00FD740C"/>
    <w:rsid w:val="00FE03D3"/>
    <w:rsid w:val="00FE1C14"/>
    <w:rsid w:val="00FE4910"/>
    <w:rsid w:val="00FE5214"/>
    <w:rsid w:val="00FE62BC"/>
    <w:rsid w:val="00FF2B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F0534F4-4F3B-4329-961D-626598EE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6B"/>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qFormat/>
    <w:pPr>
      <w:keepNext/>
      <w:jc w:val="both"/>
      <w:outlineLvl w:val="2"/>
    </w:pPr>
    <w:rPr>
      <w:b/>
      <w:bCs/>
      <w:sz w:val="20"/>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6">
    <w:name w:val="heading 6"/>
    <w:basedOn w:val="Normal"/>
    <w:next w:val="Normal"/>
    <w:link w:val="Balk6Char"/>
    <w:qFormat/>
    <w:rsid w:val="00A75A11"/>
    <w:pPr>
      <w:spacing w:before="240" w:after="60"/>
      <w:outlineLvl w:val="5"/>
    </w:pPr>
    <w:rPr>
      <w:b/>
      <w:bCs/>
      <w:sz w:val="22"/>
      <w:szCs w:val="22"/>
    </w:rPr>
  </w:style>
  <w:style w:type="paragraph" w:styleId="Balk7">
    <w:name w:val="heading 7"/>
    <w:basedOn w:val="Normal"/>
    <w:next w:val="Normal"/>
    <w:link w:val="Balk7Char"/>
    <w:qFormat/>
    <w:rsid w:val="00A75A11"/>
    <w:pPr>
      <w:spacing w:before="240" w:after="60"/>
      <w:outlineLvl w:val="6"/>
    </w:pPr>
  </w:style>
  <w:style w:type="paragraph" w:styleId="Balk9">
    <w:name w:val="heading 9"/>
    <w:basedOn w:val="Normal"/>
    <w:next w:val="Normal"/>
    <w:qFormat/>
    <w:rsid w:val="00680A41"/>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semiHidden/>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semiHidden/>
    <w:rPr>
      <w:color w:val="800080"/>
      <w:u w:val="single"/>
    </w:rPr>
  </w:style>
  <w:style w:type="paragraph" w:styleId="GvdeMetniGirintisi">
    <w:name w:val="Body Text Indent"/>
    <w:basedOn w:val="Normal"/>
    <w:semiHidden/>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link w:val="GvdeMetniGirintisi3Char"/>
    <w:semiHidden/>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rPr>
      <w:lang w:val="x-none"/>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Pr>
      <w:sz w:val="20"/>
      <w:szCs w:val="20"/>
    </w:rPr>
  </w:style>
  <w:style w:type="paragraph" w:customStyle="1" w:styleId="xl22">
    <w:name w:val="xl22"/>
    <w:basedOn w:val="Normal"/>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pPr>
      <w:spacing w:after="120" w:line="480" w:lineRule="auto"/>
    </w:pPr>
    <w:rPr>
      <w:lang w:val="x-none"/>
    </w:rPr>
  </w:style>
  <w:style w:type="paragraph" w:styleId="BalonMetni">
    <w:name w:val="Balloon Text"/>
    <w:basedOn w:val="Normal"/>
    <w:link w:val="BalonMetniChar"/>
    <w:uiPriority w:val="99"/>
    <w:semiHidden/>
    <w:rPr>
      <w:rFonts w:ascii="Tahoma" w:hAnsi="Tahoma" w:cs="Tahoma"/>
      <w:sz w:val="16"/>
      <w:szCs w:val="16"/>
    </w:rPr>
  </w:style>
  <w:style w:type="character" w:customStyle="1" w:styleId="a">
    <w:name w:val="a"/>
    <w:basedOn w:val="VarsaylanParagrafYazTipi"/>
  </w:style>
  <w:style w:type="paragraph" w:styleId="GvdeMetni3">
    <w:name w:val="Body Text 3"/>
    <w:basedOn w:val="Normal"/>
    <w:link w:val="GvdeMetni3Char"/>
    <w:pPr>
      <w:spacing w:after="120"/>
    </w:pPr>
    <w:rPr>
      <w:sz w:val="16"/>
      <w:szCs w:val="16"/>
    </w:rPr>
  </w:style>
  <w:style w:type="character" w:styleId="DipnotBavurusu">
    <w:name w:val="footnote reference"/>
    <w:semiHidden/>
    <w:rPr>
      <w:vertAlign w:val="superscript"/>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Default">
    <w:name w:val="Default"/>
    <w:rsid w:val="00D07ADB"/>
    <w:pPr>
      <w:autoSpaceDE w:val="0"/>
      <w:autoSpaceDN w:val="0"/>
      <w:adjustRightInd w:val="0"/>
    </w:pPr>
    <w:rPr>
      <w:color w:val="000000"/>
      <w:sz w:val="24"/>
      <w:szCs w:val="24"/>
    </w:rPr>
  </w:style>
  <w:style w:type="table" w:styleId="TabloKlavuzu">
    <w:name w:val="Table Grid"/>
    <w:basedOn w:val="NormalTablo"/>
    <w:rsid w:val="00AB0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B76BB"/>
    <w:pPr>
      <w:ind w:left="708"/>
    </w:pPr>
  </w:style>
  <w:style w:type="paragraph" w:styleId="KonuBal">
    <w:name w:val="Title"/>
    <w:basedOn w:val="Normal"/>
    <w:link w:val="KonuBalChar"/>
    <w:qFormat/>
    <w:rsid w:val="00866648"/>
    <w:pPr>
      <w:spacing w:line="240" w:lineRule="atLeast"/>
      <w:jc w:val="center"/>
    </w:pPr>
    <w:rPr>
      <w:b/>
      <w:sz w:val="32"/>
      <w:szCs w:val="20"/>
      <w:lang w:val="en-AU" w:eastAsia="x-none"/>
    </w:rPr>
  </w:style>
  <w:style w:type="character" w:customStyle="1" w:styleId="KonuBalChar">
    <w:name w:val="Konu Başlığı Char"/>
    <w:link w:val="KonuBal"/>
    <w:rsid w:val="00866648"/>
    <w:rPr>
      <w:b/>
      <w:sz w:val="32"/>
      <w:lang w:val="en-AU"/>
    </w:rPr>
  </w:style>
  <w:style w:type="character" w:styleId="Gl">
    <w:name w:val="Strong"/>
    <w:qFormat/>
    <w:rsid w:val="00782364"/>
    <w:rPr>
      <w:b/>
      <w:bCs/>
    </w:rPr>
  </w:style>
  <w:style w:type="character" w:styleId="Vurgu">
    <w:name w:val="Emphasis"/>
    <w:qFormat/>
    <w:rsid w:val="00680A41"/>
    <w:rPr>
      <w:b/>
      <w:bCs/>
      <w:i w:val="0"/>
      <w:iCs w:val="0"/>
    </w:rPr>
  </w:style>
  <w:style w:type="character" w:customStyle="1" w:styleId="apple-style-span">
    <w:name w:val="apple-style-span"/>
    <w:rsid w:val="00BB4D1A"/>
    <w:rPr>
      <w:rFonts w:cs="Times New Roman"/>
    </w:rPr>
  </w:style>
  <w:style w:type="character" w:customStyle="1" w:styleId="GvdeMetni2Char">
    <w:name w:val="Gövde Metni 2 Char"/>
    <w:link w:val="GvdeMetni2"/>
    <w:rsid w:val="009615D6"/>
    <w:rPr>
      <w:sz w:val="24"/>
      <w:szCs w:val="24"/>
      <w:lang w:eastAsia="en-US"/>
    </w:rPr>
  </w:style>
  <w:style w:type="character" w:customStyle="1" w:styleId="stbilgiChar">
    <w:name w:val="Üstbilgi Char"/>
    <w:link w:val="stbilgi"/>
    <w:uiPriority w:val="99"/>
    <w:rsid w:val="001D3669"/>
    <w:rPr>
      <w:sz w:val="24"/>
      <w:szCs w:val="24"/>
      <w:lang w:eastAsia="en-US"/>
    </w:rPr>
  </w:style>
  <w:style w:type="character" w:customStyle="1" w:styleId="Balk6Char">
    <w:name w:val="Başlık 6 Char"/>
    <w:link w:val="Balk6"/>
    <w:rsid w:val="00A75A11"/>
    <w:rPr>
      <w:b/>
      <w:bCs/>
      <w:sz w:val="22"/>
      <w:szCs w:val="22"/>
    </w:rPr>
  </w:style>
  <w:style w:type="character" w:customStyle="1" w:styleId="Balk7Char">
    <w:name w:val="Başlık 7 Char"/>
    <w:link w:val="Balk7"/>
    <w:rsid w:val="00A75A11"/>
    <w:rPr>
      <w:sz w:val="24"/>
      <w:szCs w:val="24"/>
    </w:rPr>
  </w:style>
  <w:style w:type="character" w:customStyle="1" w:styleId="AltbilgiChar">
    <w:name w:val="Altbilgi Char"/>
    <w:link w:val="Altbilgi"/>
    <w:uiPriority w:val="99"/>
    <w:rsid w:val="007C1878"/>
    <w:rPr>
      <w:sz w:val="24"/>
      <w:szCs w:val="24"/>
    </w:rPr>
  </w:style>
  <w:style w:type="paragraph" w:styleId="ResimYazs">
    <w:name w:val="caption"/>
    <w:basedOn w:val="Normal"/>
    <w:next w:val="Normal"/>
    <w:uiPriority w:val="35"/>
    <w:unhideWhenUsed/>
    <w:qFormat/>
    <w:rsid w:val="00D56A70"/>
    <w:rPr>
      <w:b/>
      <w:bCs/>
      <w:sz w:val="20"/>
      <w:szCs w:val="20"/>
    </w:rPr>
  </w:style>
  <w:style w:type="character" w:customStyle="1" w:styleId="GvdeMetniChar">
    <w:name w:val="Gövde Metni Char"/>
    <w:basedOn w:val="VarsaylanParagrafYazTipi"/>
    <w:link w:val="GvdeMetni"/>
    <w:rsid w:val="00731D63"/>
    <w:rPr>
      <w:color w:val="FF0000"/>
      <w:sz w:val="24"/>
      <w:szCs w:val="24"/>
      <w:shd w:val="clear" w:color="auto" w:fill="FFFFFF"/>
    </w:rPr>
  </w:style>
  <w:style w:type="character" w:customStyle="1" w:styleId="Balk1Char">
    <w:name w:val="Başlık 1 Char"/>
    <w:basedOn w:val="VarsaylanParagrafYazTipi"/>
    <w:link w:val="Balk1"/>
    <w:rsid w:val="006E084C"/>
    <w:rPr>
      <w:rFonts w:ascii="Arial" w:hAnsi="Arial" w:cs="Arial"/>
      <w:b/>
      <w:bCs/>
    </w:rPr>
  </w:style>
  <w:style w:type="character" w:customStyle="1" w:styleId="Balk2Char">
    <w:name w:val="Başlık 2 Char"/>
    <w:link w:val="Balk2"/>
    <w:rsid w:val="003B426A"/>
    <w:rPr>
      <w:rFonts w:ascii="Garamond" w:hAnsi="Garamond"/>
      <w:b/>
      <w:sz w:val="32"/>
    </w:rPr>
  </w:style>
  <w:style w:type="character" w:customStyle="1" w:styleId="GvdeMetni3Char">
    <w:name w:val="Gövde Metni 3 Char"/>
    <w:link w:val="GvdeMetni3"/>
    <w:rsid w:val="00D60DF8"/>
    <w:rPr>
      <w:sz w:val="16"/>
      <w:szCs w:val="16"/>
    </w:rPr>
  </w:style>
  <w:style w:type="character" w:customStyle="1" w:styleId="DipnotMetniChar">
    <w:name w:val="Dipnot Metni Char"/>
    <w:basedOn w:val="VarsaylanParagrafYazTipi"/>
    <w:link w:val="DipnotMetni"/>
    <w:semiHidden/>
    <w:rsid w:val="00161E7C"/>
  </w:style>
  <w:style w:type="character" w:customStyle="1" w:styleId="BalonMetniChar">
    <w:name w:val="Balon Metni Char"/>
    <w:basedOn w:val="VarsaylanParagrafYazTipi"/>
    <w:link w:val="BalonMetni"/>
    <w:uiPriority w:val="99"/>
    <w:semiHidden/>
    <w:rsid w:val="00161E7C"/>
    <w:rPr>
      <w:rFonts w:ascii="Tahoma" w:hAnsi="Tahoma" w:cs="Tahoma"/>
      <w:sz w:val="16"/>
      <w:szCs w:val="16"/>
    </w:rPr>
  </w:style>
  <w:style w:type="paragraph" w:customStyle="1" w:styleId="default0">
    <w:name w:val="default"/>
    <w:basedOn w:val="Normal"/>
    <w:rsid w:val="00B1186F"/>
    <w:pPr>
      <w:spacing w:before="100" w:beforeAutospacing="1" w:after="100" w:afterAutospacing="1"/>
    </w:pPr>
  </w:style>
  <w:style w:type="character" w:customStyle="1" w:styleId="spelle">
    <w:name w:val="spelle"/>
    <w:basedOn w:val="VarsaylanParagrafYazTipi"/>
    <w:rsid w:val="00B1186F"/>
  </w:style>
  <w:style w:type="character" w:customStyle="1" w:styleId="GvdeMetniGirintisi3Char">
    <w:name w:val="Gövde Metni Girintisi 3 Char"/>
    <w:basedOn w:val="VarsaylanParagrafYazTipi"/>
    <w:link w:val="GvdeMetniGirintisi3"/>
    <w:semiHidden/>
    <w:rsid w:val="00130EB7"/>
    <w:rPr>
      <w:sz w:val="24"/>
      <w:szCs w:val="24"/>
    </w:rPr>
  </w:style>
  <w:style w:type="character" w:customStyle="1" w:styleId="grame">
    <w:name w:val="grame"/>
    <w:basedOn w:val="VarsaylanParagrafYazTipi"/>
    <w:rsid w:val="00E37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2790">
      <w:bodyDiv w:val="1"/>
      <w:marLeft w:val="0"/>
      <w:marRight w:val="0"/>
      <w:marTop w:val="45"/>
      <w:marBottom w:val="45"/>
      <w:divBdr>
        <w:top w:val="none" w:sz="0" w:space="0" w:color="auto"/>
        <w:left w:val="none" w:sz="0" w:space="0" w:color="auto"/>
        <w:bottom w:val="none" w:sz="0" w:space="0" w:color="auto"/>
        <w:right w:val="none" w:sz="0" w:space="0" w:color="auto"/>
      </w:divBdr>
      <w:divsChild>
        <w:div w:id="1942371469">
          <w:marLeft w:val="0"/>
          <w:marRight w:val="0"/>
          <w:marTop w:val="0"/>
          <w:marBottom w:val="0"/>
          <w:divBdr>
            <w:top w:val="none" w:sz="0" w:space="0" w:color="auto"/>
            <w:left w:val="none" w:sz="0" w:space="0" w:color="auto"/>
            <w:bottom w:val="none" w:sz="0" w:space="0" w:color="auto"/>
            <w:right w:val="none" w:sz="0" w:space="0" w:color="auto"/>
          </w:divBdr>
          <w:divsChild>
            <w:div w:id="1605382390">
              <w:marLeft w:val="0"/>
              <w:marRight w:val="0"/>
              <w:marTop w:val="0"/>
              <w:marBottom w:val="0"/>
              <w:divBdr>
                <w:top w:val="none" w:sz="0" w:space="0" w:color="auto"/>
                <w:left w:val="none" w:sz="0" w:space="0" w:color="auto"/>
                <w:bottom w:val="none" w:sz="0" w:space="0" w:color="auto"/>
                <w:right w:val="none" w:sz="0" w:space="0" w:color="auto"/>
              </w:divBdr>
              <w:divsChild>
                <w:div w:id="2039156953">
                  <w:marLeft w:val="2385"/>
                  <w:marRight w:val="3960"/>
                  <w:marTop w:val="0"/>
                  <w:marBottom w:val="0"/>
                  <w:divBdr>
                    <w:top w:val="none" w:sz="0" w:space="0" w:color="auto"/>
                    <w:left w:val="single" w:sz="6" w:space="0" w:color="D3E1F9"/>
                    <w:bottom w:val="none" w:sz="0" w:space="0" w:color="auto"/>
                    <w:right w:val="none" w:sz="0" w:space="0" w:color="auto"/>
                  </w:divBdr>
                  <w:divsChild>
                    <w:div w:id="606038840">
                      <w:marLeft w:val="0"/>
                      <w:marRight w:val="0"/>
                      <w:marTop w:val="0"/>
                      <w:marBottom w:val="0"/>
                      <w:divBdr>
                        <w:top w:val="none" w:sz="0" w:space="0" w:color="auto"/>
                        <w:left w:val="none" w:sz="0" w:space="0" w:color="auto"/>
                        <w:bottom w:val="none" w:sz="0" w:space="0" w:color="auto"/>
                        <w:right w:val="none" w:sz="0" w:space="0" w:color="auto"/>
                      </w:divBdr>
                      <w:divsChild>
                        <w:div w:id="1700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8884">
      <w:bodyDiv w:val="1"/>
      <w:marLeft w:val="0"/>
      <w:marRight w:val="0"/>
      <w:marTop w:val="0"/>
      <w:marBottom w:val="0"/>
      <w:divBdr>
        <w:top w:val="none" w:sz="0" w:space="0" w:color="auto"/>
        <w:left w:val="none" w:sz="0" w:space="0" w:color="auto"/>
        <w:bottom w:val="none" w:sz="0" w:space="0" w:color="auto"/>
        <w:right w:val="none" w:sz="0" w:space="0" w:color="auto"/>
      </w:divBdr>
    </w:div>
    <w:div w:id="34432577">
      <w:bodyDiv w:val="1"/>
      <w:marLeft w:val="0"/>
      <w:marRight w:val="0"/>
      <w:marTop w:val="0"/>
      <w:marBottom w:val="0"/>
      <w:divBdr>
        <w:top w:val="none" w:sz="0" w:space="0" w:color="auto"/>
        <w:left w:val="none" w:sz="0" w:space="0" w:color="auto"/>
        <w:bottom w:val="none" w:sz="0" w:space="0" w:color="auto"/>
        <w:right w:val="none" w:sz="0" w:space="0" w:color="auto"/>
      </w:divBdr>
    </w:div>
    <w:div w:id="43063326">
      <w:bodyDiv w:val="1"/>
      <w:marLeft w:val="0"/>
      <w:marRight w:val="0"/>
      <w:marTop w:val="0"/>
      <w:marBottom w:val="0"/>
      <w:divBdr>
        <w:top w:val="none" w:sz="0" w:space="0" w:color="auto"/>
        <w:left w:val="none" w:sz="0" w:space="0" w:color="auto"/>
        <w:bottom w:val="none" w:sz="0" w:space="0" w:color="auto"/>
        <w:right w:val="none" w:sz="0" w:space="0" w:color="auto"/>
      </w:divBdr>
    </w:div>
    <w:div w:id="55667557">
      <w:bodyDiv w:val="1"/>
      <w:marLeft w:val="0"/>
      <w:marRight w:val="0"/>
      <w:marTop w:val="0"/>
      <w:marBottom w:val="0"/>
      <w:divBdr>
        <w:top w:val="none" w:sz="0" w:space="0" w:color="auto"/>
        <w:left w:val="none" w:sz="0" w:space="0" w:color="auto"/>
        <w:bottom w:val="none" w:sz="0" w:space="0" w:color="auto"/>
        <w:right w:val="none" w:sz="0" w:space="0" w:color="auto"/>
      </w:divBdr>
    </w:div>
    <w:div w:id="74207763">
      <w:bodyDiv w:val="1"/>
      <w:marLeft w:val="0"/>
      <w:marRight w:val="0"/>
      <w:marTop w:val="0"/>
      <w:marBottom w:val="0"/>
      <w:divBdr>
        <w:top w:val="none" w:sz="0" w:space="0" w:color="auto"/>
        <w:left w:val="none" w:sz="0" w:space="0" w:color="auto"/>
        <w:bottom w:val="none" w:sz="0" w:space="0" w:color="auto"/>
        <w:right w:val="none" w:sz="0" w:space="0" w:color="auto"/>
      </w:divBdr>
    </w:div>
    <w:div w:id="152454575">
      <w:bodyDiv w:val="1"/>
      <w:marLeft w:val="0"/>
      <w:marRight w:val="0"/>
      <w:marTop w:val="0"/>
      <w:marBottom w:val="0"/>
      <w:divBdr>
        <w:top w:val="none" w:sz="0" w:space="0" w:color="auto"/>
        <w:left w:val="none" w:sz="0" w:space="0" w:color="auto"/>
        <w:bottom w:val="none" w:sz="0" w:space="0" w:color="auto"/>
        <w:right w:val="none" w:sz="0" w:space="0" w:color="auto"/>
      </w:divBdr>
    </w:div>
    <w:div w:id="177473880">
      <w:bodyDiv w:val="1"/>
      <w:marLeft w:val="0"/>
      <w:marRight w:val="0"/>
      <w:marTop w:val="0"/>
      <w:marBottom w:val="0"/>
      <w:divBdr>
        <w:top w:val="none" w:sz="0" w:space="0" w:color="auto"/>
        <w:left w:val="none" w:sz="0" w:space="0" w:color="auto"/>
        <w:bottom w:val="none" w:sz="0" w:space="0" w:color="auto"/>
        <w:right w:val="none" w:sz="0" w:space="0" w:color="auto"/>
      </w:divBdr>
    </w:div>
    <w:div w:id="188111629">
      <w:bodyDiv w:val="1"/>
      <w:marLeft w:val="0"/>
      <w:marRight w:val="0"/>
      <w:marTop w:val="0"/>
      <w:marBottom w:val="0"/>
      <w:divBdr>
        <w:top w:val="none" w:sz="0" w:space="0" w:color="auto"/>
        <w:left w:val="none" w:sz="0" w:space="0" w:color="auto"/>
        <w:bottom w:val="none" w:sz="0" w:space="0" w:color="auto"/>
        <w:right w:val="none" w:sz="0" w:space="0" w:color="auto"/>
      </w:divBdr>
    </w:div>
    <w:div w:id="219750062">
      <w:bodyDiv w:val="1"/>
      <w:marLeft w:val="0"/>
      <w:marRight w:val="0"/>
      <w:marTop w:val="0"/>
      <w:marBottom w:val="0"/>
      <w:divBdr>
        <w:top w:val="none" w:sz="0" w:space="0" w:color="auto"/>
        <w:left w:val="none" w:sz="0" w:space="0" w:color="auto"/>
        <w:bottom w:val="none" w:sz="0" w:space="0" w:color="auto"/>
        <w:right w:val="none" w:sz="0" w:space="0" w:color="auto"/>
      </w:divBdr>
    </w:div>
    <w:div w:id="223496201">
      <w:bodyDiv w:val="1"/>
      <w:marLeft w:val="0"/>
      <w:marRight w:val="0"/>
      <w:marTop w:val="0"/>
      <w:marBottom w:val="0"/>
      <w:divBdr>
        <w:top w:val="none" w:sz="0" w:space="0" w:color="auto"/>
        <w:left w:val="none" w:sz="0" w:space="0" w:color="auto"/>
        <w:bottom w:val="none" w:sz="0" w:space="0" w:color="auto"/>
        <w:right w:val="none" w:sz="0" w:space="0" w:color="auto"/>
      </w:divBdr>
    </w:div>
    <w:div w:id="230385768">
      <w:bodyDiv w:val="1"/>
      <w:marLeft w:val="0"/>
      <w:marRight w:val="0"/>
      <w:marTop w:val="0"/>
      <w:marBottom w:val="0"/>
      <w:divBdr>
        <w:top w:val="none" w:sz="0" w:space="0" w:color="auto"/>
        <w:left w:val="none" w:sz="0" w:space="0" w:color="auto"/>
        <w:bottom w:val="none" w:sz="0" w:space="0" w:color="auto"/>
        <w:right w:val="none" w:sz="0" w:space="0" w:color="auto"/>
      </w:divBdr>
    </w:div>
    <w:div w:id="240061688">
      <w:bodyDiv w:val="1"/>
      <w:marLeft w:val="0"/>
      <w:marRight w:val="0"/>
      <w:marTop w:val="0"/>
      <w:marBottom w:val="0"/>
      <w:divBdr>
        <w:top w:val="none" w:sz="0" w:space="0" w:color="auto"/>
        <w:left w:val="none" w:sz="0" w:space="0" w:color="auto"/>
        <w:bottom w:val="none" w:sz="0" w:space="0" w:color="auto"/>
        <w:right w:val="none" w:sz="0" w:space="0" w:color="auto"/>
      </w:divBdr>
    </w:div>
    <w:div w:id="284388679">
      <w:bodyDiv w:val="1"/>
      <w:marLeft w:val="0"/>
      <w:marRight w:val="0"/>
      <w:marTop w:val="0"/>
      <w:marBottom w:val="0"/>
      <w:divBdr>
        <w:top w:val="none" w:sz="0" w:space="0" w:color="auto"/>
        <w:left w:val="none" w:sz="0" w:space="0" w:color="auto"/>
        <w:bottom w:val="none" w:sz="0" w:space="0" w:color="auto"/>
        <w:right w:val="none" w:sz="0" w:space="0" w:color="auto"/>
      </w:divBdr>
    </w:div>
    <w:div w:id="290938090">
      <w:bodyDiv w:val="1"/>
      <w:marLeft w:val="0"/>
      <w:marRight w:val="0"/>
      <w:marTop w:val="0"/>
      <w:marBottom w:val="0"/>
      <w:divBdr>
        <w:top w:val="none" w:sz="0" w:space="0" w:color="auto"/>
        <w:left w:val="none" w:sz="0" w:space="0" w:color="auto"/>
        <w:bottom w:val="none" w:sz="0" w:space="0" w:color="auto"/>
        <w:right w:val="none" w:sz="0" w:space="0" w:color="auto"/>
      </w:divBdr>
    </w:div>
    <w:div w:id="301887904">
      <w:bodyDiv w:val="1"/>
      <w:marLeft w:val="0"/>
      <w:marRight w:val="0"/>
      <w:marTop w:val="0"/>
      <w:marBottom w:val="0"/>
      <w:divBdr>
        <w:top w:val="none" w:sz="0" w:space="0" w:color="auto"/>
        <w:left w:val="none" w:sz="0" w:space="0" w:color="auto"/>
        <w:bottom w:val="none" w:sz="0" w:space="0" w:color="auto"/>
        <w:right w:val="none" w:sz="0" w:space="0" w:color="auto"/>
      </w:divBdr>
    </w:div>
    <w:div w:id="331377062">
      <w:bodyDiv w:val="1"/>
      <w:marLeft w:val="0"/>
      <w:marRight w:val="0"/>
      <w:marTop w:val="45"/>
      <w:marBottom w:val="45"/>
      <w:divBdr>
        <w:top w:val="none" w:sz="0" w:space="0" w:color="auto"/>
        <w:left w:val="none" w:sz="0" w:space="0" w:color="auto"/>
        <w:bottom w:val="none" w:sz="0" w:space="0" w:color="auto"/>
        <w:right w:val="none" w:sz="0" w:space="0" w:color="auto"/>
      </w:divBdr>
      <w:divsChild>
        <w:div w:id="1234660427">
          <w:marLeft w:val="0"/>
          <w:marRight w:val="0"/>
          <w:marTop w:val="0"/>
          <w:marBottom w:val="0"/>
          <w:divBdr>
            <w:top w:val="none" w:sz="0" w:space="0" w:color="auto"/>
            <w:left w:val="none" w:sz="0" w:space="0" w:color="auto"/>
            <w:bottom w:val="none" w:sz="0" w:space="0" w:color="auto"/>
            <w:right w:val="none" w:sz="0" w:space="0" w:color="auto"/>
          </w:divBdr>
          <w:divsChild>
            <w:div w:id="1528522421">
              <w:marLeft w:val="0"/>
              <w:marRight w:val="0"/>
              <w:marTop w:val="0"/>
              <w:marBottom w:val="0"/>
              <w:divBdr>
                <w:top w:val="none" w:sz="0" w:space="0" w:color="auto"/>
                <w:left w:val="none" w:sz="0" w:space="0" w:color="auto"/>
                <w:bottom w:val="none" w:sz="0" w:space="0" w:color="auto"/>
                <w:right w:val="none" w:sz="0" w:space="0" w:color="auto"/>
              </w:divBdr>
              <w:divsChild>
                <w:div w:id="1828134586">
                  <w:marLeft w:val="2385"/>
                  <w:marRight w:val="3960"/>
                  <w:marTop w:val="0"/>
                  <w:marBottom w:val="0"/>
                  <w:divBdr>
                    <w:top w:val="none" w:sz="0" w:space="0" w:color="auto"/>
                    <w:left w:val="single" w:sz="6" w:space="0" w:color="D3E1F9"/>
                    <w:bottom w:val="none" w:sz="0" w:space="0" w:color="auto"/>
                    <w:right w:val="none" w:sz="0" w:space="0" w:color="auto"/>
                  </w:divBdr>
                  <w:divsChild>
                    <w:div w:id="71634097">
                      <w:marLeft w:val="0"/>
                      <w:marRight w:val="0"/>
                      <w:marTop w:val="0"/>
                      <w:marBottom w:val="0"/>
                      <w:divBdr>
                        <w:top w:val="none" w:sz="0" w:space="0" w:color="auto"/>
                        <w:left w:val="none" w:sz="0" w:space="0" w:color="auto"/>
                        <w:bottom w:val="none" w:sz="0" w:space="0" w:color="auto"/>
                        <w:right w:val="none" w:sz="0" w:space="0" w:color="auto"/>
                      </w:divBdr>
                      <w:divsChild>
                        <w:div w:id="191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28669">
      <w:bodyDiv w:val="1"/>
      <w:marLeft w:val="0"/>
      <w:marRight w:val="0"/>
      <w:marTop w:val="0"/>
      <w:marBottom w:val="0"/>
      <w:divBdr>
        <w:top w:val="none" w:sz="0" w:space="0" w:color="auto"/>
        <w:left w:val="none" w:sz="0" w:space="0" w:color="auto"/>
        <w:bottom w:val="none" w:sz="0" w:space="0" w:color="auto"/>
        <w:right w:val="none" w:sz="0" w:space="0" w:color="auto"/>
      </w:divBdr>
    </w:div>
    <w:div w:id="398942959">
      <w:bodyDiv w:val="1"/>
      <w:marLeft w:val="0"/>
      <w:marRight w:val="0"/>
      <w:marTop w:val="0"/>
      <w:marBottom w:val="0"/>
      <w:divBdr>
        <w:top w:val="none" w:sz="0" w:space="0" w:color="auto"/>
        <w:left w:val="none" w:sz="0" w:space="0" w:color="auto"/>
        <w:bottom w:val="none" w:sz="0" w:space="0" w:color="auto"/>
        <w:right w:val="none" w:sz="0" w:space="0" w:color="auto"/>
      </w:divBdr>
    </w:div>
    <w:div w:id="401682824">
      <w:bodyDiv w:val="1"/>
      <w:marLeft w:val="0"/>
      <w:marRight w:val="0"/>
      <w:marTop w:val="0"/>
      <w:marBottom w:val="0"/>
      <w:divBdr>
        <w:top w:val="none" w:sz="0" w:space="0" w:color="auto"/>
        <w:left w:val="none" w:sz="0" w:space="0" w:color="auto"/>
        <w:bottom w:val="none" w:sz="0" w:space="0" w:color="auto"/>
        <w:right w:val="none" w:sz="0" w:space="0" w:color="auto"/>
      </w:divBdr>
    </w:div>
    <w:div w:id="414016794">
      <w:bodyDiv w:val="1"/>
      <w:marLeft w:val="0"/>
      <w:marRight w:val="0"/>
      <w:marTop w:val="0"/>
      <w:marBottom w:val="0"/>
      <w:divBdr>
        <w:top w:val="none" w:sz="0" w:space="0" w:color="auto"/>
        <w:left w:val="none" w:sz="0" w:space="0" w:color="auto"/>
        <w:bottom w:val="none" w:sz="0" w:space="0" w:color="auto"/>
        <w:right w:val="none" w:sz="0" w:space="0" w:color="auto"/>
      </w:divBdr>
      <w:divsChild>
        <w:div w:id="708458187">
          <w:marLeft w:val="0"/>
          <w:marRight w:val="0"/>
          <w:marTop w:val="0"/>
          <w:marBottom w:val="0"/>
          <w:divBdr>
            <w:top w:val="none" w:sz="0" w:space="0" w:color="auto"/>
            <w:left w:val="none" w:sz="0" w:space="0" w:color="auto"/>
            <w:bottom w:val="none" w:sz="0" w:space="0" w:color="auto"/>
            <w:right w:val="none" w:sz="0" w:space="0" w:color="auto"/>
          </w:divBdr>
          <w:divsChild>
            <w:div w:id="800464439">
              <w:marLeft w:val="0"/>
              <w:marRight w:val="0"/>
              <w:marTop w:val="33"/>
              <w:marBottom w:val="0"/>
              <w:divBdr>
                <w:top w:val="single" w:sz="2" w:space="0" w:color="596380"/>
                <w:left w:val="single" w:sz="2" w:space="0" w:color="596380"/>
                <w:bottom w:val="single" w:sz="2" w:space="0" w:color="596380"/>
                <w:right w:val="single" w:sz="2" w:space="0" w:color="596380"/>
              </w:divBdr>
              <w:divsChild>
                <w:div w:id="2014985568">
                  <w:marLeft w:val="0"/>
                  <w:marRight w:val="0"/>
                  <w:marTop w:val="0"/>
                  <w:marBottom w:val="0"/>
                  <w:divBdr>
                    <w:top w:val="none" w:sz="0" w:space="0" w:color="auto"/>
                    <w:left w:val="none" w:sz="0" w:space="0" w:color="auto"/>
                    <w:bottom w:val="none" w:sz="0" w:space="0" w:color="auto"/>
                    <w:right w:val="none" w:sz="0" w:space="0" w:color="auto"/>
                  </w:divBdr>
                  <w:divsChild>
                    <w:div w:id="1719696052">
                      <w:marLeft w:val="0"/>
                      <w:marRight w:val="0"/>
                      <w:marTop w:val="0"/>
                      <w:marBottom w:val="0"/>
                      <w:divBdr>
                        <w:top w:val="none" w:sz="0" w:space="0" w:color="auto"/>
                        <w:left w:val="none" w:sz="0" w:space="0" w:color="auto"/>
                        <w:bottom w:val="none" w:sz="0" w:space="0" w:color="auto"/>
                        <w:right w:val="none" w:sz="0" w:space="0" w:color="auto"/>
                      </w:divBdr>
                      <w:divsChild>
                        <w:div w:id="643193405">
                          <w:marLeft w:val="0"/>
                          <w:marRight w:val="0"/>
                          <w:marTop w:val="0"/>
                          <w:marBottom w:val="0"/>
                          <w:divBdr>
                            <w:top w:val="none" w:sz="0" w:space="0" w:color="auto"/>
                            <w:left w:val="none" w:sz="0" w:space="0" w:color="auto"/>
                            <w:bottom w:val="none" w:sz="0" w:space="0" w:color="auto"/>
                            <w:right w:val="none" w:sz="0" w:space="0" w:color="auto"/>
                          </w:divBdr>
                          <w:divsChild>
                            <w:div w:id="2005743220">
                              <w:marLeft w:val="0"/>
                              <w:marRight w:val="0"/>
                              <w:marTop w:val="0"/>
                              <w:marBottom w:val="0"/>
                              <w:divBdr>
                                <w:top w:val="none" w:sz="0" w:space="0" w:color="auto"/>
                                <w:left w:val="none" w:sz="0" w:space="0" w:color="auto"/>
                                <w:bottom w:val="none" w:sz="0" w:space="0" w:color="auto"/>
                                <w:right w:val="none" w:sz="0" w:space="0" w:color="auto"/>
                              </w:divBdr>
                              <w:divsChild>
                                <w:div w:id="727194786">
                                  <w:marLeft w:val="55"/>
                                  <w:marRight w:val="55"/>
                                  <w:marTop w:val="55"/>
                                  <w:marBottom w:val="55"/>
                                  <w:divBdr>
                                    <w:top w:val="none" w:sz="0" w:space="0" w:color="auto"/>
                                    <w:left w:val="none" w:sz="0" w:space="0" w:color="auto"/>
                                    <w:bottom w:val="none" w:sz="0" w:space="0" w:color="auto"/>
                                    <w:right w:val="none" w:sz="0" w:space="0" w:color="auto"/>
                                  </w:divBdr>
                                  <w:divsChild>
                                    <w:div w:id="4877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697782">
      <w:bodyDiv w:val="1"/>
      <w:marLeft w:val="0"/>
      <w:marRight w:val="0"/>
      <w:marTop w:val="0"/>
      <w:marBottom w:val="0"/>
      <w:divBdr>
        <w:top w:val="none" w:sz="0" w:space="0" w:color="auto"/>
        <w:left w:val="none" w:sz="0" w:space="0" w:color="auto"/>
        <w:bottom w:val="none" w:sz="0" w:space="0" w:color="auto"/>
        <w:right w:val="none" w:sz="0" w:space="0" w:color="auto"/>
      </w:divBdr>
    </w:div>
    <w:div w:id="429934477">
      <w:bodyDiv w:val="1"/>
      <w:marLeft w:val="0"/>
      <w:marRight w:val="0"/>
      <w:marTop w:val="0"/>
      <w:marBottom w:val="0"/>
      <w:divBdr>
        <w:top w:val="none" w:sz="0" w:space="0" w:color="auto"/>
        <w:left w:val="none" w:sz="0" w:space="0" w:color="auto"/>
        <w:bottom w:val="none" w:sz="0" w:space="0" w:color="auto"/>
        <w:right w:val="none" w:sz="0" w:space="0" w:color="auto"/>
      </w:divBdr>
    </w:div>
    <w:div w:id="455761419">
      <w:bodyDiv w:val="1"/>
      <w:marLeft w:val="0"/>
      <w:marRight w:val="0"/>
      <w:marTop w:val="0"/>
      <w:marBottom w:val="0"/>
      <w:divBdr>
        <w:top w:val="none" w:sz="0" w:space="0" w:color="auto"/>
        <w:left w:val="none" w:sz="0" w:space="0" w:color="auto"/>
        <w:bottom w:val="none" w:sz="0" w:space="0" w:color="auto"/>
        <w:right w:val="none" w:sz="0" w:space="0" w:color="auto"/>
      </w:divBdr>
    </w:div>
    <w:div w:id="459081145">
      <w:bodyDiv w:val="1"/>
      <w:marLeft w:val="0"/>
      <w:marRight w:val="0"/>
      <w:marTop w:val="0"/>
      <w:marBottom w:val="0"/>
      <w:divBdr>
        <w:top w:val="none" w:sz="0" w:space="0" w:color="auto"/>
        <w:left w:val="none" w:sz="0" w:space="0" w:color="auto"/>
        <w:bottom w:val="none" w:sz="0" w:space="0" w:color="auto"/>
        <w:right w:val="none" w:sz="0" w:space="0" w:color="auto"/>
      </w:divBdr>
    </w:div>
    <w:div w:id="494341178">
      <w:bodyDiv w:val="1"/>
      <w:marLeft w:val="0"/>
      <w:marRight w:val="0"/>
      <w:marTop w:val="0"/>
      <w:marBottom w:val="0"/>
      <w:divBdr>
        <w:top w:val="none" w:sz="0" w:space="0" w:color="auto"/>
        <w:left w:val="none" w:sz="0" w:space="0" w:color="auto"/>
        <w:bottom w:val="none" w:sz="0" w:space="0" w:color="auto"/>
        <w:right w:val="none" w:sz="0" w:space="0" w:color="auto"/>
      </w:divBdr>
    </w:div>
    <w:div w:id="514031238">
      <w:bodyDiv w:val="1"/>
      <w:marLeft w:val="0"/>
      <w:marRight w:val="0"/>
      <w:marTop w:val="0"/>
      <w:marBottom w:val="0"/>
      <w:divBdr>
        <w:top w:val="none" w:sz="0" w:space="0" w:color="auto"/>
        <w:left w:val="none" w:sz="0" w:space="0" w:color="auto"/>
        <w:bottom w:val="none" w:sz="0" w:space="0" w:color="auto"/>
        <w:right w:val="none" w:sz="0" w:space="0" w:color="auto"/>
      </w:divBdr>
    </w:div>
    <w:div w:id="529614231">
      <w:bodyDiv w:val="1"/>
      <w:marLeft w:val="0"/>
      <w:marRight w:val="0"/>
      <w:marTop w:val="0"/>
      <w:marBottom w:val="0"/>
      <w:divBdr>
        <w:top w:val="none" w:sz="0" w:space="0" w:color="auto"/>
        <w:left w:val="none" w:sz="0" w:space="0" w:color="auto"/>
        <w:bottom w:val="none" w:sz="0" w:space="0" w:color="auto"/>
        <w:right w:val="none" w:sz="0" w:space="0" w:color="auto"/>
      </w:divBdr>
    </w:div>
    <w:div w:id="530267629">
      <w:bodyDiv w:val="1"/>
      <w:marLeft w:val="0"/>
      <w:marRight w:val="0"/>
      <w:marTop w:val="0"/>
      <w:marBottom w:val="0"/>
      <w:divBdr>
        <w:top w:val="none" w:sz="0" w:space="0" w:color="auto"/>
        <w:left w:val="none" w:sz="0" w:space="0" w:color="auto"/>
        <w:bottom w:val="none" w:sz="0" w:space="0" w:color="auto"/>
        <w:right w:val="none" w:sz="0" w:space="0" w:color="auto"/>
      </w:divBdr>
    </w:div>
    <w:div w:id="534660672">
      <w:bodyDiv w:val="1"/>
      <w:marLeft w:val="0"/>
      <w:marRight w:val="0"/>
      <w:marTop w:val="0"/>
      <w:marBottom w:val="0"/>
      <w:divBdr>
        <w:top w:val="none" w:sz="0" w:space="0" w:color="auto"/>
        <w:left w:val="none" w:sz="0" w:space="0" w:color="auto"/>
        <w:bottom w:val="none" w:sz="0" w:space="0" w:color="auto"/>
        <w:right w:val="none" w:sz="0" w:space="0" w:color="auto"/>
      </w:divBdr>
    </w:div>
    <w:div w:id="536938640">
      <w:bodyDiv w:val="1"/>
      <w:marLeft w:val="0"/>
      <w:marRight w:val="0"/>
      <w:marTop w:val="0"/>
      <w:marBottom w:val="0"/>
      <w:divBdr>
        <w:top w:val="none" w:sz="0" w:space="0" w:color="auto"/>
        <w:left w:val="none" w:sz="0" w:space="0" w:color="auto"/>
        <w:bottom w:val="none" w:sz="0" w:space="0" w:color="auto"/>
        <w:right w:val="none" w:sz="0" w:space="0" w:color="auto"/>
      </w:divBdr>
    </w:div>
    <w:div w:id="563374885">
      <w:bodyDiv w:val="1"/>
      <w:marLeft w:val="0"/>
      <w:marRight w:val="0"/>
      <w:marTop w:val="0"/>
      <w:marBottom w:val="0"/>
      <w:divBdr>
        <w:top w:val="none" w:sz="0" w:space="0" w:color="auto"/>
        <w:left w:val="none" w:sz="0" w:space="0" w:color="auto"/>
        <w:bottom w:val="none" w:sz="0" w:space="0" w:color="auto"/>
        <w:right w:val="none" w:sz="0" w:space="0" w:color="auto"/>
      </w:divBdr>
    </w:div>
    <w:div w:id="580331081">
      <w:bodyDiv w:val="1"/>
      <w:marLeft w:val="0"/>
      <w:marRight w:val="0"/>
      <w:marTop w:val="0"/>
      <w:marBottom w:val="0"/>
      <w:divBdr>
        <w:top w:val="none" w:sz="0" w:space="0" w:color="auto"/>
        <w:left w:val="none" w:sz="0" w:space="0" w:color="auto"/>
        <w:bottom w:val="none" w:sz="0" w:space="0" w:color="auto"/>
        <w:right w:val="none" w:sz="0" w:space="0" w:color="auto"/>
      </w:divBdr>
    </w:div>
    <w:div w:id="613053636">
      <w:bodyDiv w:val="1"/>
      <w:marLeft w:val="0"/>
      <w:marRight w:val="0"/>
      <w:marTop w:val="0"/>
      <w:marBottom w:val="0"/>
      <w:divBdr>
        <w:top w:val="none" w:sz="0" w:space="0" w:color="auto"/>
        <w:left w:val="none" w:sz="0" w:space="0" w:color="auto"/>
        <w:bottom w:val="none" w:sz="0" w:space="0" w:color="auto"/>
        <w:right w:val="none" w:sz="0" w:space="0" w:color="auto"/>
      </w:divBdr>
    </w:div>
    <w:div w:id="626737903">
      <w:bodyDiv w:val="1"/>
      <w:marLeft w:val="0"/>
      <w:marRight w:val="0"/>
      <w:marTop w:val="0"/>
      <w:marBottom w:val="0"/>
      <w:divBdr>
        <w:top w:val="none" w:sz="0" w:space="0" w:color="auto"/>
        <w:left w:val="none" w:sz="0" w:space="0" w:color="auto"/>
        <w:bottom w:val="none" w:sz="0" w:space="0" w:color="auto"/>
        <w:right w:val="none" w:sz="0" w:space="0" w:color="auto"/>
      </w:divBdr>
    </w:div>
    <w:div w:id="628171307">
      <w:bodyDiv w:val="1"/>
      <w:marLeft w:val="0"/>
      <w:marRight w:val="0"/>
      <w:marTop w:val="0"/>
      <w:marBottom w:val="0"/>
      <w:divBdr>
        <w:top w:val="none" w:sz="0" w:space="0" w:color="auto"/>
        <w:left w:val="none" w:sz="0" w:space="0" w:color="auto"/>
        <w:bottom w:val="none" w:sz="0" w:space="0" w:color="auto"/>
        <w:right w:val="none" w:sz="0" w:space="0" w:color="auto"/>
      </w:divBdr>
    </w:div>
    <w:div w:id="641614608">
      <w:bodyDiv w:val="1"/>
      <w:marLeft w:val="0"/>
      <w:marRight w:val="0"/>
      <w:marTop w:val="0"/>
      <w:marBottom w:val="0"/>
      <w:divBdr>
        <w:top w:val="none" w:sz="0" w:space="0" w:color="auto"/>
        <w:left w:val="none" w:sz="0" w:space="0" w:color="auto"/>
        <w:bottom w:val="none" w:sz="0" w:space="0" w:color="auto"/>
        <w:right w:val="none" w:sz="0" w:space="0" w:color="auto"/>
      </w:divBdr>
    </w:div>
    <w:div w:id="645477552">
      <w:bodyDiv w:val="1"/>
      <w:marLeft w:val="0"/>
      <w:marRight w:val="0"/>
      <w:marTop w:val="0"/>
      <w:marBottom w:val="0"/>
      <w:divBdr>
        <w:top w:val="none" w:sz="0" w:space="0" w:color="auto"/>
        <w:left w:val="none" w:sz="0" w:space="0" w:color="auto"/>
        <w:bottom w:val="none" w:sz="0" w:space="0" w:color="auto"/>
        <w:right w:val="none" w:sz="0" w:space="0" w:color="auto"/>
      </w:divBdr>
    </w:div>
    <w:div w:id="657268292">
      <w:bodyDiv w:val="1"/>
      <w:marLeft w:val="0"/>
      <w:marRight w:val="0"/>
      <w:marTop w:val="0"/>
      <w:marBottom w:val="0"/>
      <w:divBdr>
        <w:top w:val="none" w:sz="0" w:space="0" w:color="auto"/>
        <w:left w:val="none" w:sz="0" w:space="0" w:color="auto"/>
        <w:bottom w:val="none" w:sz="0" w:space="0" w:color="auto"/>
        <w:right w:val="none" w:sz="0" w:space="0" w:color="auto"/>
      </w:divBdr>
    </w:div>
    <w:div w:id="675691294">
      <w:bodyDiv w:val="1"/>
      <w:marLeft w:val="0"/>
      <w:marRight w:val="0"/>
      <w:marTop w:val="45"/>
      <w:marBottom w:val="45"/>
      <w:divBdr>
        <w:top w:val="none" w:sz="0" w:space="0" w:color="auto"/>
        <w:left w:val="none" w:sz="0" w:space="0" w:color="auto"/>
        <w:bottom w:val="none" w:sz="0" w:space="0" w:color="auto"/>
        <w:right w:val="none" w:sz="0" w:space="0" w:color="auto"/>
      </w:divBdr>
      <w:divsChild>
        <w:div w:id="1347947739">
          <w:marLeft w:val="0"/>
          <w:marRight w:val="0"/>
          <w:marTop w:val="0"/>
          <w:marBottom w:val="0"/>
          <w:divBdr>
            <w:top w:val="none" w:sz="0" w:space="0" w:color="auto"/>
            <w:left w:val="none" w:sz="0" w:space="0" w:color="auto"/>
            <w:bottom w:val="none" w:sz="0" w:space="0" w:color="auto"/>
            <w:right w:val="none" w:sz="0" w:space="0" w:color="auto"/>
          </w:divBdr>
          <w:divsChild>
            <w:div w:id="1979262644">
              <w:marLeft w:val="0"/>
              <w:marRight w:val="0"/>
              <w:marTop w:val="0"/>
              <w:marBottom w:val="0"/>
              <w:divBdr>
                <w:top w:val="none" w:sz="0" w:space="0" w:color="auto"/>
                <w:left w:val="none" w:sz="0" w:space="0" w:color="auto"/>
                <w:bottom w:val="none" w:sz="0" w:space="0" w:color="auto"/>
                <w:right w:val="none" w:sz="0" w:space="0" w:color="auto"/>
              </w:divBdr>
              <w:divsChild>
                <w:div w:id="693504948">
                  <w:marLeft w:val="2385"/>
                  <w:marRight w:val="3960"/>
                  <w:marTop w:val="0"/>
                  <w:marBottom w:val="0"/>
                  <w:divBdr>
                    <w:top w:val="none" w:sz="0" w:space="0" w:color="auto"/>
                    <w:left w:val="single" w:sz="6" w:space="0" w:color="D3E1F9"/>
                    <w:bottom w:val="none" w:sz="0" w:space="0" w:color="auto"/>
                    <w:right w:val="none" w:sz="0" w:space="0" w:color="auto"/>
                  </w:divBdr>
                  <w:divsChild>
                    <w:div w:id="678701220">
                      <w:marLeft w:val="0"/>
                      <w:marRight w:val="0"/>
                      <w:marTop w:val="0"/>
                      <w:marBottom w:val="0"/>
                      <w:divBdr>
                        <w:top w:val="none" w:sz="0" w:space="0" w:color="auto"/>
                        <w:left w:val="none" w:sz="0" w:space="0" w:color="auto"/>
                        <w:bottom w:val="none" w:sz="0" w:space="0" w:color="auto"/>
                        <w:right w:val="none" w:sz="0" w:space="0" w:color="auto"/>
                      </w:divBdr>
                      <w:divsChild>
                        <w:div w:id="15297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557607">
      <w:bodyDiv w:val="1"/>
      <w:marLeft w:val="0"/>
      <w:marRight w:val="0"/>
      <w:marTop w:val="0"/>
      <w:marBottom w:val="0"/>
      <w:divBdr>
        <w:top w:val="none" w:sz="0" w:space="0" w:color="auto"/>
        <w:left w:val="none" w:sz="0" w:space="0" w:color="auto"/>
        <w:bottom w:val="none" w:sz="0" w:space="0" w:color="auto"/>
        <w:right w:val="none" w:sz="0" w:space="0" w:color="auto"/>
      </w:divBdr>
    </w:div>
    <w:div w:id="732316477">
      <w:bodyDiv w:val="1"/>
      <w:marLeft w:val="0"/>
      <w:marRight w:val="0"/>
      <w:marTop w:val="0"/>
      <w:marBottom w:val="0"/>
      <w:divBdr>
        <w:top w:val="none" w:sz="0" w:space="0" w:color="auto"/>
        <w:left w:val="none" w:sz="0" w:space="0" w:color="auto"/>
        <w:bottom w:val="none" w:sz="0" w:space="0" w:color="auto"/>
        <w:right w:val="none" w:sz="0" w:space="0" w:color="auto"/>
      </w:divBdr>
    </w:div>
    <w:div w:id="746462423">
      <w:bodyDiv w:val="1"/>
      <w:marLeft w:val="0"/>
      <w:marRight w:val="0"/>
      <w:marTop w:val="0"/>
      <w:marBottom w:val="0"/>
      <w:divBdr>
        <w:top w:val="none" w:sz="0" w:space="0" w:color="auto"/>
        <w:left w:val="none" w:sz="0" w:space="0" w:color="auto"/>
        <w:bottom w:val="none" w:sz="0" w:space="0" w:color="auto"/>
        <w:right w:val="none" w:sz="0" w:space="0" w:color="auto"/>
      </w:divBdr>
    </w:div>
    <w:div w:id="760446206">
      <w:bodyDiv w:val="1"/>
      <w:marLeft w:val="0"/>
      <w:marRight w:val="0"/>
      <w:marTop w:val="0"/>
      <w:marBottom w:val="0"/>
      <w:divBdr>
        <w:top w:val="none" w:sz="0" w:space="0" w:color="auto"/>
        <w:left w:val="none" w:sz="0" w:space="0" w:color="auto"/>
        <w:bottom w:val="none" w:sz="0" w:space="0" w:color="auto"/>
        <w:right w:val="none" w:sz="0" w:space="0" w:color="auto"/>
      </w:divBdr>
    </w:div>
    <w:div w:id="793865506">
      <w:bodyDiv w:val="1"/>
      <w:marLeft w:val="0"/>
      <w:marRight w:val="0"/>
      <w:marTop w:val="0"/>
      <w:marBottom w:val="0"/>
      <w:divBdr>
        <w:top w:val="none" w:sz="0" w:space="0" w:color="auto"/>
        <w:left w:val="none" w:sz="0" w:space="0" w:color="auto"/>
        <w:bottom w:val="none" w:sz="0" w:space="0" w:color="auto"/>
        <w:right w:val="none" w:sz="0" w:space="0" w:color="auto"/>
      </w:divBdr>
    </w:div>
    <w:div w:id="815536614">
      <w:bodyDiv w:val="1"/>
      <w:marLeft w:val="0"/>
      <w:marRight w:val="0"/>
      <w:marTop w:val="0"/>
      <w:marBottom w:val="0"/>
      <w:divBdr>
        <w:top w:val="none" w:sz="0" w:space="0" w:color="auto"/>
        <w:left w:val="none" w:sz="0" w:space="0" w:color="auto"/>
        <w:bottom w:val="none" w:sz="0" w:space="0" w:color="auto"/>
        <w:right w:val="none" w:sz="0" w:space="0" w:color="auto"/>
      </w:divBdr>
    </w:div>
    <w:div w:id="827750072">
      <w:bodyDiv w:val="1"/>
      <w:marLeft w:val="0"/>
      <w:marRight w:val="0"/>
      <w:marTop w:val="0"/>
      <w:marBottom w:val="0"/>
      <w:divBdr>
        <w:top w:val="none" w:sz="0" w:space="0" w:color="auto"/>
        <w:left w:val="none" w:sz="0" w:space="0" w:color="auto"/>
        <w:bottom w:val="none" w:sz="0" w:space="0" w:color="auto"/>
        <w:right w:val="none" w:sz="0" w:space="0" w:color="auto"/>
      </w:divBdr>
    </w:div>
    <w:div w:id="850995562">
      <w:bodyDiv w:val="1"/>
      <w:marLeft w:val="0"/>
      <w:marRight w:val="0"/>
      <w:marTop w:val="0"/>
      <w:marBottom w:val="0"/>
      <w:divBdr>
        <w:top w:val="none" w:sz="0" w:space="0" w:color="auto"/>
        <w:left w:val="none" w:sz="0" w:space="0" w:color="auto"/>
        <w:bottom w:val="none" w:sz="0" w:space="0" w:color="auto"/>
        <w:right w:val="none" w:sz="0" w:space="0" w:color="auto"/>
      </w:divBdr>
    </w:div>
    <w:div w:id="866721998">
      <w:bodyDiv w:val="1"/>
      <w:marLeft w:val="0"/>
      <w:marRight w:val="0"/>
      <w:marTop w:val="0"/>
      <w:marBottom w:val="0"/>
      <w:divBdr>
        <w:top w:val="none" w:sz="0" w:space="0" w:color="auto"/>
        <w:left w:val="none" w:sz="0" w:space="0" w:color="auto"/>
        <w:bottom w:val="none" w:sz="0" w:space="0" w:color="auto"/>
        <w:right w:val="none" w:sz="0" w:space="0" w:color="auto"/>
      </w:divBdr>
    </w:div>
    <w:div w:id="869269961">
      <w:bodyDiv w:val="1"/>
      <w:marLeft w:val="0"/>
      <w:marRight w:val="0"/>
      <w:marTop w:val="0"/>
      <w:marBottom w:val="0"/>
      <w:divBdr>
        <w:top w:val="none" w:sz="0" w:space="0" w:color="auto"/>
        <w:left w:val="none" w:sz="0" w:space="0" w:color="auto"/>
        <w:bottom w:val="none" w:sz="0" w:space="0" w:color="auto"/>
        <w:right w:val="none" w:sz="0" w:space="0" w:color="auto"/>
      </w:divBdr>
    </w:div>
    <w:div w:id="878130089">
      <w:bodyDiv w:val="1"/>
      <w:marLeft w:val="0"/>
      <w:marRight w:val="0"/>
      <w:marTop w:val="0"/>
      <w:marBottom w:val="0"/>
      <w:divBdr>
        <w:top w:val="none" w:sz="0" w:space="0" w:color="auto"/>
        <w:left w:val="none" w:sz="0" w:space="0" w:color="auto"/>
        <w:bottom w:val="none" w:sz="0" w:space="0" w:color="auto"/>
        <w:right w:val="none" w:sz="0" w:space="0" w:color="auto"/>
      </w:divBdr>
    </w:div>
    <w:div w:id="889463427">
      <w:bodyDiv w:val="1"/>
      <w:marLeft w:val="0"/>
      <w:marRight w:val="0"/>
      <w:marTop w:val="0"/>
      <w:marBottom w:val="0"/>
      <w:divBdr>
        <w:top w:val="none" w:sz="0" w:space="0" w:color="auto"/>
        <w:left w:val="none" w:sz="0" w:space="0" w:color="auto"/>
        <w:bottom w:val="none" w:sz="0" w:space="0" w:color="auto"/>
        <w:right w:val="none" w:sz="0" w:space="0" w:color="auto"/>
      </w:divBdr>
    </w:div>
    <w:div w:id="898633932">
      <w:bodyDiv w:val="1"/>
      <w:marLeft w:val="0"/>
      <w:marRight w:val="0"/>
      <w:marTop w:val="0"/>
      <w:marBottom w:val="0"/>
      <w:divBdr>
        <w:top w:val="none" w:sz="0" w:space="0" w:color="auto"/>
        <w:left w:val="none" w:sz="0" w:space="0" w:color="auto"/>
        <w:bottom w:val="none" w:sz="0" w:space="0" w:color="auto"/>
        <w:right w:val="none" w:sz="0" w:space="0" w:color="auto"/>
      </w:divBdr>
    </w:div>
    <w:div w:id="906692712">
      <w:bodyDiv w:val="1"/>
      <w:marLeft w:val="0"/>
      <w:marRight w:val="0"/>
      <w:marTop w:val="0"/>
      <w:marBottom w:val="0"/>
      <w:divBdr>
        <w:top w:val="none" w:sz="0" w:space="0" w:color="auto"/>
        <w:left w:val="none" w:sz="0" w:space="0" w:color="auto"/>
        <w:bottom w:val="none" w:sz="0" w:space="0" w:color="auto"/>
        <w:right w:val="none" w:sz="0" w:space="0" w:color="auto"/>
      </w:divBdr>
    </w:div>
    <w:div w:id="927275053">
      <w:bodyDiv w:val="1"/>
      <w:marLeft w:val="0"/>
      <w:marRight w:val="0"/>
      <w:marTop w:val="0"/>
      <w:marBottom w:val="0"/>
      <w:divBdr>
        <w:top w:val="none" w:sz="0" w:space="0" w:color="auto"/>
        <w:left w:val="none" w:sz="0" w:space="0" w:color="auto"/>
        <w:bottom w:val="none" w:sz="0" w:space="0" w:color="auto"/>
        <w:right w:val="none" w:sz="0" w:space="0" w:color="auto"/>
      </w:divBdr>
    </w:div>
    <w:div w:id="937757352">
      <w:bodyDiv w:val="1"/>
      <w:marLeft w:val="0"/>
      <w:marRight w:val="0"/>
      <w:marTop w:val="0"/>
      <w:marBottom w:val="0"/>
      <w:divBdr>
        <w:top w:val="none" w:sz="0" w:space="0" w:color="auto"/>
        <w:left w:val="none" w:sz="0" w:space="0" w:color="auto"/>
        <w:bottom w:val="none" w:sz="0" w:space="0" w:color="auto"/>
        <w:right w:val="none" w:sz="0" w:space="0" w:color="auto"/>
      </w:divBdr>
      <w:divsChild>
        <w:div w:id="2089769201">
          <w:marLeft w:val="0"/>
          <w:marRight w:val="0"/>
          <w:marTop w:val="100"/>
          <w:marBottom w:val="100"/>
          <w:divBdr>
            <w:top w:val="none" w:sz="0" w:space="0" w:color="auto"/>
            <w:left w:val="none" w:sz="0" w:space="0" w:color="auto"/>
            <w:bottom w:val="none" w:sz="0" w:space="0" w:color="auto"/>
            <w:right w:val="none" w:sz="0" w:space="0" w:color="auto"/>
          </w:divBdr>
          <w:divsChild>
            <w:div w:id="772214855">
              <w:marLeft w:val="0"/>
              <w:marRight w:val="0"/>
              <w:marTop w:val="0"/>
              <w:marBottom w:val="0"/>
              <w:divBdr>
                <w:top w:val="none" w:sz="0" w:space="0" w:color="auto"/>
                <w:left w:val="none" w:sz="0" w:space="0" w:color="auto"/>
                <w:bottom w:val="none" w:sz="0" w:space="0" w:color="auto"/>
                <w:right w:val="none" w:sz="0" w:space="0" w:color="auto"/>
              </w:divBdr>
              <w:divsChild>
                <w:div w:id="6396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2926">
      <w:bodyDiv w:val="1"/>
      <w:marLeft w:val="0"/>
      <w:marRight w:val="0"/>
      <w:marTop w:val="0"/>
      <w:marBottom w:val="0"/>
      <w:divBdr>
        <w:top w:val="none" w:sz="0" w:space="0" w:color="auto"/>
        <w:left w:val="none" w:sz="0" w:space="0" w:color="auto"/>
        <w:bottom w:val="none" w:sz="0" w:space="0" w:color="auto"/>
        <w:right w:val="none" w:sz="0" w:space="0" w:color="auto"/>
      </w:divBdr>
    </w:div>
    <w:div w:id="997920597">
      <w:bodyDiv w:val="1"/>
      <w:marLeft w:val="0"/>
      <w:marRight w:val="0"/>
      <w:marTop w:val="0"/>
      <w:marBottom w:val="0"/>
      <w:divBdr>
        <w:top w:val="none" w:sz="0" w:space="0" w:color="auto"/>
        <w:left w:val="none" w:sz="0" w:space="0" w:color="auto"/>
        <w:bottom w:val="none" w:sz="0" w:space="0" w:color="auto"/>
        <w:right w:val="none" w:sz="0" w:space="0" w:color="auto"/>
      </w:divBdr>
    </w:div>
    <w:div w:id="998533943">
      <w:bodyDiv w:val="1"/>
      <w:marLeft w:val="0"/>
      <w:marRight w:val="0"/>
      <w:marTop w:val="0"/>
      <w:marBottom w:val="0"/>
      <w:divBdr>
        <w:top w:val="none" w:sz="0" w:space="0" w:color="auto"/>
        <w:left w:val="none" w:sz="0" w:space="0" w:color="auto"/>
        <w:bottom w:val="none" w:sz="0" w:space="0" w:color="auto"/>
        <w:right w:val="none" w:sz="0" w:space="0" w:color="auto"/>
      </w:divBdr>
    </w:div>
    <w:div w:id="1000812390">
      <w:bodyDiv w:val="1"/>
      <w:marLeft w:val="0"/>
      <w:marRight w:val="0"/>
      <w:marTop w:val="0"/>
      <w:marBottom w:val="0"/>
      <w:divBdr>
        <w:top w:val="none" w:sz="0" w:space="0" w:color="auto"/>
        <w:left w:val="none" w:sz="0" w:space="0" w:color="auto"/>
        <w:bottom w:val="none" w:sz="0" w:space="0" w:color="auto"/>
        <w:right w:val="none" w:sz="0" w:space="0" w:color="auto"/>
      </w:divBdr>
    </w:div>
    <w:div w:id="1007244348">
      <w:bodyDiv w:val="1"/>
      <w:marLeft w:val="0"/>
      <w:marRight w:val="0"/>
      <w:marTop w:val="0"/>
      <w:marBottom w:val="0"/>
      <w:divBdr>
        <w:top w:val="none" w:sz="0" w:space="0" w:color="auto"/>
        <w:left w:val="none" w:sz="0" w:space="0" w:color="auto"/>
        <w:bottom w:val="none" w:sz="0" w:space="0" w:color="auto"/>
        <w:right w:val="none" w:sz="0" w:space="0" w:color="auto"/>
      </w:divBdr>
    </w:div>
    <w:div w:id="1071080628">
      <w:bodyDiv w:val="1"/>
      <w:marLeft w:val="0"/>
      <w:marRight w:val="0"/>
      <w:marTop w:val="0"/>
      <w:marBottom w:val="0"/>
      <w:divBdr>
        <w:top w:val="none" w:sz="0" w:space="0" w:color="auto"/>
        <w:left w:val="none" w:sz="0" w:space="0" w:color="auto"/>
        <w:bottom w:val="none" w:sz="0" w:space="0" w:color="auto"/>
        <w:right w:val="none" w:sz="0" w:space="0" w:color="auto"/>
      </w:divBdr>
    </w:div>
    <w:div w:id="1096242730">
      <w:bodyDiv w:val="1"/>
      <w:marLeft w:val="0"/>
      <w:marRight w:val="0"/>
      <w:marTop w:val="0"/>
      <w:marBottom w:val="0"/>
      <w:divBdr>
        <w:top w:val="none" w:sz="0" w:space="0" w:color="auto"/>
        <w:left w:val="none" w:sz="0" w:space="0" w:color="auto"/>
        <w:bottom w:val="none" w:sz="0" w:space="0" w:color="auto"/>
        <w:right w:val="none" w:sz="0" w:space="0" w:color="auto"/>
      </w:divBdr>
    </w:div>
    <w:div w:id="1124468826">
      <w:bodyDiv w:val="1"/>
      <w:marLeft w:val="0"/>
      <w:marRight w:val="0"/>
      <w:marTop w:val="0"/>
      <w:marBottom w:val="0"/>
      <w:divBdr>
        <w:top w:val="none" w:sz="0" w:space="0" w:color="auto"/>
        <w:left w:val="none" w:sz="0" w:space="0" w:color="auto"/>
        <w:bottom w:val="none" w:sz="0" w:space="0" w:color="auto"/>
        <w:right w:val="none" w:sz="0" w:space="0" w:color="auto"/>
      </w:divBdr>
    </w:div>
    <w:div w:id="1158501103">
      <w:bodyDiv w:val="1"/>
      <w:marLeft w:val="0"/>
      <w:marRight w:val="0"/>
      <w:marTop w:val="0"/>
      <w:marBottom w:val="0"/>
      <w:divBdr>
        <w:top w:val="none" w:sz="0" w:space="0" w:color="auto"/>
        <w:left w:val="none" w:sz="0" w:space="0" w:color="auto"/>
        <w:bottom w:val="none" w:sz="0" w:space="0" w:color="auto"/>
        <w:right w:val="none" w:sz="0" w:space="0" w:color="auto"/>
      </w:divBdr>
    </w:div>
    <w:div w:id="1202984063">
      <w:bodyDiv w:val="1"/>
      <w:marLeft w:val="0"/>
      <w:marRight w:val="0"/>
      <w:marTop w:val="0"/>
      <w:marBottom w:val="0"/>
      <w:divBdr>
        <w:top w:val="none" w:sz="0" w:space="0" w:color="auto"/>
        <w:left w:val="none" w:sz="0" w:space="0" w:color="auto"/>
        <w:bottom w:val="none" w:sz="0" w:space="0" w:color="auto"/>
        <w:right w:val="none" w:sz="0" w:space="0" w:color="auto"/>
      </w:divBdr>
    </w:div>
    <w:div w:id="1206139090">
      <w:bodyDiv w:val="1"/>
      <w:marLeft w:val="0"/>
      <w:marRight w:val="0"/>
      <w:marTop w:val="0"/>
      <w:marBottom w:val="0"/>
      <w:divBdr>
        <w:top w:val="none" w:sz="0" w:space="0" w:color="auto"/>
        <w:left w:val="none" w:sz="0" w:space="0" w:color="auto"/>
        <w:bottom w:val="none" w:sz="0" w:space="0" w:color="auto"/>
        <w:right w:val="none" w:sz="0" w:space="0" w:color="auto"/>
      </w:divBdr>
    </w:div>
    <w:div w:id="1206405687">
      <w:bodyDiv w:val="1"/>
      <w:marLeft w:val="0"/>
      <w:marRight w:val="0"/>
      <w:marTop w:val="0"/>
      <w:marBottom w:val="0"/>
      <w:divBdr>
        <w:top w:val="none" w:sz="0" w:space="0" w:color="auto"/>
        <w:left w:val="none" w:sz="0" w:space="0" w:color="auto"/>
        <w:bottom w:val="none" w:sz="0" w:space="0" w:color="auto"/>
        <w:right w:val="none" w:sz="0" w:space="0" w:color="auto"/>
      </w:divBdr>
    </w:div>
    <w:div w:id="1221480457">
      <w:bodyDiv w:val="1"/>
      <w:marLeft w:val="0"/>
      <w:marRight w:val="0"/>
      <w:marTop w:val="0"/>
      <w:marBottom w:val="0"/>
      <w:divBdr>
        <w:top w:val="none" w:sz="0" w:space="0" w:color="auto"/>
        <w:left w:val="none" w:sz="0" w:space="0" w:color="auto"/>
        <w:bottom w:val="none" w:sz="0" w:space="0" w:color="auto"/>
        <w:right w:val="none" w:sz="0" w:space="0" w:color="auto"/>
      </w:divBdr>
    </w:div>
    <w:div w:id="1227649669">
      <w:bodyDiv w:val="1"/>
      <w:marLeft w:val="0"/>
      <w:marRight w:val="0"/>
      <w:marTop w:val="0"/>
      <w:marBottom w:val="0"/>
      <w:divBdr>
        <w:top w:val="none" w:sz="0" w:space="0" w:color="auto"/>
        <w:left w:val="none" w:sz="0" w:space="0" w:color="auto"/>
        <w:bottom w:val="none" w:sz="0" w:space="0" w:color="auto"/>
        <w:right w:val="none" w:sz="0" w:space="0" w:color="auto"/>
      </w:divBdr>
    </w:div>
    <w:div w:id="1231380481">
      <w:bodyDiv w:val="1"/>
      <w:marLeft w:val="0"/>
      <w:marRight w:val="0"/>
      <w:marTop w:val="0"/>
      <w:marBottom w:val="0"/>
      <w:divBdr>
        <w:top w:val="none" w:sz="0" w:space="0" w:color="auto"/>
        <w:left w:val="none" w:sz="0" w:space="0" w:color="auto"/>
        <w:bottom w:val="none" w:sz="0" w:space="0" w:color="auto"/>
        <w:right w:val="none" w:sz="0" w:space="0" w:color="auto"/>
      </w:divBdr>
    </w:div>
    <w:div w:id="1237202982">
      <w:bodyDiv w:val="1"/>
      <w:marLeft w:val="0"/>
      <w:marRight w:val="0"/>
      <w:marTop w:val="0"/>
      <w:marBottom w:val="0"/>
      <w:divBdr>
        <w:top w:val="none" w:sz="0" w:space="0" w:color="auto"/>
        <w:left w:val="none" w:sz="0" w:space="0" w:color="auto"/>
        <w:bottom w:val="none" w:sz="0" w:space="0" w:color="auto"/>
        <w:right w:val="none" w:sz="0" w:space="0" w:color="auto"/>
      </w:divBdr>
    </w:div>
    <w:div w:id="1237544802">
      <w:bodyDiv w:val="1"/>
      <w:marLeft w:val="0"/>
      <w:marRight w:val="0"/>
      <w:marTop w:val="0"/>
      <w:marBottom w:val="0"/>
      <w:divBdr>
        <w:top w:val="none" w:sz="0" w:space="0" w:color="auto"/>
        <w:left w:val="none" w:sz="0" w:space="0" w:color="auto"/>
        <w:bottom w:val="none" w:sz="0" w:space="0" w:color="auto"/>
        <w:right w:val="none" w:sz="0" w:space="0" w:color="auto"/>
      </w:divBdr>
    </w:div>
    <w:div w:id="1245341833">
      <w:bodyDiv w:val="1"/>
      <w:marLeft w:val="0"/>
      <w:marRight w:val="0"/>
      <w:marTop w:val="0"/>
      <w:marBottom w:val="0"/>
      <w:divBdr>
        <w:top w:val="none" w:sz="0" w:space="0" w:color="auto"/>
        <w:left w:val="none" w:sz="0" w:space="0" w:color="auto"/>
        <w:bottom w:val="none" w:sz="0" w:space="0" w:color="auto"/>
        <w:right w:val="none" w:sz="0" w:space="0" w:color="auto"/>
      </w:divBdr>
    </w:div>
    <w:div w:id="1249268261">
      <w:bodyDiv w:val="1"/>
      <w:marLeft w:val="0"/>
      <w:marRight w:val="0"/>
      <w:marTop w:val="0"/>
      <w:marBottom w:val="0"/>
      <w:divBdr>
        <w:top w:val="none" w:sz="0" w:space="0" w:color="auto"/>
        <w:left w:val="none" w:sz="0" w:space="0" w:color="auto"/>
        <w:bottom w:val="none" w:sz="0" w:space="0" w:color="auto"/>
        <w:right w:val="none" w:sz="0" w:space="0" w:color="auto"/>
      </w:divBdr>
    </w:div>
    <w:div w:id="1258753217">
      <w:bodyDiv w:val="1"/>
      <w:marLeft w:val="0"/>
      <w:marRight w:val="0"/>
      <w:marTop w:val="0"/>
      <w:marBottom w:val="0"/>
      <w:divBdr>
        <w:top w:val="none" w:sz="0" w:space="0" w:color="auto"/>
        <w:left w:val="none" w:sz="0" w:space="0" w:color="auto"/>
        <w:bottom w:val="none" w:sz="0" w:space="0" w:color="auto"/>
        <w:right w:val="none" w:sz="0" w:space="0" w:color="auto"/>
      </w:divBdr>
    </w:div>
    <w:div w:id="1324889309">
      <w:bodyDiv w:val="1"/>
      <w:marLeft w:val="0"/>
      <w:marRight w:val="0"/>
      <w:marTop w:val="0"/>
      <w:marBottom w:val="0"/>
      <w:divBdr>
        <w:top w:val="none" w:sz="0" w:space="0" w:color="auto"/>
        <w:left w:val="none" w:sz="0" w:space="0" w:color="auto"/>
        <w:bottom w:val="none" w:sz="0" w:space="0" w:color="auto"/>
        <w:right w:val="none" w:sz="0" w:space="0" w:color="auto"/>
      </w:divBdr>
      <w:divsChild>
        <w:div w:id="1024672067">
          <w:marLeft w:val="0"/>
          <w:marRight w:val="0"/>
          <w:marTop w:val="100"/>
          <w:marBottom w:val="100"/>
          <w:divBdr>
            <w:top w:val="none" w:sz="0" w:space="0" w:color="auto"/>
            <w:left w:val="none" w:sz="0" w:space="0" w:color="auto"/>
            <w:bottom w:val="none" w:sz="0" w:space="0" w:color="auto"/>
            <w:right w:val="none" w:sz="0" w:space="0" w:color="auto"/>
          </w:divBdr>
          <w:divsChild>
            <w:div w:id="1521626857">
              <w:marLeft w:val="0"/>
              <w:marRight w:val="0"/>
              <w:marTop w:val="0"/>
              <w:marBottom w:val="0"/>
              <w:divBdr>
                <w:top w:val="none" w:sz="0" w:space="0" w:color="auto"/>
                <w:left w:val="none" w:sz="0" w:space="0" w:color="auto"/>
                <w:bottom w:val="none" w:sz="0" w:space="0" w:color="auto"/>
                <w:right w:val="none" w:sz="0" w:space="0" w:color="auto"/>
              </w:divBdr>
              <w:divsChild>
                <w:div w:id="19387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775">
      <w:bodyDiv w:val="1"/>
      <w:marLeft w:val="0"/>
      <w:marRight w:val="0"/>
      <w:marTop w:val="0"/>
      <w:marBottom w:val="0"/>
      <w:divBdr>
        <w:top w:val="none" w:sz="0" w:space="0" w:color="auto"/>
        <w:left w:val="none" w:sz="0" w:space="0" w:color="auto"/>
        <w:bottom w:val="none" w:sz="0" w:space="0" w:color="auto"/>
        <w:right w:val="none" w:sz="0" w:space="0" w:color="auto"/>
      </w:divBdr>
    </w:div>
    <w:div w:id="1340042520">
      <w:bodyDiv w:val="1"/>
      <w:marLeft w:val="0"/>
      <w:marRight w:val="0"/>
      <w:marTop w:val="0"/>
      <w:marBottom w:val="0"/>
      <w:divBdr>
        <w:top w:val="none" w:sz="0" w:space="0" w:color="auto"/>
        <w:left w:val="none" w:sz="0" w:space="0" w:color="auto"/>
        <w:bottom w:val="none" w:sz="0" w:space="0" w:color="auto"/>
        <w:right w:val="none" w:sz="0" w:space="0" w:color="auto"/>
      </w:divBdr>
    </w:div>
    <w:div w:id="1341736550">
      <w:bodyDiv w:val="1"/>
      <w:marLeft w:val="0"/>
      <w:marRight w:val="0"/>
      <w:marTop w:val="0"/>
      <w:marBottom w:val="0"/>
      <w:divBdr>
        <w:top w:val="none" w:sz="0" w:space="0" w:color="auto"/>
        <w:left w:val="none" w:sz="0" w:space="0" w:color="auto"/>
        <w:bottom w:val="none" w:sz="0" w:space="0" w:color="auto"/>
        <w:right w:val="none" w:sz="0" w:space="0" w:color="auto"/>
      </w:divBdr>
      <w:divsChild>
        <w:div w:id="766392993">
          <w:marLeft w:val="0"/>
          <w:marRight w:val="0"/>
          <w:marTop w:val="0"/>
          <w:marBottom w:val="0"/>
          <w:divBdr>
            <w:top w:val="none" w:sz="0" w:space="0" w:color="auto"/>
            <w:left w:val="none" w:sz="0" w:space="0" w:color="auto"/>
            <w:bottom w:val="none" w:sz="0" w:space="0" w:color="auto"/>
            <w:right w:val="none" w:sz="0" w:space="0" w:color="auto"/>
          </w:divBdr>
          <w:divsChild>
            <w:div w:id="221715853">
              <w:marLeft w:val="0"/>
              <w:marRight w:val="0"/>
              <w:marTop w:val="33"/>
              <w:marBottom w:val="0"/>
              <w:divBdr>
                <w:top w:val="single" w:sz="2" w:space="0" w:color="596380"/>
                <w:left w:val="single" w:sz="2" w:space="0" w:color="596380"/>
                <w:bottom w:val="single" w:sz="2" w:space="0" w:color="596380"/>
                <w:right w:val="single" w:sz="2" w:space="0" w:color="596380"/>
              </w:divBdr>
              <w:divsChild>
                <w:div w:id="748036035">
                  <w:marLeft w:val="0"/>
                  <w:marRight w:val="0"/>
                  <w:marTop w:val="0"/>
                  <w:marBottom w:val="0"/>
                  <w:divBdr>
                    <w:top w:val="none" w:sz="0" w:space="0" w:color="auto"/>
                    <w:left w:val="none" w:sz="0" w:space="0" w:color="auto"/>
                    <w:bottom w:val="none" w:sz="0" w:space="0" w:color="auto"/>
                    <w:right w:val="none" w:sz="0" w:space="0" w:color="auto"/>
                  </w:divBdr>
                  <w:divsChild>
                    <w:div w:id="258609488">
                      <w:marLeft w:val="0"/>
                      <w:marRight w:val="0"/>
                      <w:marTop w:val="0"/>
                      <w:marBottom w:val="0"/>
                      <w:divBdr>
                        <w:top w:val="none" w:sz="0" w:space="0" w:color="auto"/>
                        <w:left w:val="none" w:sz="0" w:space="0" w:color="auto"/>
                        <w:bottom w:val="none" w:sz="0" w:space="0" w:color="auto"/>
                        <w:right w:val="none" w:sz="0" w:space="0" w:color="auto"/>
                      </w:divBdr>
                      <w:divsChild>
                        <w:div w:id="132139974">
                          <w:marLeft w:val="0"/>
                          <w:marRight w:val="0"/>
                          <w:marTop w:val="0"/>
                          <w:marBottom w:val="0"/>
                          <w:divBdr>
                            <w:top w:val="none" w:sz="0" w:space="0" w:color="auto"/>
                            <w:left w:val="none" w:sz="0" w:space="0" w:color="auto"/>
                            <w:bottom w:val="none" w:sz="0" w:space="0" w:color="auto"/>
                            <w:right w:val="none" w:sz="0" w:space="0" w:color="auto"/>
                          </w:divBdr>
                          <w:divsChild>
                            <w:div w:id="1018893457">
                              <w:marLeft w:val="0"/>
                              <w:marRight w:val="0"/>
                              <w:marTop w:val="0"/>
                              <w:marBottom w:val="0"/>
                              <w:divBdr>
                                <w:top w:val="none" w:sz="0" w:space="0" w:color="auto"/>
                                <w:left w:val="none" w:sz="0" w:space="0" w:color="auto"/>
                                <w:bottom w:val="none" w:sz="0" w:space="0" w:color="auto"/>
                                <w:right w:val="none" w:sz="0" w:space="0" w:color="auto"/>
                              </w:divBdr>
                              <w:divsChild>
                                <w:div w:id="1108699298">
                                  <w:marLeft w:val="55"/>
                                  <w:marRight w:val="55"/>
                                  <w:marTop w:val="55"/>
                                  <w:marBottom w:val="55"/>
                                  <w:divBdr>
                                    <w:top w:val="none" w:sz="0" w:space="0" w:color="auto"/>
                                    <w:left w:val="none" w:sz="0" w:space="0" w:color="auto"/>
                                    <w:bottom w:val="none" w:sz="0" w:space="0" w:color="auto"/>
                                    <w:right w:val="none" w:sz="0" w:space="0" w:color="auto"/>
                                  </w:divBdr>
                                  <w:divsChild>
                                    <w:div w:id="17622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7452">
      <w:bodyDiv w:val="1"/>
      <w:marLeft w:val="0"/>
      <w:marRight w:val="0"/>
      <w:marTop w:val="0"/>
      <w:marBottom w:val="0"/>
      <w:divBdr>
        <w:top w:val="none" w:sz="0" w:space="0" w:color="auto"/>
        <w:left w:val="none" w:sz="0" w:space="0" w:color="auto"/>
        <w:bottom w:val="none" w:sz="0" w:space="0" w:color="auto"/>
        <w:right w:val="none" w:sz="0" w:space="0" w:color="auto"/>
      </w:divBdr>
    </w:div>
    <w:div w:id="1353801244">
      <w:bodyDiv w:val="1"/>
      <w:marLeft w:val="0"/>
      <w:marRight w:val="0"/>
      <w:marTop w:val="0"/>
      <w:marBottom w:val="0"/>
      <w:divBdr>
        <w:top w:val="none" w:sz="0" w:space="0" w:color="auto"/>
        <w:left w:val="none" w:sz="0" w:space="0" w:color="auto"/>
        <w:bottom w:val="none" w:sz="0" w:space="0" w:color="auto"/>
        <w:right w:val="none" w:sz="0" w:space="0" w:color="auto"/>
      </w:divBdr>
    </w:div>
    <w:div w:id="1365593241">
      <w:bodyDiv w:val="1"/>
      <w:marLeft w:val="0"/>
      <w:marRight w:val="0"/>
      <w:marTop w:val="0"/>
      <w:marBottom w:val="0"/>
      <w:divBdr>
        <w:top w:val="none" w:sz="0" w:space="0" w:color="auto"/>
        <w:left w:val="none" w:sz="0" w:space="0" w:color="auto"/>
        <w:bottom w:val="none" w:sz="0" w:space="0" w:color="auto"/>
        <w:right w:val="none" w:sz="0" w:space="0" w:color="auto"/>
      </w:divBdr>
    </w:div>
    <w:div w:id="1384981871">
      <w:bodyDiv w:val="1"/>
      <w:marLeft w:val="0"/>
      <w:marRight w:val="0"/>
      <w:marTop w:val="0"/>
      <w:marBottom w:val="0"/>
      <w:divBdr>
        <w:top w:val="none" w:sz="0" w:space="0" w:color="auto"/>
        <w:left w:val="none" w:sz="0" w:space="0" w:color="auto"/>
        <w:bottom w:val="none" w:sz="0" w:space="0" w:color="auto"/>
        <w:right w:val="none" w:sz="0" w:space="0" w:color="auto"/>
      </w:divBdr>
    </w:div>
    <w:div w:id="1398090878">
      <w:bodyDiv w:val="1"/>
      <w:marLeft w:val="0"/>
      <w:marRight w:val="0"/>
      <w:marTop w:val="0"/>
      <w:marBottom w:val="0"/>
      <w:divBdr>
        <w:top w:val="none" w:sz="0" w:space="0" w:color="auto"/>
        <w:left w:val="none" w:sz="0" w:space="0" w:color="auto"/>
        <w:bottom w:val="none" w:sz="0" w:space="0" w:color="auto"/>
        <w:right w:val="none" w:sz="0" w:space="0" w:color="auto"/>
      </w:divBdr>
    </w:div>
    <w:div w:id="1410230392">
      <w:bodyDiv w:val="1"/>
      <w:marLeft w:val="0"/>
      <w:marRight w:val="0"/>
      <w:marTop w:val="0"/>
      <w:marBottom w:val="0"/>
      <w:divBdr>
        <w:top w:val="none" w:sz="0" w:space="0" w:color="auto"/>
        <w:left w:val="none" w:sz="0" w:space="0" w:color="auto"/>
        <w:bottom w:val="none" w:sz="0" w:space="0" w:color="auto"/>
        <w:right w:val="none" w:sz="0" w:space="0" w:color="auto"/>
      </w:divBdr>
    </w:div>
    <w:div w:id="1413821722">
      <w:bodyDiv w:val="1"/>
      <w:marLeft w:val="0"/>
      <w:marRight w:val="0"/>
      <w:marTop w:val="0"/>
      <w:marBottom w:val="0"/>
      <w:divBdr>
        <w:top w:val="none" w:sz="0" w:space="0" w:color="auto"/>
        <w:left w:val="none" w:sz="0" w:space="0" w:color="auto"/>
        <w:bottom w:val="none" w:sz="0" w:space="0" w:color="auto"/>
        <w:right w:val="none" w:sz="0" w:space="0" w:color="auto"/>
      </w:divBdr>
    </w:div>
    <w:div w:id="1421439882">
      <w:bodyDiv w:val="1"/>
      <w:marLeft w:val="0"/>
      <w:marRight w:val="0"/>
      <w:marTop w:val="0"/>
      <w:marBottom w:val="0"/>
      <w:divBdr>
        <w:top w:val="none" w:sz="0" w:space="0" w:color="auto"/>
        <w:left w:val="none" w:sz="0" w:space="0" w:color="auto"/>
        <w:bottom w:val="none" w:sz="0" w:space="0" w:color="auto"/>
        <w:right w:val="none" w:sz="0" w:space="0" w:color="auto"/>
      </w:divBdr>
    </w:div>
    <w:div w:id="1424836146">
      <w:bodyDiv w:val="1"/>
      <w:marLeft w:val="0"/>
      <w:marRight w:val="0"/>
      <w:marTop w:val="0"/>
      <w:marBottom w:val="0"/>
      <w:divBdr>
        <w:top w:val="none" w:sz="0" w:space="0" w:color="auto"/>
        <w:left w:val="none" w:sz="0" w:space="0" w:color="auto"/>
        <w:bottom w:val="none" w:sz="0" w:space="0" w:color="auto"/>
        <w:right w:val="none" w:sz="0" w:space="0" w:color="auto"/>
      </w:divBdr>
    </w:div>
    <w:div w:id="1429153648">
      <w:bodyDiv w:val="1"/>
      <w:marLeft w:val="0"/>
      <w:marRight w:val="0"/>
      <w:marTop w:val="0"/>
      <w:marBottom w:val="0"/>
      <w:divBdr>
        <w:top w:val="none" w:sz="0" w:space="0" w:color="auto"/>
        <w:left w:val="none" w:sz="0" w:space="0" w:color="auto"/>
        <w:bottom w:val="none" w:sz="0" w:space="0" w:color="auto"/>
        <w:right w:val="none" w:sz="0" w:space="0" w:color="auto"/>
      </w:divBdr>
    </w:div>
    <w:div w:id="1458721794">
      <w:bodyDiv w:val="1"/>
      <w:marLeft w:val="0"/>
      <w:marRight w:val="0"/>
      <w:marTop w:val="0"/>
      <w:marBottom w:val="0"/>
      <w:divBdr>
        <w:top w:val="none" w:sz="0" w:space="0" w:color="auto"/>
        <w:left w:val="none" w:sz="0" w:space="0" w:color="auto"/>
        <w:bottom w:val="none" w:sz="0" w:space="0" w:color="auto"/>
        <w:right w:val="none" w:sz="0" w:space="0" w:color="auto"/>
      </w:divBdr>
    </w:div>
    <w:div w:id="1472359376">
      <w:bodyDiv w:val="1"/>
      <w:marLeft w:val="0"/>
      <w:marRight w:val="0"/>
      <w:marTop w:val="0"/>
      <w:marBottom w:val="0"/>
      <w:divBdr>
        <w:top w:val="none" w:sz="0" w:space="0" w:color="auto"/>
        <w:left w:val="none" w:sz="0" w:space="0" w:color="auto"/>
        <w:bottom w:val="none" w:sz="0" w:space="0" w:color="auto"/>
        <w:right w:val="none" w:sz="0" w:space="0" w:color="auto"/>
      </w:divBdr>
    </w:div>
    <w:div w:id="1488743183">
      <w:bodyDiv w:val="1"/>
      <w:marLeft w:val="0"/>
      <w:marRight w:val="0"/>
      <w:marTop w:val="45"/>
      <w:marBottom w:val="45"/>
      <w:divBdr>
        <w:top w:val="none" w:sz="0" w:space="0" w:color="auto"/>
        <w:left w:val="none" w:sz="0" w:space="0" w:color="auto"/>
        <w:bottom w:val="none" w:sz="0" w:space="0" w:color="auto"/>
        <w:right w:val="none" w:sz="0" w:space="0" w:color="auto"/>
      </w:divBdr>
      <w:divsChild>
        <w:div w:id="736321548">
          <w:marLeft w:val="0"/>
          <w:marRight w:val="0"/>
          <w:marTop w:val="0"/>
          <w:marBottom w:val="0"/>
          <w:divBdr>
            <w:top w:val="none" w:sz="0" w:space="0" w:color="auto"/>
            <w:left w:val="none" w:sz="0" w:space="0" w:color="auto"/>
            <w:bottom w:val="none" w:sz="0" w:space="0" w:color="auto"/>
            <w:right w:val="none" w:sz="0" w:space="0" w:color="auto"/>
          </w:divBdr>
          <w:divsChild>
            <w:div w:id="1772236447">
              <w:marLeft w:val="0"/>
              <w:marRight w:val="0"/>
              <w:marTop w:val="0"/>
              <w:marBottom w:val="0"/>
              <w:divBdr>
                <w:top w:val="none" w:sz="0" w:space="0" w:color="auto"/>
                <w:left w:val="none" w:sz="0" w:space="0" w:color="auto"/>
                <w:bottom w:val="none" w:sz="0" w:space="0" w:color="auto"/>
                <w:right w:val="none" w:sz="0" w:space="0" w:color="auto"/>
              </w:divBdr>
              <w:divsChild>
                <w:div w:id="472020059">
                  <w:marLeft w:val="2385"/>
                  <w:marRight w:val="3960"/>
                  <w:marTop w:val="0"/>
                  <w:marBottom w:val="0"/>
                  <w:divBdr>
                    <w:top w:val="none" w:sz="0" w:space="0" w:color="auto"/>
                    <w:left w:val="single" w:sz="6" w:space="0" w:color="D3E1F9"/>
                    <w:bottom w:val="none" w:sz="0" w:space="0" w:color="auto"/>
                    <w:right w:val="none" w:sz="0" w:space="0" w:color="auto"/>
                  </w:divBdr>
                  <w:divsChild>
                    <w:div w:id="1213689097">
                      <w:marLeft w:val="0"/>
                      <w:marRight w:val="0"/>
                      <w:marTop w:val="0"/>
                      <w:marBottom w:val="0"/>
                      <w:divBdr>
                        <w:top w:val="none" w:sz="0" w:space="0" w:color="auto"/>
                        <w:left w:val="none" w:sz="0" w:space="0" w:color="auto"/>
                        <w:bottom w:val="none" w:sz="0" w:space="0" w:color="auto"/>
                        <w:right w:val="none" w:sz="0" w:space="0" w:color="auto"/>
                      </w:divBdr>
                      <w:divsChild>
                        <w:div w:id="2869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11397">
      <w:bodyDiv w:val="1"/>
      <w:marLeft w:val="0"/>
      <w:marRight w:val="0"/>
      <w:marTop w:val="0"/>
      <w:marBottom w:val="0"/>
      <w:divBdr>
        <w:top w:val="none" w:sz="0" w:space="0" w:color="auto"/>
        <w:left w:val="none" w:sz="0" w:space="0" w:color="auto"/>
        <w:bottom w:val="none" w:sz="0" w:space="0" w:color="auto"/>
        <w:right w:val="none" w:sz="0" w:space="0" w:color="auto"/>
      </w:divBdr>
    </w:div>
    <w:div w:id="1503663712">
      <w:bodyDiv w:val="1"/>
      <w:marLeft w:val="0"/>
      <w:marRight w:val="0"/>
      <w:marTop w:val="0"/>
      <w:marBottom w:val="0"/>
      <w:divBdr>
        <w:top w:val="none" w:sz="0" w:space="0" w:color="auto"/>
        <w:left w:val="none" w:sz="0" w:space="0" w:color="auto"/>
        <w:bottom w:val="none" w:sz="0" w:space="0" w:color="auto"/>
        <w:right w:val="none" w:sz="0" w:space="0" w:color="auto"/>
      </w:divBdr>
      <w:divsChild>
        <w:div w:id="645163308">
          <w:marLeft w:val="0"/>
          <w:marRight w:val="0"/>
          <w:marTop w:val="100"/>
          <w:marBottom w:val="100"/>
          <w:divBdr>
            <w:top w:val="none" w:sz="0" w:space="0" w:color="auto"/>
            <w:left w:val="none" w:sz="0" w:space="0" w:color="auto"/>
            <w:bottom w:val="none" w:sz="0" w:space="0" w:color="auto"/>
            <w:right w:val="none" w:sz="0" w:space="0" w:color="auto"/>
          </w:divBdr>
          <w:divsChild>
            <w:div w:id="66806168">
              <w:marLeft w:val="0"/>
              <w:marRight w:val="0"/>
              <w:marTop w:val="0"/>
              <w:marBottom w:val="0"/>
              <w:divBdr>
                <w:top w:val="none" w:sz="0" w:space="0" w:color="auto"/>
                <w:left w:val="none" w:sz="0" w:space="0" w:color="auto"/>
                <w:bottom w:val="none" w:sz="0" w:space="0" w:color="auto"/>
                <w:right w:val="none" w:sz="0" w:space="0" w:color="auto"/>
              </w:divBdr>
              <w:divsChild>
                <w:div w:id="380371341">
                  <w:marLeft w:val="0"/>
                  <w:marRight w:val="150"/>
                  <w:marTop w:val="0"/>
                  <w:marBottom w:val="0"/>
                  <w:divBdr>
                    <w:top w:val="none" w:sz="0" w:space="0" w:color="auto"/>
                    <w:left w:val="none" w:sz="0" w:space="0" w:color="auto"/>
                    <w:bottom w:val="none" w:sz="0" w:space="0" w:color="auto"/>
                    <w:right w:val="none" w:sz="0" w:space="0" w:color="auto"/>
                  </w:divBdr>
                  <w:divsChild>
                    <w:div w:id="205726863">
                      <w:marLeft w:val="0"/>
                      <w:marRight w:val="0"/>
                      <w:marTop w:val="0"/>
                      <w:marBottom w:val="75"/>
                      <w:divBdr>
                        <w:top w:val="single" w:sz="6" w:space="0" w:color="B8CDE3"/>
                        <w:left w:val="single" w:sz="6" w:space="0" w:color="B8CDE3"/>
                        <w:bottom w:val="single" w:sz="6" w:space="0" w:color="B8CDE3"/>
                        <w:right w:val="single" w:sz="6" w:space="0" w:color="B8CDE3"/>
                      </w:divBdr>
                      <w:divsChild>
                        <w:div w:id="927077337">
                          <w:marLeft w:val="0"/>
                          <w:marRight w:val="0"/>
                          <w:marTop w:val="75"/>
                          <w:marBottom w:val="75"/>
                          <w:divBdr>
                            <w:top w:val="none" w:sz="0" w:space="0" w:color="auto"/>
                            <w:left w:val="none" w:sz="0" w:space="0" w:color="auto"/>
                            <w:bottom w:val="none" w:sz="0" w:space="0" w:color="auto"/>
                            <w:right w:val="none" w:sz="0" w:space="0" w:color="auto"/>
                          </w:divBdr>
                          <w:divsChild>
                            <w:div w:id="792017746">
                              <w:marLeft w:val="75"/>
                              <w:marRight w:val="75"/>
                              <w:marTop w:val="30"/>
                              <w:marBottom w:val="30"/>
                              <w:divBdr>
                                <w:top w:val="none" w:sz="0" w:space="0" w:color="auto"/>
                                <w:left w:val="none" w:sz="0" w:space="0" w:color="auto"/>
                                <w:bottom w:val="none" w:sz="0" w:space="0" w:color="auto"/>
                                <w:right w:val="none" w:sz="0" w:space="0" w:color="auto"/>
                              </w:divBdr>
                            </w:div>
                            <w:div w:id="1541015217">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61747">
      <w:bodyDiv w:val="1"/>
      <w:marLeft w:val="0"/>
      <w:marRight w:val="0"/>
      <w:marTop w:val="0"/>
      <w:marBottom w:val="0"/>
      <w:divBdr>
        <w:top w:val="none" w:sz="0" w:space="0" w:color="auto"/>
        <w:left w:val="none" w:sz="0" w:space="0" w:color="auto"/>
        <w:bottom w:val="none" w:sz="0" w:space="0" w:color="auto"/>
        <w:right w:val="none" w:sz="0" w:space="0" w:color="auto"/>
      </w:divBdr>
    </w:div>
    <w:div w:id="1512064070">
      <w:bodyDiv w:val="1"/>
      <w:marLeft w:val="0"/>
      <w:marRight w:val="0"/>
      <w:marTop w:val="0"/>
      <w:marBottom w:val="0"/>
      <w:divBdr>
        <w:top w:val="none" w:sz="0" w:space="0" w:color="auto"/>
        <w:left w:val="none" w:sz="0" w:space="0" w:color="auto"/>
        <w:bottom w:val="none" w:sz="0" w:space="0" w:color="auto"/>
        <w:right w:val="none" w:sz="0" w:space="0" w:color="auto"/>
      </w:divBdr>
    </w:div>
    <w:div w:id="1530608364">
      <w:bodyDiv w:val="1"/>
      <w:marLeft w:val="0"/>
      <w:marRight w:val="0"/>
      <w:marTop w:val="0"/>
      <w:marBottom w:val="0"/>
      <w:divBdr>
        <w:top w:val="none" w:sz="0" w:space="0" w:color="auto"/>
        <w:left w:val="none" w:sz="0" w:space="0" w:color="auto"/>
        <w:bottom w:val="none" w:sz="0" w:space="0" w:color="auto"/>
        <w:right w:val="none" w:sz="0" w:space="0" w:color="auto"/>
      </w:divBdr>
    </w:div>
    <w:div w:id="1535577854">
      <w:bodyDiv w:val="1"/>
      <w:marLeft w:val="0"/>
      <w:marRight w:val="0"/>
      <w:marTop w:val="0"/>
      <w:marBottom w:val="0"/>
      <w:divBdr>
        <w:top w:val="none" w:sz="0" w:space="0" w:color="auto"/>
        <w:left w:val="none" w:sz="0" w:space="0" w:color="auto"/>
        <w:bottom w:val="none" w:sz="0" w:space="0" w:color="auto"/>
        <w:right w:val="none" w:sz="0" w:space="0" w:color="auto"/>
      </w:divBdr>
    </w:div>
    <w:div w:id="1552231706">
      <w:bodyDiv w:val="1"/>
      <w:marLeft w:val="0"/>
      <w:marRight w:val="0"/>
      <w:marTop w:val="0"/>
      <w:marBottom w:val="0"/>
      <w:divBdr>
        <w:top w:val="none" w:sz="0" w:space="0" w:color="auto"/>
        <w:left w:val="none" w:sz="0" w:space="0" w:color="auto"/>
        <w:bottom w:val="none" w:sz="0" w:space="0" w:color="auto"/>
        <w:right w:val="none" w:sz="0" w:space="0" w:color="auto"/>
      </w:divBdr>
    </w:div>
    <w:div w:id="1570576146">
      <w:bodyDiv w:val="1"/>
      <w:marLeft w:val="0"/>
      <w:marRight w:val="0"/>
      <w:marTop w:val="0"/>
      <w:marBottom w:val="0"/>
      <w:divBdr>
        <w:top w:val="none" w:sz="0" w:space="0" w:color="auto"/>
        <w:left w:val="none" w:sz="0" w:space="0" w:color="auto"/>
        <w:bottom w:val="none" w:sz="0" w:space="0" w:color="auto"/>
        <w:right w:val="none" w:sz="0" w:space="0" w:color="auto"/>
      </w:divBdr>
    </w:div>
    <w:div w:id="1583374366">
      <w:bodyDiv w:val="1"/>
      <w:marLeft w:val="0"/>
      <w:marRight w:val="0"/>
      <w:marTop w:val="0"/>
      <w:marBottom w:val="0"/>
      <w:divBdr>
        <w:top w:val="none" w:sz="0" w:space="0" w:color="auto"/>
        <w:left w:val="none" w:sz="0" w:space="0" w:color="auto"/>
        <w:bottom w:val="none" w:sz="0" w:space="0" w:color="auto"/>
        <w:right w:val="none" w:sz="0" w:space="0" w:color="auto"/>
      </w:divBdr>
    </w:div>
    <w:div w:id="1591890373">
      <w:bodyDiv w:val="1"/>
      <w:marLeft w:val="0"/>
      <w:marRight w:val="0"/>
      <w:marTop w:val="0"/>
      <w:marBottom w:val="0"/>
      <w:divBdr>
        <w:top w:val="none" w:sz="0" w:space="0" w:color="auto"/>
        <w:left w:val="none" w:sz="0" w:space="0" w:color="auto"/>
        <w:bottom w:val="none" w:sz="0" w:space="0" w:color="auto"/>
        <w:right w:val="none" w:sz="0" w:space="0" w:color="auto"/>
      </w:divBdr>
    </w:div>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 w:id="1647856395">
      <w:bodyDiv w:val="1"/>
      <w:marLeft w:val="0"/>
      <w:marRight w:val="0"/>
      <w:marTop w:val="0"/>
      <w:marBottom w:val="0"/>
      <w:divBdr>
        <w:top w:val="none" w:sz="0" w:space="0" w:color="auto"/>
        <w:left w:val="none" w:sz="0" w:space="0" w:color="auto"/>
        <w:bottom w:val="none" w:sz="0" w:space="0" w:color="auto"/>
        <w:right w:val="none" w:sz="0" w:space="0" w:color="auto"/>
      </w:divBdr>
    </w:div>
    <w:div w:id="1649356451">
      <w:bodyDiv w:val="1"/>
      <w:marLeft w:val="0"/>
      <w:marRight w:val="0"/>
      <w:marTop w:val="0"/>
      <w:marBottom w:val="0"/>
      <w:divBdr>
        <w:top w:val="none" w:sz="0" w:space="0" w:color="auto"/>
        <w:left w:val="none" w:sz="0" w:space="0" w:color="auto"/>
        <w:bottom w:val="none" w:sz="0" w:space="0" w:color="auto"/>
        <w:right w:val="none" w:sz="0" w:space="0" w:color="auto"/>
      </w:divBdr>
    </w:div>
    <w:div w:id="1656102664">
      <w:bodyDiv w:val="1"/>
      <w:marLeft w:val="0"/>
      <w:marRight w:val="0"/>
      <w:marTop w:val="0"/>
      <w:marBottom w:val="0"/>
      <w:divBdr>
        <w:top w:val="none" w:sz="0" w:space="0" w:color="auto"/>
        <w:left w:val="none" w:sz="0" w:space="0" w:color="auto"/>
        <w:bottom w:val="none" w:sz="0" w:space="0" w:color="auto"/>
        <w:right w:val="none" w:sz="0" w:space="0" w:color="auto"/>
      </w:divBdr>
    </w:div>
    <w:div w:id="1681005967">
      <w:bodyDiv w:val="1"/>
      <w:marLeft w:val="0"/>
      <w:marRight w:val="0"/>
      <w:marTop w:val="0"/>
      <w:marBottom w:val="0"/>
      <w:divBdr>
        <w:top w:val="none" w:sz="0" w:space="0" w:color="auto"/>
        <w:left w:val="none" w:sz="0" w:space="0" w:color="auto"/>
        <w:bottom w:val="none" w:sz="0" w:space="0" w:color="auto"/>
        <w:right w:val="none" w:sz="0" w:space="0" w:color="auto"/>
      </w:divBdr>
    </w:div>
    <w:div w:id="1705135524">
      <w:bodyDiv w:val="1"/>
      <w:marLeft w:val="0"/>
      <w:marRight w:val="0"/>
      <w:marTop w:val="0"/>
      <w:marBottom w:val="0"/>
      <w:divBdr>
        <w:top w:val="none" w:sz="0" w:space="0" w:color="auto"/>
        <w:left w:val="none" w:sz="0" w:space="0" w:color="auto"/>
        <w:bottom w:val="none" w:sz="0" w:space="0" w:color="auto"/>
        <w:right w:val="none" w:sz="0" w:space="0" w:color="auto"/>
      </w:divBdr>
    </w:div>
    <w:div w:id="1737125493">
      <w:bodyDiv w:val="1"/>
      <w:marLeft w:val="0"/>
      <w:marRight w:val="0"/>
      <w:marTop w:val="0"/>
      <w:marBottom w:val="0"/>
      <w:divBdr>
        <w:top w:val="none" w:sz="0" w:space="0" w:color="auto"/>
        <w:left w:val="none" w:sz="0" w:space="0" w:color="auto"/>
        <w:bottom w:val="none" w:sz="0" w:space="0" w:color="auto"/>
        <w:right w:val="none" w:sz="0" w:space="0" w:color="auto"/>
      </w:divBdr>
    </w:div>
    <w:div w:id="1740401578">
      <w:bodyDiv w:val="1"/>
      <w:marLeft w:val="0"/>
      <w:marRight w:val="0"/>
      <w:marTop w:val="0"/>
      <w:marBottom w:val="0"/>
      <w:divBdr>
        <w:top w:val="none" w:sz="0" w:space="0" w:color="auto"/>
        <w:left w:val="none" w:sz="0" w:space="0" w:color="auto"/>
        <w:bottom w:val="none" w:sz="0" w:space="0" w:color="auto"/>
        <w:right w:val="none" w:sz="0" w:space="0" w:color="auto"/>
      </w:divBdr>
    </w:div>
    <w:div w:id="1755475304">
      <w:bodyDiv w:val="1"/>
      <w:marLeft w:val="0"/>
      <w:marRight w:val="0"/>
      <w:marTop w:val="0"/>
      <w:marBottom w:val="0"/>
      <w:divBdr>
        <w:top w:val="none" w:sz="0" w:space="0" w:color="auto"/>
        <w:left w:val="none" w:sz="0" w:space="0" w:color="auto"/>
        <w:bottom w:val="none" w:sz="0" w:space="0" w:color="auto"/>
        <w:right w:val="none" w:sz="0" w:space="0" w:color="auto"/>
      </w:divBdr>
    </w:div>
    <w:div w:id="1759059028">
      <w:bodyDiv w:val="1"/>
      <w:marLeft w:val="0"/>
      <w:marRight w:val="0"/>
      <w:marTop w:val="0"/>
      <w:marBottom w:val="0"/>
      <w:divBdr>
        <w:top w:val="none" w:sz="0" w:space="0" w:color="auto"/>
        <w:left w:val="none" w:sz="0" w:space="0" w:color="auto"/>
        <w:bottom w:val="none" w:sz="0" w:space="0" w:color="auto"/>
        <w:right w:val="none" w:sz="0" w:space="0" w:color="auto"/>
      </w:divBdr>
    </w:div>
    <w:div w:id="1766027475">
      <w:bodyDiv w:val="1"/>
      <w:marLeft w:val="0"/>
      <w:marRight w:val="0"/>
      <w:marTop w:val="0"/>
      <w:marBottom w:val="0"/>
      <w:divBdr>
        <w:top w:val="none" w:sz="0" w:space="0" w:color="auto"/>
        <w:left w:val="none" w:sz="0" w:space="0" w:color="auto"/>
        <w:bottom w:val="none" w:sz="0" w:space="0" w:color="auto"/>
        <w:right w:val="none" w:sz="0" w:space="0" w:color="auto"/>
      </w:divBdr>
      <w:divsChild>
        <w:div w:id="873079076">
          <w:marLeft w:val="0"/>
          <w:marRight w:val="0"/>
          <w:marTop w:val="0"/>
          <w:marBottom w:val="0"/>
          <w:divBdr>
            <w:top w:val="none" w:sz="0" w:space="0" w:color="auto"/>
            <w:left w:val="none" w:sz="0" w:space="0" w:color="auto"/>
            <w:bottom w:val="none" w:sz="0" w:space="0" w:color="auto"/>
            <w:right w:val="none" w:sz="0" w:space="0" w:color="auto"/>
          </w:divBdr>
          <w:divsChild>
            <w:div w:id="1195654953">
              <w:marLeft w:val="0"/>
              <w:marRight w:val="0"/>
              <w:marTop w:val="33"/>
              <w:marBottom w:val="0"/>
              <w:divBdr>
                <w:top w:val="single" w:sz="2" w:space="0" w:color="596380"/>
                <w:left w:val="single" w:sz="2" w:space="0" w:color="596380"/>
                <w:bottom w:val="single" w:sz="2" w:space="0" w:color="596380"/>
                <w:right w:val="single" w:sz="2" w:space="0" w:color="596380"/>
              </w:divBdr>
              <w:divsChild>
                <w:div w:id="40983991">
                  <w:marLeft w:val="0"/>
                  <w:marRight w:val="0"/>
                  <w:marTop w:val="0"/>
                  <w:marBottom w:val="0"/>
                  <w:divBdr>
                    <w:top w:val="none" w:sz="0" w:space="0" w:color="auto"/>
                    <w:left w:val="none" w:sz="0" w:space="0" w:color="auto"/>
                    <w:bottom w:val="none" w:sz="0" w:space="0" w:color="auto"/>
                    <w:right w:val="none" w:sz="0" w:space="0" w:color="auto"/>
                  </w:divBdr>
                  <w:divsChild>
                    <w:div w:id="739444026">
                      <w:marLeft w:val="0"/>
                      <w:marRight w:val="0"/>
                      <w:marTop w:val="0"/>
                      <w:marBottom w:val="0"/>
                      <w:divBdr>
                        <w:top w:val="none" w:sz="0" w:space="0" w:color="auto"/>
                        <w:left w:val="none" w:sz="0" w:space="0" w:color="auto"/>
                        <w:bottom w:val="none" w:sz="0" w:space="0" w:color="auto"/>
                        <w:right w:val="none" w:sz="0" w:space="0" w:color="auto"/>
                      </w:divBdr>
                      <w:divsChild>
                        <w:div w:id="1848903762">
                          <w:marLeft w:val="0"/>
                          <w:marRight w:val="0"/>
                          <w:marTop w:val="0"/>
                          <w:marBottom w:val="0"/>
                          <w:divBdr>
                            <w:top w:val="none" w:sz="0" w:space="0" w:color="auto"/>
                            <w:left w:val="none" w:sz="0" w:space="0" w:color="auto"/>
                            <w:bottom w:val="none" w:sz="0" w:space="0" w:color="auto"/>
                            <w:right w:val="none" w:sz="0" w:space="0" w:color="auto"/>
                          </w:divBdr>
                          <w:divsChild>
                            <w:div w:id="328170874">
                              <w:marLeft w:val="0"/>
                              <w:marRight w:val="0"/>
                              <w:marTop w:val="0"/>
                              <w:marBottom w:val="0"/>
                              <w:divBdr>
                                <w:top w:val="none" w:sz="0" w:space="0" w:color="auto"/>
                                <w:left w:val="none" w:sz="0" w:space="0" w:color="auto"/>
                                <w:bottom w:val="none" w:sz="0" w:space="0" w:color="auto"/>
                                <w:right w:val="none" w:sz="0" w:space="0" w:color="auto"/>
                              </w:divBdr>
                              <w:divsChild>
                                <w:div w:id="683827167">
                                  <w:marLeft w:val="55"/>
                                  <w:marRight w:val="55"/>
                                  <w:marTop w:val="55"/>
                                  <w:marBottom w:val="55"/>
                                  <w:divBdr>
                                    <w:top w:val="none" w:sz="0" w:space="0" w:color="auto"/>
                                    <w:left w:val="none" w:sz="0" w:space="0" w:color="auto"/>
                                    <w:bottom w:val="none" w:sz="0" w:space="0" w:color="auto"/>
                                    <w:right w:val="none" w:sz="0" w:space="0" w:color="auto"/>
                                  </w:divBdr>
                                  <w:divsChild>
                                    <w:div w:id="6441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88062">
      <w:bodyDiv w:val="1"/>
      <w:marLeft w:val="0"/>
      <w:marRight w:val="0"/>
      <w:marTop w:val="0"/>
      <w:marBottom w:val="0"/>
      <w:divBdr>
        <w:top w:val="none" w:sz="0" w:space="0" w:color="auto"/>
        <w:left w:val="none" w:sz="0" w:space="0" w:color="auto"/>
        <w:bottom w:val="none" w:sz="0" w:space="0" w:color="auto"/>
        <w:right w:val="none" w:sz="0" w:space="0" w:color="auto"/>
      </w:divBdr>
    </w:div>
    <w:div w:id="1815172868">
      <w:bodyDiv w:val="1"/>
      <w:marLeft w:val="0"/>
      <w:marRight w:val="0"/>
      <w:marTop w:val="0"/>
      <w:marBottom w:val="0"/>
      <w:divBdr>
        <w:top w:val="none" w:sz="0" w:space="0" w:color="auto"/>
        <w:left w:val="none" w:sz="0" w:space="0" w:color="auto"/>
        <w:bottom w:val="none" w:sz="0" w:space="0" w:color="auto"/>
        <w:right w:val="none" w:sz="0" w:space="0" w:color="auto"/>
      </w:divBdr>
    </w:div>
    <w:div w:id="1837846343">
      <w:bodyDiv w:val="1"/>
      <w:marLeft w:val="0"/>
      <w:marRight w:val="0"/>
      <w:marTop w:val="0"/>
      <w:marBottom w:val="0"/>
      <w:divBdr>
        <w:top w:val="none" w:sz="0" w:space="0" w:color="auto"/>
        <w:left w:val="none" w:sz="0" w:space="0" w:color="auto"/>
        <w:bottom w:val="none" w:sz="0" w:space="0" w:color="auto"/>
        <w:right w:val="none" w:sz="0" w:space="0" w:color="auto"/>
      </w:divBdr>
    </w:div>
    <w:div w:id="1857428725">
      <w:bodyDiv w:val="1"/>
      <w:marLeft w:val="0"/>
      <w:marRight w:val="0"/>
      <w:marTop w:val="0"/>
      <w:marBottom w:val="0"/>
      <w:divBdr>
        <w:top w:val="none" w:sz="0" w:space="0" w:color="auto"/>
        <w:left w:val="none" w:sz="0" w:space="0" w:color="auto"/>
        <w:bottom w:val="none" w:sz="0" w:space="0" w:color="auto"/>
        <w:right w:val="none" w:sz="0" w:space="0" w:color="auto"/>
      </w:divBdr>
    </w:div>
    <w:div w:id="1863588342">
      <w:bodyDiv w:val="1"/>
      <w:marLeft w:val="0"/>
      <w:marRight w:val="0"/>
      <w:marTop w:val="0"/>
      <w:marBottom w:val="0"/>
      <w:divBdr>
        <w:top w:val="none" w:sz="0" w:space="0" w:color="auto"/>
        <w:left w:val="none" w:sz="0" w:space="0" w:color="auto"/>
        <w:bottom w:val="none" w:sz="0" w:space="0" w:color="auto"/>
        <w:right w:val="none" w:sz="0" w:space="0" w:color="auto"/>
      </w:divBdr>
    </w:div>
    <w:div w:id="1865753050">
      <w:bodyDiv w:val="1"/>
      <w:marLeft w:val="0"/>
      <w:marRight w:val="0"/>
      <w:marTop w:val="0"/>
      <w:marBottom w:val="0"/>
      <w:divBdr>
        <w:top w:val="none" w:sz="0" w:space="0" w:color="auto"/>
        <w:left w:val="none" w:sz="0" w:space="0" w:color="auto"/>
        <w:bottom w:val="none" w:sz="0" w:space="0" w:color="auto"/>
        <w:right w:val="none" w:sz="0" w:space="0" w:color="auto"/>
      </w:divBdr>
    </w:div>
    <w:div w:id="1887177925">
      <w:bodyDiv w:val="1"/>
      <w:marLeft w:val="0"/>
      <w:marRight w:val="0"/>
      <w:marTop w:val="0"/>
      <w:marBottom w:val="0"/>
      <w:divBdr>
        <w:top w:val="none" w:sz="0" w:space="0" w:color="auto"/>
        <w:left w:val="none" w:sz="0" w:space="0" w:color="auto"/>
        <w:bottom w:val="none" w:sz="0" w:space="0" w:color="auto"/>
        <w:right w:val="none" w:sz="0" w:space="0" w:color="auto"/>
      </w:divBdr>
    </w:div>
    <w:div w:id="1894345890">
      <w:bodyDiv w:val="1"/>
      <w:marLeft w:val="0"/>
      <w:marRight w:val="0"/>
      <w:marTop w:val="0"/>
      <w:marBottom w:val="0"/>
      <w:divBdr>
        <w:top w:val="none" w:sz="0" w:space="0" w:color="auto"/>
        <w:left w:val="none" w:sz="0" w:space="0" w:color="auto"/>
        <w:bottom w:val="none" w:sz="0" w:space="0" w:color="auto"/>
        <w:right w:val="none" w:sz="0" w:space="0" w:color="auto"/>
      </w:divBdr>
    </w:div>
    <w:div w:id="1930573628">
      <w:bodyDiv w:val="1"/>
      <w:marLeft w:val="0"/>
      <w:marRight w:val="0"/>
      <w:marTop w:val="0"/>
      <w:marBottom w:val="0"/>
      <w:divBdr>
        <w:top w:val="none" w:sz="0" w:space="0" w:color="auto"/>
        <w:left w:val="none" w:sz="0" w:space="0" w:color="auto"/>
        <w:bottom w:val="none" w:sz="0" w:space="0" w:color="auto"/>
        <w:right w:val="none" w:sz="0" w:space="0" w:color="auto"/>
      </w:divBdr>
    </w:div>
    <w:div w:id="1930888112">
      <w:bodyDiv w:val="1"/>
      <w:marLeft w:val="0"/>
      <w:marRight w:val="0"/>
      <w:marTop w:val="0"/>
      <w:marBottom w:val="0"/>
      <w:divBdr>
        <w:top w:val="none" w:sz="0" w:space="0" w:color="auto"/>
        <w:left w:val="none" w:sz="0" w:space="0" w:color="auto"/>
        <w:bottom w:val="none" w:sz="0" w:space="0" w:color="auto"/>
        <w:right w:val="none" w:sz="0" w:space="0" w:color="auto"/>
      </w:divBdr>
    </w:div>
    <w:div w:id="1944652084">
      <w:bodyDiv w:val="1"/>
      <w:marLeft w:val="0"/>
      <w:marRight w:val="0"/>
      <w:marTop w:val="45"/>
      <w:marBottom w:val="45"/>
      <w:divBdr>
        <w:top w:val="none" w:sz="0" w:space="0" w:color="auto"/>
        <w:left w:val="none" w:sz="0" w:space="0" w:color="auto"/>
        <w:bottom w:val="none" w:sz="0" w:space="0" w:color="auto"/>
        <w:right w:val="none" w:sz="0" w:space="0" w:color="auto"/>
      </w:divBdr>
      <w:divsChild>
        <w:div w:id="229930545">
          <w:marLeft w:val="0"/>
          <w:marRight w:val="0"/>
          <w:marTop w:val="0"/>
          <w:marBottom w:val="0"/>
          <w:divBdr>
            <w:top w:val="none" w:sz="0" w:space="0" w:color="auto"/>
            <w:left w:val="none" w:sz="0" w:space="0" w:color="auto"/>
            <w:bottom w:val="none" w:sz="0" w:space="0" w:color="auto"/>
            <w:right w:val="none" w:sz="0" w:space="0" w:color="auto"/>
          </w:divBdr>
          <w:divsChild>
            <w:div w:id="1798525287">
              <w:marLeft w:val="0"/>
              <w:marRight w:val="0"/>
              <w:marTop w:val="0"/>
              <w:marBottom w:val="0"/>
              <w:divBdr>
                <w:top w:val="none" w:sz="0" w:space="0" w:color="auto"/>
                <w:left w:val="none" w:sz="0" w:space="0" w:color="auto"/>
                <w:bottom w:val="none" w:sz="0" w:space="0" w:color="auto"/>
                <w:right w:val="none" w:sz="0" w:space="0" w:color="auto"/>
              </w:divBdr>
              <w:divsChild>
                <w:div w:id="45952800">
                  <w:marLeft w:val="2385"/>
                  <w:marRight w:val="3960"/>
                  <w:marTop w:val="0"/>
                  <w:marBottom w:val="0"/>
                  <w:divBdr>
                    <w:top w:val="none" w:sz="0" w:space="0" w:color="auto"/>
                    <w:left w:val="single" w:sz="6" w:space="0" w:color="D3E1F9"/>
                    <w:bottom w:val="none" w:sz="0" w:space="0" w:color="auto"/>
                    <w:right w:val="none" w:sz="0" w:space="0" w:color="auto"/>
                  </w:divBdr>
                  <w:divsChild>
                    <w:div w:id="98183481">
                      <w:marLeft w:val="0"/>
                      <w:marRight w:val="0"/>
                      <w:marTop w:val="0"/>
                      <w:marBottom w:val="0"/>
                      <w:divBdr>
                        <w:top w:val="none" w:sz="0" w:space="0" w:color="auto"/>
                        <w:left w:val="none" w:sz="0" w:space="0" w:color="auto"/>
                        <w:bottom w:val="none" w:sz="0" w:space="0" w:color="auto"/>
                        <w:right w:val="none" w:sz="0" w:space="0" w:color="auto"/>
                      </w:divBdr>
                      <w:divsChild>
                        <w:div w:id="17434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80085">
      <w:bodyDiv w:val="1"/>
      <w:marLeft w:val="0"/>
      <w:marRight w:val="0"/>
      <w:marTop w:val="0"/>
      <w:marBottom w:val="0"/>
      <w:divBdr>
        <w:top w:val="none" w:sz="0" w:space="0" w:color="auto"/>
        <w:left w:val="none" w:sz="0" w:space="0" w:color="auto"/>
        <w:bottom w:val="none" w:sz="0" w:space="0" w:color="auto"/>
        <w:right w:val="none" w:sz="0" w:space="0" w:color="auto"/>
      </w:divBdr>
    </w:div>
    <w:div w:id="1962957532">
      <w:bodyDiv w:val="1"/>
      <w:marLeft w:val="0"/>
      <w:marRight w:val="0"/>
      <w:marTop w:val="0"/>
      <w:marBottom w:val="0"/>
      <w:divBdr>
        <w:top w:val="none" w:sz="0" w:space="0" w:color="auto"/>
        <w:left w:val="none" w:sz="0" w:space="0" w:color="auto"/>
        <w:bottom w:val="none" w:sz="0" w:space="0" w:color="auto"/>
        <w:right w:val="none" w:sz="0" w:space="0" w:color="auto"/>
      </w:divBdr>
    </w:div>
    <w:div w:id="1975063946">
      <w:bodyDiv w:val="1"/>
      <w:marLeft w:val="0"/>
      <w:marRight w:val="0"/>
      <w:marTop w:val="0"/>
      <w:marBottom w:val="0"/>
      <w:divBdr>
        <w:top w:val="none" w:sz="0" w:space="0" w:color="auto"/>
        <w:left w:val="none" w:sz="0" w:space="0" w:color="auto"/>
        <w:bottom w:val="none" w:sz="0" w:space="0" w:color="auto"/>
        <w:right w:val="none" w:sz="0" w:space="0" w:color="auto"/>
      </w:divBdr>
      <w:divsChild>
        <w:div w:id="1020199993">
          <w:marLeft w:val="0"/>
          <w:marRight w:val="0"/>
          <w:marTop w:val="100"/>
          <w:marBottom w:val="100"/>
          <w:divBdr>
            <w:top w:val="none" w:sz="0" w:space="0" w:color="auto"/>
            <w:left w:val="none" w:sz="0" w:space="0" w:color="auto"/>
            <w:bottom w:val="none" w:sz="0" w:space="0" w:color="auto"/>
            <w:right w:val="none" w:sz="0" w:space="0" w:color="auto"/>
          </w:divBdr>
          <w:divsChild>
            <w:div w:id="1600529769">
              <w:marLeft w:val="0"/>
              <w:marRight w:val="0"/>
              <w:marTop w:val="0"/>
              <w:marBottom w:val="0"/>
              <w:divBdr>
                <w:top w:val="none" w:sz="0" w:space="0" w:color="auto"/>
                <w:left w:val="none" w:sz="0" w:space="0" w:color="auto"/>
                <w:bottom w:val="none" w:sz="0" w:space="0" w:color="auto"/>
                <w:right w:val="none" w:sz="0" w:space="0" w:color="auto"/>
              </w:divBdr>
              <w:divsChild>
                <w:div w:id="2040859765">
                  <w:marLeft w:val="0"/>
                  <w:marRight w:val="150"/>
                  <w:marTop w:val="0"/>
                  <w:marBottom w:val="0"/>
                  <w:divBdr>
                    <w:top w:val="none" w:sz="0" w:space="0" w:color="auto"/>
                    <w:left w:val="none" w:sz="0" w:space="0" w:color="auto"/>
                    <w:bottom w:val="none" w:sz="0" w:space="0" w:color="auto"/>
                    <w:right w:val="none" w:sz="0" w:space="0" w:color="auto"/>
                  </w:divBdr>
                  <w:divsChild>
                    <w:div w:id="1308778259">
                      <w:marLeft w:val="0"/>
                      <w:marRight w:val="0"/>
                      <w:marTop w:val="0"/>
                      <w:marBottom w:val="75"/>
                      <w:divBdr>
                        <w:top w:val="single" w:sz="6" w:space="0" w:color="B8CDE3"/>
                        <w:left w:val="single" w:sz="6" w:space="0" w:color="B8CDE3"/>
                        <w:bottom w:val="single" w:sz="6" w:space="0" w:color="B8CDE3"/>
                        <w:right w:val="single" w:sz="6" w:space="0" w:color="B8CDE3"/>
                      </w:divBdr>
                      <w:divsChild>
                        <w:div w:id="1861624266">
                          <w:marLeft w:val="0"/>
                          <w:marRight w:val="0"/>
                          <w:marTop w:val="75"/>
                          <w:marBottom w:val="75"/>
                          <w:divBdr>
                            <w:top w:val="none" w:sz="0" w:space="0" w:color="auto"/>
                            <w:left w:val="none" w:sz="0" w:space="0" w:color="auto"/>
                            <w:bottom w:val="none" w:sz="0" w:space="0" w:color="auto"/>
                            <w:right w:val="none" w:sz="0" w:space="0" w:color="auto"/>
                          </w:divBdr>
                          <w:divsChild>
                            <w:div w:id="580069178">
                              <w:marLeft w:val="75"/>
                              <w:marRight w:val="75"/>
                              <w:marTop w:val="30"/>
                              <w:marBottom w:val="30"/>
                              <w:divBdr>
                                <w:top w:val="none" w:sz="0" w:space="0" w:color="auto"/>
                                <w:left w:val="none" w:sz="0" w:space="0" w:color="auto"/>
                                <w:bottom w:val="none" w:sz="0" w:space="0" w:color="auto"/>
                                <w:right w:val="none" w:sz="0" w:space="0" w:color="auto"/>
                              </w:divBdr>
                            </w:div>
                            <w:div w:id="1679692331">
                              <w:marLeft w:val="75"/>
                              <w:marRight w:val="75"/>
                              <w:marTop w:val="30"/>
                              <w:marBottom w:val="30"/>
                              <w:divBdr>
                                <w:top w:val="none" w:sz="0" w:space="0" w:color="auto"/>
                                <w:left w:val="none" w:sz="0" w:space="0" w:color="auto"/>
                                <w:bottom w:val="none" w:sz="0" w:space="0" w:color="auto"/>
                                <w:right w:val="none" w:sz="0" w:space="0" w:color="auto"/>
                              </w:divBdr>
                            </w:div>
                            <w:div w:id="2013335709">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81854">
      <w:bodyDiv w:val="1"/>
      <w:marLeft w:val="0"/>
      <w:marRight w:val="0"/>
      <w:marTop w:val="0"/>
      <w:marBottom w:val="0"/>
      <w:divBdr>
        <w:top w:val="none" w:sz="0" w:space="0" w:color="auto"/>
        <w:left w:val="none" w:sz="0" w:space="0" w:color="auto"/>
        <w:bottom w:val="none" w:sz="0" w:space="0" w:color="auto"/>
        <w:right w:val="none" w:sz="0" w:space="0" w:color="auto"/>
      </w:divBdr>
    </w:div>
    <w:div w:id="2049404230">
      <w:bodyDiv w:val="1"/>
      <w:marLeft w:val="0"/>
      <w:marRight w:val="0"/>
      <w:marTop w:val="0"/>
      <w:marBottom w:val="0"/>
      <w:divBdr>
        <w:top w:val="none" w:sz="0" w:space="0" w:color="auto"/>
        <w:left w:val="none" w:sz="0" w:space="0" w:color="auto"/>
        <w:bottom w:val="none" w:sz="0" w:space="0" w:color="auto"/>
        <w:right w:val="none" w:sz="0" w:space="0" w:color="auto"/>
      </w:divBdr>
    </w:div>
    <w:div w:id="212626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2D0B2-CC99-479B-BFB6-8E0FE8D88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4032</Words>
  <Characters>22989</Characters>
  <Application>Microsoft Office Word</Application>
  <DocSecurity>0</DocSecurity>
  <Lines>191</Lines>
  <Paragraphs>53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DTM</Company>
  <LinksUpToDate>false</LinksUpToDate>
  <CharactersWithSpaces>26968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Kübra DÖNMEZ</cp:lastModifiedBy>
  <cp:revision>4</cp:revision>
  <cp:lastPrinted>2018-04-16T11:29:00Z</cp:lastPrinted>
  <dcterms:created xsi:type="dcterms:W3CDTF">2018-10-22T07:43:00Z</dcterms:created>
  <dcterms:modified xsi:type="dcterms:W3CDTF">2018-10-22T08:08:00Z</dcterms:modified>
</cp:coreProperties>
</file>