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1EB0" w:rsidRDefault="001C1EB0" w:rsidP="001C1EB0">
      <w:pPr>
        <w:rPr>
          <w:b/>
          <w:caps/>
        </w:rPr>
      </w:pPr>
      <w:r>
        <w:rPr>
          <w:b/>
          <w:caps/>
        </w:rPr>
        <w:t>E</w:t>
      </w:r>
      <w:r w:rsidR="00390B76">
        <w:rPr>
          <w:b/>
          <w:caps/>
        </w:rPr>
        <w:t>k</w:t>
      </w:r>
    </w:p>
    <w:p w:rsidR="001C1EB0" w:rsidRDefault="001C1EB0" w:rsidP="00914096">
      <w:pPr>
        <w:jc w:val="center"/>
        <w:rPr>
          <w:b/>
          <w:caps/>
        </w:rPr>
      </w:pPr>
    </w:p>
    <w:p w:rsidR="00914096" w:rsidRPr="009F0E99" w:rsidRDefault="00F932A3" w:rsidP="00914096">
      <w:pPr>
        <w:jc w:val="center"/>
        <w:rPr>
          <w:b/>
          <w:caps/>
        </w:rPr>
      </w:pPr>
      <w:r w:rsidRPr="009F0E99">
        <w:rPr>
          <w:b/>
          <w:caps/>
        </w:rPr>
        <w:t xml:space="preserve">2018/35 </w:t>
      </w:r>
      <w:r w:rsidR="00380A12" w:rsidRPr="009F0E99">
        <w:rPr>
          <w:b/>
          <w:caps/>
        </w:rPr>
        <w:t xml:space="preserve">SaYILI İTHALATTA HAKSIZ REKABETİN ÖNLENMESİNE İLİŞKİN TEBLİĞE </w:t>
      </w:r>
      <w:r w:rsidR="00C510F6">
        <w:rPr>
          <w:b/>
          <w:caps/>
        </w:rPr>
        <w:t>AİT</w:t>
      </w:r>
      <w:r w:rsidR="00380A12" w:rsidRPr="009F0E99">
        <w:rPr>
          <w:b/>
          <w:caps/>
        </w:rPr>
        <w:t xml:space="preserve"> </w:t>
      </w:r>
      <w:r w:rsidR="00914096" w:rsidRPr="009F0E99">
        <w:rPr>
          <w:b/>
          <w:caps/>
        </w:rPr>
        <w:t>BİLGİLENDİRME RAPORU</w:t>
      </w:r>
    </w:p>
    <w:p w:rsidR="00914096" w:rsidRPr="009F0E99" w:rsidRDefault="00914096" w:rsidP="00164FF4">
      <w:pPr>
        <w:jc w:val="both"/>
        <w:rPr>
          <w:b/>
          <w:caps/>
        </w:rPr>
      </w:pPr>
    </w:p>
    <w:p w:rsidR="00D17BE4" w:rsidRPr="009F0E99" w:rsidRDefault="00D17BE4" w:rsidP="00164FF4">
      <w:pPr>
        <w:jc w:val="both"/>
        <w:rPr>
          <w:b/>
          <w:caps/>
        </w:rPr>
      </w:pPr>
    </w:p>
    <w:p w:rsidR="00164FF4" w:rsidRPr="009F0E99" w:rsidRDefault="00164FF4" w:rsidP="00164FF4">
      <w:pPr>
        <w:jc w:val="both"/>
        <w:rPr>
          <w:b/>
          <w:caps/>
        </w:rPr>
      </w:pPr>
      <w:r w:rsidRPr="009F0E99">
        <w:rPr>
          <w:b/>
          <w:caps/>
        </w:rPr>
        <w:t>1. soruşturmaya ilişkin GEnel BİLgi ve işlemler</w:t>
      </w:r>
    </w:p>
    <w:p w:rsidR="00164FF4" w:rsidRPr="009F0E99" w:rsidRDefault="00164FF4" w:rsidP="00164FF4">
      <w:pPr>
        <w:jc w:val="both"/>
        <w:rPr>
          <w:b/>
          <w:caps/>
        </w:rPr>
      </w:pPr>
    </w:p>
    <w:p w:rsidR="00164FF4" w:rsidRPr="009F0E99" w:rsidRDefault="00164FF4" w:rsidP="00164FF4">
      <w:pPr>
        <w:contextualSpacing/>
        <w:jc w:val="both"/>
        <w:rPr>
          <w:b/>
          <w:caps/>
        </w:rPr>
      </w:pPr>
      <w:r w:rsidRPr="009F0E99">
        <w:rPr>
          <w:b/>
          <w:caps/>
        </w:rPr>
        <w:t xml:space="preserve">1.1 </w:t>
      </w:r>
      <w:r w:rsidR="00731D63" w:rsidRPr="009F0E99">
        <w:rPr>
          <w:b/>
        </w:rPr>
        <w:t>Mevcut önlem</w:t>
      </w:r>
      <w:r w:rsidR="008C7F8B" w:rsidRPr="009F0E99">
        <w:rPr>
          <w:b/>
        </w:rPr>
        <w:t xml:space="preserve"> ve </w:t>
      </w:r>
      <w:r w:rsidR="00F85C0F" w:rsidRPr="009F0E99">
        <w:rPr>
          <w:b/>
        </w:rPr>
        <w:t>s</w:t>
      </w:r>
      <w:r w:rsidR="008C7F8B" w:rsidRPr="009F0E99">
        <w:rPr>
          <w:b/>
        </w:rPr>
        <w:t xml:space="preserve">oruşturma </w:t>
      </w:r>
      <w:r w:rsidR="00731D63" w:rsidRPr="009F0E99">
        <w:rPr>
          <w:b/>
          <w:caps/>
        </w:rPr>
        <w:t xml:space="preserve"> </w:t>
      </w:r>
    </w:p>
    <w:p w:rsidR="009B142E" w:rsidRPr="009F0E99" w:rsidRDefault="009B142E" w:rsidP="009B142E">
      <w:pPr>
        <w:jc w:val="both"/>
        <w:rPr>
          <w:szCs w:val="20"/>
        </w:rPr>
      </w:pPr>
      <w:r w:rsidRPr="009F0E99">
        <w:t xml:space="preserve">(1) 31/03/2007 tarihli ve 26479 sayılı Resmi Gazete’de yayımlanan İthalatta Haksız Rekabetin Önlenmesine İlişkin 2007/4 sayılı Tebliğ ile Çin Halk Cumhuriyeti (ÇHC), Hindistan Cumhuriyeti (Hindistan) ve Vietnam Sosyalist Cumhuriyeti (Vietnam) menşeli 4010.32.00.00.00 gümrük tarife istatistik pozisyonu (GTİP) altında kayıtlı “Dış çevresi 60 cm.yi geçen fakat 180 cm.yi geçmeyen, kesiti trapez şeklinde (V-kolanlar) olan (V-yivli olanlar hariç) sonsuz transmisyon kolanları”,  4010.34.00.00.00 GTİP’i altında kayıtlı “Dış çevresi 180 cm.yi geçen fakat 240 cm.yi geçmeyen, kesiti trapez şeklinde (V-kolanlar) olan (V-yivli olanlar hariç) sonsuz transmisyon kolanları” ve 4010.39.00.00.00 GTİP’i altında kayıtlı “Yalnız kesiti trapez şeklinde (V-Kolanlar) olan (V-yivli olanlar hariç) sonsuz transmisyon kolanları” ithalinde dampinge karşı kesin önlem yürürlüğe konulmuştur.  </w:t>
      </w:r>
    </w:p>
    <w:p w:rsidR="009B142E" w:rsidRPr="009F0E99" w:rsidRDefault="009B142E" w:rsidP="009B142E">
      <w:pPr>
        <w:ind w:firstLine="357"/>
        <w:jc w:val="both"/>
      </w:pPr>
      <w:r w:rsidRPr="009F0E99">
        <w:t xml:space="preserve"> </w:t>
      </w:r>
    </w:p>
    <w:p w:rsidR="009B142E" w:rsidRPr="009F0E99" w:rsidRDefault="009B142E" w:rsidP="009B142E">
      <w:pPr>
        <w:jc w:val="both"/>
      </w:pPr>
      <w:r w:rsidRPr="009F0E99">
        <w:t>(2) Bahse konu ülkelere yönelik ilk nihai gözden geçirme soruşturması (NGGS) 2012 yılında başlatılmış olup 15/3/2013 tarihli ve 28588 sayılı Resmi Gazete’de yayımlanan İthalatta Haksız Rekabetin Önlenmesine İlişkin Tebliğ (Tebliğ No: 2013/3) çerçevesinde önlemin uygulanmasına ilk yürürlüğe konulduğu şekliyle devam edilmektedir.</w:t>
      </w:r>
    </w:p>
    <w:p w:rsidR="00111A83" w:rsidRPr="009F0E99" w:rsidRDefault="00111A83" w:rsidP="00111A83">
      <w:pPr>
        <w:jc w:val="both"/>
      </w:pPr>
    </w:p>
    <w:p w:rsidR="008C7F8B" w:rsidRPr="009F0E99" w:rsidRDefault="009B142E" w:rsidP="00111A83">
      <w:pPr>
        <w:jc w:val="both"/>
        <w:rPr>
          <w:noProof/>
        </w:rPr>
      </w:pPr>
      <w:r w:rsidRPr="009F0E99">
        <w:t>(3</w:t>
      </w:r>
      <w:r w:rsidR="00111A83" w:rsidRPr="009F0E99">
        <w:t xml:space="preserve">) </w:t>
      </w:r>
      <w:r w:rsidRPr="009F0E99">
        <w:t>Son olarak, 2013/3</w:t>
      </w:r>
      <w:r w:rsidR="00C65970" w:rsidRPr="009F0E99">
        <w:t xml:space="preserve"> Sayılı Tebliğ çerçevesinde uygulanmakta olan </w:t>
      </w:r>
      <w:r w:rsidR="00111A83" w:rsidRPr="009F0E99">
        <w:t xml:space="preserve">önlemin yürürlükten kalkması halinde önleme konu </w:t>
      </w:r>
      <w:r w:rsidRPr="009F0E99">
        <w:t xml:space="preserve">ÇHC, </w:t>
      </w:r>
      <w:r w:rsidR="00111A83" w:rsidRPr="009F0E99">
        <w:t xml:space="preserve">Hindistan ve </w:t>
      </w:r>
      <w:r w:rsidRPr="009F0E99">
        <w:t xml:space="preserve">Vietnam </w:t>
      </w:r>
      <w:r w:rsidR="00111A83" w:rsidRPr="009F0E99">
        <w:t xml:space="preserve">menşeli üründe dampingin ve zararın devam etmesinin veya yeniden meydana gelebilmesinin muhtemel olduğu iddiasıyla </w:t>
      </w:r>
      <w:r w:rsidRPr="009F0E99">
        <w:t xml:space="preserve">Bando Kayış Sanayi ve Ticaret A.Ş. tarafından gerçekleştirilen </w:t>
      </w:r>
      <w:r w:rsidR="00111A83" w:rsidRPr="009F0E99">
        <w:t xml:space="preserve">başvurunun değerlendirilmesi neticesinde, </w:t>
      </w:r>
      <w:r w:rsidRPr="009F0E99">
        <w:t xml:space="preserve">2/3/2018 tarihli ve </w:t>
      </w:r>
      <w:r w:rsidR="00334929" w:rsidRPr="009F0E99">
        <w:t xml:space="preserve">30348 </w:t>
      </w:r>
      <w:r w:rsidRPr="009F0E99">
        <w:t>sayılı Resmi Gazete’de yayımlanan İthalatta Haksız Rekabetin Önlenmesine İlişkin Tebliğ (Tebliğ No:2018/2)</w:t>
      </w:r>
      <w:r w:rsidR="00FB0457" w:rsidRPr="009F0E99">
        <w:t xml:space="preserve"> </w:t>
      </w:r>
      <w:r w:rsidR="00111A83" w:rsidRPr="009F0E99">
        <w:t xml:space="preserve">ile başlatılan NGGS </w:t>
      </w:r>
      <w:r w:rsidR="000A45DA" w:rsidRPr="009F0E99">
        <w:t xml:space="preserve">kapsamında </w:t>
      </w:r>
      <w:r w:rsidR="008C7F8B" w:rsidRPr="009F0E99">
        <w:t xml:space="preserve">“nihai bildirim” raporu ilgili taraflarla paylaşılmış ve ulaşılan tespitlere yönelik ilgili tarafların nesnel, kanıtlanabilir ve makul itiraz ve görüşleri değerlendirilmiştir. </w:t>
      </w:r>
    </w:p>
    <w:p w:rsidR="00DF4E77" w:rsidRPr="009F0E99" w:rsidRDefault="00DF4E77" w:rsidP="008C7F8B">
      <w:pPr>
        <w:jc w:val="both"/>
      </w:pPr>
    </w:p>
    <w:p w:rsidR="00164FF4" w:rsidRPr="009F0E99" w:rsidRDefault="00164FF4" w:rsidP="006D669C">
      <w:pPr>
        <w:pStyle w:val="GvdeMetni"/>
        <w:numPr>
          <w:ilvl w:val="1"/>
          <w:numId w:val="1"/>
        </w:numPr>
        <w:rPr>
          <w:b/>
          <w:caps/>
          <w:color w:val="auto"/>
        </w:rPr>
      </w:pPr>
      <w:r w:rsidRPr="009F0E99">
        <w:rPr>
          <w:b/>
          <w:color w:val="auto"/>
        </w:rPr>
        <w:t>Yerli üretim dalının temsil niteliği</w:t>
      </w:r>
    </w:p>
    <w:p w:rsidR="008C7F8B" w:rsidRPr="009F0E99" w:rsidRDefault="00B21136" w:rsidP="006D669C">
      <w:pPr>
        <w:pStyle w:val="ListeParagraf"/>
        <w:numPr>
          <w:ilvl w:val="0"/>
          <w:numId w:val="2"/>
        </w:numPr>
        <w:spacing w:line="240" w:lineRule="atLeast"/>
        <w:ind w:left="0" w:firstLine="0"/>
        <w:jc w:val="both"/>
      </w:pPr>
      <w:r w:rsidRPr="009F0E99">
        <w:t xml:space="preserve">Yönetmelik’in 18 </w:t>
      </w:r>
      <w:r w:rsidR="00C65970" w:rsidRPr="009F0E99">
        <w:t xml:space="preserve">inci maddesi </w:t>
      </w:r>
      <w:r w:rsidR="008C7F8B" w:rsidRPr="009F0E99">
        <w:t xml:space="preserve">çerçevesinde yerli üretici </w:t>
      </w:r>
      <w:r w:rsidR="00FB0457" w:rsidRPr="009F0E99">
        <w:t xml:space="preserve">Bando Kayış Sanayi ve Ticaret A.Ş. </w:t>
      </w:r>
      <w:r w:rsidR="008C7F8B" w:rsidRPr="009F0E99">
        <w:t>yerli üretim dalını temsili haiz olduğuna kanaat getirilmiştir. Bu raporun ilerleyen bölümlerinde</w:t>
      </w:r>
      <w:r w:rsidR="002C3680" w:rsidRPr="009F0E99">
        <w:t xml:space="preserve"> Bando Kayış Sanayi ve Ticaret A.Ş.</w:t>
      </w:r>
      <w:r w:rsidR="008C7F8B" w:rsidRPr="009F0E99">
        <w:t xml:space="preserve"> </w:t>
      </w:r>
      <w:r w:rsidR="00CB26BF" w:rsidRPr="009F0E99">
        <w:t>firması</w:t>
      </w:r>
      <w:r w:rsidR="000A45DA" w:rsidRPr="009F0E99">
        <w:t xml:space="preserve"> </w:t>
      </w:r>
      <w:r w:rsidR="008C7F8B" w:rsidRPr="009F0E99">
        <w:t xml:space="preserve">“yerli üretim dalı” olarak anılacaktır. </w:t>
      </w:r>
    </w:p>
    <w:p w:rsidR="00164FF4" w:rsidRPr="009F0E99" w:rsidRDefault="00164FF4" w:rsidP="008C7F8B">
      <w:pPr>
        <w:jc w:val="both"/>
      </w:pPr>
    </w:p>
    <w:p w:rsidR="00164FF4" w:rsidRPr="009F0E99" w:rsidRDefault="00164FF4" w:rsidP="00164FF4">
      <w:pPr>
        <w:spacing w:line="240" w:lineRule="atLeast"/>
        <w:jc w:val="both"/>
        <w:rPr>
          <w:b/>
        </w:rPr>
      </w:pPr>
      <w:r w:rsidRPr="009F0E99">
        <w:rPr>
          <w:b/>
          <w:caps/>
        </w:rPr>
        <w:t>1.3</w:t>
      </w:r>
      <w:r w:rsidRPr="009F0E99">
        <w:rPr>
          <w:caps/>
        </w:rPr>
        <w:t xml:space="preserve"> </w:t>
      </w:r>
      <w:r w:rsidRPr="009F0E99">
        <w:rPr>
          <w:b/>
        </w:rPr>
        <w:t>İlgili tarafların bilgilendirilmesi, dinlenmesi ve bilgilerin değerlendirilmesi</w:t>
      </w:r>
    </w:p>
    <w:p w:rsidR="00A746AF" w:rsidRPr="009F0E99" w:rsidRDefault="00A746AF" w:rsidP="00A746AF">
      <w:pPr>
        <w:jc w:val="both"/>
        <w:rPr>
          <w:szCs w:val="20"/>
        </w:rPr>
      </w:pPr>
      <w:r w:rsidRPr="009F0E99">
        <w:t xml:space="preserve">(1) Soruşturma açılmasını müteakip, soruşturma konusu ürünün Bakanlık tarafından tespit edilen </w:t>
      </w:r>
      <w:r w:rsidR="00FB0457" w:rsidRPr="009F0E99">
        <w:t xml:space="preserve">ÇHC, </w:t>
      </w:r>
      <w:r w:rsidRPr="009F0E99">
        <w:t xml:space="preserve">Hindistan ve </w:t>
      </w:r>
      <w:r w:rsidR="00FB0457" w:rsidRPr="009F0E99">
        <w:t xml:space="preserve">Vietnam’da </w:t>
      </w:r>
      <w:r w:rsidRPr="009F0E99">
        <w:t xml:space="preserve">yerleşik </w:t>
      </w:r>
      <w:r w:rsidRPr="009F0E99">
        <w:rPr>
          <w:szCs w:val="20"/>
        </w:rPr>
        <w:t xml:space="preserve">üreticilerine/ihracatçılarına, Türkiye’de yerleşik ithalatçılarına ve ayrıca </w:t>
      </w:r>
      <w:r w:rsidR="00FB0457" w:rsidRPr="009F0E99">
        <w:rPr>
          <w:szCs w:val="20"/>
        </w:rPr>
        <w:t xml:space="preserve">ÇHC, </w:t>
      </w:r>
      <w:r w:rsidRPr="009F0E99">
        <w:t>Hindistan ve</w:t>
      </w:r>
      <w:r w:rsidR="00FB0457" w:rsidRPr="009F0E99">
        <w:t xml:space="preserve"> Vietnam</w:t>
      </w:r>
      <w:r w:rsidRPr="009F0E99">
        <w:t xml:space="preserve">’da </w:t>
      </w:r>
      <w:r w:rsidR="007F0565" w:rsidRPr="009F0E99">
        <w:rPr>
          <w:szCs w:val="20"/>
        </w:rPr>
        <w:t>yerleşik diğer üreticilere/</w:t>
      </w:r>
      <w:r w:rsidRPr="009F0E99">
        <w:rPr>
          <w:szCs w:val="20"/>
        </w:rPr>
        <w:t xml:space="preserve">ihracatçılara iletilebilmesini teminen </w:t>
      </w:r>
      <w:r w:rsidR="00FB0457" w:rsidRPr="009F0E99">
        <w:rPr>
          <w:szCs w:val="20"/>
        </w:rPr>
        <w:t xml:space="preserve">ÇHC, </w:t>
      </w:r>
      <w:r w:rsidRPr="009F0E99">
        <w:rPr>
          <w:szCs w:val="20"/>
        </w:rPr>
        <w:t>Hindistan</w:t>
      </w:r>
      <w:r w:rsidR="00FB0457" w:rsidRPr="009F0E99">
        <w:rPr>
          <w:szCs w:val="20"/>
        </w:rPr>
        <w:t xml:space="preserve"> ve Vietnam </w:t>
      </w:r>
      <w:r w:rsidRPr="009F0E99">
        <w:rPr>
          <w:szCs w:val="20"/>
        </w:rPr>
        <w:t xml:space="preserve"> Ankara Büyükelçili</w:t>
      </w:r>
      <w:r w:rsidR="00FB0457" w:rsidRPr="009F0E99">
        <w:rPr>
          <w:szCs w:val="20"/>
        </w:rPr>
        <w:t xml:space="preserve">klerine </w:t>
      </w:r>
      <w:r w:rsidRPr="009F0E99">
        <w:rPr>
          <w:szCs w:val="20"/>
        </w:rPr>
        <w:t xml:space="preserve"> soruşturmanın açılışına ilişkin bildirimde bulunulmuştur.</w:t>
      </w:r>
    </w:p>
    <w:p w:rsidR="00A746AF" w:rsidRPr="009F0E99" w:rsidRDefault="00A746AF" w:rsidP="00A746AF">
      <w:pPr>
        <w:ind w:firstLine="567"/>
        <w:jc w:val="both"/>
      </w:pPr>
    </w:p>
    <w:p w:rsidR="00A746AF" w:rsidRPr="009F0E99" w:rsidRDefault="00A746AF" w:rsidP="00A746AF">
      <w:pPr>
        <w:spacing w:after="240"/>
        <w:jc w:val="both"/>
      </w:pPr>
      <w:r w:rsidRPr="009F0E99">
        <w:rPr>
          <w:szCs w:val="20"/>
        </w:rPr>
        <w:t>(2) Bildirimde, soruşturma açılış Tebliğine, başvurunun gizli olmayan metnine ve soru formlarına nereden erişileceği hususunda bilgi verilmiştir.</w:t>
      </w:r>
    </w:p>
    <w:p w:rsidR="00A746AF" w:rsidRPr="009F0E99" w:rsidRDefault="00A746AF" w:rsidP="00A746AF">
      <w:pPr>
        <w:jc w:val="both"/>
        <w:rPr>
          <w:szCs w:val="20"/>
        </w:rPr>
      </w:pPr>
      <w:r w:rsidRPr="009F0E99">
        <w:rPr>
          <w:szCs w:val="20"/>
        </w:rPr>
        <w:t>(3) Taraflara soru formunu yanıtlamaları için posta süresi dâhil 37 gün süre tanınmıştır. Ayrıca ilgili tarafların süre uzatımı yönündeki m</w:t>
      </w:r>
      <w:r w:rsidRPr="009F0E99">
        <w:t>â</w:t>
      </w:r>
      <w:r w:rsidRPr="009F0E99">
        <w:rPr>
          <w:szCs w:val="20"/>
        </w:rPr>
        <w:t>kul talepleri karşılanmıştır.</w:t>
      </w:r>
    </w:p>
    <w:p w:rsidR="00A746AF" w:rsidRPr="009F0E99" w:rsidRDefault="00A746AF" w:rsidP="00A746AF">
      <w:pPr>
        <w:ind w:firstLine="567"/>
        <w:jc w:val="both"/>
        <w:rPr>
          <w:szCs w:val="20"/>
        </w:rPr>
      </w:pPr>
      <w:r w:rsidRPr="009F0E99">
        <w:rPr>
          <w:szCs w:val="20"/>
        </w:rPr>
        <w:lastRenderedPageBreak/>
        <w:t xml:space="preserve"> </w:t>
      </w:r>
    </w:p>
    <w:p w:rsidR="00A746AF" w:rsidRPr="009F0E99" w:rsidRDefault="00A746AF" w:rsidP="00A746AF">
      <w:pPr>
        <w:jc w:val="both"/>
        <w:rPr>
          <w:szCs w:val="20"/>
        </w:rPr>
      </w:pPr>
      <w:r w:rsidRPr="009F0E99">
        <w:rPr>
          <w:szCs w:val="20"/>
        </w:rPr>
        <w:t xml:space="preserve">(4) Yerli üretim dalı, soruşturma süresi boyunca Bakanlık ile işbirliği içinde olmuş ve gerektiğinde talep edilen ilave bilgileri temin etmiştir. </w:t>
      </w:r>
    </w:p>
    <w:p w:rsidR="00A746AF" w:rsidRPr="009F0E99" w:rsidRDefault="00A746AF" w:rsidP="00A746AF">
      <w:pPr>
        <w:ind w:firstLine="567"/>
        <w:jc w:val="both"/>
        <w:rPr>
          <w:szCs w:val="20"/>
          <w:highlight w:val="yellow"/>
        </w:rPr>
      </w:pPr>
    </w:p>
    <w:p w:rsidR="00A746AF" w:rsidRPr="009F0E99" w:rsidRDefault="00670E70" w:rsidP="00FB0457">
      <w:pPr>
        <w:jc w:val="both"/>
      </w:pPr>
      <w:r w:rsidRPr="009F0E99">
        <w:rPr>
          <w:szCs w:val="20"/>
        </w:rPr>
        <w:t xml:space="preserve">(5) </w:t>
      </w:r>
      <w:r w:rsidR="00A746AF" w:rsidRPr="009F0E99">
        <w:rPr>
          <w:szCs w:val="20"/>
        </w:rPr>
        <w:t xml:space="preserve">Soruşturma </w:t>
      </w:r>
      <w:r w:rsidR="00A746AF" w:rsidRPr="009F0E99">
        <w:t xml:space="preserve">döneminde ithalat gerçekleştirdiği tespit edilen ve soru formu gönderilen ithalatçılardan </w:t>
      </w:r>
      <w:r w:rsidR="00FB0457" w:rsidRPr="009F0E99">
        <w:t>dört ithalatçı firma soru formunu ö</w:t>
      </w:r>
      <w:r w:rsidR="00334929" w:rsidRPr="009F0E99">
        <w:t>ngörülen sürede yanıtlamıştır. ü</w:t>
      </w:r>
      <w:r w:rsidR="00FB0457" w:rsidRPr="009F0E99">
        <w:t xml:space="preserve">retici/ihracatçı soru formu için ise yanıt alınmamıştır. </w:t>
      </w:r>
    </w:p>
    <w:p w:rsidR="00D67735" w:rsidRPr="009F0E99" w:rsidRDefault="00D67735" w:rsidP="00D67735">
      <w:pPr>
        <w:ind w:firstLine="567"/>
        <w:jc w:val="both"/>
      </w:pPr>
    </w:p>
    <w:p w:rsidR="00670E70" w:rsidRPr="009F0E99" w:rsidRDefault="00A746AF" w:rsidP="00670E70">
      <w:pPr>
        <w:jc w:val="both"/>
        <w:rPr>
          <w:szCs w:val="20"/>
        </w:rPr>
      </w:pPr>
      <w:r w:rsidRPr="009F0E99">
        <w:rPr>
          <w:szCs w:val="20"/>
        </w:rPr>
        <w:t>(6) Soruşturmaya ilişkin bilgi ve bulguların tamamlanması akabinde, soruşturma sonucunda alınacak karara esas teşkil edecek bilgi, bulgu, tespit ve değerlendirmeleri i</w:t>
      </w:r>
      <w:r w:rsidR="00670E70" w:rsidRPr="009F0E99">
        <w:rPr>
          <w:szCs w:val="20"/>
        </w:rPr>
        <w:t>çeren “Nihai Bildirim Raporu” 12/7</w:t>
      </w:r>
      <w:r w:rsidRPr="009F0E99">
        <w:rPr>
          <w:szCs w:val="20"/>
        </w:rPr>
        <w:t>/2018 tarihinde ilgili tarafların bilgisine sunulmuştur</w:t>
      </w:r>
      <w:r w:rsidR="00670E70" w:rsidRPr="009F0E99">
        <w:rPr>
          <w:szCs w:val="20"/>
        </w:rPr>
        <w:t>. Söz konusu bildirim, ÇHC, Hindistan ve Vietnam Ankara Büyükelçiliklerine soruşturma sırasında görüş bildiren ithalatçı firmalara ve yerli üretim dalına iletilmiştir.</w:t>
      </w:r>
    </w:p>
    <w:p w:rsidR="00D67735" w:rsidRPr="009F0E99" w:rsidRDefault="00D67735" w:rsidP="00D67735">
      <w:pPr>
        <w:ind w:firstLine="567"/>
        <w:jc w:val="both"/>
        <w:rPr>
          <w:szCs w:val="20"/>
        </w:rPr>
      </w:pPr>
    </w:p>
    <w:p w:rsidR="00670E70" w:rsidRPr="009F0E99" w:rsidRDefault="002C3680" w:rsidP="00670E70">
      <w:pPr>
        <w:jc w:val="both"/>
        <w:rPr>
          <w:szCs w:val="20"/>
        </w:rPr>
      </w:pPr>
      <w:r w:rsidRPr="009F0E99">
        <w:rPr>
          <w:szCs w:val="20"/>
        </w:rPr>
        <w:t>(7</w:t>
      </w:r>
      <w:r w:rsidR="00670E70" w:rsidRPr="009F0E99">
        <w:rPr>
          <w:szCs w:val="20"/>
        </w:rPr>
        <w:t>) Nihai Bildirim Raporu’na ilişkin olarak ilave bir yazılı görüş alınmamıştır.</w:t>
      </w:r>
    </w:p>
    <w:p w:rsidR="00670E70" w:rsidRPr="009F0E99" w:rsidRDefault="00670E70" w:rsidP="00670E70">
      <w:pPr>
        <w:ind w:firstLine="567"/>
        <w:jc w:val="both"/>
        <w:rPr>
          <w:szCs w:val="20"/>
          <w:highlight w:val="yellow"/>
        </w:rPr>
      </w:pPr>
    </w:p>
    <w:p w:rsidR="00670E70" w:rsidRPr="009F0E99" w:rsidRDefault="002C3680" w:rsidP="00670E70">
      <w:pPr>
        <w:jc w:val="both"/>
        <w:rPr>
          <w:szCs w:val="20"/>
        </w:rPr>
      </w:pPr>
      <w:r w:rsidRPr="009F0E99">
        <w:rPr>
          <w:szCs w:val="20"/>
        </w:rPr>
        <w:t>(8</w:t>
      </w:r>
      <w:r w:rsidR="00670E70" w:rsidRPr="009F0E99">
        <w:rPr>
          <w:szCs w:val="20"/>
        </w:rPr>
        <w:t xml:space="preserve">) Nihai bildirim sonrasında, </w:t>
      </w:r>
      <w:r w:rsidR="00670E70" w:rsidRPr="009F0E99">
        <w:t xml:space="preserve">ilgili tarafların katılımı ile </w:t>
      </w:r>
      <w:r w:rsidRPr="009F0E99">
        <w:t>25/7</w:t>
      </w:r>
      <w:r w:rsidR="00670E70" w:rsidRPr="009F0E99">
        <w:t>/2018 tarihinde kamu dinleme toplantısı düzenlenmiş olup toplantıya yerli üretim dalı ve  Vietnam Büyükelçiliği</w:t>
      </w:r>
      <w:r w:rsidR="00670E70" w:rsidRPr="009F0E99">
        <w:rPr>
          <w:szCs w:val="20"/>
        </w:rPr>
        <w:t xml:space="preserve"> temsilcileri tarafından katılım sağlanmıştır.</w:t>
      </w:r>
    </w:p>
    <w:p w:rsidR="00670E70" w:rsidRPr="009F0E99" w:rsidRDefault="00670E70" w:rsidP="00670E70">
      <w:pPr>
        <w:ind w:firstLine="567"/>
        <w:jc w:val="both"/>
        <w:rPr>
          <w:szCs w:val="20"/>
          <w:highlight w:val="yellow"/>
        </w:rPr>
      </w:pPr>
    </w:p>
    <w:p w:rsidR="00670E70" w:rsidRPr="009F0E99" w:rsidRDefault="002C3680" w:rsidP="00670E70">
      <w:pPr>
        <w:jc w:val="both"/>
      </w:pPr>
      <w:r w:rsidRPr="009F0E99">
        <w:t>(9</w:t>
      </w:r>
      <w:r w:rsidR="00670E70" w:rsidRPr="009F0E99">
        <w:t>) Tarafların soruşturma boyunca ortaya koyduğu tüm bilgi, belge ve görüşler incelenmiş, mezkûr görüşlerden mevzuat kapsamında değerlendirilebilecek olanlarına bu raporun ilgili bölümlerinde değinilmiştir.</w:t>
      </w:r>
    </w:p>
    <w:p w:rsidR="00164FF4" w:rsidRPr="009F0E99" w:rsidRDefault="00164FF4" w:rsidP="003C6689">
      <w:pPr>
        <w:contextualSpacing/>
        <w:jc w:val="both"/>
      </w:pPr>
    </w:p>
    <w:p w:rsidR="0054491B" w:rsidRPr="009F0E99" w:rsidRDefault="00EC3FF1" w:rsidP="005056F1">
      <w:pPr>
        <w:keepNext/>
        <w:contextualSpacing/>
        <w:outlineLvl w:val="1"/>
        <w:rPr>
          <w:b/>
        </w:rPr>
      </w:pPr>
      <w:r w:rsidRPr="009F0E99">
        <w:rPr>
          <w:b/>
        </w:rPr>
        <w:t>1.</w:t>
      </w:r>
      <w:r w:rsidR="00DA029A" w:rsidRPr="009F0E99">
        <w:rPr>
          <w:b/>
        </w:rPr>
        <w:t>4</w:t>
      </w:r>
      <w:r w:rsidRPr="009F0E99">
        <w:rPr>
          <w:b/>
        </w:rPr>
        <w:t xml:space="preserve"> </w:t>
      </w:r>
      <w:r w:rsidR="00164FF4" w:rsidRPr="009F0E99">
        <w:rPr>
          <w:b/>
        </w:rPr>
        <w:t xml:space="preserve">Gözden geçirme dönemi </w:t>
      </w:r>
    </w:p>
    <w:p w:rsidR="00DA029A" w:rsidRPr="009F0E99" w:rsidRDefault="00164FF4" w:rsidP="00DA029A">
      <w:pPr>
        <w:jc w:val="both"/>
      </w:pPr>
      <w:r w:rsidRPr="009F0E99">
        <w:t xml:space="preserve">(1) </w:t>
      </w:r>
      <w:r w:rsidR="00DA029A" w:rsidRPr="009F0E99">
        <w:t>Gözde</w:t>
      </w:r>
      <w:r w:rsidR="00670E70" w:rsidRPr="009F0E99">
        <w:t>n geçirme dönemi olarak 1/1/2015</w:t>
      </w:r>
      <w:r w:rsidR="00DA029A" w:rsidRPr="009F0E99">
        <w:t>-31/12/201</w:t>
      </w:r>
      <w:r w:rsidR="00670E70" w:rsidRPr="009F0E99">
        <w:t>7</w:t>
      </w:r>
      <w:r w:rsidR="00DA029A" w:rsidRPr="009F0E99">
        <w:t xml:space="preserve"> arasındaki dönem esas alınmıştır.</w:t>
      </w:r>
    </w:p>
    <w:p w:rsidR="00164FF4" w:rsidRPr="009F0E99" w:rsidRDefault="00164FF4" w:rsidP="00DA029A">
      <w:pPr>
        <w:spacing w:line="240" w:lineRule="atLeast"/>
        <w:contextualSpacing/>
        <w:jc w:val="both"/>
        <w:rPr>
          <w:rFonts w:eastAsia="MS Mincho"/>
          <w:b/>
          <w:bCs/>
          <w:lang w:eastAsia="ja-JP"/>
        </w:rPr>
      </w:pPr>
    </w:p>
    <w:p w:rsidR="008E4B08" w:rsidRPr="009F0E99" w:rsidRDefault="00EC3FF1" w:rsidP="00164FF4">
      <w:pPr>
        <w:jc w:val="both"/>
        <w:rPr>
          <w:rFonts w:eastAsia="MS Mincho"/>
          <w:b/>
          <w:bCs/>
          <w:caps/>
          <w:lang w:eastAsia="ja-JP"/>
        </w:rPr>
      </w:pPr>
      <w:r w:rsidRPr="009F0E99">
        <w:rPr>
          <w:rFonts w:eastAsia="MS Mincho"/>
          <w:b/>
          <w:bCs/>
          <w:caps/>
          <w:lang w:eastAsia="ja-JP"/>
        </w:rPr>
        <w:t xml:space="preserve">2. </w:t>
      </w:r>
      <w:r w:rsidR="00164FF4" w:rsidRPr="009F0E99">
        <w:rPr>
          <w:rFonts w:eastAsia="MS Mincho"/>
          <w:b/>
          <w:bCs/>
          <w:caps/>
          <w:lang w:eastAsia="ja-JP"/>
        </w:rPr>
        <w:t>Soruşturma konusu ürün ve benzer ürün</w:t>
      </w:r>
    </w:p>
    <w:p w:rsidR="00670E70" w:rsidRPr="009F0E99" w:rsidRDefault="00670E70" w:rsidP="00670E70">
      <w:pPr>
        <w:jc w:val="both"/>
      </w:pPr>
    </w:p>
    <w:p w:rsidR="00670E70" w:rsidRPr="009F0E99" w:rsidRDefault="00670E70" w:rsidP="00670E70">
      <w:pPr>
        <w:jc w:val="both"/>
      </w:pPr>
      <w:r w:rsidRPr="009F0E99">
        <w:t>(1) Soruşturma konusu ürün, 4010.32.00.00.00 gümrük tarife istatistik pozisyonu (GTİP) altında kayıtlı “Dış çevresi 60 cm.yi geçen fakat 180 cm.yi geçmeyen, kesiti trapez şeklinde (V-kolanlar) olan (V-yivli olanlar hariç) sonsuz transmisyon kolanları”,  4010.34.00.00.00 GTİP’i altında kayıtlı “Dış çevresi 180 cm.yi geçen fakat 240 cm.yi geçmeyen, kesiti trapez şeklinde (V-kolanlar) olan (V-yivli olanlar hariç) sonsuz transmisyon kolanları” ve 4010.39.00.00.00 GTİP’i altında kayıtlı “Yalnız kesiti trapez şeklinde (V-Kolanlar) olan (V-yivli olanlar hariç) sonsuz transmisyon kolanları”dır.</w:t>
      </w:r>
    </w:p>
    <w:p w:rsidR="00670E70" w:rsidRPr="009F0E99" w:rsidRDefault="00670E70" w:rsidP="00670E70">
      <w:pPr>
        <w:jc w:val="both"/>
      </w:pPr>
    </w:p>
    <w:p w:rsidR="00670E70" w:rsidRPr="009F0E99" w:rsidRDefault="00670E70" w:rsidP="00670E70">
      <w:pPr>
        <w:jc w:val="both"/>
      </w:pPr>
      <w:r w:rsidRPr="009F0E99">
        <w:t xml:space="preserve">(2)  Soruşturma konusu ürün, kauçuk, kord ipi ve kauçuk emprenye edilen ham kanvas kumaşın kaplanması ile vulkanize edilerek üretilmektedir. Ürün, endüstriyel kullanımda güç aktarımı gerektiren jeneratör, klima, pompa yapımında, tarım makinalarında ve otomotiv sektöründe araçların motor aksamlarında kullanılmaktadır. Bu itibarla, motor ve kasnak olan her yerde soruşturma konusu ürün kullanım imkanı bulunabilmektedir. </w:t>
      </w:r>
    </w:p>
    <w:p w:rsidR="00670E70" w:rsidRPr="009F0E99" w:rsidRDefault="00670E70" w:rsidP="00670E70">
      <w:pPr>
        <w:ind w:firstLine="357"/>
        <w:jc w:val="both"/>
      </w:pPr>
    </w:p>
    <w:p w:rsidR="00670E70" w:rsidRPr="009F0E99" w:rsidRDefault="00670E70" w:rsidP="00670E70">
      <w:pPr>
        <w:jc w:val="both"/>
      </w:pPr>
      <w:r w:rsidRPr="009F0E99">
        <w:t>(3) Yerli üretim dalı tarafından üretilen ürünler ile ithal edilen ürünler arasında ürünlerin fiziksel özellikleri, kullanım alanları, dağıtım kanalları, müşteriler ve hitap ettikleri pazarlar bakımından bir fark olmadığı ve bu çerçevede bahse konu maddenin ithal ürünle benzer ürün olduğu belirtilmektedir. Yürütülen NGGS kapsamında, yerli üretim dalı tarafından imal edilen ürünün Yönetmeliğin 4 üncü Maddesi çerçevesinde “benzer ürün” niteliği taşıdığı değerlendirilmiştir.</w:t>
      </w:r>
    </w:p>
    <w:p w:rsidR="00670E70" w:rsidRPr="009F0E99" w:rsidRDefault="00670E70" w:rsidP="00670E70">
      <w:pPr>
        <w:jc w:val="both"/>
        <w:rPr>
          <w:lang w:eastAsia="en-US"/>
        </w:rPr>
      </w:pPr>
    </w:p>
    <w:p w:rsidR="00670E70" w:rsidRPr="009F0E99" w:rsidRDefault="00670E70" w:rsidP="00670E70">
      <w:pPr>
        <w:pStyle w:val="GvdeMetni"/>
        <w:rPr>
          <w:noProof/>
          <w:color w:val="auto"/>
        </w:rPr>
      </w:pPr>
      <w:r w:rsidRPr="009F0E99">
        <w:rPr>
          <w:color w:val="auto"/>
        </w:rPr>
        <w:t>(4) Soruşturma konusu ürün ve benzer ürün ile ilgili açıklamalar bağlayıcı nitelikte olmayıp genel içerikli ve bilgi amaçlıdır.</w:t>
      </w:r>
      <w:r w:rsidRPr="009F0E99">
        <w:rPr>
          <w:noProof/>
          <w:color w:val="auto"/>
        </w:rPr>
        <w:t xml:space="preserve"> </w:t>
      </w:r>
    </w:p>
    <w:p w:rsidR="00130EB7" w:rsidRPr="009F0E99" w:rsidRDefault="00130EB7" w:rsidP="002861CC">
      <w:pPr>
        <w:jc w:val="both"/>
      </w:pPr>
    </w:p>
    <w:p w:rsidR="00164FF4" w:rsidRPr="009F0E99" w:rsidRDefault="008E4B08" w:rsidP="002861CC">
      <w:pPr>
        <w:jc w:val="both"/>
        <w:rPr>
          <w:b/>
          <w:caps/>
        </w:rPr>
      </w:pPr>
      <w:r w:rsidRPr="009F0E99">
        <w:rPr>
          <w:b/>
          <w:caps/>
        </w:rPr>
        <w:t xml:space="preserve">3. Dampinge İlişkin Belirlemeler- </w:t>
      </w:r>
      <w:r w:rsidR="00164FF4" w:rsidRPr="009F0E99">
        <w:rPr>
          <w:b/>
          <w:caps/>
        </w:rPr>
        <w:t>Dampingin Devamı ve</w:t>
      </w:r>
      <w:r w:rsidR="002861CC" w:rsidRPr="009F0E99">
        <w:rPr>
          <w:b/>
          <w:caps/>
        </w:rPr>
        <w:t>YA</w:t>
      </w:r>
      <w:r w:rsidR="00164FF4" w:rsidRPr="009F0E99">
        <w:rPr>
          <w:b/>
          <w:caps/>
        </w:rPr>
        <w:t xml:space="preserve"> Yeniden Meydana Gelme İhtimali</w:t>
      </w:r>
    </w:p>
    <w:p w:rsidR="00164FF4" w:rsidRPr="009F0E99" w:rsidRDefault="00164FF4" w:rsidP="00164FF4">
      <w:pPr>
        <w:jc w:val="both"/>
      </w:pPr>
    </w:p>
    <w:p w:rsidR="008E4B08" w:rsidRPr="009F0E99" w:rsidRDefault="008E4B08" w:rsidP="005056F1">
      <w:pPr>
        <w:jc w:val="both"/>
        <w:rPr>
          <w:b/>
        </w:rPr>
      </w:pPr>
      <w:r w:rsidRPr="009F0E99">
        <w:rPr>
          <w:b/>
        </w:rPr>
        <w:t xml:space="preserve">3.1 </w:t>
      </w:r>
      <w:r w:rsidR="00164FF4" w:rsidRPr="009F0E99">
        <w:rPr>
          <w:b/>
        </w:rPr>
        <w:t xml:space="preserve">Genel açıklamalar </w:t>
      </w:r>
    </w:p>
    <w:p w:rsidR="009E797B" w:rsidRPr="009F0E99" w:rsidRDefault="00B367A9" w:rsidP="009E797B">
      <w:pPr>
        <w:jc w:val="both"/>
      </w:pPr>
      <w:r w:rsidRPr="009F0E99">
        <w:t xml:space="preserve">(1) </w:t>
      </w:r>
      <w:r w:rsidR="00414633" w:rsidRPr="009F0E99">
        <w:t>Yönetmelik’in 40 ıncı ve 41 inci maddeleri çerçevesinde</w:t>
      </w:r>
      <w:r w:rsidR="005C59FB" w:rsidRPr="009F0E99">
        <w:t xml:space="preserve"> soruşturma konusu ülkelerden</w:t>
      </w:r>
      <w:r w:rsidR="00414633" w:rsidRPr="009F0E99">
        <w:t xml:space="preserve"> </w:t>
      </w:r>
      <w:r w:rsidR="005C59FB" w:rsidRPr="009F0E99">
        <w:t>en fazla ithalatın g</w:t>
      </w:r>
      <w:r w:rsidR="009E12C1" w:rsidRPr="009F0E99">
        <w:t xml:space="preserve">erçekleştiği ülke olan ÇHC’nin tüm dünyaya yönelik ihracatında oluşan ağırlıklı ortalama ihraç fiyatı dikkate alınarak önlem seviyesinin yeniden değerlendirilmesi amacıyla hesaplama yapılmıştır. </w:t>
      </w:r>
      <w:r w:rsidR="00414633" w:rsidRPr="009F0E99">
        <w:t xml:space="preserve">Ayrıca, </w:t>
      </w:r>
      <w:r w:rsidR="00343DBB" w:rsidRPr="009F0E99">
        <w:t xml:space="preserve">Yönetmelik’in 35 </w:t>
      </w:r>
      <w:r w:rsidR="009E797B" w:rsidRPr="009F0E99">
        <w:t xml:space="preserve">inci maddesi çerçevesinde, gözden geçirme döneminde yerli üretim dalının ekonomik göstergeleri ve önlemin yürürlükten kalkması halinde zararın devam etmesinin veya tekrar etmesinin muhtemel olup olmadığına ilişkin olarak </w:t>
      </w:r>
      <w:r w:rsidR="00375AAE" w:rsidRPr="009F0E99">
        <w:t>esas</w:t>
      </w:r>
      <w:r w:rsidR="009E797B" w:rsidRPr="009F0E99">
        <w:t xml:space="preserve"> soruşturmada tespit edilen damping marj</w:t>
      </w:r>
      <w:r w:rsidR="00375AAE" w:rsidRPr="009F0E99">
        <w:t>lar</w:t>
      </w:r>
      <w:r w:rsidR="009E797B" w:rsidRPr="009F0E99">
        <w:t>ı, soruşturma ko</w:t>
      </w:r>
      <w:r w:rsidR="003A449C" w:rsidRPr="009F0E99">
        <w:t>nusu ülkenin ihracat kapasitesi ve</w:t>
      </w:r>
      <w:r w:rsidR="009E797B" w:rsidRPr="009F0E99">
        <w:t xml:space="preserve"> </w:t>
      </w:r>
      <w:r w:rsidR="00CF1A36" w:rsidRPr="009F0E99">
        <w:t xml:space="preserve">küresel ihracat fiyatları </w:t>
      </w:r>
      <w:r w:rsidR="00414633" w:rsidRPr="009F0E99">
        <w:t>incelenmiştir.</w:t>
      </w:r>
    </w:p>
    <w:p w:rsidR="009D52FF" w:rsidRPr="009F0E99" w:rsidRDefault="009D52FF" w:rsidP="00164FF4">
      <w:pPr>
        <w:jc w:val="both"/>
        <w:rPr>
          <w:b/>
        </w:rPr>
      </w:pPr>
    </w:p>
    <w:p w:rsidR="00D22EAC" w:rsidRPr="009F0E99" w:rsidRDefault="008E4B08" w:rsidP="00164FF4">
      <w:pPr>
        <w:jc w:val="both"/>
        <w:rPr>
          <w:b/>
        </w:rPr>
      </w:pPr>
      <w:r w:rsidRPr="009F0E99">
        <w:rPr>
          <w:b/>
        </w:rPr>
        <w:t xml:space="preserve">3.2 </w:t>
      </w:r>
      <w:r w:rsidR="00B367A9" w:rsidRPr="009F0E99">
        <w:rPr>
          <w:b/>
        </w:rPr>
        <w:t>Damping</w:t>
      </w:r>
      <w:r w:rsidR="002861CC" w:rsidRPr="009F0E99">
        <w:rPr>
          <w:b/>
        </w:rPr>
        <w:t>in</w:t>
      </w:r>
      <w:r w:rsidR="00B367A9" w:rsidRPr="009F0E99">
        <w:rPr>
          <w:b/>
        </w:rPr>
        <w:t xml:space="preserve"> </w:t>
      </w:r>
      <w:r w:rsidR="00F85C0F" w:rsidRPr="009F0E99">
        <w:rPr>
          <w:b/>
        </w:rPr>
        <w:t>devamı veya y</w:t>
      </w:r>
      <w:r w:rsidR="00B367A9" w:rsidRPr="009F0E99">
        <w:rPr>
          <w:b/>
        </w:rPr>
        <w:t xml:space="preserve">eniden </w:t>
      </w:r>
      <w:r w:rsidR="00F85C0F" w:rsidRPr="009F0E99">
        <w:rPr>
          <w:b/>
        </w:rPr>
        <w:t>m</w:t>
      </w:r>
      <w:r w:rsidR="00B367A9" w:rsidRPr="009F0E99">
        <w:rPr>
          <w:b/>
        </w:rPr>
        <w:t xml:space="preserve">eydana </w:t>
      </w:r>
      <w:r w:rsidR="00F85C0F" w:rsidRPr="009F0E99">
        <w:rPr>
          <w:b/>
        </w:rPr>
        <w:t>gelme ihtimaline ilişkin d</w:t>
      </w:r>
      <w:r w:rsidR="00B367A9" w:rsidRPr="009F0E99">
        <w:rPr>
          <w:b/>
        </w:rPr>
        <w:t>eğerlendirme</w:t>
      </w:r>
    </w:p>
    <w:p w:rsidR="00B367A9" w:rsidRPr="009F0E99" w:rsidRDefault="00B367A9" w:rsidP="009616F3">
      <w:pPr>
        <w:jc w:val="both"/>
      </w:pPr>
      <w:r w:rsidRPr="009F0E99">
        <w:t xml:space="preserve">(1) </w:t>
      </w:r>
      <w:r w:rsidR="00414633" w:rsidRPr="009F0E99">
        <w:t>İlk olarak, m</w:t>
      </w:r>
      <w:r w:rsidRPr="009F0E99">
        <w:t xml:space="preserve">eri önlemin yürürlükten kaldırılması halinde dampingin devam edip etmeyeceğini veya yeniden meydana gelip gelmeyeceğini incelemek amacıyla </w:t>
      </w:r>
      <w:r w:rsidR="006C1B3C" w:rsidRPr="009F0E99">
        <w:t>ilk</w:t>
      </w:r>
      <w:r w:rsidRPr="009F0E99">
        <w:t xml:space="preserve"> soruşturmada </w:t>
      </w:r>
      <w:r w:rsidR="006C1B3C" w:rsidRPr="009F0E99">
        <w:t>tespit edilen damping marj</w:t>
      </w:r>
      <w:r w:rsidR="00AD75A0" w:rsidRPr="009F0E99">
        <w:t>lar</w:t>
      </w:r>
      <w:r w:rsidRPr="009F0E99">
        <w:t xml:space="preserve">ı değerlendirilmiştir. </w:t>
      </w:r>
      <w:r w:rsidR="009616F3" w:rsidRPr="009F0E99">
        <w:t xml:space="preserve">ÇHC, Hindistan ve Vietnam’da  yerleşik üretici/ihracatçılar için tespit edilen damping marjlarının sırasıyla %214,5, %158,6 ve %96,5 olduğu </w:t>
      </w:r>
      <w:r w:rsidRPr="009F0E99">
        <w:t>göz önünde bulundurulduğunda s</w:t>
      </w:r>
      <w:r w:rsidR="00000FA3" w:rsidRPr="009F0E99">
        <w:t>öz konusu damping marjı seviyeleri</w:t>
      </w:r>
      <w:r w:rsidRPr="009F0E99">
        <w:t>nin meri önlemin mevcut olmadığı piyasa koşullarında üretici/ihracatçı firmaların dampinge konu fiyatlarla soruşturma konusu ürünü Türkiye</w:t>
      </w:r>
      <w:r w:rsidR="002861CC" w:rsidRPr="009F0E99">
        <w:t>’ye</w:t>
      </w:r>
      <w:r w:rsidRPr="009F0E99">
        <w:t xml:space="preserve"> ihraç etme eğilimini göstermesi bakımından önem arz ettiği düşünülmektedir. </w:t>
      </w:r>
    </w:p>
    <w:p w:rsidR="00B367A9" w:rsidRPr="009F0E99" w:rsidRDefault="00B367A9" w:rsidP="00B367A9">
      <w:pPr>
        <w:ind w:firstLine="708"/>
        <w:jc w:val="both"/>
      </w:pPr>
    </w:p>
    <w:p w:rsidR="00F91D4F" w:rsidRPr="009F0E99" w:rsidRDefault="00574BAD" w:rsidP="00F91D4F">
      <w:pPr>
        <w:pStyle w:val="Balk1"/>
        <w:tabs>
          <w:tab w:val="left" w:pos="709"/>
        </w:tabs>
        <w:jc w:val="both"/>
        <w:rPr>
          <w:rFonts w:ascii="Times New Roman" w:hAnsi="Times New Roman" w:cs="Times New Roman"/>
          <w:b w:val="0"/>
          <w:noProof/>
          <w:sz w:val="24"/>
          <w:szCs w:val="24"/>
        </w:rPr>
      </w:pPr>
      <w:r w:rsidRPr="009F0E99">
        <w:rPr>
          <w:rFonts w:ascii="Times New Roman" w:hAnsi="Times New Roman" w:cs="Times New Roman"/>
          <w:b w:val="0"/>
          <w:bCs w:val="0"/>
          <w:sz w:val="24"/>
          <w:szCs w:val="24"/>
        </w:rPr>
        <w:t xml:space="preserve">(2) </w:t>
      </w:r>
      <w:r w:rsidR="00B367A9" w:rsidRPr="009F0E99">
        <w:rPr>
          <w:rFonts w:ascii="Times New Roman" w:hAnsi="Times New Roman" w:cs="Times New Roman"/>
          <w:b w:val="0"/>
          <w:bCs w:val="0"/>
          <w:sz w:val="24"/>
          <w:szCs w:val="24"/>
        </w:rPr>
        <w:t xml:space="preserve">Değerlendirme kapsamında, </w:t>
      </w:r>
      <w:r w:rsidR="00000FA3" w:rsidRPr="009F0E99">
        <w:rPr>
          <w:rFonts w:ascii="Times New Roman" w:hAnsi="Times New Roman" w:cs="Times New Roman"/>
          <w:b w:val="0"/>
          <w:bCs w:val="0"/>
          <w:sz w:val="24"/>
          <w:szCs w:val="24"/>
        </w:rPr>
        <w:t>önleme tabi ülkelerin</w:t>
      </w:r>
      <w:r w:rsidR="00B367A9" w:rsidRPr="009F0E99">
        <w:rPr>
          <w:rFonts w:ascii="Times New Roman" w:hAnsi="Times New Roman" w:cs="Times New Roman"/>
          <w:b w:val="0"/>
          <w:bCs w:val="0"/>
          <w:sz w:val="24"/>
          <w:szCs w:val="24"/>
        </w:rPr>
        <w:t xml:space="preserve"> soruşturma konusu üründe ihracat kabiliyeti değerlendirilmiştir. Bu amaca yönelik olarak Uluslararası Ticaret Merkezi </w:t>
      </w:r>
      <w:r w:rsidR="00B33D6D" w:rsidRPr="009F0E99">
        <w:rPr>
          <w:rFonts w:ascii="Times New Roman" w:hAnsi="Times New Roman" w:cs="Times New Roman"/>
          <w:b w:val="0"/>
          <w:bCs w:val="0"/>
          <w:sz w:val="24"/>
          <w:szCs w:val="24"/>
        </w:rPr>
        <w:t xml:space="preserve">(ITC) </w:t>
      </w:r>
      <w:r w:rsidR="00B367A9" w:rsidRPr="009F0E99">
        <w:rPr>
          <w:rFonts w:ascii="Times New Roman" w:hAnsi="Times New Roman" w:cs="Times New Roman"/>
          <w:b w:val="0"/>
          <w:bCs w:val="0"/>
          <w:sz w:val="24"/>
          <w:szCs w:val="24"/>
        </w:rPr>
        <w:t xml:space="preserve">verileri dikkate alınmıştır. </w:t>
      </w:r>
      <w:r w:rsidR="00F91D4F" w:rsidRPr="009F0E99">
        <w:rPr>
          <w:rFonts w:ascii="Times New Roman" w:hAnsi="Times New Roman" w:cs="Times New Roman"/>
          <w:b w:val="0"/>
          <w:bCs w:val="0"/>
          <w:sz w:val="24"/>
          <w:szCs w:val="24"/>
        </w:rPr>
        <w:t>Önlem</w:t>
      </w:r>
      <w:r w:rsidR="00F91D4F" w:rsidRPr="009F0E99">
        <w:rPr>
          <w:rFonts w:ascii="Times New Roman" w:hAnsi="Times New Roman" w:cs="Times New Roman"/>
          <w:b w:val="0"/>
          <w:noProof/>
          <w:sz w:val="24"/>
          <w:szCs w:val="24"/>
        </w:rPr>
        <w:t xml:space="preserve"> konusu ürünün dünya ihracat pazarının, 2015 yılında 1,7 milyar ABD Doları, 2016 yılında 1,6 milyar ABD Doları, 2017 yılında ise 1,8 milyar ABD Doları seviyesinde gerçekleştiği kaydedilmiştir. Miktar bazında ise  dünya toplam ihracatı ise 2015-2017 döneminde sırasıyla 121 bin, 115 bin ve 130 bin ton olarak gerçekleşmiştir. 2017 yıllı verilerine göre miktar bazında dünya ihracatın ülkelerin aldıkları paylar incelendiğinde, %28’lik pay ile ÇHC ilk sırada yer  almakta olup %14 pay ile ABD ve %9 pay ile Almanya ÇHC’yi izlemektedir. Altıncı sırada yer alan Hindistan’ın payı %4, Vietnam’ın payı ise %0,2 olarak gerçekleşmiştir. </w:t>
      </w:r>
    </w:p>
    <w:p w:rsidR="00F91D4F" w:rsidRPr="009F0E99" w:rsidRDefault="00F91D4F" w:rsidP="00F91D4F"/>
    <w:p w:rsidR="00F91D4F" w:rsidRPr="009F0E99" w:rsidRDefault="00F91D4F" w:rsidP="00F91D4F">
      <w:pPr>
        <w:pStyle w:val="Balk1"/>
        <w:tabs>
          <w:tab w:val="left" w:pos="709"/>
        </w:tabs>
        <w:jc w:val="both"/>
        <w:rPr>
          <w:rFonts w:ascii="Times New Roman" w:hAnsi="Times New Roman" w:cs="Times New Roman"/>
          <w:b w:val="0"/>
          <w:noProof/>
          <w:sz w:val="24"/>
          <w:szCs w:val="24"/>
        </w:rPr>
      </w:pPr>
      <w:r w:rsidRPr="009F0E99">
        <w:rPr>
          <w:rFonts w:ascii="Times New Roman" w:hAnsi="Times New Roman" w:cs="Times New Roman"/>
          <w:b w:val="0"/>
          <w:noProof/>
          <w:sz w:val="24"/>
          <w:szCs w:val="24"/>
        </w:rPr>
        <w:t>(3</w:t>
      </w:r>
      <w:r w:rsidR="00B83FD0" w:rsidRPr="009F0E99">
        <w:rPr>
          <w:rFonts w:ascii="Times New Roman" w:hAnsi="Times New Roman" w:cs="Times New Roman"/>
          <w:b w:val="0"/>
          <w:noProof/>
          <w:sz w:val="24"/>
          <w:szCs w:val="24"/>
        </w:rPr>
        <w:t xml:space="preserve">) </w:t>
      </w:r>
      <w:r w:rsidRPr="009F0E99">
        <w:rPr>
          <w:rFonts w:ascii="Times New Roman" w:hAnsi="Times New Roman" w:cs="Times New Roman"/>
          <w:b w:val="0"/>
          <w:noProof/>
          <w:sz w:val="24"/>
          <w:szCs w:val="24"/>
        </w:rPr>
        <w:t xml:space="preserve">Soruşturma konusu ülkeler için dünya ihracat verileri miktar ve değer bazında incelendiğinde, ÇHC’nin önlem konusu üründe 2015 yılında 35.640 ton - 181,5 milyon ABD Doları, 2016 yılında 30.900 ton - 158,7 milyon ABD Doları, 2017 yılında ise 36.734 ton- 185,4 milyon ABD Doları ihracat gerçekleştirdiği görülmektedir.  2015 yılında 4.223 ton-34,5 milyon dolar olan Hindistan’ın ihracatı  2016 yılında 4.245 ton-35 milyon dolar, 2017 yılında ise 4.854 ton– 39,3 milyon ABD Doları  olarak gerçekleşmiştir. Vietnam’ın dünyaya ihracatı ise   2015 yılında 57 ton-1,6 milyon dolar, 2016 yılında da 48 ton-1,4  milyon dolar, 2017 yılında ise 203 ton -3,2 milyon ABD Doları olarak gerçekleşmiştir. </w:t>
      </w:r>
    </w:p>
    <w:p w:rsidR="00F91D4F" w:rsidRPr="009F0E99" w:rsidRDefault="00F91D4F" w:rsidP="00F91D4F">
      <w:pPr>
        <w:pStyle w:val="Balk1"/>
        <w:tabs>
          <w:tab w:val="left" w:pos="709"/>
        </w:tabs>
        <w:jc w:val="both"/>
        <w:rPr>
          <w:rFonts w:ascii="Times New Roman" w:hAnsi="Times New Roman" w:cs="Times New Roman"/>
          <w:b w:val="0"/>
          <w:noProof/>
          <w:sz w:val="16"/>
          <w:szCs w:val="16"/>
        </w:rPr>
      </w:pPr>
    </w:p>
    <w:p w:rsidR="00F91D4F" w:rsidRPr="009F0E99" w:rsidRDefault="00F91D4F" w:rsidP="00F91D4F">
      <w:pPr>
        <w:pStyle w:val="Balk1"/>
        <w:tabs>
          <w:tab w:val="left" w:pos="709"/>
        </w:tabs>
        <w:jc w:val="both"/>
        <w:rPr>
          <w:rFonts w:ascii="Times New Roman" w:hAnsi="Times New Roman" w:cs="Times New Roman"/>
          <w:b w:val="0"/>
          <w:noProof/>
          <w:sz w:val="24"/>
          <w:szCs w:val="24"/>
        </w:rPr>
      </w:pPr>
      <w:r w:rsidRPr="009F0E99">
        <w:rPr>
          <w:rFonts w:ascii="Times New Roman" w:hAnsi="Times New Roman" w:cs="Times New Roman"/>
          <w:b w:val="0"/>
          <w:noProof/>
          <w:sz w:val="24"/>
          <w:szCs w:val="24"/>
        </w:rPr>
        <w:t>(4) 2017 yılında ABD’nin genel ortalama ihraç fiyatı 9,06 ABD Doları/Kg iken, ÇHC ve Hindistan’ın ortalama ihraç fiyatları sırasıyla 5,05 ABD Doları/Kg ve 8,10 ABD Doları/Kg olarak gerçekleşmiştir. Diğer taraftan, Almanya’nın  genel ortalama ihraç fiyatı 30,10 ABD Doları/Kg iken, Vietnam’ın ortalama ihraç fiyatı ise 15,97 olarak gerçekleşmiş olup, Vietnam ve Almanya’nın ihraç birim fiyatlarının yüksek olmasının farklı ürün kompozisyonunda ürün ihracatından kaynaklanabileceği değerlendirilmektedir.</w:t>
      </w:r>
    </w:p>
    <w:p w:rsidR="005C59FB" w:rsidRPr="009F0E99" w:rsidRDefault="005C59FB" w:rsidP="005C59FB">
      <w:pPr>
        <w:rPr>
          <w:sz w:val="16"/>
          <w:szCs w:val="16"/>
        </w:rPr>
      </w:pPr>
    </w:p>
    <w:p w:rsidR="009C7D9E" w:rsidRPr="009F0E99" w:rsidRDefault="00F91D4F" w:rsidP="00F91D4F">
      <w:r w:rsidRPr="009F0E99">
        <w:lastRenderedPageBreak/>
        <w:t>(5)</w:t>
      </w:r>
      <w:r w:rsidR="009C7D9E" w:rsidRPr="009F0E99">
        <w:t xml:space="preserve"> </w:t>
      </w:r>
      <w:r w:rsidR="00B83FD0" w:rsidRPr="009F0E99">
        <w:t>Bu çerçevede, soruşturma konusu ürün</w:t>
      </w:r>
      <w:r w:rsidR="009C7D9E" w:rsidRPr="009F0E99">
        <w:t>de ÇHC ve Hindistan menşeli genel  ithalatın düşük birim fiyatlar</w:t>
      </w:r>
      <w:r w:rsidR="005F37AE" w:rsidRPr="009F0E99">
        <w:t xml:space="preserve"> üzerinden yapıldığ</w:t>
      </w:r>
      <w:r w:rsidR="009C7D9E" w:rsidRPr="009F0E99">
        <w:t xml:space="preserve">ı ve dünya ihracatı içinde önemli paya sahip </w:t>
      </w:r>
      <w:r w:rsidR="005F37AE" w:rsidRPr="009F0E99">
        <w:t xml:space="preserve">oldukları tespit edilmiştir. </w:t>
      </w:r>
    </w:p>
    <w:p w:rsidR="005F37AE" w:rsidRPr="009F0E99" w:rsidRDefault="005F37AE" w:rsidP="00F91D4F"/>
    <w:p w:rsidR="00D1301E" w:rsidRPr="009F0E99" w:rsidRDefault="009C7D9E" w:rsidP="009C7D9E">
      <w:pPr>
        <w:jc w:val="both"/>
      </w:pPr>
      <w:r w:rsidRPr="009F0E99">
        <w:t xml:space="preserve">(6) Dampinge karşı önlemin mevcut olmadığı koşullardaki fiyatların karşılaştırılabilmesini teminen, ITC veri tabanı 2017 yılı verilerine göre,  soruşturma konusu üründe ÇHC’nin dünya  genel ihraç birim fiyatı ile yerli üretim dalının ticari maliyetine </w:t>
      </w:r>
      <w:r w:rsidR="000B440E" w:rsidRPr="009F0E99">
        <w:t>%5 ila %12 arasında değişen bir değer aralığında</w:t>
      </w:r>
      <w:r w:rsidRPr="009F0E99">
        <w:t xml:space="preserve"> </w:t>
      </w:r>
      <w:r w:rsidR="00894564" w:rsidRPr="009F0E99">
        <w:t xml:space="preserve">hesaplanan </w:t>
      </w:r>
      <w:r w:rsidRPr="009F0E99">
        <w:t xml:space="preserve">makul kar eklenerek elde edilen iç piyasa fiyatı karşılaştırılmıştır.  Buna göre, </w:t>
      </w:r>
      <w:r w:rsidR="00D1301E" w:rsidRPr="009F0E99">
        <w:t xml:space="preserve">önlem seviyesinin yeniden değerlendirilmesinde temel teşkil eden azami seviye </w:t>
      </w:r>
      <w:r w:rsidRPr="009F0E99">
        <w:t xml:space="preserve">3,15  ABD Doları/Kg </w:t>
      </w:r>
      <w:r w:rsidR="00D1301E" w:rsidRPr="009F0E99">
        <w:t>olarak tespit edilmiştir.</w:t>
      </w:r>
    </w:p>
    <w:p w:rsidR="00D1301E" w:rsidRPr="009F0E99" w:rsidRDefault="00D1301E" w:rsidP="009C7D9E">
      <w:pPr>
        <w:jc w:val="both"/>
      </w:pPr>
    </w:p>
    <w:p w:rsidR="009C7D9E" w:rsidRPr="009F0E99" w:rsidRDefault="00E65777" w:rsidP="009C7D9E">
      <w:pPr>
        <w:jc w:val="both"/>
      </w:pPr>
      <w:r w:rsidRPr="009F0E99">
        <w:t xml:space="preserve">(7) </w:t>
      </w:r>
      <w:r w:rsidR="009C7D9E" w:rsidRPr="009F0E99">
        <w:t xml:space="preserve">Bu çerçevede, </w:t>
      </w:r>
      <w:r w:rsidR="00335F2E" w:rsidRPr="009F0E99">
        <w:t xml:space="preserve">piyasa dengesi dikkate alınarak tespit edilen seviyenin her üç soruşturma konusu ülke için değerlendirilebileceği sonucuna ulaşılmıştır. </w:t>
      </w:r>
    </w:p>
    <w:p w:rsidR="00F91D4F" w:rsidRPr="009F0E99" w:rsidRDefault="00F91D4F" w:rsidP="00F91D4F">
      <w:pPr>
        <w:pStyle w:val="GvdeMetniGirintisi3"/>
        <w:ind w:left="0" w:firstLine="0"/>
      </w:pPr>
    </w:p>
    <w:p w:rsidR="00B367A9" w:rsidRPr="009F0E99" w:rsidRDefault="00B367A9" w:rsidP="00574BAD">
      <w:pPr>
        <w:pStyle w:val="ListeParagraf"/>
        <w:ind w:left="0"/>
        <w:jc w:val="both"/>
      </w:pPr>
      <w:r w:rsidRPr="009F0E99">
        <w:t>(</w:t>
      </w:r>
      <w:r w:rsidR="00E65777" w:rsidRPr="009F0E99">
        <w:t>8</w:t>
      </w:r>
      <w:r w:rsidRPr="009F0E99">
        <w:t>) Söz konusu bilgi ve tespitler birlikte değerlendirildiğinde meri önlemin yürürlükten kaldırılması halinde dampingli ithalatın devam etmesinin veya yeniden ortaya çıkmasının muhtemel olduğuna kanaat getirilmesine yetecek nesnel ve kanıtlanabilir verilerin mev</w:t>
      </w:r>
      <w:r w:rsidR="00361FF5" w:rsidRPr="009F0E99">
        <w:t>cut olduğu değerlendirilmiştir.</w:t>
      </w:r>
    </w:p>
    <w:p w:rsidR="00B20C66" w:rsidRPr="009F0E99" w:rsidRDefault="00B20C66" w:rsidP="00B367A9">
      <w:pPr>
        <w:jc w:val="both"/>
      </w:pPr>
    </w:p>
    <w:p w:rsidR="008E4B08" w:rsidRPr="009F0E99" w:rsidRDefault="009A1355" w:rsidP="00361FF5">
      <w:pPr>
        <w:jc w:val="both"/>
        <w:rPr>
          <w:b/>
          <w:caps/>
        </w:rPr>
      </w:pPr>
      <w:r w:rsidRPr="009F0E99">
        <w:rPr>
          <w:b/>
          <w:caps/>
        </w:rPr>
        <w:t>4</w:t>
      </w:r>
      <w:r w:rsidR="008E4B08" w:rsidRPr="009F0E99">
        <w:rPr>
          <w:b/>
          <w:caps/>
        </w:rPr>
        <w:t>. ZAR</w:t>
      </w:r>
      <w:r w:rsidR="000D216F" w:rsidRPr="009F0E99">
        <w:rPr>
          <w:b/>
          <w:caps/>
        </w:rPr>
        <w:t>ARA İlişkin Belirlemeler- ZARARIN</w:t>
      </w:r>
      <w:r w:rsidR="008E4B08" w:rsidRPr="009F0E99">
        <w:rPr>
          <w:b/>
          <w:caps/>
        </w:rPr>
        <w:t xml:space="preserve"> Devamı ve Yeniden Meydana Gelmesi İhtimali</w:t>
      </w:r>
    </w:p>
    <w:p w:rsidR="00164FF4" w:rsidRPr="009F0E99" w:rsidRDefault="00164FF4" w:rsidP="00164FF4">
      <w:pPr>
        <w:jc w:val="both"/>
      </w:pPr>
    </w:p>
    <w:p w:rsidR="008E4B08" w:rsidRPr="009F0E99" w:rsidRDefault="009A1355" w:rsidP="005056F1">
      <w:pPr>
        <w:jc w:val="both"/>
        <w:rPr>
          <w:b/>
        </w:rPr>
      </w:pPr>
      <w:r w:rsidRPr="009F0E99">
        <w:rPr>
          <w:b/>
        </w:rPr>
        <w:t>4</w:t>
      </w:r>
      <w:r w:rsidR="008E4B08" w:rsidRPr="009F0E99">
        <w:rPr>
          <w:b/>
        </w:rPr>
        <w:t xml:space="preserve">.1 </w:t>
      </w:r>
      <w:r w:rsidR="00B367A9" w:rsidRPr="009F0E99">
        <w:rPr>
          <w:b/>
        </w:rPr>
        <w:t xml:space="preserve">İthalatın hacmi ve gelişimi </w:t>
      </w:r>
    </w:p>
    <w:p w:rsidR="00B367A9" w:rsidRPr="009F0E99" w:rsidRDefault="00164FF4" w:rsidP="00B367A9">
      <w:pPr>
        <w:jc w:val="both"/>
      </w:pPr>
      <w:r w:rsidRPr="009F0E99">
        <w:t>(1)</w:t>
      </w:r>
      <w:r w:rsidR="003F4461" w:rsidRPr="009F0E99">
        <w:t xml:space="preserve"> Yönetmelik’in 17 </w:t>
      </w:r>
      <w:r w:rsidR="00B367A9" w:rsidRPr="009F0E99">
        <w:t>nci maddesi çerçe</w:t>
      </w:r>
      <w:r w:rsidR="002861CC" w:rsidRPr="009F0E99">
        <w:t>vesinde, soruşturma konusu ülke</w:t>
      </w:r>
      <w:r w:rsidR="006679CB" w:rsidRPr="009F0E99">
        <w:t>ler</w:t>
      </w:r>
      <w:r w:rsidR="00B367A9" w:rsidRPr="009F0E99">
        <w:t xml:space="preserve"> menşeli ithalatın hacminde mutlak anlamda ya da Türkiye tüketimine oranla önemli ölçüde artış olup olmadığı incelenmiştir. Zarar in</w:t>
      </w:r>
      <w:r w:rsidR="002526F8" w:rsidRPr="009F0E99">
        <w:t>celemesine esas dönem 1/</w:t>
      </w:r>
      <w:r w:rsidR="005F37AE" w:rsidRPr="009F0E99">
        <w:t>1/2015</w:t>
      </w:r>
      <w:r w:rsidR="00B367A9" w:rsidRPr="009F0E99">
        <w:t>-31/12/201</w:t>
      </w:r>
      <w:r w:rsidR="005F37AE" w:rsidRPr="009F0E99">
        <w:t>7</w:t>
      </w:r>
      <w:r w:rsidR="00EA2EB6" w:rsidRPr="009F0E99">
        <w:t xml:space="preserve"> </w:t>
      </w:r>
      <w:r w:rsidR="00B367A9" w:rsidRPr="009F0E99">
        <w:t xml:space="preserve">dönemi olarak belirlenmiştir. </w:t>
      </w:r>
      <w:r w:rsidR="006C06A6" w:rsidRPr="009F0E99">
        <w:t xml:space="preserve">Soruşturma konusu ürünün genel ithalatı ve soruşturmaya konu ülkelerden yapılan ithalatın incelemesinde Türkiye İstatistik Kurumu (TÜİK) verileri kullanılmıştır. </w:t>
      </w:r>
    </w:p>
    <w:p w:rsidR="008E4B08" w:rsidRPr="009F0E99" w:rsidRDefault="008E4B08" w:rsidP="008E4B08">
      <w:pPr>
        <w:jc w:val="both"/>
        <w:rPr>
          <w:b/>
        </w:rPr>
      </w:pPr>
    </w:p>
    <w:p w:rsidR="00944349" w:rsidRPr="009F0E99" w:rsidRDefault="009A1355" w:rsidP="00944349">
      <w:pPr>
        <w:jc w:val="both"/>
        <w:rPr>
          <w:b/>
        </w:rPr>
      </w:pPr>
      <w:r w:rsidRPr="009F0E99">
        <w:rPr>
          <w:b/>
        </w:rPr>
        <w:t>4</w:t>
      </w:r>
      <w:r w:rsidR="008E4B08" w:rsidRPr="009F0E99">
        <w:rPr>
          <w:b/>
        </w:rPr>
        <w:t xml:space="preserve">.2 </w:t>
      </w:r>
      <w:r w:rsidR="004B6771" w:rsidRPr="009F0E99">
        <w:rPr>
          <w:b/>
        </w:rPr>
        <w:t>G</w:t>
      </w:r>
      <w:r w:rsidR="00164FF4" w:rsidRPr="009F0E99">
        <w:rPr>
          <w:b/>
        </w:rPr>
        <w:t>enel ithalatı</w:t>
      </w:r>
      <w:r w:rsidR="004B6771" w:rsidRPr="009F0E99">
        <w:rPr>
          <w:b/>
        </w:rPr>
        <w:t>n</w:t>
      </w:r>
      <w:r w:rsidR="00164FF4" w:rsidRPr="009F0E99">
        <w:rPr>
          <w:b/>
        </w:rPr>
        <w:t xml:space="preserve"> </w:t>
      </w:r>
      <w:r w:rsidR="004B6771" w:rsidRPr="009F0E99">
        <w:rPr>
          <w:b/>
        </w:rPr>
        <w:t>mutlak gelişimi</w:t>
      </w:r>
    </w:p>
    <w:p w:rsidR="00E05BBC" w:rsidRPr="009F0E99" w:rsidRDefault="00582639" w:rsidP="005F37AE">
      <w:pPr>
        <w:spacing w:after="240"/>
        <w:jc w:val="both"/>
      </w:pPr>
      <w:r w:rsidRPr="009F0E99">
        <w:rPr>
          <w:bCs/>
          <w:noProof/>
        </w:rPr>
        <w:t>(1)</w:t>
      </w:r>
      <w:r w:rsidR="005F37AE" w:rsidRPr="009F0E99">
        <w:rPr>
          <w:bCs/>
          <w:noProof/>
        </w:rPr>
        <w:t xml:space="preserve"> </w:t>
      </w:r>
      <w:r w:rsidR="005F37AE" w:rsidRPr="009F0E99">
        <w:t xml:space="preserve">Soruşturma konusu ürünün 2015-2017 yıllarında tüm ülkelerden gerçekleşen ithalat rakamları incelendiğinde 2015 yılında 2.989.457  Kg olan ithalatın, 2016 yılında 2.927.652 Kg, 2017 yılında ise 2.949.573 Kg olarak gerçekleştiği görülmektedir. Toplam ithalatın değeri ise 2015-2017 yıllarında sırasıyla 38,8 milyon ABD Doları, 38,5 milyon ABD Doları ve 40,6 milyon ABD Doları olarak gerçekleşmiştir. Genel ithalatın birim fiyatının ise 2015-2017 yıllarında sırasıyla 12,99 ABD Doları/Kg, 13,14 ABD Doları/Kg ve 13,76 ABD Doları/Kg olarak gerçekleştiği ve artan bir seyir izlediği görülmektedir. </w:t>
      </w:r>
    </w:p>
    <w:p w:rsidR="008E4B08" w:rsidRPr="009F0E99" w:rsidRDefault="009A1355" w:rsidP="003C6689">
      <w:pPr>
        <w:jc w:val="both"/>
        <w:rPr>
          <w:b/>
        </w:rPr>
      </w:pPr>
      <w:r w:rsidRPr="009F0E99">
        <w:rPr>
          <w:b/>
        </w:rPr>
        <w:t>4.</w:t>
      </w:r>
      <w:r w:rsidR="008E4B08" w:rsidRPr="009F0E99">
        <w:rPr>
          <w:b/>
        </w:rPr>
        <w:t xml:space="preserve">3 </w:t>
      </w:r>
      <w:r w:rsidR="004B6771" w:rsidRPr="009F0E99">
        <w:rPr>
          <w:b/>
        </w:rPr>
        <w:t>Ö</w:t>
      </w:r>
      <w:r w:rsidR="00164FF4" w:rsidRPr="009F0E99">
        <w:rPr>
          <w:b/>
        </w:rPr>
        <w:t>nlem konusu ülke</w:t>
      </w:r>
      <w:r w:rsidR="00D70AE3" w:rsidRPr="009F0E99">
        <w:rPr>
          <w:b/>
        </w:rPr>
        <w:t>ler</w:t>
      </w:r>
      <w:r w:rsidR="00164FF4" w:rsidRPr="009F0E99">
        <w:rPr>
          <w:b/>
        </w:rPr>
        <w:t>den ithalatı</w:t>
      </w:r>
      <w:r w:rsidR="004B6771" w:rsidRPr="009F0E99">
        <w:rPr>
          <w:b/>
        </w:rPr>
        <w:t>n mutlak gelişimi</w:t>
      </w:r>
    </w:p>
    <w:p w:rsidR="005B11BD" w:rsidRPr="009F0E99" w:rsidRDefault="00454786" w:rsidP="005B11BD">
      <w:pPr>
        <w:spacing w:after="240"/>
        <w:jc w:val="both"/>
      </w:pPr>
      <w:r w:rsidRPr="009F0E99">
        <w:rPr>
          <w:bCs/>
          <w:noProof/>
        </w:rPr>
        <w:t>(</w:t>
      </w:r>
      <w:r w:rsidR="00582639" w:rsidRPr="009F0E99">
        <w:rPr>
          <w:bCs/>
          <w:noProof/>
        </w:rPr>
        <w:t xml:space="preserve">1) </w:t>
      </w:r>
      <w:r w:rsidR="005B11BD" w:rsidRPr="009F0E99">
        <w:t>Soruşturma konusu ürünün 2015-2017 döneminde ÇHC’den gerçekleşen ithalat rakamları incelendiğinde 2015 yılında 136.094 Kg olan ithalatın, 2016 yılında 136.251 Kg seviyesine yükseldiği, 2017 yılında ise 94.896 Kg seviyesine düştüğü görülmektedir. Söz konusu ülkeden yapılan ithalatın değeri ise 2015-2017 döneminde sırasıyla 2 milyon ABD Doları, 2,1 milyon ABD Doları ve 1,8 milyon ABD Doları olarak gerçekleşmiştir. 2015 yılında 14,97 ABD Doları/Kg olan ÇHC’den gerçekleşen ithalata ilişkin birim fiyatın 2016 yılında 15,58 ABD Doları/Kg, 2017 yılında ise 19,48 ABD Doları/Kg olarak gerçekleştiği görülmektedir.</w:t>
      </w:r>
    </w:p>
    <w:p w:rsidR="005B11BD" w:rsidRPr="009F0E99" w:rsidRDefault="005B11BD" w:rsidP="005B11BD">
      <w:pPr>
        <w:spacing w:after="240"/>
        <w:jc w:val="both"/>
      </w:pPr>
      <w:r w:rsidRPr="009F0E99">
        <w:t xml:space="preserve">(2) Soruşturma  konusu ürünün 2015-2017 döneminde Hindistan’dan gerçekleşen ithalat rakamları incelendiğinde 2015 yılında 6.395 Kg olan ithalatın, 2016 yılında 6.645 Kg seviyesine yükseldiği, 2017 yılında ise 5.067 Kg’ye düştüğü görülmektedir. Söz konusu ülkeden yapılan ithalatın değeri ise 2015-2017 döneminde sırasıyla 195.884 ABD Doları, 93.807 ABD Doları ve 119.346 ABD Doları olarak gerçekleşmiştir. 2015 yılında 30,63 ABD Doları/Kg olan Hindistan’dan gerçekleşen ithalata ilişkin birim fiyatın 2016 yılında 14,12 ABD </w:t>
      </w:r>
      <w:r w:rsidRPr="009F0E99">
        <w:lastRenderedPageBreak/>
        <w:t>Doları/Kg’ye düştüğü, 2017 yılında ise 23,55 ABD Doları/Kg’ye yükseldiği ve dalgalı bir seyir izlediği görülmektedir.</w:t>
      </w:r>
    </w:p>
    <w:p w:rsidR="005B11BD" w:rsidRPr="009F0E99" w:rsidRDefault="005B11BD" w:rsidP="005B11BD">
      <w:pPr>
        <w:spacing w:after="240"/>
        <w:jc w:val="both"/>
      </w:pPr>
      <w:r w:rsidRPr="009F0E99">
        <w:t>(3) Soruşturma  konusu ürünün 2015-2017 döneminde Vietnam’dan gerçekleşen ithalat rakamları incelendiğinde 2015 yılında 15 Kg olan ithalatın, 2016 yılında 33 Kg seviyesine yükseldiği, 2017 yılında ise 3 Kg’ye düştüğü görülmektedir. Söz konusu ülkeden yapılan ithalatın değeri ise 2015-2017 döneminde sırasıyla 1.648 ABD Doları, 452 ABD Doları ve 107 ABD Doları olarak gerçekleşmiştir. 2015 yılında 109,87  ABD Doları/Kg olan Vietnam’dan gerçekleşen ithalata ilişkin birim fiyatın 2016 yılında 13,70 ABD Doları/Kg’ye düştüğü, 2017 yılında ise 35, 67 ABD Doları/Kg’ye yükseldiği ve dalgalı bir seyir izlediği görülmekte olup, 2015 yılında ithal birim fiyatın yüksek olmasının nitelikli ürün ithalatından kaynaklandığı değerlendirilmektedir.</w:t>
      </w:r>
    </w:p>
    <w:p w:rsidR="00B20C66" w:rsidRPr="009F0E99" w:rsidRDefault="005B11BD" w:rsidP="005B11BD">
      <w:pPr>
        <w:spacing w:after="240"/>
        <w:jc w:val="both"/>
      </w:pPr>
      <w:r w:rsidRPr="009F0E99">
        <w:t xml:space="preserve">(4) 2015-2017 döneminde soruşturma konusu ülkelerden gerçekleşen ithalat rakamları incelendiğinde 2015 ve 2016 yıllarında yılında sırasıyla 142.504 Kg ve 142.929 Kg olan ithalatın, 2017 yılında 99.966 olarak gerçekleştiği görülmektedir. Soruşturma konusu ülkelerden gerçekleşen toplam ithalatın değeri ise 2015-2017 döneminde sırasıyla 2,24 milyon ABD Doları, 2,22 milyon ABD Doları ve 1,97 milyon ABD Doları olarak gerçekleşmiştir. </w:t>
      </w:r>
      <w:r w:rsidRPr="009F0E99">
        <w:rPr>
          <w:bCs/>
          <w:noProof/>
          <w:lang w:eastAsia="en-US"/>
        </w:rPr>
        <w:t>Soruşturma kapsamındaki ülkelerden toplam ithalatın birim fiyatı ise 2015-2017 döneminde sırasıyla 15,68 ABD Doları/Kg, 15,51 ABD Doları/Kg ve 19,68 ABD Doları/Kg olarak gerçekleşmiştir.</w:t>
      </w:r>
    </w:p>
    <w:p w:rsidR="00164FF4" w:rsidRPr="009F0E99" w:rsidRDefault="009A1355" w:rsidP="008E4B08">
      <w:pPr>
        <w:jc w:val="both"/>
        <w:rPr>
          <w:b/>
        </w:rPr>
      </w:pPr>
      <w:r w:rsidRPr="009F0E99">
        <w:rPr>
          <w:b/>
        </w:rPr>
        <w:t>4</w:t>
      </w:r>
      <w:r w:rsidR="008E4B08" w:rsidRPr="009F0E99">
        <w:rPr>
          <w:b/>
        </w:rPr>
        <w:t xml:space="preserve">.4 </w:t>
      </w:r>
      <w:r w:rsidR="004B6771" w:rsidRPr="009F0E99">
        <w:rPr>
          <w:b/>
        </w:rPr>
        <w:t>Üçüncü ülkelerden ithalatın mutlak gelişimi</w:t>
      </w:r>
    </w:p>
    <w:p w:rsidR="00582639" w:rsidRPr="009F0E99" w:rsidRDefault="00582639" w:rsidP="00582639">
      <w:pPr>
        <w:spacing w:after="240"/>
        <w:jc w:val="both"/>
      </w:pPr>
      <w:r w:rsidRPr="009F0E99">
        <w:rPr>
          <w:bCs/>
          <w:noProof/>
        </w:rPr>
        <w:t xml:space="preserve">(1) </w:t>
      </w:r>
      <w:r w:rsidR="005B11BD" w:rsidRPr="009F0E99">
        <w:t xml:space="preserve">Soruşturma konusu ürünün 2015-2017 döneminde diğer ülkelerden gerçekleşen ithalat rakamları incelendiğinde 2015 yılında 2.846.953 Kg olan ithalatın, 2016 yılında 2.784.723 Kg’ye düştüğü, 2017 yılında ise 2,849.607 Kg’ye yükseldiği görülmektedir. Üçüncü ülkelerden gerçekleşen toplam ithalatın değeri ise 2015-2017 döneminde sırasıyla 36,6 milyon ABD Doları, 36,2 milyon ABD Doları ve 38,6 milyon ABD Doları olarak kaydedilmiştir. Üçüncü ülkelerden toplam ithalatın birim fiyatının ise 2015-2017 döneminde sırasıyla 12,86 ABD Doları/Kg, 13,01 ABD Doları/Kg ve 13,55 ABD Doları/Kg olarak gerçekleştiği ve artan bir seyir izlediği görülmektedir. </w:t>
      </w:r>
    </w:p>
    <w:p w:rsidR="004B6771" w:rsidRPr="009F0E99" w:rsidRDefault="009A1355" w:rsidP="00A76298">
      <w:pPr>
        <w:jc w:val="both"/>
        <w:rPr>
          <w:b/>
        </w:rPr>
      </w:pPr>
      <w:r w:rsidRPr="009F0E99">
        <w:rPr>
          <w:b/>
        </w:rPr>
        <w:t>4</w:t>
      </w:r>
      <w:r w:rsidR="008E4B08" w:rsidRPr="009F0E99">
        <w:rPr>
          <w:b/>
        </w:rPr>
        <w:t xml:space="preserve">.5 </w:t>
      </w:r>
      <w:r w:rsidR="004B6771" w:rsidRPr="009F0E99">
        <w:rPr>
          <w:b/>
        </w:rPr>
        <w:t>Soruşturma konusu ürün ithalatının nispi gelişimi</w:t>
      </w:r>
    </w:p>
    <w:p w:rsidR="009A1355" w:rsidRPr="009F0E99" w:rsidRDefault="009A1355" w:rsidP="00A76298">
      <w:pPr>
        <w:jc w:val="both"/>
        <w:rPr>
          <w:b/>
        </w:rPr>
      </w:pPr>
      <w:r w:rsidRPr="009F0E99">
        <w:t xml:space="preserve">(1) </w:t>
      </w:r>
      <w:r w:rsidRPr="009F0E99">
        <w:rPr>
          <w:bCs/>
        </w:rPr>
        <w:t xml:space="preserve">Türkiye toplam benzer mal tüketiminin hesaplanmasında </w:t>
      </w:r>
      <w:r w:rsidR="003516B3" w:rsidRPr="009F0E99">
        <w:rPr>
          <w:bCs/>
        </w:rPr>
        <w:t>başvuru sahibi yerli üreticinin</w:t>
      </w:r>
      <w:r w:rsidRPr="009F0E99">
        <w:rPr>
          <w:bCs/>
        </w:rPr>
        <w:t xml:space="preserve"> yurt </w:t>
      </w:r>
      <w:r w:rsidRPr="009F0E99">
        <w:t>içi satışları genel ithalat miktarı ile toplanmıştır. Yerli üretim dalının yurtiçi satışlarının ve</w:t>
      </w:r>
      <w:r w:rsidRPr="009F0E99">
        <w:rPr>
          <w:bCs/>
        </w:rPr>
        <w:t xml:space="preserve"> soruşturma konus</w:t>
      </w:r>
      <w:r w:rsidR="003516B3" w:rsidRPr="009F0E99">
        <w:rPr>
          <w:bCs/>
        </w:rPr>
        <w:t>u ülke</w:t>
      </w:r>
      <w:r w:rsidRPr="009F0E99">
        <w:rPr>
          <w:bCs/>
        </w:rPr>
        <w:t>den gerçekleştirilen ithalatın toplam tüketime oranlanmasıyla pazar payları hesaplanmıştır.</w:t>
      </w:r>
    </w:p>
    <w:p w:rsidR="008E3E75" w:rsidRPr="009F0E99" w:rsidRDefault="008E3E75" w:rsidP="003C6689">
      <w:pPr>
        <w:jc w:val="both"/>
        <w:rPr>
          <w:b/>
        </w:rPr>
      </w:pPr>
    </w:p>
    <w:p w:rsidR="00CD04CF" w:rsidRPr="009F0E99" w:rsidRDefault="0045672F" w:rsidP="0045672F">
      <w:pPr>
        <w:spacing w:after="240"/>
        <w:jc w:val="both"/>
        <w:rPr>
          <w:bCs/>
        </w:rPr>
      </w:pPr>
      <w:r w:rsidRPr="009F0E99">
        <w:t xml:space="preserve">(2) </w:t>
      </w:r>
      <w:r w:rsidR="009A1355" w:rsidRPr="009F0E99">
        <w:t>Bu çerçevede</w:t>
      </w:r>
      <w:r w:rsidR="006D7400" w:rsidRPr="009F0E99">
        <w:t xml:space="preserve">, </w:t>
      </w:r>
      <w:r w:rsidRPr="009F0E99">
        <w:t>Türkiye toplam tüketimi</w:t>
      </w:r>
      <w:r w:rsidR="009A1355" w:rsidRPr="009F0E99">
        <w:t xml:space="preserve"> </w:t>
      </w:r>
      <w:r w:rsidRPr="009F0E99">
        <w:t>2</w:t>
      </w:r>
      <w:r w:rsidR="00407128" w:rsidRPr="009F0E99">
        <w:t>015’t</w:t>
      </w:r>
      <w:r w:rsidRPr="009F0E99">
        <w:t>e 100 iken 2016 yılında 97 ve 2017 yılında 101 olarak gerçekle</w:t>
      </w:r>
      <w:r w:rsidR="00407128" w:rsidRPr="009F0E99">
        <w:t>ş</w:t>
      </w:r>
      <w:r w:rsidRPr="009F0E99">
        <w:t xml:space="preserve">miştir. </w:t>
      </w:r>
      <w:r w:rsidR="000B7159" w:rsidRPr="009F0E99">
        <w:t>Y</w:t>
      </w:r>
      <w:r w:rsidR="009A1355" w:rsidRPr="009F0E99">
        <w:t xml:space="preserve">erli üretim dalının </w:t>
      </w:r>
      <w:r w:rsidR="00E30C99" w:rsidRPr="009F0E99">
        <w:t>201</w:t>
      </w:r>
      <w:r w:rsidRPr="009F0E99">
        <w:t>5</w:t>
      </w:r>
      <w:r w:rsidR="00E30C99" w:rsidRPr="009F0E99">
        <w:t xml:space="preserve"> yılında 1</w:t>
      </w:r>
      <w:r w:rsidR="00CD04CF" w:rsidRPr="009F0E99">
        <w:t>00 birim olan pazar payını</w:t>
      </w:r>
      <w:r w:rsidR="000B7159" w:rsidRPr="009F0E99">
        <w:t>n ise,</w:t>
      </w:r>
      <w:r w:rsidRPr="009F0E99">
        <w:t xml:space="preserve"> 2016</w:t>
      </w:r>
      <w:r w:rsidR="00CD04CF" w:rsidRPr="009F0E99">
        <w:t xml:space="preserve"> </w:t>
      </w:r>
      <w:r w:rsidR="00E30C99" w:rsidRPr="009F0E99">
        <w:t>ve 201</w:t>
      </w:r>
      <w:r w:rsidRPr="009F0E99">
        <w:t>7</w:t>
      </w:r>
      <w:r w:rsidR="00E30C99" w:rsidRPr="009F0E99">
        <w:t xml:space="preserve"> yıllarında</w:t>
      </w:r>
      <w:r w:rsidR="00E30C99" w:rsidRPr="009F0E99">
        <w:rPr>
          <w:bCs/>
        </w:rPr>
        <w:t xml:space="preserve"> sırasıyla </w:t>
      </w:r>
      <w:r w:rsidRPr="009F0E99">
        <w:rPr>
          <w:bCs/>
        </w:rPr>
        <w:t>94</w:t>
      </w:r>
      <w:r w:rsidR="00E30C99" w:rsidRPr="009F0E99">
        <w:rPr>
          <w:bCs/>
        </w:rPr>
        <w:t xml:space="preserve"> ve </w:t>
      </w:r>
      <w:r w:rsidRPr="009F0E99">
        <w:rPr>
          <w:bCs/>
        </w:rPr>
        <w:t>113</w:t>
      </w:r>
      <w:r w:rsidR="000B7159" w:rsidRPr="009F0E99">
        <w:rPr>
          <w:bCs/>
        </w:rPr>
        <w:t xml:space="preserve"> olarak gerçekleştiği </w:t>
      </w:r>
      <w:r w:rsidR="00E30C99" w:rsidRPr="009F0E99">
        <w:rPr>
          <w:bCs/>
        </w:rPr>
        <w:t xml:space="preserve">görülmüştür. </w:t>
      </w:r>
    </w:p>
    <w:p w:rsidR="0045672F" w:rsidRPr="009F0E99" w:rsidRDefault="0045672F" w:rsidP="0045672F">
      <w:pPr>
        <w:spacing w:after="240"/>
        <w:jc w:val="both"/>
        <w:rPr>
          <w:noProof/>
        </w:rPr>
      </w:pPr>
      <w:r w:rsidRPr="009F0E99">
        <w:rPr>
          <w:noProof/>
        </w:rPr>
        <w:t>(3) ÇHC’nin 2015 yılında 100 olan pazar payı endeksi, 2016 ve 2017 yıllarında sırasıyla 103 ve 69 olarak gerçekleşmiştir.</w:t>
      </w:r>
    </w:p>
    <w:p w:rsidR="0045672F" w:rsidRPr="009F0E99" w:rsidRDefault="0045672F" w:rsidP="0045672F">
      <w:pPr>
        <w:spacing w:after="240"/>
        <w:jc w:val="both"/>
        <w:rPr>
          <w:noProof/>
        </w:rPr>
      </w:pPr>
      <w:r w:rsidRPr="009F0E99">
        <w:rPr>
          <w:noProof/>
        </w:rPr>
        <w:t>(4) Hindistan’ın 2015 yılında 100 olan pazar payı endeksi, 2016 ve 2017 yıllarında sırasıyla 107 ve 79 olarak gerçekleşmiştir.</w:t>
      </w:r>
    </w:p>
    <w:p w:rsidR="0045672F" w:rsidRPr="009F0E99" w:rsidRDefault="0045672F" w:rsidP="0045672F">
      <w:pPr>
        <w:spacing w:after="240"/>
        <w:jc w:val="both"/>
        <w:rPr>
          <w:noProof/>
        </w:rPr>
      </w:pPr>
      <w:r w:rsidRPr="009F0E99">
        <w:rPr>
          <w:noProof/>
        </w:rPr>
        <w:t>(5) Vietnam’ın 2015 yılında 100 olan pazar payı endeksi, 2016 ve 2017 yıllarında sırasıyla 227 ve 20 olarak gerçekleşmiştir.</w:t>
      </w:r>
    </w:p>
    <w:p w:rsidR="0045672F" w:rsidRPr="009F0E99" w:rsidRDefault="0045672F" w:rsidP="0045672F">
      <w:pPr>
        <w:spacing w:after="240"/>
        <w:jc w:val="both"/>
        <w:rPr>
          <w:noProof/>
        </w:rPr>
      </w:pPr>
      <w:r w:rsidRPr="009F0E99">
        <w:rPr>
          <w:noProof/>
        </w:rPr>
        <w:t>(6) Soruşturma konusu ülkeler menşeli toplam ithalatın pazar payı endeksi ise 2015 yılı 100 kabul edildiğinde, 2016 ve 2017 yıllarında sırasıyla 103 ve 70 olarak gerçekleşmiştir.</w:t>
      </w:r>
    </w:p>
    <w:p w:rsidR="0045672F" w:rsidRPr="009F0E99" w:rsidRDefault="0045672F" w:rsidP="0045672F">
      <w:pPr>
        <w:spacing w:after="240"/>
        <w:jc w:val="both"/>
        <w:rPr>
          <w:noProof/>
        </w:rPr>
      </w:pPr>
      <w:r w:rsidRPr="009F0E99">
        <w:rPr>
          <w:noProof/>
        </w:rPr>
        <w:lastRenderedPageBreak/>
        <w:t>(7) Diğer ülkelerden ithalatın pazar payı endeksi ise 2015 yılı 100 kabul edildiğinde, 2016 yılında 101, 2017 yılında ise 99 olarak gerçekleşmiştir.</w:t>
      </w:r>
    </w:p>
    <w:p w:rsidR="005E18A0" w:rsidRPr="009F0E99" w:rsidRDefault="009A1355" w:rsidP="008E4B08">
      <w:pPr>
        <w:jc w:val="both"/>
        <w:rPr>
          <w:b/>
        </w:rPr>
      </w:pPr>
      <w:r w:rsidRPr="009F0E99">
        <w:rPr>
          <w:b/>
        </w:rPr>
        <w:t>4</w:t>
      </w:r>
      <w:r w:rsidR="00E30C99" w:rsidRPr="009F0E99">
        <w:rPr>
          <w:b/>
        </w:rPr>
        <w:t>.6</w:t>
      </w:r>
      <w:r w:rsidR="008E4B08" w:rsidRPr="009F0E99">
        <w:rPr>
          <w:b/>
        </w:rPr>
        <w:t xml:space="preserve"> </w:t>
      </w:r>
      <w:r w:rsidR="005E18A0" w:rsidRPr="009F0E99">
        <w:rPr>
          <w:b/>
        </w:rPr>
        <w:t xml:space="preserve">Fiyat kırılması </w:t>
      </w:r>
      <w:r w:rsidR="00112107" w:rsidRPr="009F0E99">
        <w:rPr>
          <w:b/>
        </w:rPr>
        <w:t xml:space="preserve">ve </w:t>
      </w:r>
      <w:r w:rsidR="00C510F6">
        <w:rPr>
          <w:b/>
        </w:rPr>
        <w:t>b</w:t>
      </w:r>
      <w:r w:rsidR="00112107" w:rsidRPr="009F0E99">
        <w:rPr>
          <w:b/>
        </w:rPr>
        <w:t>askısı</w:t>
      </w:r>
    </w:p>
    <w:p w:rsidR="00112107" w:rsidRPr="009F0E99" w:rsidRDefault="00112107" w:rsidP="00112107">
      <w:pPr>
        <w:jc w:val="both"/>
      </w:pPr>
      <w:r w:rsidRPr="009F0E99">
        <w:t>(1) Fiyat kırılması, soruşturma konusu ürünün Türkiye piyasasında oluşan fiyatlarının yerli üretim dalının yurtiçi satış fiyatlarının ne kadar altında kaldığını göstermektedir. Bu kapsamda, soruşturma konusu ülkelerden gerçekleştirilen ithalatın yerli üretim dalının fiyatlarını ne ölçüde kırdığı incelenmiştir.</w:t>
      </w:r>
    </w:p>
    <w:p w:rsidR="00112107" w:rsidRPr="009F0E99" w:rsidRDefault="00112107" w:rsidP="00112107">
      <w:pPr>
        <w:ind w:firstLine="567"/>
        <w:jc w:val="both"/>
      </w:pPr>
    </w:p>
    <w:p w:rsidR="00112107" w:rsidRPr="009F0E99" w:rsidRDefault="00112107" w:rsidP="00112107">
      <w:pPr>
        <w:jc w:val="both"/>
        <w:rPr>
          <w:b/>
          <w:bCs/>
          <w:noProof/>
        </w:rPr>
      </w:pPr>
      <w:r w:rsidRPr="009F0E99">
        <w:t xml:space="preserve">(2) Fiyat kırılması hesaplanırken; CIF ithal fiyatın üzerine, ithalat için %6,5 gümrük vergisi ile tüm soruşturma konusu ülkeler için makul kabul edilen bir oran olarak CIF kıymetin %2’si tutarındaki diğer ithal masrafları eklenerek ürünün Türkiye piyasasına giriş fiyatı bulunmuştur. Dampinge karşı önlemin söz konusu olmadığı bir ortamda fiyatların hangi düzeyde oluşacağına ilişkin değerlendirmeyi mümkün kılmak amacıyla anılan fiyatlara dampinge karşı önlem eklenmemiştir. Bulunan değerler ile başvuru sahibi yerli üreticinin yurtiçi satış fiyatları karşılaştırılmıştır. Hesaplamalar 2017 yılı için yapılmış olup, buna göre soruşturma konusu ülkeler menşeli ithalatın 2017 yılında yurtiçi satış fiyatlarını kırmadığı tespit edilmiştir. </w:t>
      </w:r>
    </w:p>
    <w:p w:rsidR="00112107" w:rsidRPr="009F0E99" w:rsidRDefault="00112107" w:rsidP="00112107">
      <w:pPr>
        <w:ind w:firstLine="567"/>
        <w:jc w:val="both"/>
      </w:pPr>
    </w:p>
    <w:p w:rsidR="00112107" w:rsidRPr="009F0E99" w:rsidRDefault="00112107" w:rsidP="00112107">
      <w:pPr>
        <w:jc w:val="both"/>
      </w:pPr>
      <w:r w:rsidRPr="009F0E99">
        <w:t>(3)</w:t>
      </w:r>
      <w:r w:rsidRPr="009F0E99">
        <w:rPr>
          <w:bCs/>
        </w:rPr>
        <w:t xml:space="preserve"> Fiyat baskısı hesaplanırken, CIF ithal fiyatın üzerine, başvuru konusu ülkelerden gerçekleştirilen ithalat için %6,5 gümrük vergisi ile tüm başvuru konusu ülkeler için makul sayılabilecek bir oran olarak CIF kıymetin %2’si tutarındaki diğer ithal masrafları eklenerek ürünün Türkiye piyasasına giriş fiyatı bulunmuştur. Dampinge karşı önlemin söz konusu olmadığı bir ortamda fiyatların hangi düzeyde oluşacağına ilişkin değerlendirmeyi mümkün kılmak amacıyla anılan fiyatlara dampinge karşı önlem eklenmemiştir. Bulunan değerler ile yerli üreticinin ticari maliyetlerine eklenen makul kâr oranı ile bulunan olması gereken yurtiçi satış fiyatı karşılaştırılmıştır.</w:t>
      </w:r>
      <w:r w:rsidRPr="009F0E99">
        <w:t xml:space="preserve"> Hesaplamalar 2017 yılı için yapılmış olup, buna göre soruşturma konusu ülkeler menşeli ithalatın yerli üretim dalının fiyatları üzerinde fiyat baskısına neden olmadığı  saptanmıştır. </w:t>
      </w:r>
    </w:p>
    <w:p w:rsidR="00DD4946" w:rsidRPr="009F0E99" w:rsidRDefault="00DD4946" w:rsidP="00DD4946">
      <w:pPr>
        <w:pStyle w:val="ListeParagraf"/>
        <w:ind w:left="0"/>
        <w:jc w:val="both"/>
      </w:pPr>
    </w:p>
    <w:p w:rsidR="0025290B" w:rsidRPr="009F0E99" w:rsidRDefault="005E18A0" w:rsidP="008E4B08">
      <w:pPr>
        <w:jc w:val="both"/>
        <w:rPr>
          <w:b/>
        </w:rPr>
      </w:pPr>
      <w:r w:rsidRPr="009F0E99">
        <w:rPr>
          <w:b/>
        </w:rPr>
        <w:t xml:space="preserve">4.7 </w:t>
      </w:r>
      <w:r w:rsidR="00164FF4" w:rsidRPr="009F0E99">
        <w:rPr>
          <w:b/>
        </w:rPr>
        <w:t xml:space="preserve">Yerli üretim dalının ekonomik göstergeleri </w:t>
      </w:r>
    </w:p>
    <w:p w:rsidR="00BD3213" w:rsidRPr="009F0E99" w:rsidRDefault="0025290B" w:rsidP="00BD3213">
      <w:pPr>
        <w:jc w:val="both"/>
        <w:rPr>
          <w:bCs/>
        </w:rPr>
      </w:pPr>
      <w:r w:rsidRPr="009F0E99">
        <w:t xml:space="preserve">(1) </w:t>
      </w:r>
      <w:r w:rsidR="00DB72BC" w:rsidRPr="009F0E99">
        <w:rPr>
          <w:bCs/>
        </w:rPr>
        <w:t xml:space="preserve">Yerli üretim dalının ekonomik göstergelerinin değerlendirilmesinde </w:t>
      </w:r>
      <w:r w:rsidR="001305C0" w:rsidRPr="009F0E99">
        <w:rPr>
          <w:bCs/>
        </w:rPr>
        <w:t>yerli üretim dalı niteliğini haiz</w:t>
      </w:r>
      <w:r w:rsidR="00DB72BC" w:rsidRPr="009F0E99">
        <w:rPr>
          <w:bCs/>
        </w:rPr>
        <w:t xml:space="preserve"> </w:t>
      </w:r>
      <w:r w:rsidR="002C3680" w:rsidRPr="009F0E99">
        <w:rPr>
          <w:noProof/>
        </w:rPr>
        <w:t xml:space="preserve">Bando </w:t>
      </w:r>
      <w:r w:rsidR="00DB72BC" w:rsidRPr="009F0E99">
        <w:rPr>
          <w:noProof/>
        </w:rPr>
        <w:t>firmasının</w:t>
      </w:r>
      <w:r w:rsidR="00112107" w:rsidRPr="009F0E99">
        <w:rPr>
          <w:bCs/>
        </w:rPr>
        <w:t xml:space="preserve"> 2015-2017</w:t>
      </w:r>
      <w:r w:rsidR="00DB72BC" w:rsidRPr="009F0E99">
        <w:rPr>
          <w:bCs/>
        </w:rPr>
        <w:t xml:space="preserve"> yılları arasındaki verileri </w:t>
      </w:r>
      <w:r w:rsidR="00BD3213" w:rsidRPr="009F0E99">
        <w:rPr>
          <w:bCs/>
        </w:rPr>
        <w:t xml:space="preserve">esas alınmıştır. </w:t>
      </w:r>
      <w:r w:rsidR="00174CD8" w:rsidRPr="009F0E99">
        <w:t xml:space="preserve">Yönetmelik’in 17 </w:t>
      </w:r>
      <w:r w:rsidR="00BD3213" w:rsidRPr="009F0E99">
        <w:t xml:space="preserve">nci maddesi hükümleri çerçevesinde, </w:t>
      </w:r>
      <w:r w:rsidR="00DB72BC" w:rsidRPr="009F0E99">
        <w:t>soruşturma konusu</w:t>
      </w:r>
      <w:r w:rsidR="00BD3213" w:rsidRPr="009F0E99">
        <w:t xml:space="preserve"> ithalatın yerli üretim dalının ekonomik göstergeleri üzerindeki etkisinin tespiti amacıyla, zarar dönemi içerisinde yerli üretim dalının üretim, satış, pazar payı, yurtiçi fiyatlar, kapasite, kapasite kullanımı, maliyetler, stoklar, istihdam, verimlilik, nakit akışı, kârlılık, net dönem kârı/zararı </w:t>
      </w:r>
      <w:r w:rsidR="008E3E75" w:rsidRPr="009F0E99">
        <w:t xml:space="preserve">gibi </w:t>
      </w:r>
      <w:r w:rsidR="00BD3213" w:rsidRPr="009F0E99">
        <w:t xml:space="preserve">göstergeleri analiz edilmiştir. </w:t>
      </w:r>
    </w:p>
    <w:p w:rsidR="00BD3213" w:rsidRPr="009F0E99" w:rsidRDefault="00BD3213" w:rsidP="00BD3213">
      <w:pPr>
        <w:jc w:val="both"/>
        <w:outlineLvl w:val="0"/>
      </w:pPr>
    </w:p>
    <w:p w:rsidR="00BD3213" w:rsidRPr="009F0E99" w:rsidRDefault="00BD3213" w:rsidP="00BD3213">
      <w:pPr>
        <w:jc w:val="both"/>
        <w:outlineLvl w:val="0"/>
      </w:pPr>
      <w:r w:rsidRPr="009F0E99">
        <w:t xml:space="preserve">(2) Söz konusu dönem için yapılan zarar analizinde eğilimi görebilmek amacıyla TL bazındaki veriler </w:t>
      </w:r>
      <w:r w:rsidR="001D108C" w:rsidRPr="009F0E99">
        <w:t xml:space="preserve">Türkiye İstatistik Kurumu (TÜİK) </w:t>
      </w:r>
      <w:r w:rsidRPr="009F0E99">
        <w:t>tarafından hesaplanan yıllık ortalama üretici fiyatları endeksi kullanılarak enflasyondan arındırılm</w:t>
      </w:r>
      <w:r w:rsidR="008E3E75" w:rsidRPr="009F0E99">
        <w:t>ış, reel hale getirilmiş ve 201</w:t>
      </w:r>
      <w:r w:rsidR="00112107" w:rsidRPr="009F0E99">
        <w:t>5</w:t>
      </w:r>
      <w:r w:rsidRPr="009F0E99">
        <w:t xml:space="preserve"> yılı </w:t>
      </w:r>
      <w:r w:rsidR="0061586A" w:rsidRPr="009F0E99">
        <w:t>baz</w:t>
      </w:r>
      <w:r w:rsidRPr="009F0E99">
        <w:t xml:space="preserve"> alınarak endekslenmiştir.</w:t>
      </w:r>
    </w:p>
    <w:p w:rsidR="009243D3" w:rsidRPr="009F0E99" w:rsidRDefault="009243D3" w:rsidP="009243D3"/>
    <w:p w:rsidR="00223920" w:rsidRPr="009F0E99" w:rsidRDefault="00223920" w:rsidP="00223920">
      <w:pPr>
        <w:jc w:val="both"/>
        <w:rPr>
          <w:b/>
          <w:bCs/>
          <w:noProof/>
        </w:rPr>
      </w:pPr>
      <w:r w:rsidRPr="009F0E99">
        <w:rPr>
          <w:b/>
        </w:rPr>
        <w:t>a) Üretim, kapasite ve kapasite kullanım oranı (KKO)</w:t>
      </w:r>
    </w:p>
    <w:p w:rsidR="00223920" w:rsidRPr="009F0E99" w:rsidRDefault="00223920" w:rsidP="00223920">
      <w:pPr>
        <w:spacing w:after="240"/>
        <w:jc w:val="both"/>
      </w:pPr>
      <w:r w:rsidRPr="009F0E99">
        <w:t xml:space="preserve">(1) Yerli üretim dalının ilgili üründe 2015 yılında 100 olan üretim miktar endeksi, 2016 yılında 101, 2017 yılında ise 117 olmuştur. </w:t>
      </w:r>
    </w:p>
    <w:p w:rsidR="00223920" w:rsidRPr="009F0E99" w:rsidRDefault="00223920" w:rsidP="00223920">
      <w:pPr>
        <w:spacing w:after="240"/>
        <w:jc w:val="both"/>
      </w:pPr>
      <w:r w:rsidRPr="009F0E99">
        <w:t>(2) Yerli üretim dalının soruşturma konusu üründe 2015 yılında 100 olan kurulu kapasitesi 2016 ve 2017 yıllarında sırasıyla 100 ve 122 olarak gerçekleşmiştir KKO endeksi 2015-2017 döneminde sırasıyla 100, 101 ve 95 olarak tespit edilmiştir</w:t>
      </w:r>
    </w:p>
    <w:p w:rsidR="00F24694" w:rsidRPr="009F0E99" w:rsidRDefault="00F24694" w:rsidP="00223920">
      <w:pPr>
        <w:spacing w:after="240"/>
        <w:jc w:val="both"/>
      </w:pPr>
    </w:p>
    <w:p w:rsidR="00223920" w:rsidRPr="009F0E99" w:rsidRDefault="00223920" w:rsidP="00223920">
      <w:pPr>
        <w:jc w:val="both"/>
        <w:rPr>
          <w:b/>
        </w:rPr>
      </w:pPr>
      <w:r w:rsidRPr="009F0E99">
        <w:rPr>
          <w:b/>
        </w:rPr>
        <w:lastRenderedPageBreak/>
        <w:t xml:space="preserve">b) Yurtiçi ve yurtdışı satışlar </w:t>
      </w:r>
    </w:p>
    <w:p w:rsidR="00223920" w:rsidRPr="009F0E99" w:rsidRDefault="00223920" w:rsidP="00223920">
      <w:pPr>
        <w:jc w:val="both"/>
      </w:pPr>
      <w:r w:rsidRPr="009F0E99">
        <w:t>(1) Yerli üretim dalının soruşturma konusu üründe 2015 yılında 100 olan yurt içi satış miktar endeksi, 2016 yılında 91, 2017 yılında ise 114 olarak gerçekleşmiştir.</w:t>
      </w:r>
    </w:p>
    <w:p w:rsidR="00223920" w:rsidRPr="009F0E99" w:rsidRDefault="00223920" w:rsidP="00223920">
      <w:pPr>
        <w:ind w:firstLine="567"/>
        <w:jc w:val="both"/>
        <w:rPr>
          <w:b/>
        </w:rPr>
      </w:pPr>
    </w:p>
    <w:p w:rsidR="00223920" w:rsidRPr="009F0E99" w:rsidRDefault="00223920" w:rsidP="00223920">
      <w:pPr>
        <w:spacing w:after="240"/>
        <w:jc w:val="both"/>
      </w:pPr>
      <w:r w:rsidRPr="009F0E99">
        <w:t xml:space="preserve">(2) Yerli üretim dalının soruşturma konusu üründe yurt dışı satışları ise miktar bazında 2015 yılı 100 olmak üzere 2016 yılında 267, 2017 yılında ise 207 olarak gerçekleşmiştir. </w:t>
      </w:r>
    </w:p>
    <w:p w:rsidR="00223920" w:rsidRPr="009F0E99" w:rsidRDefault="00223920" w:rsidP="00223920">
      <w:pPr>
        <w:jc w:val="both"/>
        <w:rPr>
          <w:b/>
          <w:bCs/>
          <w:noProof/>
        </w:rPr>
      </w:pPr>
      <w:r w:rsidRPr="009F0E99">
        <w:rPr>
          <w:b/>
        </w:rPr>
        <w:t>c)  Yurtiçi ve yurtdışı  fiyatlar ile yurtiçi fiyatları etkileyen unsurlar</w:t>
      </w:r>
    </w:p>
    <w:p w:rsidR="00223920" w:rsidRPr="009F0E99" w:rsidRDefault="00223920" w:rsidP="00223920">
      <w:pPr>
        <w:spacing w:after="240"/>
        <w:jc w:val="both"/>
      </w:pPr>
      <w:r w:rsidRPr="009F0E99">
        <w:t>(1) Aynı dönemde, 2015 yılında 100 olan yurtiçi satış birim değer endeksinin 2016 yılında 116 ve 2017 yılında 121 olarak gerçekleştiği görülmüştür.</w:t>
      </w:r>
    </w:p>
    <w:p w:rsidR="00223920" w:rsidRPr="009F0E99" w:rsidRDefault="00223920" w:rsidP="00223920">
      <w:pPr>
        <w:jc w:val="both"/>
      </w:pPr>
      <w:r w:rsidRPr="009F0E99">
        <w:t>(2) Makine ve otomotiv imalat sanayiindeki genel üretim ve satış eğilimleri, jeneratör yapımında girdi olarak kullanılan soruşturma konusu ürünün yurtiçi fiyatlarını etkilemektedir.</w:t>
      </w:r>
    </w:p>
    <w:p w:rsidR="00223920" w:rsidRPr="009F0E99" w:rsidRDefault="00223920" w:rsidP="00223920">
      <w:pPr>
        <w:jc w:val="both"/>
      </w:pPr>
    </w:p>
    <w:p w:rsidR="00223920" w:rsidRPr="009F0E99" w:rsidRDefault="00223920" w:rsidP="00223920">
      <w:pPr>
        <w:jc w:val="both"/>
      </w:pPr>
      <w:r w:rsidRPr="009F0E99">
        <w:t>(3) 2015 yılında 100 olan yurtdışı satış birim değer endeksi ise, 2016 yılında 133, 2017 yılında ise 162 olarak gerçekleşmiştir.</w:t>
      </w:r>
    </w:p>
    <w:p w:rsidR="00223920" w:rsidRPr="009F0E99" w:rsidRDefault="00223920" w:rsidP="00223920">
      <w:pPr>
        <w:jc w:val="both"/>
        <w:rPr>
          <w:b/>
        </w:rPr>
      </w:pPr>
    </w:p>
    <w:p w:rsidR="00223920" w:rsidRPr="009F0E99" w:rsidRDefault="00223920" w:rsidP="00223920">
      <w:pPr>
        <w:jc w:val="both"/>
        <w:rPr>
          <w:b/>
          <w:bCs/>
          <w:noProof/>
        </w:rPr>
      </w:pPr>
      <w:r w:rsidRPr="009F0E99">
        <w:rPr>
          <w:b/>
        </w:rPr>
        <w:t xml:space="preserve">ç) </w:t>
      </w:r>
      <w:r w:rsidRPr="009F0E99">
        <w:rPr>
          <w:b/>
          <w:bCs/>
        </w:rPr>
        <w:t>Maliyetler ve kârlılık</w:t>
      </w:r>
    </w:p>
    <w:p w:rsidR="00223920" w:rsidRPr="009F0E99" w:rsidRDefault="00223920" w:rsidP="00223920">
      <w:pPr>
        <w:spacing w:after="240"/>
        <w:jc w:val="both"/>
      </w:pPr>
      <w:r w:rsidRPr="009F0E99">
        <w:t xml:space="preserve"> (1) Yerli üretim dalının benzer üründe ortalama birim ticari maliyet endeksi 2015 yılı 100 olmak üzere 2016 yılında 114, 2017 yılında ise 110 olmuştur.</w:t>
      </w:r>
    </w:p>
    <w:p w:rsidR="00223920" w:rsidRPr="009F0E99" w:rsidRDefault="00223920" w:rsidP="00223920">
      <w:pPr>
        <w:spacing w:after="240"/>
        <w:jc w:val="both"/>
      </w:pPr>
      <w:r w:rsidRPr="009F0E99">
        <w:t xml:space="preserve"> (2) Yerli üretim dalının benzer üründe ticari maliyetleri ve ortalama yurt içi satış fiyatları dikkate alınarak hesaplanan yurtiçi ürün birim kârlılık endeksi 2015 yılı 100 olmak üzere 2016 yılında 131, 2017 yılında ise 191 düzeyinde gerçekleşmiştir.</w:t>
      </w:r>
    </w:p>
    <w:p w:rsidR="00223920" w:rsidRPr="009F0E99" w:rsidRDefault="00223920" w:rsidP="00223920">
      <w:pPr>
        <w:spacing w:after="240"/>
        <w:jc w:val="both"/>
      </w:pPr>
      <w:r w:rsidRPr="009F0E99">
        <w:t xml:space="preserve"> (3) Yerli üretim dalının benzer üründe yurtdışı ürün birim kârlılık endeksi 2015 yılı -100 olmak üzere 2016 yılında -56, 2017 yılında ise 48 düzeyinde gerçekleşmiştir.</w:t>
      </w:r>
    </w:p>
    <w:p w:rsidR="00223920" w:rsidRPr="009F0E99" w:rsidRDefault="00223920" w:rsidP="00223920">
      <w:pPr>
        <w:spacing w:after="240"/>
        <w:jc w:val="both"/>
      </w:pPr>
      <w:r w:rsidRPr="009F0E99">
        <w:t xml:space="preserve"> (4) Bu çerçevede, yerli üretim dalının soruşturma konusu üründe toplam birim kârlılığı 2015 yılı 100 olmak üzere 2016 ve 2017 yılında sırasıyla 115 ve 210 olarak gerçekleşmiştir.</w:t>
      </w:r>
    </w:p>
    <w:p w:rsidR="00223920" w:rsidRPr="009F0E99" w:rsidRDefault="00223920" w:rsidP="00223920">
      <w:pPr>
        <w:jc w:val="both"/>
        <w:rPr>
          <w:b/>
          <w:bCs/>
          <w:noProof/>
        </w:rPr>
      </w:pPr>
      <w:r w:rsidRPr="009F0E99">
        <w:rPr>
          <w:b/>
          <w:bCs/>
        </w:rPr>
        <w:t>d)  Pazar payı</w:t>
      </w:r>
    </w:p>
    <w:p w:rsidR="00223920" w:rsidRPr="009F0E99" w:rsidRDefault="00223920" w:rsidP="00223920">
      <w:pPr>
        <w:jc w:val="both"/>
        <w:rPr>
          <w:b/>
          <w:bCs/>
          <w:noProof/>
        </w:rPr>
      </w:pPr>
      <w:r w:rsidRPr="009F0E99">
        <w:t>(1) Önlem konusu üründe yerli üretim dalının pazar payı endeksi 2015-2017 döneminde sırasıyla 100, 94 ve 113 düzeyindedir</w:t>
      </w:r>
    </w:p>
    <w:p w:rsidR="00223920" w:rsidRPr="009F0E99" w:rsidRDefault="00223920" w:rsidP="00223920">
      <w:pPr>
        <w:ind w:firstLine="357"/>
        <w:jc w:val="both"/>
        <w:rPr>
          <w:b/>
          <w:bCs/>
          <w:noProof/>
        </w:rPr>
      </w:pPr>
    </w:p>
    <w:p w:rsidR="00223920" w:rsidRPr="009F0E99" w:rsidRDefault="00223920" w:rsidP="00223920">
      <w:pPr>
        <w:jc w:val="both"/>
        <w:rPr>
          <w:b/>
        </w:rPr>
      </w:pPr>
      <w:r w:rsidRPr="009F0E99">
        <w:rPr>
          <w:b/>
        </w:rPr>
        <w:t>e) Verimlilik</w:t>
      </w:r>
    </w:p>
    <w:p w:rsidR="00223920" w:rsidRPr="009F0E99" w:rsidRDefault="00223920" w:rsidP="00223920">
      <w:pPr>
        <w:jc w:val="both"/>
        <w:rPr>
          <w:b/>
        </w:rPr>
      </w:pPr>
      <w:r w:rsidRPr="009F0E99">
        <w:t>(1) Yerli üretim dalının ilgili ürün üretiminde işçi başına düşen üretim rakamını yansıtan verimlilik endeksi 2015-2017 döneminde sırasıyla 100, 101 ve 111 olmuştur.</w:t>
      </w:r>
    </w:p>
    <w:p w:rsidR="00223920" w:rsidRPr="009F0E99" w:rsidRDefault="00223920" w:rsidP="00223920">
      <w:pPr>
        <w:ind w:firstLine="567"/>
        <w:jc w:val="both"/>
      </w:pPr>
    </w:p>
    <w:p w:rsidR="00223920" w:rsidRPr="009F0E99" w:rsidRDefault="00223920" w:rsidP="00223920">
      <w:pPr>
        <w:jc w:val="both"/>
        <w:rPr>
          <w:b/>
          <w:bCs/>
        </w:rPr>
      </w:pPr>
      <w:r w:rsidRPr="009F0E99">
        <w:rPr>
          <w:b/>
          <w:bCs/>
        </w:rPr>
        <w:t>f) Nakit akışı</w:t>
      </w:r>
    </w:p>
    <w:p w:rsidR="00223920" w:rsidRPr="009F0E99" w:rsidRDefault="00223920" w:rsidP="00223920">
      <w:pPr>
        <w:jc w:val="both"/>
        <w:rPr>
          <w:bCs/>
        </w:rPr>
      </w:pPr>
      <w:r w:rsidRPr="009F0E99">
        <w:rPr>
          <w:bCs/>
        </w:rPr>
        <w:t>(1)</w:t>
      </w:r>
      <w:r w:rsidRPr="009F0E99">
        <w:rPr>
          <w:b/>
          <w:bCs/>
        </w:rPr>
        <w:t xml:space="preserve"> </w:t>
      </w:r>
      <w:r w:rsidRPr="009F0E99">
        <w:rPr>
          <w:bCs/>
        </w:rPr>
        <w:t>Yerli üretim dalının önlem konusu ürün satışlarından elde ettiği nakit akışı endeksi 2015 yılı 100 olarak alındığında 2016 yılında 117, 2017 yılında ise 236 olarak tespit edilmiştir.</w:t>
      </w:r>
    </w:p>
    <w:p w:rsidR="007C502B" w:rsidRDefault="007C502B" w:rsidP="00223920">
      <w:pPr>
        <w:jc w:val="both"/>
        <w:rPr>
          <w:b/>
        </w:rPr>
      </w:pPr>
    </w:p>
    <w:p w:rsidR="00223920" w:rsidRPr="009F0E99" w:rsidRDefault="00223920" w:rsidP="00223920">
      <w:pPr>
        <w:jc w:val="both"/>
        <w:rPr>
          <w:b/>
        </w:rPr>
      </w:pPr>
      <w:r w:rsidRPr="009F0E99">
        <w:rPr>
          <w:b/>
        </w:rPr>
        <w:t>g) Stoklar</w:t>
      </w:r>
    </w:p>
    <w:p w:rsidR="00223920" w:rsidRPr="009F0E99" w:rsidRDefault="00223920" w:rsidP="00223920">
      <w:pPr>
        <w:jc w:val="both"/>
      </w:pPr>
      <w:r w:rsidRPr="009F0E99">
        <w:t>(1) Yerli üretim dalının ilgili üründe miktar bazında stok verileri incelendiğinde, 2015 yılında 100, 2016 yılında 99 olan stok endeksinin, 2017 yılında 107 seviyesinde gerçekleştiği görülmektedir.</w:t>
      </w:r>
    </w:p>
    <w:p w:rsidR="00223920" w:rsidRPr="009F0E99" w:rsidRDefault="00223920" w:rsidP="00223920">
      <w:pPr>
        <w:jc w:val="both"/>
        <w:rPr>
          <w:b/>
        </w:rPr>
      </w:pPr>
    </w:p>
    <w:p w:rsidR="00223920" w:rsidRPr="009F0E99" w:rsidRDefault="00223920" w:rsidP="00223920">
      <w:pPr>
        <w:spacing w:after="240"/>
        <w:jc w:val="both"/>
      </w:pPr>
      <w:r w:rsidRPr="009F0E99">
        <w:t>(2) 2015-2017 döneminde stok çevrim hızları ise sırasıyla 100, 102 ve 112 olarak gerçekleşmiştir.</w:t>
      </w:r>
    </w:p>
    <w:p w:rsidR="00F24694" w:rsidRPr="009F0E99" w:rsidRDefault="00F24694" w:rsidP="00223920">
      <w:pPr>
        <w:spacing w:after="240"/>
        <w:jc w:val="both"/>
      </w:pPr>
    </w:p>
    <w:p w:rsidR="00223920" w:rsidRPr="009F0E99" w:rsidRDefault="00223920" w:rsidP="00223920">
      <w:pPr>
        <w:jc w:val="both"/>
        <w:rPr>
          <w:b/>
        </w:rPr>
      </w:pPr>
      <w:r w:rsidRPr="009F0E99">
        <w:rPr>
          <w:b/>
        </w:rPr>
        <w:lastRenderedPageBreak/>
        <w:t>ğ) İstihdam</w:t>
      </w:r>
    </w:p>
    <w:p w:rsidR="00223920" w:rsidRPr="009F0E99" w:rsidRDefault="00223920" w:rsidP="00223920">
      <w:pPr>
        <w:jc w:val="both"/>
      </w:pPr>
      <w:r w:rsidRPr="009F0E99">
        <w:t>(1) Yerli üretim dalının d</w:t>
      </w:r>
      <w:r w:rsidR="001D001B" w:rsidRPr="009F0E99">
        <w:t>oğrudan işçi sayısı endeksi 2015-2016</w:t>
      </w:r>
      <w:r w:rsidRPr="009F0E99">
        <w:t xml:space="preserve">  yılların</w:t>
      </w:r>
      <w:r w:rsidR="001D001B" w:rsidRPr="009F0E99">
        <w:t>da 100 ve 2017</w:t>
      </w:r>
      <w:r w:rsidRPr="009F0E99">
        <w:t xml:space="preserve"> yılında 105 olarak tespit edilmiştir.</w:t>
      </w:r>
    </w:p>
    <w:p w:rsidR="00223920" w:rsidRPr="009F0E99" w:rsidRDefault="00223920" w:rsidP="00223920">
      <w:pPr>
        <w:ind w:firstLine="567"/>
        <w:jc w:val="both"/>
      </w:pPr>
    </w:p>
    <w:p w:rsidR="00223920" w:rsidRPr="009F0E99" w:rsidRDefault="00223920" w:rsidP="00223920">
      <w:pPr>
        <w:jc w:val="both"/>
        <w:rPr>
          <w:b/>
        </w:rPr>
      </w:pPr>
      <w:r w:rsidRPr="009F0E99">
        <w:rPr>
          <w:b/>
        </w:rPr>
        <w:t>h) Ücretler</w:t>
      </w:r>
    </w:p>
    <w:p w:rsidR="00223920" w:rsidRPr="009F0E99" w:rsidRDefault="00223920" w:rsidP="00223920">
      <w:pPr>
        <w:jc w:val="both"/>
      </w:pPr>
      <w:r w:rsidRPr="009F0E99">
        <w:t xml:space="preserve">(1) Yerli üretim dalının aylık brüt işçi ücret endeksi 2015 yılı 100 olmak üzere 2016 yılında 104, 2017 yılında ise 78 düzeyinde gerçekleşmiştir. </w:t>
      </w:r>
    </w:p>
    <w:p w:rsidR="00223920" w:rsidRPr="009F0E99" w:rsidRDefault="00223920" w:rsidP="00223920">
      <w:pPr>
        <w:jc w:val="both"/>
      </w:pPr>
    </w:p>
    <w:p w:rsidR="00223920" w:rsidRPr="009F0E99" w:rsidRDefault="00223920" w:rsidP="00223920">
      <w:pPr>
        <w:jc w:val="both"/>
        <w:rPr>
          <w:b/>
          <w:bCs/>
        </w:rPr>
      </w:pPr>
      <w:r w:rsidRPr="009F0E99">
        <w:rPr>
          <w:b/>
          <w:bCs/>
        </w:rPr>
        <w:t>ı) Büyüme</w:t>
      </w:r>
    </w:p>
    <w:p w:rsidR="00223920" w:rsidRPr="009F0E99" w:rsidRDefault="00223920" w:rsidP="00223920">
      <w:pPr>
        <w:jc w:val="both"/>
        <w:rPr>
          <w:b/>
          <w:bCs/>
        </w:rPr>
      </w:pPr>
      <w:r w:rsidRPr="009F0E99">
        <w:t>(1) Yerli üretim dalının bütün faaliyetleri ile ilgili olarak, bilançosunda yer alan aktif büyüklüğü reel olarak 2015-2017 döneminde sırasıyla 100, 101 ve 84 olarak gerçekleşmiştir.</w:t>
      </w:r>
    </w:p>
    <w:p w:rsidR="00223920" w:rsidRPr="009F0E99" w:rsidRDefault="00223920" w:rsidP="00223920">
      <w:pPr>
        <w:ind w:firstLine="357"/>
        <w:jc w:val="both"/>
      </w:pPr>
    </w:p>
    <w:p w:rsidR="00223920" w:rsidRPr="009F0E99" w:rsidRDefault="00223920" w:rsidP="00223920">
      <w:pPr>
        <w:jc w:val="both"/>
        <w:rPr>
          <w:b/>
        </w:rPr>
      </w:pPr>
      <w:r w:rsidRPr="009F0E99">
        <w:rPr>
          <w:b/>
        </w:rPr>
        <w:t>i) Sermaye artırma yeteneği</w:t>
      </w:r>
    </w:p>
    <w:p w:rsidR="00223920" w:rsidRPr="009F0E99" w:rsidRDefault="00223920" w:rsidP="00223920">
      <w:pPr>
        <w:jc w:val="both"/>
      </w:pPr>
      <w:r w:rsidRPr="009F0E99">
        <w:t>(1) Sermaye arttırma yeteneğini görmek için, özsermayenin gelişimi incelenmelidir. Buna göre, yerli üretim dalının bütün faaliyetleri ile ilgili olarak, 2015 yılında 100 olan öz sermaye büyüklük endeksi takip eden yıllarda sırasıyla 117 ve 123 olarak gerçekleşmiştir.</w:t>
      </w:r>
    </w:p>
    <w:p w:rsidR="00223920" w:rsidRPr="009F0E99" w:rsidRDefault="00223920" w:rsidP="00223920">
      <w:pPr>
        <w:jc w:val="both"/>
      </w:pPr>
    </w:p>
    <w:p w:rsidR="00223920" w:rsidRPr="009F0E99" w:rsidRDefault="00223920" w:rsidP="00223920">
      <w:pPr>
        <w:jc w:val="both"/>
        <w:rPr>
          <w:b/>
          <w:lang w:val="x-none"/>
        </w:rPr>
      </w:pPr>
      <w:r w:rsidRPr="009F0E99">
        <w:rPr>
          <w:b/>
        </w:rPr>
        <w:t>j</w:t>
      </w:r>
      <w:r w:rsidRPr="009F0E99">
        <w:rPr>
          <w:b/>
          <w:lang w:val="x-none"/>
        </w:rPr>
        <w:t>) Yatırımları arttırma yeteneği</w:t>
      </w:r>
    </w:p>
    <w:p w:rsidR="00223920" w:rsidRPr="009F0E99" w:rsidRDefault="00223920" w:rsidP="00223920">
      <w:pPr>
        <w:jc w:val="both"/>
      </w:pPr>
      <w:r w:rsidRPr="009F0E99">
        <w:t xml:space="preserve">(1)Yerli üretim dalının bütün faaliyetlerine ilişkin olarak 2015-2017 döneminde gerçekleşen tevsi yatırım endeksi 2015 yılı 100 olarak kabul edildiğinde; takip eden yıllarda sırasıyla 117 ve 146 olarak gerçekleşmiştir. </w:t>
      </w:r>
    </w:p>
    <w:p w:rsidR="00223920" w:rsidRPr="009F0E99" w:rsidRDefault="00223920" w:rsidP="00223920">
      <w:pPr>
        <w:jc w:val="both"/>
      </w:pPr>
    </w:p>
    <w:p w:rsidR="00223920" w:rsidRPr="009F0E99" w:rsidRDefault="00F62741" w:rsidP="00223920">
      <w:pPr>
        <w:jc w:val="both"/>
      </w:pPr>
      <w:r w:rsidRPr="009F0E99">
        <w:t xml:space="preserve"> (2</w:t>
      </w:r>
      <w:r w:rsidR="00223920" w:rsidRPr="009F0E99">
        <w:t xml:space="preserve">)Yerli üretim dalının bütün faaliyetlerine ilişkin olarak 2015-2017 döneminde gerçekleşen yenileme yatırım endeksi 2015 yılı 100 olarak kabul edildiğinde; takip eden yıllarda sırasıyla 23 ve 255 olarak gerçekleşmiştir. </w:t>
      </w:r>
    </w:p>
    <w:p w:rsidR="00223920" w:rsidRPr="009F0E99" w:rsidRDefault="00223920" w:rsidP="00223920">
      <w:pPr>
        <w:jc w:val="both"/>
      </w:pPr>
    </w:p>
    <w:p w:rsidR="00223920" w:rsidRPr="009F0E99" w:rsidRDefault="00223920" w:rsidP="00223920">
      <w:pPr>
        <w:jc w:val="both"/>
        <w:rPr>
          <w:b/>
        </w:rPr>
      </w:pPr>
      <w:r w:rsidRPr="009F0E99">
        <w:rPr>
          <w:b/>
        </w:rPr>
        <w:t>k)  Yatırımların geri dönüşü</w:t>
      </w:r>
    </w:p>
    <w:p w:rsidR="00223920" w:rsidRPr="009F0E99" w:rsidRDefault="00F62741" w:rsidP="00223920">
      <w:pPr>
        <w:jc w:val="both"/>
        <w:rPr>
          <w:b/>
        </w:rPr>
      </w:pPr>
      <w:r w:rsidRPr="009F0E99">
        <w:t>(1)</w:t>
      </w:r>
      <w:r w:rsidR="00223920" w:rsidRPr="009F0E99">
        <w:t>Yatırımların geri dönüşünü analiz etmek amacıyla yerli üretim dalının yatırdığı özsermayeye karşılık elde ettiği karı (kar/özsermaye) incelenmiştir. Buna göre, yerli üretim dalının bütün faaliyetleri ile ilgili olarak, 2015 yılı itibariyle 100 olan yatırım hasılatı oranı endeksi 2016 yılında 100, 2017 yılında ise 167 olarak gerçekleşmiştir.</w:t>
      </w:r>
    </w:p>
    <w:p w:rsidR="00223920" w:rsidRPr="009F0E99" w:rsidRDefault="00223920" w:rsidP="00223920">
      <w:pPr>
        <w:jc w:val="both"/>
      </w:pPr>
    </w:p>
    <w:p w:rsidR="00223920" w:rsidRPr="009F0E99" w:rsidRDefault="00223920" w:rsidP="00223920">
      <w:pPr>
        <w:jc w:val="both"/>
        <w:rPr>
          <w:b/>
        </w:rPr>
      </w:pPr>
      <w:r w:rsidRPr="009F0E99">
        <w:rPr>
          <w:b/>
        </w:rPr>
        <w:t xml:space="preserve">l) Önceki soruşturmalarda tespit edilen damping marjının büyüklüğü </w:t>
      </w:r>
    </w:p>
    <w:p w:rsidR="00223920" w:rsidRPr="009F0E99" w:rsidRDefault="00223920" w:rsidP="00223920">
      <w:pPr>
        <w:jc w:val="both"/>
        <w:rPr>
          <w:b/>
        </w:rPr>
      </w:pPr>
      <w:r w:rsidRPr="009F0E99">
        <w:rPr>
          <w:bCs/>
          <w:szCs w:val="20"/>
          <w:lang w:eastAsia="en-US"/>
        </w:rPr>
        <w:t>(1) ÇHC’de yerleşik üretici/ihracatçılar için tespit edilen damping marjı  %214,5’tir.</w:t>
      </w:r>
    </w:p>
    <w:p w:rsidR="00223920" w:rsidRPr="009F0E99" w:rsidRDefault="00223920" w:rsidP="00223920">
      <w:pPr>
        <w:jc w:val="both"/>
        <w:rPr>
          <w:bCs/>
          <w:szCs w:val="20"/>
          <w:lang w:eastAsia="en-US"/>
        </w:rPr>
      </w:pPr>
    </w:p>
    <w:p w:rsidR="00223920" w:rsidRPr="009F0E99" w:rsidRDefault="00223920" w:rsidP="00223920">
      <w:pPr>
        <w:jc w:val="both"/>
        <w:rPr>
          <w:bCs/>
          <w:szCs w:val="20"/>
          <w:lang w:eastAsia="en-US"/>
        </w:rPr>
      </w:pPr>
      <w:r w:rsidRPr="009F0E99">
        <w:rPr>
          <w:bCs/>
          <w:szCs w:val="20"/>
          <w:lang w:eastAsia="en-US"/>
        </w:rPr>
        <w:t>(2) Hindistan’da yerleşik üretici/ihracatçılar için tespit edilen damping marjı  %158,6’dır.</w:t>
      </w:r>
    </w:p>
    <w:p w:rsidR="00223920" w:rsidRPr="009F0E99" w:rsidRDefault="00223920" w:rsidP="00223920">
      <w:pPr>
        <w:jc w:val="both"/>
        <w:rPr>
          <w:bCs/>
          <w:szCs w:val="20"/>
          <w:lang w:eastAsia="en-US"/>
        </w:rPr>
      </w:pPr>
    </w:p>
    <w:p w:rsidR="00223920" w:rsidRPr="009F0E99" w:rsidRDefault="00223920" w:rsidP="00223920">
      <w:pPr>
        <w:jc w:val="both"/>
        <w:rPr>
          <w:bCs/>
          <w:szCs w:val="20"/>
          <w:lang w:eastAsia="en-US"/>
        </w:rPr>
      </w:pPr>
      <w:r w:rsidRPr="009F0E99">
        <w:rPr>
          <w:bCs/>
          <w:szCs w:val="20"/>
          <w:lang w:eastAsia="en-US"/>
        </w:rPr>
        <w:t>(3) Vietnam’da üretici-ihracatçı firmalar için tespit edilen damping marjı %96,5’tir.</w:t>
      </w:r>
    </w:p>
    <w:p w:rsidR="00223920" w:rsidRPr="009F0E99" w:rsidRDefault="00223920" w:rsidP="00223920">
      <w:pPr>
        <w:jc w:val="both"/>
        <w:rPr>
          <w:b/>
        </w:rPr>
      </w:pPr>
    </w:p>
    <w:p w:rsidR="00223920" w:rsidRPr="009F0E99" w:rsidRDefault="00223920" w:rsidP="00223920">
      <w:pPr>
        <w:jc w:val="both"/>
        <w:rPr>
          <w:bCs/>
          <w:szCs w:val="20"/>
          <w:lang w:eastAsia="en-US"/>
        </w:rPr>
      </w:pPr>
      <w:r w:rsidRPr="009F0E99">
        <w:t>(4)</w:t>
      </w:r>
      <w:r w:rsidRPr="009F0E99">
        <w:rPr>
          <w:sz w:val="10"/>
          <w:szCs w:val="10"/>
        </w:rPr>
        <w:t xml:space="preserve"> </w:t>
      </w:r>
      <w:r w:rsidRPr="009F0E99">
        <w:t xml:space="preserve">Önlemin yürürlükte olduğu haliyle soruşturma konusu ülkelerde yerleşik üretici/ihracatçılar firmalara  yönelik olarak daha önce tespit edilen damping marjlarının </w:t>
      </w:r>
      <w:r w:rsidR="00933404">
        <w:rPr>
          <w:bCs/>
          <w:szCs w:val="20"/>
          <w:lang w:eastAsia="en-US"/>
        </w:rPr>
        <w:t xml:space="preserve"> </w:t>
      </w:r>
      <w:bookmarkStart w:id="0" w:name="_GoBack"/>
      <w:bookmarkEnd w:id="0"/>
      <w:r w:rsidRPr="009F0E99">
        <w:rPr>
          <w:bCs/>
          <w:szCs w:val="20"/>
          <w:lang w:eastAsia="en-US"/>
        </w:rPr>
        <w:t>önemli düzeylerde olduğu görülmektedir.</w:t>
      </w:r>
    </w:p>
    <w:p w:rsidR="009573E9" w:rsidRPr="009F0E99" w:rsidRDefault="009573E9" w:rsidP="009573E9">
      <w:pPr>
        <w:jc w:val="both"/>
      </w:pPr>
    </w:p>
    <w:p w:rsidR="008E4B08" w:rsidRPr="009F0E99" w:rsidRDefault="009A1355" w:rsidP="0023793B">
      <w:pPr>
        <w:rPr>
          <w:b/>
        </w:rPr>
      </w:pPr>
      <w:r w:rsidRPr="009F0E99">
        <w:rPr>
          <w:b/>
        </w:rPr>
        <w:t>4</w:t>
      </w:r>
      <w:r w:rsidR="008E4B08" w:rsidRPr="009F0E99">
        <w:rPr>
          <w:b/>
        </w:rPr>
        <w:t xml:space="preserve">.8 </w:t>
      </w:r>
      <w:r w:rsidR="00164FF4" w:rsidRPr="009F0E99">
        <w:rPr>
          <w:b/>
        </w:rPr>
        <w:t>Yerli üretim dalının ekonomik göstergelerinin değerlendirilmesi</w:t>
      </w:r>
    </w:p>
    <w:p w:rsidR="00F24B59" w:rsidRPr="009F0E99" w:rsidRDefault="00064D77" w:rsidP="00F24B59">
      <w:pPr>
        <w:jc w:val="both"/>
      </w:pPr>
      <w:r w:rsidRPr="009F0E99">
        <w:rPr>
          <w:bCs/>
          <w:noProof/>
        </w:rPr>
        <w:t>(</w:t>
      </w:r>
      <w:r w:rsidRPr="009F0E99">
        <w:t xml:space="preserve">1) </w:t>
      </w:r>
      <w:r w:rsidR="00F24B59" w:rsidRPr="009F0E99">
        <w:t>Yerli üretim dalının ekonomik göstergeleri bir bütün olarak değerlendirildiğinde; gözden geçirme döneminde miktar bazında üretim, yurtiçi satışlar, yurtiçi satışlardan ürün karı topl</w:t>
      </w:r>
      <w:r w:rsidR="00F62741" w:rsidRPr="009F0E99">
        <w:t xml:space="preserve">am karlılık verileri, firma tevsi yatırımları ile firma özsermayesinin </w:t>
      </w:r>
      <w:r w:rsidR="00F24B59" w:rsidRPr="009F0E99">
        <w:t xml:space="preserve"> olumlu bir seyir izlediği, </w:t>
      </w:r>
      <w:r w:rsidR="00F62741" w:rsidRPr="009F0E99">
        <w:t xml:space="preserve">firma yenileme yatırımlarının dalgalı bir seyir izlediği,  </w:t>
      </w:r>
      <w:r w:rsidR="00F24B59" w:rsidRPr="009F0E99">
        <w:t>2015-2016 yılında aynı olan kapasitenin 2017 yılında arttığı ancak üretim artışının daha az olması nedeniyle kapasite kullanım oranının anılan dönemde azaldığı, dönem sonu stoklarının arttığı ve</w:t>
      </w:r>
      <w:r w:rsidR="00F62741" w:rsidRPr="009F0E99">
        <w:t xml:space="preserve"> firma aktif toplamının azaldığı</w:t>
      </w:r>
      <w:r w:rsidR="00F24B59" w:rsidRPr="009F0E99">
        <w:t xml:space="preserve"> tespit edilmiştir.</w:t>
      </w:r>
    </w:p>
    <w:p w:rsidR="00414633" w:rsidRPr="009F0E99" w:rsidRDefault="00414633" w:rsidP="00F24B59">
      <w:pPr>
        <w:jc w:val="both"/>
      </w:pPr>
    </w:p>
    <w:p w:rsidR="00414633" w:rsidRPr="009F0E99" w:rsidRDefault="00414633" w:rsidP="00F24B59">
      <w:pPr>
        <w:jc w:val="both"/>
      </w:pPr>
    </w:p>
    <w:p w:rsidR="00D17BE4" w:rsidRPr="009F0E99" w:rsidRDefault="00D17BE4" w:rsidP="00DF4E77">
      <w:pPr>
        <w:jc w:val="both"/>
      </w:pPr>
    </w:p>
    <w:p w:rsidR="00164FF4" w:rsidRPr="009F0E99" w:rsidRDefault="00DF4E77" w:rsidP="008E4B08">
      <w:pPr>
        <w:tabs>
          <w:tab w:val="left" w:pos="709"/>
        </w:tabs>
        <w:rPr>
          <w:b/>
          <w:bCs/>
          <w:caps/>
        </w:rPr>
      </w:pPr>
      <w:r w:rsidRPr="009F0E99">
        <w:rPr>
          <w:b/>
          <w:bCs/>
          <w:caps/>
        </w:rPr>
        <w:t>5</w:t>
      </w:r>
      <w:r w:rsidR="008E4B08" w:rsidRPr="009F0E99">
        <w:rPr>
          <w:b/>
          <w:bCs/>
          <w:caps/>
        </w:rPr>
        <w:t xml:space="preserve">. </w:t>
      </w:r>
      <w:r w:rsidR="00164FF4" w:rsidRPr="009F0E99">
        <w:rPr>
          <w:b/>
          <w:bCs/>
          <w:caps/>
        </w:rPr>
        <w:t>Dampingin ve Zararın Devamı veya Yeniden Meydana Gelmesi İhtimalinin Değerlendirilmesi</w:t>
      </w:r>
    </w:p>
    <w:p w:rsidR="00164FF4" w:rsidRPr="009F0E99" w:rsidRDefault="00164FF4" w:rsidP="00164FF4">
      <w:pPr>
        <w:tabs>
          <w:tab w:val="left" w:pos="709"/>
        </w:tabs>
        <w:ind w:firstLine="567"/>
        <w:rPr>
          <w:b/>
          <w:bCs/>
        </w:rPr>
      </w:pPr>
    </w:p>
    <w:p w:rsidR="00164FF4" w:rsidRPr="009F0E99" w:rsidRDefault="00DF4E77" w:rsidP="008E4B08">
      <w:pPr>
        <w:tabs>
          <w:tab w:val="left" w:pos="709"/>
        </w:tabs>
        <w:rPr>
          <w:b/>
          <w:bCs/>
        </w:rPr>
      </w:pPr>
      <w:r w:rsidRPr="009F0E99">
        <w:rPr>
          <w:b/>
          <w:bCs/>
        </w:rPr>
        <w:t>5</w:t>
      </w:r>
      <w:r w:rsidR="008E4B08" w:rsidRPr="009F0E99">
        <w:rPr>
          <w:b/>
          <w:bCs/>
        </w:rPr>
        <w:t xml:space="preserve">.1 </w:t>
      </w:r>
      <w:r w:rsidR="00164FF4" w:rsidRPr="009F0E99">
        <w:rPr>
          <w:b/>
          <w:bCs/>
        </w:rPr>
        <w:t>Genel açıklamalar</w:t>
      </w:r>
    </w:p>
    <w:p w:rsidR="00602476" w:rsidRPr="009F0E99" w:rsidRDefault="00164FF4" w:rsidP="00602476">
      <w:pPr>
        <w:pStyle w:val="GvdeMetniGirintisi3"/>
        <w:ind w:left="0" w:firstLine="0"/>
        <w:rPr>
          <w:bCs/>
        </w:rPr>
      </w:pPr>
      <w:r w:rsidRPr="009F0E99">
        <w:t>(1)</w:t>
      </w:r>
      <w:r w:rsidRPr="009F0E99">
        <w:rPr>
          <w:b/>
          <w:bCs/>
        </w:rPr>
        <w:t xml:space="preserve"> </w:t>
      </w:r>
      <w:r w:rsidR="007B1ADE" w:rsidRPr="009F0E99">
        <w:t>Yönetmelik’in</w:t>
      </w:r>
      <w:r w:rsidR="00BC461F" w:rsidRPr="009F0E99">
        <w:rPr>
          <w:bCs/>
        </w:rPr>
        <w:t xml:space="preserve"> 35 inci maddesi hükümleri gereğince, önlemin yürürlükten kalkması halinde dampingin ve zararın devam etmesinin veya yeniden meydana gelmesinin muhtemel olup olmadığı değerlendirilmiştir.</w:t>
      </w:r>
      <w:r w:rsidR="00BC461F" w:rsidRPr="009F0E99">
        <w:t xml:space="preserve"> </w:t>
      </w:r>
      <w:r w:rsidR="00BC461F" w:rsidRPr="009F0E99">
        <w:rPr>
          <w:bCs/>
        </w:rPr>
        <w:t>Bu çerçevede, önleme tabi ülke</w:t>
      </w:r>
      <w:r w:rsidR="00A84324" w:rsidRPr="009F0E99">
        <w:rPr>
          <w:bCs/>
        </w:rPr>
        <w:t>ler</w:t>
      </w:r>
      <w:r w:rsidR="00BC461F" w:rsidRPr="009F0E99">
        <w:rPr>
          <w:bCs/>
        </w:rPr>
        <w:t xml:space="preserve">deki kapasite ve ihracat potansiyeli ile talebi etkileyen unsurlar incelenmiştir. </w:t>
      </w:r>
      <w:r w:rsidR="00BC461F" w:rsidRPr="009F0E99">
        <w:t xml:space="preserve">Önleme tabi </w:t>
      </w:r>
      <w:r w:rsidR="00602476" w:rsidRPr="009F0E99">
        <w:t>ülkelerin ihracat kabiliyeti, Uluslararası Ticaret Merkezi (International Trade Center - ITC) verileri</w:t>
      </w:r>
      <w:r w:rsidR="000A7B8F" w:rsidRPr="009F0E99">
        <w:rPr>
          <w:bCs/>
        </w:rPr>
        <w:t>nden</w:t>
      </w:r>
      <w:r w:rsidR="00602476" w:rsidRPr="009F0E99">
        <w:rPr>
          <w:bCs/>
        </w:rPr>
        <w:t xml:space="preserve"> faydalanılarak incelenmiştir.</w:t>
      </w:r>
    </w:p>
    <w:p w:rsidR="00D658B0" w:rsidRPr="009F0E99" w:rsidRDefault="00D658B0" w:rsidP="00BC461F">
      <w:pPr>
        <w:pStyle w:val="GvdeMetniGirintisi3"/>
        <w:ind w:left="0" w:firstLine="0"/>
        <w:rPr>
          <w:b/>
        </w:rPr>
      </w:pPr>
    </w:p>
    <w:p w:rsidR="009D662D" w:rsidRPr="009F0E99" w:rsidRDefault="00DF4E77" w:rsidP="00BC461F">
      <w:pPr>
        <w:pStyle w:val="GvdeMetniGirintisi3"/>
        <w:ind w:left="0" w:firstLine="0"/>
        <w:rPr>
          <w:b/>
        </w:rPr>
      </w:pPr>
      <w:r w:rsidRPr="009F0E99">
        <w:rPr>
          <w:b/>
        </w:rPr>
        <w:t>5</w:t>
      </w:r>
      <w:r w:rsidR="009D662D" w:rsidRPr="009F0E99">
        <w:rPr>
          <w:b/>
        </w:rPr>
        <w:t>.2 Damping</w:t>
      </w:r>
      <w:r w:rsidR="00A97583" w:rsidRPr="009F0E99">
        <w:rPr>
          <w:b/>
        </w:rPr>
        <w:t>in</w:t>
      </w:r>
      <w:r w:rsidR="009D662D" w:rsidRPr="009F0E99">
        <w:rPr>
          <w:b/>
        </w:rPr>
        <w:t xml:space="preserve"> devamına veya yeniden meydana </w:t>
      </w:r>
      <w:r w:rsidR="00B63F74" w:rsidRPr="009F0E99">
        <w:rPr>
          <w:b/>
        </w:rPr>
        <w:t>gelme</w:t>
      </w:r>
      <w:r w:rsidR="009D662D" w:rsidRPr="009F0E99">
        <w:rPr>
          <w:b/>
        </w:rPr>
        <w:t xml:space="preserve"> ihtimaline ilişkin belirlemeler</w:t>
      </w:r>
    </w:p>
    <w:p w:rsidR="009D662D" w:rsidRPr="009F0E99" w:rsidRDefault="009D662D" w:rsidP="009D662D">
      <w:pPr>
        <w:jc w:val="both"/>
      </w:pPr>
      <w:r w:rsidRPr="009F0E99">
        <w:t xml:space="preserve">(1) Bu raporun üçüncü bölümündeki değerlendirme çerçevesinde mevcut önlemin yürürlükten kaldırılması halinde dampinge konu olan soruşturma konusu ithalatın </w:t>
      </w:r>
      <w:r w:rsidR="00006960" w:rsidRPr="009F0E99">
        <w:t>yeniden ortaya çıkmasının muhtemel olduğu</w:t>
      </w:r>
      <w:r w:rsidR="00805A07" w:rsidRPr="009F0E99">
        <w:t>na kanaat getirilmiştir.</w:t>
      </w:r>
    </w:p>
    <w:p w:rsidR="009D662D" w:rsidRPr="009F0E99" w:rsidRDefault="009D662D" w:rsidP="009D662D">
      <w:pPr>
        <w:ind w:firstLine="708"/>
        <w:jc w:val="both"/>
      </w:pPr>
    </w:p>
    <w:p w:rsidR="000A7B8F" w:rsidRPr="009F0E99" w:rsidRDefault="00DA4039" w:rsidP="00DA4039">
      <w:pPr>
        <w:jc w:val="both"/>
      </w:pPr>
      <w:r w:rsidRPr="009F0E99">
        <w:t xml:space="preserve">(2) </w:t>
      </w:r>
      <w:r w:rsidR="009D662D" w:rsidRPr="009F0E99">
        <w:t xml:space="preserve">Değerlendirmelerde bütünlük sağlamak amacıyla, meri önlemin yürürlükten kaldırılması halinde </w:t>
      </w:r>
      <w:r w:rsidR="00BC461F" w:rsidRPr="009F0E99">
        <w:t>önlem konusu ülkeler</w:t>
      </w:r>
      <w:r w:rsidR="009D662D" w:rsidRPr="009F0E99">
        <w:t xml:space="preserve"> menşeli ihracat kapasitesinin Türkiye piyasasına yönelme ihtimali incelenmiştir. </w:t>
      </w:r>
    </w:p>
    <w:p w:rsidR="00F62741" w:rsidRPr="009F0E99" w:rsidRDefault="00F62741" w:rsidP="00DA4039">
      <w:pPr>
        <w:jc w:val="both"/>
      </w:pPr>
    </w:p>
    <w:p w:rsidR="00DA4039" w:rsidRPr="009F0E99" w:rsidRDefault="00DA48D2" w:rsidP="0017269F">
      <w:pPr>
        <w:pStyle w:val="Balk1"/>
        <w:tabs>
          <w:tab w:val="left" w:pos="709"/>
        </w:tabs>
        <w:jc w:val="both"/>
        <w:rPr>
          <w:rFonts w:ascii="Times New Roman" w:hAnsi="Times New Roman" w:cs="Times New Roman"/>
          <w:b w:val="0"/>
          <w:noProof/>
          <w:sz w:val="24"/>
          <w:szCs w:val="24"/>
        </w:rPr>
      </w:pPr>
      <w:r w:rsidRPr="009F0E99">
        <w:rPr>
          <w:rFonts w:ascii="Times New Roman" w:hAnsi="Times New Roman" w:cs="Times New Roman"/>
          <w:b w:val="0"/>
          <w:noProof/>
          <w:sz w:val="24"/>
          <w:szCs w:val="24"/>
        </w:rPr>
        <w:t>(3</w:t>
      </w:r>
      <w:r w:rsidR="0017269F" w:rsidRPr="009F0E99">
        <w:rPr>
          <w:rFonts w:ascii="Times New Roman" w:hAnsi="Times New Roman" w:cs="Times New Roman"/>
          <w:b w:val="0"/>
          <w:noProof/>
          <w:sz w:val="24"/>
          <w:szCs w:val="24"/>
        </w:rPr>
        <w:t>) Önlem konusu ürünün dünya ihracat pazarının, 2017 yılında 130 bin ton  (1,8 milyar ABD Doları) olarak gerçekleştiği kaydedilmiştir. 2017 yıllı verilerine göre miktar bazında dünya ihracatın ülkelerin aldıkları paylar incelendiğinde, %28’lik pay ile ÇHC ilk sırada yer  almakta olup %14 pay ile ABD ve %9 pay ile Almanya ÇHC’yi izlemektedir. Altıncı sırada yer alan Hindistan’ın payı %4, Vietnam’ın payı ise %0,2 olarak gerçekleşmiştir. 2017 yılında ABD’nin genel ortalama ihraç fiyatı 9,06 ABD Doları/Kg iken, ÇHC ve Hindistan’ın ortalama ihraç fiyatları sırasıyla 5,05 ABD Doları/Kg ve 8,10 ABD Doları/Kg olarak gerçekleşmiştir. Diğer taraftan, Almanya’nın  genel ortalama ihraç fiyatı 30,10 ABD Doları/Kg iken,  Vietnam’ın ortalama ihraç fiyatı ise 15,97 olarak gerçekleşmiş olup, Vietnam’ın ihraç birim fiyatının yüksek olmasının farklı ürün kompozisyonunda ürün ihracatından kaynaklanabileceği değerlendirilmektedir.</w:t>
      </w:r>
    </w:p>
    <w:p w:rsidR="00F62741" w:rsidRPr="009F0E99" w:rsidRDefault="00F62741" w:rsidP="00F62741"/>
    <w:p w:rsidR="00F62741" w:rsidRPr="009F0E99" w:rsidRDefault="00DA48D2" w:rsidP="00F62741">
      <w:pPr>
        <w:jc w:val="both"/>
      </w:pPr>
      <w:r w:rsidRPr="009F0E99">
        <w:t>(4</w:t>
      </w:r>
      <w:r w:rsidR="00F62741" w:rsidRPr="009F0E99">
        <w:t xml:space="preserve">) İlk soruşturmada tespit edilen damping marjlarının %96,5-214,5 arasında değişen önemli oranlarda olduğu göz önünde bulundurulduğunda söz konusu damping marjı seviyelerinin meri önlemin mevcut olmadığı piyasa koşullarında üretici/ihracatçı firmaların dampinge konu fiyatlarla soruşturma konusu ürünü Türkiye’ye ihraç etme eğilimini göstermesi bakımından önem arz ettiği düşünülmektedir. </w:t>
      </w:r>
    </w:p>
    <w:p w:rsidR="00DA4039" w:rsidRPr="009F0E99" w:rsidRDefault="00DA4039" w:rsidP="00DA4039">
      <w:pPr>
        <w:jc w:val="both"/>
      </w:pPr>
    </w:p>
    <w:p w:rsidR="00DA4039" w:rsidRPr="009F0E99" w:rsidRDefault="00DA4039" w:rsidP="00DA4039">
      <w:pPr>
        <w:jc w:val="both"/>
      </w:pPr>
      <w:r w:rsidRPr="009F0E99">
        <w:t xml:space="preserve"> (</w:t>
      </w:r>
      <w:r w:rsidR="00DA48D2" w:rsidRPr="009F0E99">
        <w:t xml:space="preserve">5) </w:t>
      </w:r>
      <w:r w:rsidRPr="009F0E99">
        <w:t xml:space="preserve">Esas soruşturmada ve takip eden nihai gözden geçirme soruşturmalarında ithalatçı firmaların dampingli ithalatı tercih etmelerindeki en önemli faktörlerden birinin kendileri için rekabet avantajı sağlayan düşük fiyat olduğu tespit edilmiştir. Bu tespitin geçerliliğini sürdürdüğü değerlendirilmektedir. </w:t>
      </w:r>
    </w:p>
    <w:p w:rsidR="0017269F" w:rsidRPr="009F0E99" w:rsidRDefault="0017269F" w:rsidP="00DA4039">
      <w:pPr>
        <w:jc w:val="both"/>
      </w:pPr>
    </w:p>
    <w:p w:rsidR="00DA4039" w:rsidRPr="009F0E99" w:rsidRDefault="00DA48D2" w:rsidP="0017269F">
      <w:pPr>
        <w:pStyle w:val="GvdeMetniGirintisi3"/>
        <w:spacing w:after="240"/>
        <w:ind w:left="0" w:firstLine="0"/>
      </w:pPr>
      <w:r w:rsidRPr="009F0E99">
        <w:t>(6</w:t>
      </w:r>
      <w:r w:rsidR="0017269F" w:rsidRPr="009F0E99">
        <w:t>) Ayrıca, otomotiv ve makine imalat sanayindeki  üretim artışı soruşturma konusu ürüne olan talebi artırmakta olup, önlemin yürürlükten kalkması halinde soruşturma konusu ülkelerden ihracatın artabileceği değerlendirilmektedir.</w:t>
      </w:r>
    </w:p>
    <w:p w:rsidR="00DA4039" w:rsidRPr="009F0E99" w:rsidRDefault="00DA4039" w:rsidP="00DA4039">
      <w:pPr>
        <w:jc w:val="both"/>
      </w:pPr>
      <w:r w:rsidRPr="009F0E99">
        <w:t xml:space="preserve"> (</w:t>
      </w:r>
      <w:r w:rsidR="00DA48D2" w:rsidRPr="009F0E99">
        <w:t>7</w:t>
      </w:r>
      <w:r w:rsidRPr="009F0E99">
        <w:t xml:space="preserve">) Bu bölümde incelenen verilerin bir bütün olarak değerlendirilmesi neticesinde, meri önlemin yürürlükten kalkması halinde </w:t>
      </w:r>
      <w:r w:rsidR="0017269F" w:rsidRPr="009F0E99">
        <w:t xml:space="preserve">ÇHC, </w:t>
      </w:r>
      <w:r w:rsidRPr="009F0E99">
        <w:t xml:space="preserve">Hindistan ve </w:t>
      </w:r>
      <w:r w:rsidR="0017269F" w:rsidRPr="009F0E99">
        <w:t xml:space="preserve">Vietnam </w:t>
      </w:r>
      <w:r w:rsidRPr="009F0E99">
        <w:t xml:space="preserve">menşeli ihracatın </w:t>
      </w:r>
      <w:r w:rsidRPr="009F0E99">
        <w:lastRenderedPageBreak/>
        <w:t xml:space="preserve">Türkiye’ye yöneleceği ve bunun sonucunda  dampingin devam etmesinin veya yeniden meydana gelmesinin muhtemel olduğu değerlendirilmektedir. </w:t>
      </w:r>
    </w:p>
    <w:p w:rsidR="00BC461F" w:rsidRPr="009F0E99" w:rsidRDefault="00BC461F" w:rsidP="00BC461F">
      <w:pPr>
        <w:jc w:val="both"/>
      </w:pPr>
    </w:p>
    <w:p w:rsidR="009D662D" w:rsidRPr="009F0E99" w:rsidRDefault="00DF4E77" w:rsidP="00F217D8">
      <w:pPr>
        <w:jc w:val="both"/>
        <w:rPr>
          <w:b/>
        </w:rPr>
      </w:pPr>
      <w:r w:rsidRPr="009F0E99">
        <w:rPr>
          <w:b/>
        </w:rPr>
        <w:t>5</w:t>
      </w:r>
      <w:r w:rsidR="009D662D" w:rsidRPr="009F0E99">
        <w:rPr>
          <w:b/>
        </w:rPr>
        <w:t xml:space="preserve">.3 Zararın devamı veya yeniden meydana gelebilme ihtimaline ilişkin belirlemeler </w:t>
      </w:r>
    </w:p>
    <w:p w:rsidR="0082793F" w:rsidRPr="009F0E99" w:rsidRDefault="0082793F" w:rsidP="0082793F">
      <w:pPr>
        <w:pStyle w:val="GvdeMetniGirintisi3"/>
        <w:ind w:left="0" w:firstLine="0"/>
      </w:pPr>
      <w:r w:rsidRPr="009F0E99">
        <w:t>(1) 2015 ve 2016 yıllarında miktar ve değer bazında aynı seviyelerde seyreden ÇHC ve Hindistan’dan yapılan ithalatın 2017 yılında azaldığı, Vietnam’dan yapılan ithalatın ise durma noktasına geldiği tespit edilmiş olup söz konusu durumun mevcut önlemin etkinliğinden kaynaklandığı ve soruşturma konusu ülkelerin üretim ve ihracat kabiliyetleri dikkate alındığında önlemin yürürlükten kalkması halinde anılan ülkelerden yapılan ithalatın tekrar artacağı değerlendirilmektedir.</w:t>
      </w:r>
    </w:p>
    <w:p w:rsidR="0082793F" w:rsidRPr="009F0E99" w:rsidRDefault="0082793F" w:rsidP="0082793F">
      <w:pPr>
        <w:pStyle w:val="GvdeMetniGirintisi3"/>
        <w:ind w:left="0" w:firstLine="357"/>
      </w:pPr>
    </w:p>
    <w:p w:rsidR="0082793F" w:rsidRPr="009F0E99" w:rsidRDefault="0082793F" w:rsidP="0082793F">
      <w:pPr>
        <w:pStyle w:val="GvdeMetniGirintisi3"/>
        <w:ind w:left="0" w:firstLine="0"/>
      </w:pPr>
      <w:r w:rsidRPr="009F0E99">
        <w:t>(2)</w:t>
      </w:r>
      <w:r w:rsidR="00414633" w:rsidRPr="009F0E99">
        <w:t xml:space="preserve"> </w:t>
      </w:r>
      <w:r w:rsidRPr="009F0E99">
        <w:t>Kamu Dinleme Toplantısı’nda Vietnam Büyükelçiliği temsilcisi tarafından, Vietnam’ın artık Türkiye pazarı için bir tehdit olmadığı ifade edilmiştir. Diğer taraftan, nihai gözden geçirme soruşturmasında ileriye yönelik bir inceleme gerçekleştirilmekte olup, önlemin yürürlükten kalkması halinde  Vietnam menşeli “V Kayışlar” ın tekrar Türkiye piyasasında zarara neden olabileceği değerlendirilmektedir.</w:t>
      </w:r>
    </w:p>
    <w:p w:rsidR="0082793F" w:rsidRPr="009F0E99" w:rsidRDefault="0082793F" w:rsidP="0082793F">
      <w:pPr>
        <w:pStyle w:val="GvdeMetniGirintisi3"/>
        <w:ind w:left="0" w:firstLine="357"/>
      </w:pPr>
    </w:p>
    <w:p w:rsidR="0082793F" w:rsidRPr="009F0E99" w:rsidRDefault="00414633" w:rsidP="0082793F">
      <w:pPr>
        <w:pStyle w:val="GvdeMetniGirintisi3"/>
        <w:ind w:left="0" w:firstLine="0"/>
      </w:pPr>
      <w:r w:rsidRPr="009F0E99">
        <w:t>(3</w:t>
      </w:r>
      <w:r w:rsidR="0082793F" w:rsidRPr="009F0E99">
        <w:t>) 2017 yılı itibarı  ile soruşturma konusu ülkeler menşeli ithalatın yerli üretim dalı üzerinde fiyat kırılmasına</w:t>
      </w:r>
      <w:r w:rsidR="00AF5146" w:rsidRPr="009F0E99">
        <w:t xml:space="preserve"> ve baskısına</w:t>
      </w:r>
      <w:r w:rsidR="0082793F" w:rsidRPr="009F0E99">
        <w:t xml:space="preserve"> neden olmadığı tespit ediştir. Diğer taraftan, bu durumun soruşturma konusu ülkelerden gerçekleştirilen ithalatın kompozisyonun değişmesinden kaynaklandığı değerlendirilmektedir. Bu çerçevede, gözden geçirme döneminde  önlemin maktu niteliğinin de etkisiyle fiyat seviyesi önlem öncesi dönem ile karşılaştırıldığında farklılık arz edecek bir ürün grubunun Türkiye’ye ihraç edildiği ve önlemin yürürlükten kalkması halinde ürün kompozisyonun değişebileceği ve fiyat etkisinin tekrar ortaya çıkabileceği değerlendirilmektedir.</w:t>
      </w:r>
    </w:p>
    <w:p w:rsidR="0082793F" w:rsidRPr="009F0E99" w:rsidRDefault="0082793F" w:rsidP="0082793F">
      <w:pPr>
        <w:pStyle w:val="GvdeMetniGirintisi3"/>
        <w:ind w:left="0" w:firstLine="0"/>
      </w:pPr>
    </w:p>
    <w:p w:rsidR="0082793F" w:rsidRPr="009F0E99" w:rsidRDefault="00414633" w:rsidP="0082793F">
      <w:pPr>
        <w:pStyle w:val="GvdeMetniGirintisi3"/>
        <w:ind w:left="0" w:firstLine="0"/>
      </w:pPr>
      <w:r w:rsidRPr="009F0E99">
        <w:t>(4</w:t>
      </w:r>
      <w:r w:rsidR="0082793F" w:rsidRPr="009F0E99">
        <w:t>) 2015-2017 döneminde yerli üretim dalının ekonomik göstergeleri genel olarak olumlu seyretmesine karşılık 2017 yılında dönem sonu stoklarının arttığı tespit edilmiştir. Stoklara ilişkin göstergelerin olumsuz seyretmesi nedeniyle, önlemin yürürlükten kalkması halinde diğer ekonomik göstergeleri etkileyerek bozulmaya yol açabileceği değerlendirilmektedir.</w:t>
      </w:r>
    </w:p>
    <w:p w:rsidR="0082793F" w:rsidRPr="009F0E99" w:rsidRDefault="0082793F" w:rsidP="0082793F">
      <w:pPr>
        <w:pStyle w:val="GvdeMetniGirintisi3"/>
        <w:ind w:left="0" w:firstLine="0"/>
      </w:pPr>
    </w:p>
    <w:p w:rsidR="0082793F" w:rsidRPr="009F0E99" w:rsidRDefault="0082793F" w:rsidP="0082793F">
      <w:pPr>
        <w:pStyle w:val="GvdeMetni"/>
        <w:widowControl w:val="0"/>
        <w:shd w:val="clear" w:color="auto" w:fill="auto"/>
        <w:tabs>
          <w:tab w:val="left" w:pos="990"/>
          <w:tab w:val="left" w:pos="1620"/>
          <w:tab w:val="left" w:pos="2268"/>
          <w:tab w:val="left" w:pos="2410"/>
        </w:tabs>
        <w:suppressAutoHyphens/>
        <w:autoSpaceDE w:val="0"/>
        <w:autoSpaceDN w:val="0"/>
        <w:rPr>
          <w:color w:val="auto"/>
        </w:rPr>
      </w:pPr>
      <w:r w:rsidRPr="009F0E99">
        <w:rPr>
          <w:color w:val="auto"/>
        </w:rPr>
        <w:t>(</w:t>
      </w:r>
      <w:r w:rsidR="00414633" w:rsidRPr="009F0E99">
        <w:rPr>
          <w:color w:val="auto"/>
        </w:rPr>
        <w:t>5</w:t>
      </w:r>
      <w:r w:rsidRPr="009F0E99">
        <w:rPr>
          <w:color w:val="auto"/>
        </w:rPr>
        <w:t xml:space="preserve">) Bu bölümde incelenen verilerin bir bütün olarak değerlendirilmesi neticesinde, meri önlemin yürürlükten kalkması halinde zararın devam etmesinin veya yeniden meydana gelmesinin muhtemel olduğu değerlendirilmektedir. </w:t>
      </w:r>
    </w:p>
    <w:p w:rsidR="00DA48D2" w:rsidRPr="009F0E99" w:rsidRDefault="00DA48D2" w:rsidP="0082793F">
      <w:pPr>
        <w:pStyle w:val="GvdeMetni"/>
        <w:widowControl w:val="0"/>
        <w:shd w:val="clear" w:color="auto" w:fill="auto"/>
        <w:tabs>
          <w:tab w:val="left" w:pos="990"/>
          <w:tab w:val="left" w:pos="1620"/>
          <w:tab w:val="left" w:pos="2268"/>
          <w:tab w:val="left" w:pos="2410"/>
        </w:tabs>
        <w:suppressAutoHyphens/>
        <w:autoSpaceDE w:val="0"/>
        <w:autoSpaceDN w:val="0"/>
        <w:rPr>
          <w:color w:val="auto"/>
        </w:rPr>
      </w:pPr>
    </w:p>
    <w:p w:rsidR="00DA48D2" w:rsidRPr="009F0E99" w:rsidRDefault="00DA48D2" w:rsidP="0082793F">
      <w:pPr>
        <w:pStyle w:val="GvdeMetni"/>
        <w:widowControl w:val="0"/>
        <w:shd w:val="clear" w:color="auto" w:fill="auto"/>
        <w:tabs>
          <w:tab w:val="left" w:pos="990"/>
          <w:tab w:val="left" w:pos="1620"/>
          <w:tab w:val="left" w:pos="2268"/>
          <w:tab w:val="left" w:pos="2410"/>
        </w:tabs>
        <w:suppressAutoHyphens/>
        <w:autoSpaceDE w:val="0"/>
        <w:autoSpaceDN w:val="0"/>
        <w:rPr>
          <w:b/>
          <w:color w:val="auto"/>
        </w:rPr>
      </w:pPr>
      <w:r w:rsidRPr="009F0E99">
        <w:rPr>
          <w:b/>
          <w:color w:val="auto"/>
        </w:rPr>
        <w:t>6.ÖNLEMİN SEVİYESİNİN DEĞERLENDİRİLMESİ</w:t>
      </w:r>
    </w:p>
    <w:p w:rsidR="00DA4039" w:rsidRPr="009F0E99" w:rsidRDefault="00DA4039" w:rsidP="00F217D8">
      <w:pPr>
        <w:jc w:val="both"/>
        <w:rPr>
          <w:b/>
        </w:rPr>
      </w:pPr>
    </w:p>
    <w:p w:rsidR="00DA48D2" w:rsidRPr="009F0E99" w:rsidRDefault="00DA48D2" w:rsidP="00F217D8">
      <w:pPr>
        <w:jc w:val="both"/>
      </w:pPr>
      <w:r w:rsidRPr="009F0E99">
        <w:t>(1) Yönetmeliğin 42 nci maddesi çerçevesinde önlem konusu üründe geçerli olan diğer mali yüklerin etkisi, soruşturma konusu ülkelerden gerçekleşen ithalatın yurtiçi piyasada yarattığı fiyat etkisi ve yerli üretim dalının ekonomik göstergeleri bütüncül olarak irdelenmiş ve önlemin seviyesi tekrar değerlendirilmiştir.</w:t>
      </w:r>
    </w:p>
    <w:p w:rsidR="00DA48D2" w:rsidRPr="009F0E99" w:rsidRDefault="00DA48D2" w:rsidP="00F217D8">
      <w:pPr>
        <w:jc w:val="both"/>
      </w:pPr>
    </w:p>
    <w:p w:rsidR="00DA48D2" w:rsidRPr="009F0E99" w:rsidRDefault="00DA48D2" w:rsidP="00F217D8">
      <w:pPr>
        <w:jc w:val="both"/>
      </w:pPr>
      <w:r w:rsidRPr="009F0E99">
        <w:t>(2) Söz konusu değerlendirme ışığında, ilk soruşturmada tespit edilen damping marjları dikkate alınarak, önlem seviyesi yeniden belirlenmiştir. Bu çerçevede, soruşturma konusu ülkelerin önlem konusu üründe tüm dünyaya yönelik ağırlıklı ortalama ihraç fiyatı ve yerli üretim yerli üretim dalının ticari maliyetine makul kar eklenerek tespit edilen değer mukayese edilmiştir.</w:t>
      </w:r>
    </w:p>
    <w:p w:rsidR="0029360A" w:rsidRPr="009F0E99" w:rsidRDefault="0029360A" w:rsidP="00F217D8">
      <w:pPr>
        <w:jc w:val="both"/>
      </w:pPr>
    </w:p>
    <w:p w:rsidR="0029360A" w:rsidRPr="009F0E99" w:rsidRDefault="0029360A" w:rsidP="00F217D8">
      <w:pPr>
        <w:jc w:val="both"/>
      </w:pPr>
      <w:r w:rsidRPr="009F0E99">
        <w:t>(3) Söz konusu karşılaştırma neticesinde önlemin kilogram başına 3,15 ABD Do</w:t>
      </w:r>
      <w:r w:rsidR="00727EE7">
        <w:t xml:space="preserve">ları </w:t>
      </w:r>
      <w:r w:rsidRPr="009F0E99">
        <w:t>seviyesinde uygulanabileceği ve bu seviyenin piyasa dengesi gözetilerek her üç ülkeye yönelik tatbik edilebileceği değerlendirilmiştir.</w:t>
      </w:r>
    </w:p>
    <w:p w:rsidR="0029360A" w:rsidRDefault="0029360A" w:rsidP="00F217D8">
      <w:pPr>
        <w:jc w:val="both"/>
      </w:pPr>
    </w:p>
    <w:p w:rsidR="00390B76" w:rsidRPr="009F0E99" w:rsidRDefault="00390B76" w:rsidP="00F217D8">
      <w:pPr>
        <w:jc w:val="both"/>
      </w:pPr>
    </w:p>
    <w:p w:rsidR="00164FF4" w:rsidRPr="009F0E99" w:rsidRDefault="00DA48D2" w:rsidP="008E4B08">
      <w:pPr>
        <w:jc w:val="both"/>
        <w:rPr>
          <w:b/>
          <w:caps/>
        </w:rPr>
      </w:pPr>
      <w:r w:rsidRPr="009F0E99">
        <w:rPr>
          <w:b/>
          <w:caps/>
        </w:rPr>
        <w:lastRenderedPageBreak/>
        <w:t>7</w:t>
      </w:r>
      <w:r w:rsidR="008E4B08" w:rsidRPr="009F0E99">
        <w:rPr>
          <w:b/>
          <w:caps/>
        </w:rPr>
        <w:t xml:space="preserve">. Genel </w:t>
      </w:r>
      <w:r w:rsidR="00164FF4" w:rsidRPr="009F0E99">
        <w:rPr>
          <w:b/>
          <w:caps/>
        </w:rPr>
        <w:t>Değerlendirme</w:t>
      </w:r>
      <w:r w:rsidR="008E4B08" w:rsidRPr="009F0E99">
        <w:rPr>
          <w:b/>
          <w:caps/>
        </w:rPr>
        <w:t xml:space="preserve"> ve Sonuç</w:t>
      </w:r>
    </w:p>
    <w:p w:rsidR="007F0565" w:rsidRPr="009F0E99" w:rsidRDefault="007F0565" w:rsidP="008E4B08">
      <w:pPr>
        <w:jc w:val="both"/>
        <w:rPr>
          <w:b/>
          <w:caps/>
        </w:rPr>
      </w:pPr>
    </w:p>
    <w:p w:rsidR="009D52FF" w:rsidRPr="009F0E99" w:rsidRDefault="007F0565" w:rsidP="00237BA2">
      <w:pPr>
        <w:pStyle w:val="GvdeMetni"/>
        <w:widowControl w:val="0"/>
        <w:shd w:val="clear" w:color="auto" w:fill="auto"/>
        <w:tabs>
          <w:tab w:val="left" w:pos="990"/>
          <w:tab w:val="left" w:pos="1620"/>
          <w:tab w:val="left" w:pos="2268"/>
          <w:tab w:val="left" w:pos="2410"/>
        </w:tabs>
        <w:suppressAutoHyphens/>
        <w:autoSpaceDE w:val="0"/>
        <w:autoSpaceDN w:val="0"/>
        <w:rPr>
          <w:color w:val="auto"/>
        </w:rPr>
      </w:pPr>
      <w:r w:rsidRPr="009F0E99">
        <w:rPr>
          <w:color w:val="auto"/>
        </w:rPr>
        <w:t>(</w:t>
      </w:r>
      <w:r w:rsidR="00164FF4" w:rsidRPr="009F0E99">
        <w:rPr>
          <w:color w:val="auto"/>
        </w:rPr>
        <w:t xml:space="preserve">1) </w:t>
      </w:r>
      <w:r w:rsidR="00237BA2" w:rsidRPr="009F0E99">
        <w:rPr>
          <w:color w:val="auto"/>
        </w:rPr>
        <w:t>Bu çerçevede, soruşturma neticesinde ulaşılan tespitleri değerlendiren Kurul’un kararı ve Ticaret Bakanının onayı ile 15/3/2013 tarihli ve 28588 sayılı Resmî Gazete’de yayımlanan İthalatta Haksız Rekabetin Önlenmesine İlişkin Tebliğ (Tebliğ No: 2013/3) vasıtasıyla yürürlükte olan da</w:t>
      </w:r>
      <w:r w:rsidR="00407128" w:rsidRPr="009F0E99">
        <w:rPr>
          <w:color w:val="auto"/>
        </w:rPr>
        <w:t>mpinge karşı önlemin değiştirilerek</w:t>
      </w:r>
      <w:r w:rsidR="00237BA2" w:rsidRPr="009F0E99">
        <w:rPr>
          <w:color w:val="auto"/>
        </w:rPr>
        <w:t xml:space="preserve"> tabloda gösterilen şekilde uygulanmaya devam edilmesine karar verilmiştir.</w:t>
      </w:r>
    </w:p>
    <w:p w:rsidR="00D17BE4" w:rsidRPr="009F0E99" w:rsidRDefault="00D17BE4" w:rsidP="007F0565">
      <w:pPr>
        <w:pStyle w:val="GvdeMetni"/>
        <w:widowControl w:val="0"/>
        <w:shd w:val="clear" w:color="auto" w:fill="auto"/>
        <w:tabs>
          <w:tab w:val="left" w:pos="990"/>
          <w:tab w:val="left" w:pos="1620"/>
          <w:tab w:val="left" w:pos="2268"/>
          <w:tab w:val="left" w:pos="2410"/>
        </w:tabs>
        <w:suppressAutoHyphens/>
        <w:autoSpaceDE w:val="0"/>
        <w:autoSpaceDN w:val="0"/>
        <w:rPr>
          <w:color w:val="auto"/>
        </w:rPr>
      </w:pPr>
    </w:p>
    <w:p w:rsidR="003A59EB" w:rsidRPr="009F0E99" w:rsidRDefault="003A59EB" w:rsidP="00F217D8">
      <w:pPr>
        <w:tabs>
          <w:tab w:val="left" w:pos="566"/>
        </w:tabs>
        <w:spacing w:line="240" w:lineRule="exact"/>
        <w:jc w:val="both"/>
      </w:pPr>
    </w:p>
    <w:tbl>
      <w:tblPr>
        <w:tblW w:w="9340" w:type="dxa"/>
        <w:tblCellMar>
          <w:left w:w="70" w:type="dxa"/>
          <w:right w:w="70" w:type="dxa"/>
        </w:tblCellMar>
        <w:tblLook w:val="04A0" w:firstRow="1" w:lastRow="0" w:firstColumn="1" w:lastColumn="0" w:noHBand="0" w:noVBand="1"/>
      </w:tblPr>
      <w:tblGrid>
        <w:gridCol w:w="1760"/>
        <w:gridCol w:w="4120"/>
        <w:gridCol w:w="1620"/>
        <w:gridCol w:w="1840"/>
      </w:tblGrid>
      <w:tr w:rsidR="009F0E99" w:rsidRPr="009F0E99" w:rsidTr="00F129B5">
        <w:trPr>
          <w:trHeight w:val="855"/>
        </w:trPr>
        <w:tc>
          <w:tcPr>
            <w:tcW w:w="1760" w:type="dxa"/>
            <w:tcBorders>
              <w:top w:val="single" w:sz="4" w:space="0" w:color="000000"/>
              <w:left w:val="single" w:sz="4" w:space="0" w:color="000000"/>
              <w:bottom w:val="nil"/>
              <w:right w:val="single" w:sz="4" w:space="0" w:color="000000"/>
            </w:tcBorders>
            <w:shd w:val="clear" w:color="auto" w:fill="auto"/>
            <w:vAlign w:val="center"/>
            <w:hideMark/>
          </w:tcPr>
          <w:p w:rsidR="00F129B5" w:rsidRPr="009F0E99" w:rsidRDefault="00F129B5">
            <w:pPr>
              <w:rPr>
                <w:b/>
                <w:bCs/>
                <w:sz w:val="22"/>
                <w:szCs w:val="22"/>
              </w:rPr>
            </w:pPr>
            <w:r w:rsidRPr="009F0E99">
              <w:rPr>
                <w:b/>
                <w:bCs/>
                <w:sz w:val="22"/>
                <w:szCs w:val="22"/>
              </w:rPr>
              <w:t xml:space="preserve">GTİP </w:t>
            </w:r>
          </w:p>
        </w:tc>
        <w:tc>
          <w:tcPr>
            <w:tcW w:w="4120" w:type="dxa"/>
            <w:tcBorders>
              <w:top w:val="single" w:sz="4" w:space="0" w:color="000000"/>
              <w:left w:val="nil"/>
              <w:bottom w:val="nil"/>
              <w:right w:val="single" w:sz="4" w:space="0" w:color="000000"/>
            </w:tcBorders>
            <w:shd w:val="clear" w:color="auto" w:fill="auto"/>
            <w:vAlign w:val="center"/>
            <w:hideMark/>
          </w:tcPr>
          <w:p w:rsidR="00F129B5" w:rsidRPr="009F0E99" w:rsidRDefault="00F129B5">
            <w:pPr>
              <w:rPr>
                <w:b/>
                <w:bCs/>
                <w:sz w:val="22"/>
                <w:szCs w:val="22"/>
              </w:rPr>
            </w:pPr>
            <w:r w:rsidRPr="009F0E99">
              <w:rPr>
                <w:b/>
                <w:bCs/>
                <w:sz w:val="22"/>
                <w:szCs w:val="22"/>
              </w:rPr>
              <w:t xml:space="preserve">Eşyanın Tanımı </w:t>
            </w:r>
          </w:p>
        </w:tc>
        <w:tc>
          <w:tcPr>
            <w:tcW w:w="1620" w:type="dxa"/>
            <w:tcBorders>
              <w:top w:val="single" w:sz="4" w:space="0" w:color="000000"/>
              <w:left w:val="nil"/>
              <w:bottom w:val="single" w:sz="4" w:space="0" w:color="000000"/>
              <w:right w:val="single" w:sz="4" w:space="0" w:color="000000"/>
            </w:tcBorders>
            <w:shd w:val="clear" w:color="auto" w:fill="auto"/>
            <w:vAlign w:val="center"/>
            <w:hideMark/>
          </w:tcPr>
          <w:p w:rsidR="00F129B5" w:rsidRPr="009F0E99" w:rsidRDefault="00F129B5">
            <w:pPr>
              <w:rPr>
                <w:b/>
                <w:bCs/>
                <w:sz w:val="22"/>
                <w:szCs w:val="22"/>
              </w:rPr>
            </w:pPr>
            <w:r w:rsidRPr="009F0E99">
              <w:rPr>
                <w:b/>
                <w:bCs/>
                <w:sz w:val="22"/>
                <w:szCs w:val="22"/>
              </w:rPr>
              <w:t xml:space="preserve">Menşe Ülke </w:t>
            </w:r>
          </w:p>
        </w:tc>
        <w:tc>
          <w:tcPr>
            <w:tcW w:w="1840" w:type="dxa"/>
            <w:tcBorders>
              <w:top w:val="single" w:sz="4" w:space="0" w:color="000000"/>
              <w:left w:val="nil"/>
              <w:bottom w:val="single" w:sz="4" w:space="0" w:color="000000"/>
              <w:right w:val="single" w:sz="4" w:space="0" w:color="000000"/>
            </w:tcBorders>
            <w:shd w:val="clear" w:color="auto" w:fill="auto"/>
            <w:vAlign w:val="center"/>
            <w:hideMark/>
          </w:tcPr>
          <w:p w:rsidR="00F129B5" w:rsidRPr="009F0E99" w:rsidRDefault="00F129B5">
            <w:pPr>
              <w:jc w:val="center"/>
              <w:rPr>
                <w:b/>
                <w:bCs/>
                <w:sz w:val="22"/>
                <w:szCs w:val="22"/>
              </w:rPr>
            </w:pPr>
            <w:r w:rsidRPr="009F0E99">
              <w:rPr>
                <w:b/>
                <w:bCs/>
                <w:sz w:val="22"/>
                <w:szCs w:val="22"/>
              </w:rPr>
              <w:t xml:space="preserve">Dampinge Karşı Önlem(ABD Doları/Kg) </w:t>
            </w:r>
          </w:p>
        </w:tc>
      </w:tr>
      <w:tr w:rsidR="009F0E99" w:rsidRPr="009F0E99" w:rsidTr="00F129B5">
        <w:trPr>
          <w:trHeight w:val="300"/>
        </w:trPr>
        <w:tc>
          <w:tcPr>
            <w:tcW w:w="1760" w:type="dxa"/>
            <w:vMerge w:val="restart"/>
            <w:tcBorders>
              <w:top w:val="single" w:sz="4" w:space="0" w:color="auto"/>
              <w:left w:val="single" w:sz="4" w:space="0" w:color="auto"/>
              <w:bottom w:val="nil"/>
              <w:right w:val="single" w:sz="4" w:space="0" w:color="auto"/>
            </w:tcBorders>
            <w:shd w:val="clear" w:color="auto" w:fill="auto"/>
            <w:vAlign w:val="center"/>
            <w:hideMark/>
          </w:tcPr>
          <w:p w:rsidR="00F129B5" w:rsidRPr="009F0E99" w:rsidRDefault="00F129B5">
            <w:pPr>
              <w:rPr>
                <w:sz w:val="22"/>
                <w:szCs w:val="22"/>
              </w:rPr>
            </w:pPr>
            <w:r w:rsidRPr="009F0E99">
              <w:rPr>
                <w:sz w:val="22"/>
                <w:szCs w:val="22"/>
              </w:rPr>
              <w:t>4010.32.00.00.00</w:t>
            </w:r>
          </w:p>
        </w:tc>
        <w:tc>
          <w:tcPr>
            <w:tcW w:w="4120" w:type="dxa"/>
            <w:vMerge w:val="restart"/>
            <w:tcBorders>
              <w:top w:val="single" w:sz="4" w:space="0" w:color="auto"/>
              <w:left w:val="single" w:sz="4" w:space="0" w:color="auto"/>
              <w:bottom w:val="nil"/>
              <w:right w:val="single" w:sz="4" w:space="0" w:color="auto"/>
            </w:tcBorders>
            <w:shd w:val="clear" w:color="auto" w:fill="auto"/>
            <w:vAlign w:val="center"/>
            <w:hideMark/>
          </w:tcPr>
          <w:p w:rsidR="00F129B5" w:rsidRPr="009F0E99" w:rsidRDefault="00F129B5">
            <w:pPr>
              <w:rPr>
                <w:sz w:val="22"/>
                <w:szCs w:val="22"/>
              </w:rPr>
            </w:pPr>
            <w:r w:rsidRPr="009F0E99">
              <w:rPr>
                <w:sz w:val="22"/>
                <w:szCs w:val="22"/>
              </w:rPr>
              <w:t>Dış çevresi 60 cm.yi geçen fakat 180 cm.yi geçmeyen, kesiti trapez şeklinde (V-kolanlar) olan (V-yivli olanlar hariç) sonsuz transmisyon kolanları</w:t>
            </w:r>
          </w:p>
        </w:tc>
        <w:tc>
          <w:tcPr>
            <w:tcW w:w="1620" w:type="dxa"/>
            <w:vMerge w:val="restart"/>
            <w:tcBorders>
              <w:top w:val="nil"/>
              <w:left w:val="nil"/>
              <w:bottom w:val="single" w:sz="4" w:space="0" w:color="000000"/>
              <w:right w:val="single" w:sz="4" w:space="0" w:color="000000"/>
            </w:tcBorders>
            <w:shd w:val="clear" w:color="auto" w:fill="auto"/>
            <w:vAlign w:val="center"/>
            <w:hideMark/>
          </w:tcPr>
          <w:p w:rsidR="00F129B5" w:rsidRPr="009F0E99" w:rsidRDefault="00F129B5">
            <w:pPr>
              <w:rPr>
                <w:sz w:val="22"/>
                <w:szCs w:val="22"/>
              </w:rPr>
            </w:pPr>
            <w:r w:rsidRPr="009F0E99">
              <w:rPr>
                <w:sz w:val="22"/>
                <w:szCs w:val="22"/>
              </w:rPr>
              <w:t>Çin Halk Cumhuriyeti</w:t>
            </w:r>
          </w:p>
        </w:tc>
        <w:tc>
          <w:tcPr>
            <w:tcW w:w="184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F129B5" w:rsidRPr="009F0E99" w:rsidRDefault="00F129B5">
            <w:pPr>
              <w:jc w:val="center"/>
              <w:rPr>
                <w:sz w:val="22"/>
                <w:szCs w:val="22"/>
              </w:rPr>
            </w:pPr>
            <w:r w:rsidRPr="009F0E99">
              <w:rPr>
                <w:sz w:val="22"/>
                <w:szCs w:val="22"/>
              </w:rPr>
              <w:t>3,15</w:t>
            </w:r>
          </w:p>
        </w:tc>
      </w:tr>
      <w:tr w:rsidR="009F0E99" w:rsidRPr="009F0E99" w:rsidTr="00F129B5">
        <w:trPr>
          <w:trHeight w:val="300"/>
        </w:trPr>
        <w:tc>
          <w:tcPr>
            <w:tcW w:w="1760" w:type="dxa"/>
            <w:vMerge/>
            <w:tcBorders>
              <w:top w:val="single" w:sz="4" w:space="0" w:color="auto"/>
              <w:left w:val="single" w:sz="4" w:space="0" w:color="auto"/>
              <w:bottom w:val="nil"/>
              <w:right w:val="single" w:sz="4" w:space="0" w:color="auto"/>
            </w:tcBorders>
            <w:vAlign w:val="center"/>
            <w:hideMark/>
          </w:tcPr>
          <w:p w:rsidR="00F129B5" w:rsidRPr="009F0E99" w:rsidRDefault="00F129B5">
            <w:pPr>
              <w:rPr>
                <w:sz w:val="22"/>
                <w:szCs w:val="22"/>
              </w:rPr>
            </w:pPr>
          </w:p>
        </w:tc>
        <w:tc>
          <w:tcPr>
            <w:tcW w:w="4120" w:type="dxa"/>
            <w:vMerge/>
            <w:tcBorders>
              <w:top w:val="single" w:sz="4" w:space="0" w:color="auto"/>
              <w:left w:val="single" w:sz="4" w:space="0" w:color="auto"/>
              <w:bottom w:val="nil"/>
              <w:right w:val="single" w:sz="4" w:space="0" w:color="auto"/>
            </w:tcBorders>
            <w:vAlign w:val="center"/>
            <w:hideMark/>
          </w:tcPr>
          <w:p w:rsidR="00F129B5" w:rsidRPr="009F0E99" w:rsidRDefault="00F129B5">
            <w:pPr>
              <w:rPr>
                <w:sz w:val="22"/>
                <w:szCs w:val="22"/>
              </w:rPr>
            </w:pPr>
          </w:p>
        </w:tc>
        <w:tc>
          <w:tcPr>
            <w:tcW w:w="1620" w:type="dxa"/>
            <w:vMerge/>
            <w:tcBorders>
              <w:top w:val="nil"/>
              <w:left w:val="nil"/>
              <w:bottom w:val="single" w:sz="4" w:space="0" w:color="000000"/>
              <w:right w:val="single" w:sz="4" w:space="0" w:color="000000"/>
            </w:tcBorders>
            <w:vAlign w:val="center"/>
            <w:hideMark/>
          </w:tcPr>
          <w:p w:rsidR="00F129B5" w:rsidRPr="009F0E99" w:rsidRDefault="00F129B5">
            <w:pPr>
              <w:rPr>
                <w:sz w:val="22"/>
                <w:szCs w:val="22"/>
              </w:rPr>
            </w:pPr>
          </w:p>
        </w:tc>
        <w:tc>
          <w:tcPr>
            <w:tcW w:w="1840" w:type="dxa"/>
            <w:vMerge/>
            <w:tcBorders>
              <w:top w:val="nil"/>
              <w:left w:val="single" w:sz="4" w:space="0" w:color="000000"/>
              <w:bottom w:val="single" w:sz="4" w:space="0" w:color="000000"/>
              <w:right w:val="single" w:sz="4" w:space="0" w:color="000000"/>
            </w:tcBorders>
            <w:vAlign w:val="center"/>
            <w:hideMark/>
          </w:tcPr>
          <w:p w:rsidR="00F129B5" w:rsidRPr="009F0E99" w:rsidRDefault="00F129B5">
            <w:pPr>
              <w:rPr>
                <w:sz w:val="22"/>
                <w:szCs w:val="22"/>
              </w:rPr>
            </w:pPr>
          </w:p>
        </w:tc>
      </w:tr>
      <w:tr w:rsidR="009F0E99" w:rsidRPr="009F0E99" w:rsidTr="00F129B5">
        <w:trPr>
          <w:trHeight w:val="1200"/>
        </w:trPr>
        <w:tc>
          <w:tcPr>
            <w:tcW w:w="1760" w:type="dxa"/>
            <w:tcBorders>
              <w:top w:val="nil"/>
              <w:left w:val="single" w:sz="4" w:space="0" w:color="auto"/>
              <w:bottom w:val="nil"/>
              <w:right w:val="single" w:sz="4" w:space="0" w:color="auto"/>
            </w:tcBorders>
            <w:shd w:val="clear" w:color="auto" w:fill="auto"/>
            <w:vAlign w:val="center"/>
            <w:hideMark/>
          </w:tcPr>
          <w:p w:rsidR="00F129B5" w:rsidRPr="009F0E99" w:rsidRDefault="00F129B5">
            <w:pPr>
              <w:rPr>
                <w:sz w:val="22"/>
                <w:szCs w:val="22"/>
              </w:rPr>
            </w:pPr>
            <w:r w:rsidRPr="009F0E99">
              <w:rPr>
                <w:sz w:val="22"/>
                <w:szCs w:val="22"/>
              </w:rPr>
              <w:t>4010.34.00.00.00</w:t>
            </w:r>
          </w:p>
        </w:tc>
        <w:tc>
          <w:tcPr>
            <w:tcW w:w="4120" w:type="dxa"/>
            <w:tcBorders>
              <w:top w:val="nil"/>
              <w:left w:val="nil"/>
              <w:bottom w:val="nil"/>
              <w:right w:val="single" w:sz="4" w:space="0" w:color="auto"/>
            </w:tcBorders>
            <w:shd w:val="clear" w:color="auto" w:fill="auto"/>
            <w:vAlign w:val="center"/>
            <w:hideMark/>
          </w:tcPr>
          <w:p w:rsidR="00F129B5" w:rsidRPr="009F0E99" w:rsidRDefault="00F129B5">
            <w:pPr>
              <w:rPr>
                <w:sz w:val="22"/>
                <w:szCs w:val="22"/>
              </w:rPr>
            </w:pPr>
            <w:r w:rsidRPr="009F0E99">
              <w:rPr>
                <w:sz w:val="22"/>
                <w:szCs w:val="22"/>
              </w:rPr>
              <w:t>Dış çevresi 180 cm.yi geçen fakat 240 cm.yi geçmeyen, kesiti trapez şeklinde (V-kolanlar) olan (V-yivli olanlar hariç) sonsuz transmisyon kolanları</w:t>
            </w:r>
          </w:p>
        </w:tc>
        <w:tc>
          <w:tcPr>
            <w:tcW w:w="1620" w:type="dxa"/>
            <w:vMerge/>
            <w:tcBorders>
              <w:top w:val="nil"/>
              <w:left w:val="nil"/>
              <w:bottom w:val="single" w:sz="4" w:space="0" w:color="000000"/>
              <w:right w:val="single" w:sz="4" w:space="0" w:color="000000"/>
            </w:tcBorders>
            <w:vAlign w:val="center"/>
            <w:hideMark/>
          </w:tcPr>
          <w:p w:rsidR="00F129B5" w:rsidRPr="009F0E99" w:rsidRDefault="00F129B5">
            <w:pPr>
              <w:rPr>
                <w:sz w:val="22"/>
                <w:szCs w:val="22"/>
              </w:rPr>
            </w:pPr>
          </w:p>
        </w:tc>
        <w:tc>
          <w:tcPr>
            <w:tcW w:w="1840" w:type="dxa"/>
            <w:vMerge/>
            <w:tcBorders>
              <w:top w:val="nil"/>
              <w:left w:val="single" w:sz="4" w:space="0" w:color="000000"/>
              <w:bottom w:val="single" w:sz="4" w:space="0" w:color="000000"/>
              <w:right w:val="single" w:sz="4" w:space="0" w:color="000000"/>
            </w:tcBorders>
            <w:vAlign w:val="center"/>
            <w:hideMark/>
          </w:tcPr>
          <w:p w:rsidR="00F129B5" w:rsidRPr="009F0E99" w:rsidRDefault="00F129B5">
            <w:pPr>
              <w:rPr>
                <w:sz w:val="22"/>
                <w:szCs w:val="22"/>
              </w:rPr>
            </w:pPr>
          </w:p>
        </w:tc>
      </w:tr>
      <w:tr w:rsidR="009F0E99" w:rsidRPr="009F0E99" w:rsidTr="00F129B5">
        <w:trPr>
          <w:trHeight w:val="585"/>
        </w:trPr>
        <w:tc>
          <w:tcPr>
            <w:tcW w:w="176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F129B5" w:rsidRPr="009F0E99" w:rsidRDefault="00F129B5">
            <w:pPr>
              <w:rPr>
                <w:sz w:val="22"/>
                <w:szCs w:val="22"/>
              </w:rPr>
            </w:pPr>
            <w:r w:rsidRPr="009F0E99">
              <w:rPr>
                <w:sz w:val="22"/>
                <w:szCs w:val="22"/>
              </w:rPr>
              <w:t>4010.39.00.00.00</w:t>
            </w:r>
          </w:p>
        </w:tc>
        <w:tc>
          <w:tcPr>
            <w:tcW w:w="4120" w:type="dxa"/>
            <w:vMerge w:val="restart"/>
            <w:tcBorders>
              <w:top w:val="nil"/>
              <w:left w:val="single" w:sz="4" w:space="0" w:color="auto"/>
              <w:bottom w:val="single" w:sz="4" w:space="0" w:color="000000"/>
              <w:right w:val="single" w:sz="4" w:space="0" w:color="auto"/>
            </w:tcBorders>
            <w:shd w:val="clear" w:color="auto" w:fill="auto"/>
            <w:vAlign w:val="center"/>
            <w:hideMark/>
          </w:tcPr>
          <w:p w:rsidR="00F129B5" w:rsidRPr="009F0E99" w:rsidRDefault="00F129B5">
            <w:pPr>
              <w:rPr>
                <w:sz w:val="22"/>
                <w:szCs w:val="22"/>
              </w:rPr>
            </w:pPr>
            <w:r w:rsidRPr="009F0E99">
              <w:rPr>
                <w:sz w:val="22"/>
                <w:szCs w:val="22"/>
              </w:rPr>
              <w:t>Yalnız "Kesiti trapez şeklinde (V-Kolanlar) olan (V-yivli olanlar hariç) sonsuz transmisyon kolanları"</w:t>
            </w:r>
          </w:p>
        </w:tc>
        <w:tc>
          <w:tcPr>
            <w:tcW w:w="1620" w:type="dxa"/>
            <w:tcBorders>
              <w:top w:val="nil"/>
              <w:left w:val="nil"/>
              <w:bottom w:val="single" w:sz="4" w:space="0" w:color="000000"/>
              <w:right w:val="single" w:sz="4" w:space="0" w:color="000000"/>
            </w:tcBorders>
            <w:shd w:val="clear" w:color="auto" w:fill="auto"/>
            <w:vAlign w:val="center"/>
            <w:hideMark/>
          </w:tcPr>
          <w:p w:rsidR="00F129B5" w:rsidRPr="009F0E99" w:rsidRDefault="00F129B5">
            <w:pPr>
              <w:rPr>
                <w:sz w:val="22"/>
                <w:szCs w:val="22"/>
              </w:rPr>
            </w:pPr>
            <w:r w:rsidRPr="009F0E99">
              <w:rPr>
                <w:sz w:val="22"/>
                <w:szCs w:val="22"/>
              </w:rPr>
              <w:t>Hindistan</w:t>
            </w:r>
          </w:p>
        </w:tc>
        <w:tc>
          <w:tcPr>
            <w:tcW w:w="1840" w:type="dxa"/>
            <w:vMerge/>
            <w:tcBorders>
              <w:top w:val="nil"/>
              <w:left w:val="single" w:sz="4" w:space="0" w:color="000000"/>
              <w:bottom w:val="single" w:sz="4" w:space="0" w:color="000000"/>
              <w:right w:val="single" w:sz="4" w:space="0" w:color="000000"/>
            </w:tcBorders>
            <w:vAlign w:val="center"/>
            <w:hideMark/>
          </w:tcPr>
          <w:p w:rsidR="00F129B5" w:rsidRPr="009F0E99" w:rsidRDefault="00F129B5">
            <w:pPr>
              <w:rPr>
                <w:sz w:val="22"/>
                <w:szCs w:val="22"/>
              </w:rPr>
            </w:pPr>
          </w:p>
        </w:tc>
      </w:tr>
      <w:tr w:rsidR="00F129B5" w:rsidRPr="009F0E99" w:rsidTr="00F129B5">
        <w:trPr>
          <w:trHeight w:val="645"/>
        </w:trPr>
        <w:tc>
          <w:tcPr>
            <w:tcW w:w="1760" w:type="dxa"/>
            <w:vMerge/>
            <w:tcBorders>
              <w:top w:val="nil"/>
              <w:left w:val="single" w:sz="4" w:space="0" w:color="auto"/>
              <w:bottom w:val="single" w:sz="4" w:space="0" w:color="000000"/>
              <w:right w:val="single" w:sz="4" w:space="0" w:color="auto"/>
            </w:tcBorders>
            <w:vAlign w:val="center"/>
            <w:hideMark/>
          </w:tcPr>
          <w:p w:rsidR="00F129B5" w:rsidRPr="009F0E99" w:rsidRDefault="00F129B5">
            <w:pPr>
              <w:rPr>
                <w:sz w:val="22"/>
                <w:szCs w:val="22"/>
              </w:rPr>
            </w:pPr>
          </w:p>
        </w:tc>
        <w:tc>
          <w:tcPr>
            <w:tcW w:w="4120" w:type="dxa"/>
            <w:vMerge/>
            <w:tcBorders>
              <w:top w:val="nil"/>
              <w:left w:val="single" w:sz="4" w:space="0" w:color="auto"/>
              <w:bottom w:val="single" w:sz="4" w:space="0" w:color="000000"/>
              <w:right w:val="single" w:sz="4" w:space="0" w:color="auto"/>
            </w:tcBorders>
            <w:vAlign w:val="center"/>
            <w:hideMark/>
          </w:tcPr>
          <w:p w:rsidR="00F129B5" w:rsidRPr="009F0E99" w:rsidRDefault="00F129B5">
            <w:pPr>
              <w:rPr>
                <w:sz w:val="22"/>
                <w:szCs w:val="22"/>
              </w:rPr>
            </w:pPr>
          </w:p>
        </w:tc>
        <w:tc>
          <w:tcPr>
            <w:tcW w:w="1620" w:type="dxa"/>
            <w:tcBorders>
              <w:top w:val="nil"/>
              <w:left w:val="nil"/>
              <w:bottom w:val="single" w:sz="4" w:space="0" w:color="000000"/>
              <w:right w:val="single" w:sz="4" w:space="0" w:color="000000"/>
            </w:tcBorders>
            <w:shd w:val="clear" w:color="auto" w:fill="auto"/>
            <w:vAlign w:val="center"/>
            <w:hideMark/>
          </w:tcPr>
          <w:p w:rsidR="00F129B5" w:rsidRPr="009F0E99" w:rsidRDefault="00F129B5">
            <w:pPr>
              <w:rPr>
                <w:sz w:val="22"/>
                <w:szCs w:val="22"/>
              </w:rPr>
            </w:pPr>
            <w:r w:rsidRPr="009F0E99">
              <w:rPr>
                <w:sz w:val="22"/>
                <w:szCs w:val="22"/>
              </w:rPr>
              <w:t>Vietnam</w:t>
            </w:r>
          </w:p>
        </w:tc>
        <w:tc>
          <w:tcPr>
            <w:tcW w:w="1840" w:type="dxa"/>
            <w:vMerge/>
            <w:tcBorders>
              <w:top w:val="nil"/>
              <w:left w:val="single" w:sz="4" w:space="0" w:color="000000"/>
              <w:bottom w:val="single" w:sz="4" w:space="0" w:color="000000"/>
              <w:right w:val="single" w:sz="4" w:space="0" w:color="000000"/>
            </w:tcBorders>
            <w:vAlign w:val="center"/>
            <w:hideMark/>
          </w:tcPr>
          <w:p w:rsidR="00F129B5" w:rsidRPr="009F0E99" w:rsidRDefault="00F129B5">
            <w:pPr>
              <w:rPr>
                <w:sz w:val="22"/>
                <w:szCs w:val="22"/>
              </w:rPr>
            </w:pPr>
          </w:p>
        </w:tc>
      </w:tr>
    </w:tbl>
    <w:p w:rsidR="00F217D8" w:rsidRPr="009F0E99" w:rsidRDefault="00F217D8" w:rsidP="00F217D8">
      <w:pPr>
        <w:tabs>
          <w:tab w:val="left" w:pos="566"/>
        </w:tabs>
        <w:spacing w:line="240" w:lineRule="exact"/>
        <w:jc w:val="center"/>
      </w:pPr>
    </w:p>
    <w:p w:rsidR="00164FF4" w:rsidRPr="009F0E99" w:rsidRDefault="00164FF4" w:rsidP="00F217D8">
      <w:pPr>
        <w:jc w:val="both"/>
        <w:rPr>
          <w:bCs/>
        </w:rPr>
      </w:pPr>
    </w:p>
    <w:sectPr w:rsidR="00164FF4" w:rsidRPr="009F0E99" w:rsidSect="00057562">
      <w:headerReference w:type="first" r:id="rId8"/>
      <w:footerReference w:type="first" r:id="rId9"/>
      <w:pgSz w:w="11906" w:h="16838" w:code="9"/>
      <w:pgMar w:top="851" w:right="1418" w:bottom="1418" w:left="1418" w:header="851" w:footer="851"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0A4A" w:rsidRDefault="00F20A4A">
      <w:r>
        <w:separator/>
      </w:r>
    </w:p>
  </w:endnote>
  <w:endnote w:type="continuationSeparator" w:id="0">
    <w:p w:rsidR="00F20A4A" w:rsidRDefault="00F20A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43" w:usb2="00000009" w:usb3="00000000" w:csb0="000001FF" w:csb1="00000000"/>
  </w:font>
  <w:font w:name="Garamond">
    <w:panose1 w:val="02020404030301010803"/>
    <w:charset w:val="A2"/>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0" w:usb1="08070000" w:usb2="00000010" w:usb3="00000000" w:csb0="00020000" w:csb1="00000000"/>
  </w:font>
  <w:font w:name="Calibri Light">
    <w:panose1 w:val="020F0302020204030204"/>
    <w:charset w:val="A2"/>
    <w:family w:val="swiss"/>
    <w:pitch w:val="variable"/>
    <w:sig w:usb0="E0002AFF" w:usb1="C000247B" w:usb2="00000009" w:usb3="00000000" w:csb0="000001FF" w:csb1="00000000"/>
  </w:font>
  <w:font w:name="Calibri">
    <w:panose1 w:val="020F05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0EB9" w:rsidRDefault="00400EB9" w:rsidP="00BD4724">
    <w:pPr>
      <w:pStyle w:val="AltBilgi"/>
      <w:tabs>
        <w:tab w:val="clear" w:pos="4536"/>
        <w:tab w:val="clear" w:pos="9072"/>
        <w:tab w:val="left" w:pos="9529"/>
      </w:tabs>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0A4A" w:rsidRDefault="00F20A4A">
      <w:r>
        <w:separator/>
      </w:r>
    </w:p>
  </w:footnote>
  <w:footnote w:type="continuationSeparator" w:id="0">
    <w:p w:rsidR="00F20A4A" w:rsidRDefault="00F20A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0EB9" w:rsidRDefault="00400EB9">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BB07F8"/>
    <w:multiLevelType w:val="hybridMultilevel"/>
    <w:tmpl w:val="21D2CD5A"/>
    <w:lvl w:ilvl="0" w:tplc="0F1AAFC8">
      <w:start w:val="1"/>
      <w:numFmt w:val="decimal"/>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F520F7E"/>
    <w:multiLevelType w:val="multilevel"/>
    <w:tmpl w:val="14D0CD30"/>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5FF032D4"/>
    <w:multiLevelType w:val="multilevel"/>
    <w:tmpl w:val="154A03AE"/>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7A7A5F0C"/>
    <w:multiLevelType w:val="hybridMultilevel"/>
    <w:tmpl w:val="1652C73E"/>
    <w:lvl w:ilvl="0" w:tplc="F9387586">
      <w:start w:val="5"/>
      <w:numFmt w:val="decimal"/>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isplayBackgroundShape/>
  <w:gutterAtTop/>
  <w:hideGrammaticalErrors/>
  <w:defaultTabStop w:val="357"/>
  <w:hyphenationZone w:val="425"/>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4201"/>
    <w:rsid w:val="00000ED5"/>
    <w:rsid w:val="00000FA3"/>
    <w:rsid w:val="00001490"/>
    <w:rsid w:val="000014DA"/>
    <w:rsid w:val="00002DAA"/>
    <w:rsid w:val="0000430C"/>
    <w:rsid w:val="0000641A"/>
    <w:rsid w:val="00006558"/>
    <w:rsid w:val="00006960"/>
    <w:rsid w:val="00006D5A"/>
    <w:rsid w:val="00006DAD"/>
    <w:rsid w:val="000128DC"/>
    <w:rsid w:val="0001506B"/>
    <w:rsid w:val="000157F2"/>
    <w:rsid w:val="0001582F"/>
    <w:rsid w:val="0001665D"/>
    <w:rsid w:val="000170E8"/>
    <w:rsid w:val="0001715A"/>
    <w:rsid w:val="000174E6"/>
    <w:rsid w:val="00017BAE"/>
    <w:rsid w:val="00017E31"/>
    <w:rsid w:val="000207DA"/>
    <w:rsid w:val="00021A58"/>
    <w:rsid w:val="00022BE4"/>
    <w:rsid w:val="00022FA6"/>
    <w:rsid w:val="00023BCC"/>
    <w:rsid w:val="0002593D"/>
    <w:rsid w:val="00026DA8"/>
    <w:rsid w:val="00030BAE"/>
    <w:rsid w:val="00031B8C"/>
    <w:rsid w:val="00031EF4"/>
    <w:rsid w:val="00032151"/>
    <w:rsid w:val="00032B72"/>
    <w:rsid w:val="00032D04"/>
    <w:rsid w:val="000335FA"/>
    <w:rsid w:val="000347DC"/>
    <w:rsid w:val="00034C6B"/>
    <w:rsid w:val="00036684"/>
    <w:rsid w:val="0003698B"/>
    <w:rsid w:val="0003701D"/>
    <w:rsid w:val="0003706C"/>
    <w:rsid w:val="000373A2"/>
    <w:rsid w:val="000379D3"/>
    <w:rsid w:val="00040079"/>
    <w:rsid w:val="00040B60"/>
    <w:rsid w:val="00040D20"/>
    <w:rsid w:val="000424D9"/>
    <w:rsid w:val="00042B13"/>
    <w:rsid w:val="00042B99"/>
    <w:rsid w:val="00043991"/>
    <w:rsid w:val="00043B65"/>
    <w:rsid w:val="000446CD"/>
    <w:rsid w:val="00045065"/>
    <w:rsid w:val="000460DF"/>
    <w:rsid w:val="00050A1E"/>
    <w:rsid w:val="00051130"/>
    <w:rsid w:val="000513CD"/>
    <w:rsid w:val="00051791"/>
    <w:rsid w:val="0005360C"/>
    <w:rsid w:val="00054177"/>
    <w:rsid w:val="00055C84"/>
    <w:rsid w:val="00055EEA"/>
    <w:rsid w:val="00057562"/>
    <w:rsid w:val="000579FB"/>
    <w:rsid w:val="000602BD"/>
    <w:rsid w:val="000617D3"/>
    <w:rsid w:val="00063E39"/>
    <w:rsid w:val="00064D77"/>
    <w:rsid w:val="00067354"/>
    <w:rsid w:val="00067D03"/>
    <w:rsid w:val="000711C0"/>
    <w:rsid w:val="000718D3"/>
    <w:rsid w:val="00071E18"/>
    <w:rsid w:val="00071EDF"/>
    <w:rsid w:val="00074808"/>
    <w:rsid w:val="000753C7"/>
    <w:rsid w:val="00075D14"/>
    <w:rsid w:val="0007770D"/>
    <w:rsid w:val="00077816"/>
    <w:rsid w:val="00077966"/>
    <w:rsid w:val="0008027C"/>
    <w:rsid w:val="000808EC"/>
    <w:rsid w:val="00081948"/>
    <w:rsid w:val="00083ABC"/>
    <w:rsid w:val="00083D4C"/>
    <w:rsid w:val="0008559E"/>
    <w:rsid w:val="000856D7"/>
    <w:rsid w:val="000865CB"/>
    <w:rsid w:val="00086F2F"/>
    <w:rsid w:val="0008759A"/>
    <w:rsid w:val="0008766D"/>
    <w:rsid w:val="00087A36"/>
    <w:rsid w:val="000924A1"/>
    <w:rsid w:val="000925EE"/>
    <w:rsid w:val="00092C3E"/>
    <w:rsid w:val="00093829"/>
    <w:rsid w:val="00094A4B"/>
    <w:rsid w:val="000954B2"/>
    <w:rsid w:val="000966C4"/>
    <w:rsid w:val="000A0655"/>
    <w:rsid w:val="000A0D6B"/>
    <w:rsid w:val="000A2DE8"/>
    <w:rsid w:val="000A3337"/>
    <w:rsid w:val="000A3490"/>
    <w:rsid w:val="000A45DA"/>
    <w:rsid w:val="000A6C13"/>
    <w:rsid w:val="000A758A"/>
    <w:rsid w:val="000A77B2"/>
    <w:rsid w:val="000A7B8F"/>
    <w:rsid w:val="000B01C9"/>
    <w:rsid w:val="000B06E4"/>
    <w:rsid w:val="000B0BBC"/>
    <w:rsid w:val="000B1757"/>
    <w:rsid w:val="000B1C87"/>
    <w:rsid w:val="000B28E5"/>
    <w:rsid w:val="000B3786"/>
    <w:rsid w:val="000B3CAE"/>
    <w:rsid w:val="000B440E"/>
    <w:rsid w:val="000B44ED"/>
    <w:rsid w:val="000B5F0B"/>
    <w:rsid w:val="000B6EE9"/>
    <w:rsid w:val="000B7159"/>
    <w:rsid w:val="000B7BF2"/>
    <w:rsid w:val="000C0149"/>
    <w:rsid w:val="000C262C"/>
    <w:rsid w:val="000C37E7"/>
    <w:rsid w:val="000C62FC"/>
    <w:rsid w:val="000C6921"/>
    <w:rsid w:val="000D1400"/>
    <w:rsid w:val="000D206B"/>
    <w:rsid w:val="000D216F"/>
    <w:rsid w:val="000D25AE"/>
    <w:rsid w:val="000D32AF"/>
    <w:rsid w:val="000D45AA"/>
    <w:rsid w:val="000D6037"/>
    <w:rsid w:val="000D63DE"/>
    <w:rsid w:val="000D6EAA"/>
    <w:rsid w:val="000D72DD"/>
    <w:rsid w:val="000D76D7"/>
    <w:rsid w:val="000E3A0E"/>
    <w:rsid w:val="000E4B4F"/>
    <w:rsid w:val="000E5193"/>
    <w:rsid w:val="000E5D3C"/>
    <w:rsid w:val="000E734D"/>
    <w:rsid w:val="000E7D9A"/>
    <w:rsid w:val="000F1AEE"/>
    <w:rsid w:val="000F1C6A"/>
    <w:rsid w:val="000F30BD"/>
    <w:rsid w:val="000F3658"/>
    <w:rsid w:val="000F3BBA"/>
    <w:rsid w:val="000F6EC6"/>
    <w:rsid w:val="000F798A"/>
    <w:rsid w:val="000F7997"/>
    <w:rsid w:val="00100060"/>
    <w:rsid w:val="00101B68"/>
    <w:rsid w:val="00101DFD"/>
    <w:rsid w:val="00102A01"/>
    <w:rsid w:val="001046A3"/>
    <w:rsid w:val="001046DC"/>
    <w:rsid w:val="00104A8C"/>
    <w:rsid w:val="001057A7"/>
    <w:rsid w:val="0010591E"/>
    <w:rsid w:val="001102D8"/>
    <w:rsid w:val="00111A83"/>
    <w:rsid w:val="00112107"/>
    <w:rsid w:val="001126BA"/>
    <w:rsid w:val="00113929"/>
    <w:rsid w:val="001143DE"/>
    <w:rsid w:val="0011472A"/>
    <w:rsid w:val="001169A7"/>
    <w:rsid w:val="00117837"/>
    <w:rsid w:val="0012051F"/>
    <w:rsid w:val="00120898"/>
    <w:rsid w:val="00121476"/>
    <w:rsid w:val="001221BB"/>
    <w:rsid w:val="001228B9"/>
    <w:rsid w:val="00122920"/>
    <w:rsid w:val="00122AD9"/>
    <w:rsid w:val="00124096"/>
    <w:rsid w:val="00125664"/>
    <w:rsid w:val="001257B0"/>
    <w:rsid w:val="0012580B"/>
    <w:rsid w:val="00126BB6"/>
    <w:rsid w:val="001276CD"/>
    <w:rsid w:val="001302EC"/>
    <w:rsid w:val="00130326"/>
    <w:rsid w:val="001305C0"/>
    <w:rsid w:val="00130EB7"/>
    <w:rsid w:val="001322ED"/>
    <w:rsid w:val="00132417"/>
    <w:rsid w:val="00132658"/>
    <w:rsid w:val="0013499C"/>
    <w:rsid w:val="001351F8"/>
    <w:rsid w:val="00136A61"/>
    <w:rsid w:val="00141ABB"/>
    <w:rsid w:val="00141B3F"/>
    <w:rsid w:val="001421E5"/>
    <w:rsid w:val="001435F1"/>
    <w:rsid w:val="00143B15"/>
    <w:rsid w:val="00145955"/>
    <w:rsid w:val="0014600D"/>
    <w:rsid w:val="00146D32"/>
    <w:rsid w:val="00150555"/>
    <w:rsid w:val="00150AAC"/>
    <w:rsid w:val="00151803"/>
    <w:rsid w:val="00152172"/>
    <w:rsid w:val="001534CC"/>
    <w:rsid w:val="00153BC4"/>
    <w:rsid w:val="0015454D"/>
    <w:rsid w:val="00157AB1"/>
    <w:rsid w:val="00161548"/>
    <w:rsid w:val="00161E7C"/>
    <w:rsid w:val="00163C3E"/>
    <w:rsid w:val="0016461B"/>
    <w:rsid w:val="00164FC7"/>
    <w:rsid w:val="00164FF4"/>
    <w:rsid w:val="0016519E"/>
    <w:rsid w:val="001653EB"/>
    <w:rsid w:val="001659D5"/>
    <w:rsid w:val="00166437"/>
    <w:rsid w:val="00166EBF"/>
    <w:rsid w:val="00167798"/>
    <w:rsid w:val="0017061B"/>
    <w:rsid w:val="00171C39"/>
    <w:rsid w:val="0017241B"/>
    <w:rsid w:val="0017269F"/>
    <w:rsid w:val="00174CD8"/>
    <w:rsid w:val="00175D49"/>
    <w:rsid w:val="00176946"/>
    <w:rsid w:val="00176FB0"/>
    <w:rsid w:val="00182973"/>
    <w:rsid w:val="00182A6C"/>
    <w:rsid w:val="0018478C"/>
    <w:rsid w:val="0018577F"/>
    <w:rsid w:val="00186471"/>
    <w:rsid w:val="00186A7A"/>
    <w:rsid w:val="001876C9"/>
    <w:rsid w:val="00187BFA"/>
    <w:rsid w:val="0019004B"/>
    <w:rsid w:val="0019009B"/>
    <w:rsid w:val="00190450"/>
    <w:rsid w:val="00190B78"/>
    <w:rsid w:val="00190DC4"/>
    <w:rsid w:val="00191736"/>
    <w:rsid w:val="0019405E"/>
    <w:rsid w:val="00194A98"/>
    <w:rsid w:val="00194C3D"/>
    <w:rsid w:val="001971B5"/>
    <w:rsid w:val="001972FE"/>
    <w:rsid w:val="001A4A53"/>
    <w:rsid w:val="001A5A2B"/>
    <w:rsid w:val="001A5A36"/>
    <w:rsid w:val="001A6768"/>
    <w:rsid w:val="001A76DD"/>
    <w:rsid w:val="001A7F5C"/>
    <w:rsid w:val="001B2701"/>
    <w:rsid w:val="001B36CE"/>
    <w:rsid w:val="001B3785"/>
    <w:rsid w:val="001B3B60"/>
    <w:rsid w:val="001B3FD2"/>
    <w:rsid w:val="001B4A6E"/>
    <w:rsid w:val="001B7396"/>
    <w:rsid w:val="001B75B1"/>
    <w:rsid w:val="001C07DA"/>
    <w:rsid w:val="001C07EE"/>
    <w:rsid w:val="001C1424"/>
    <w:rsid w:val="001C1EB0"/>
    <w:rsid w:val="001C242B"/>
    <w:rsid w:val="001C268B"/>
    <w:rsid w:val="001C5A83"/>
    <w:rsid w:val="001C5B7D"/>
    <w:rsid w:val="001C5CBC"/>
    <w:rsid w:val="001C7BB5"/>
    <w:rsid w:val="001D001B"/>
    <w:rsid w:val="001D00FE"/>
    <w:rsid w:val="001D0F06"/>
    <w:rsid w:val="001D108C"/>
    <w:rsid w:val="001D1403"/>
    <w:rsid w:val="001D2435"/>
    <w:rsid w:val="001D2BF5"/>
    <w:rsid w:val="001D3669"/>
    <w:rsid w:val="001D72BF"/>
    <w:rsid w:val="001E07B4"/>
    <w:rsid w:val="001E2451"/>
    <w:rsid w:val="001E4E25"/>
    <w:rsid w:val="001E51ED"/>
    <w:rsid w:val="001E59D5"/>
    <w:rsid w:val="001E6882"/>
    <w:rsid w:val="001E7094"/>
    <w:rsid w:val="001E726D"/>
    <w:rsid w:val="001F0BB7"/>
    <w:rsid w:val="001F1111"/>
    <w:rsid w:val="001F2060"/>
    <w:rsid w:val="001F3D2D"/>
    <w:rsid w:val="001F45C4"/>
    <w:rsid w:val="001F4693"/>
    <w:rsid w:val="001F7E7D"/>
    <w:rsid w:val="00200B0F"/>
    <w:rsid w:val="0020167B"/>
    <w:rsid w:val="00203069"/>
    <w:rsid w:val="00203C91"/>
    <w:rsid w:val="0020432B"/>
    <w:rsid w:val="00204A0D"/>
    <w:rsid w:val="002051BE"/>
    <w:rsid w:val="00205EAB"/>
    <w:rsid w:val="00206F8B"/>
    <w:rsid w:val="002076CA"/>
    <w:rsid w:val="0021082B"/>
    <w:rsid w:val="00210F20"/>
    <w:rsid w:val="0021154A"/>
    <w:rsid w:val="002115F6"/>
    <w:rsid w:val="002125E2"/>
    <w:rsid w:val="00212EC7"/>
    <w:rsid w:val="002131B3"/>
    <w:rsid w:val="00213449"/>
    <w:rsid w:val="0021396F"/>
    <w:rsid w:val="00214FE8"/>
    <w:rsid w:val="00221315"/>
    <w:rsid w:val="002215A8"/>
    <w:rsid w:val="00221C80"/>
    <w:rsid w:val="00221EC2"/>
    <w:rsid w:val="00222BB2"/>
    <w:rsid w:val="00223920"/>
    <w:rsid w:val="002261D2"/>
    <w:rsid w:val="00226BCE"/>
    <w:rsid w:val="00226FB6"/>
    <w:rsid w:val="0022780C"/>
    <w:rsid w:val="002304D6"/>
    <w:rsid w:val="00231337"/>
    <w:rsid w:val="00233C7D"/>
    <w:rsid w:val="00235542"/>
    <w:rsid w:val="0023793B"/>
    <w:rsid w:val="00237BA2"/>
    <w:rsid w:val="00241ADA"/>
    <w:rsid w:val="00242673"/>
    <w:rsid w:val="00243666"/>
    <w:rsid w:val="002438AD"/>
    <w:rsid w:val="002446BD"/>
    <w:rsid w:val="002468C7"/>
    <w:rsid w:val="002509C9"/>
    <w:rsid w:val="0025114F"/>
    <w:rsid w:val="00251887"/>
    <w:rsid w:val="002526F8"/>
    <w:rsid w:val="0025290B"/>
    <w:rsid w:val="00256B12"/>
    <w:rsid w:val="0025723E"/>
    <w:rsid w:val="00257840"/>
    <w:rsid w:val="00261B91"/>
    <w:rsid w:val="00263201"/>
    <w:rsid w:val="002638A9"/>
    <w:rsid w:val="00263FFA"/>
    <w:rsid w:val="00264113"/>
    <w:rsid w:val="00264450"/>
    <w:rsid w:val="00266C33"/>
    <w:rsid w:val="0027429C"/>
    <w:rsid w:val="0027642A"/>
    <w:rsid w:val="00286163"/>
    <w:rsid w:val="002861CC"/>
    <w:rsid w:val="002868B7"/>
    <w:rsid w:val="002879D1"/>
    <w:rsid w:val="0029018C"/>
    <w:rsid w:val="00292667"/>
    <w:rsid w:val="0029360A"/>
    <w:rsid w:val="00293B68"/>
    <w:rsid w:val="00295E5A"/>
    <w:rsid w:val="00295EA6"/>
    <w:rsid w:val="002964F1"/>
    <w:rsid w:val="002A0373"/>
    <w:rsid w:val="002A1DE4"/>
    <w:rsid w:val="002A3910"/>
    <w:rsid w:val="002A5D83"/>
    <w:rsid w:val="002A6B74"/>
    <w:rsid w:val="002A77E2"/>
    <w:rsid w:val="002B1794"/>
    <w:rsid w:val="002B22B0"/>
    <w:rsid w:val="002B3F5D"/>
    <w:rsid w:val="002B46A6"/>
    <w:rsid w:val="002B4CCF"/>
    <w:rsid w:val="002B6FA2"/>
    <w:rsid w:val="002B7CF8"/>
    <w:rsid w:val="002C059B"/>
    <w:rsid w:val="002C0625"/>
    <w:rsid w:val="002C0BF3"/>
    <w:rsid w:val="002C1B62"/>
    <w:rsid w:val="002C2924"/>
    <w:rsid w:val="002C3680"/>
    <w:rsid w:val="002C3CC3"/>
    <w:rsid w:val="002C4451"/>
    <w:rsid w:val="002C609D"/>
    <w:rsid w:val="002C7256"/>
    <w:rsid w:val="002D15A9"/>
    <w:rsid w:val="002D2F0B"/>
    <w:rsid w:val="002D3479"/>
    <w:rsid w:val="002D35AA"/>
    <w:rsid w:val="002D503F"/>
    <w:rsid w:val="002D5B4C"/>
    <w:rsid w:val="002D7236"/>
    <w:rsid w:val="002E019D"/>
    <w:rsid w:val="002E0CCE"/>
    <w:rsid w:val="002E109D"/>
    <w:rsid w:val="002E1F68"/>
    <w:rsid w:val="002E2ACF"/>
    <w:rsid w:val="002E33A8"/>
    <w:rsid w:val="002E33F1"/>
    <w:rsid w:val="002E4C5A"/>
    <w:rsid w:val="002E54ED"/>
    <w:rsid w:val="002E7C9B"/>
    <w:rsid w:val="002F05C1"/>
    <w:rsid w:val="002F1132"/>
    <w:rsid w:val="002F370C"/>
    <w:rsid w:val="00300712"/>
    <w:rsid w:val="00302B56"/>
    <w:rsid w:val="00302C3D"/>
    <w:rsid w:val="00303F1A"/>
    <w:rsid w:val="0030414B"/>
    <w:rsid w:val="00305B2A"/>
    <w:rsid w:val="00305D50"/>
    <w:rsid w:val="003077EF"/>
    <w:rsid w:val="00311D0C"/>
    <w:rsid w:val="00315FB9"/>
    <w:rsid w:val="00317CF7"/>
    <w:rsid w:val="00320ABC"/>
    <w:rsid w:val="00320EB1"/>
    <w:rsid w:val="00321AAF"/>
    <w:rsid w:val="003220CB"/>
    <w:rsid w:val="0032265B"/>
    <w:rsid w:val="00322D81"/>
    <w:rsid w:val="0032311C"/>
    <w:rsid w:val="00323BB5"/>
    <w:rsid w:val="00323D68"/>
    <w:rsid w:val="00323D6B"/>
    <w:rsid w:val="00325507"/>
    <w:rsid w:val="00326E61"/>
    <w:rsid w:val="0033242A"/>
    <w:rsid w:val="003325D8"/>
    <w:rsid w:val="00334929"/>
    <w:rsid w:val="00334E1F"/>
    <w:rsid w:val="00334EDA"/>
    <w:rsid w:val="00335F2E"/>
    <w:rsid w:val="00336456"/>
    <w:rsid w:val="003402E3"/>
    <w:rsid w:val="00340E35"/>
    <w:rsid w:val="00340FAA"/>
    <w:rsid w:val="003418F0"/>
    <w:rsid w:val="00341C9F"/>
    <w:rsid w:val="00341CD9"/>
    <w:rsid w:val="00341D99"/>
    <w:rsid w:val="00341EBE"/>
    <w:rsid w:val="003422AF"/>
    <w:rsid w:val="0034299F"/>
    <w:rsid w:val="00342F0E"/>
    <w:rsid w:val="0034328B"/>
    <w:rsid w:val="003436B5"/>
    <w:rsid w:val="00343DBB"/>
    <w:rsid w:val="00344DA7"/>
    <w:rsid w:val="00345786"/>
    <w:rsid w:val="00347561"/>
    <w:rsid w:val="00347840"/>
    <w:rsid w:val="003510A3"/>
    <w:rsid w:val="003514D8"/>
    <w:rsid w:val="003516B3"/>
    <w:rsid w:val="00351DDC"/>
    <w:rsid w:val="00351FDA"/>
    <w:rsid w:val="00353184"/>
    <w:rsid w:val="00353B7E"/>
    <w:rsid w:val="00355886"/>
    <w:rsid w:val="0035752E"/>
    <w:rsid w:val="00360D7D"/>
    <w:rsid w:val="00361FF5"/>
    <w:rsid w:val="00363DE2"/>
    <w:rsid w:val="003642DA"/>
    <w:rsid w:val="00364A60"/>
    <w:rsid w:val="00365FF0"/>
    <w:rsid w:val="00366AC6"/>
    <w:rsid w:val="00367162"/>
    <w:rsid w:val="00370B1E"/>
    <w:rsid w:val="00371AD9"/>
    <w:rsid w:val="0037251B"/>
    <w:rsid w:val="00372D3B"/>
    <w:rsid w:val="00373F29"/>
    <w:rsid w:val="0037465B"/>
    <w:rsid w:val="00374A0D"/>
    <w:rsid w:val="00375AAE"/>
    <w:rsid w:val="0037617A"/>
    <w:rsid w:val="00376E8D"/>
    <w:rsid w:val="00380159"/>
    <w:rsid w:val="003803B2"/>
    <w:rsid w:val="00380A12"/>
    <w:rsid w:val="00381410"/>
    <w:rsid w:val="00381A01"/>
    <w:rsid w:val="0038237F"/>
    <w:rsid w:val="0038271E"/>
    <w:rsid w:val="00382B09"/>
    <w:rsid w:val="00384028"/>
    <w:rsid w:val="003840A3"/>
    <w:rsid w:val="00386027"/>
    <w:rsid w:val="0038614A"/>
    <w:rsid w:val="00386778"/>
    <w:rsid w:val="00390B76"/>
    <w:rsid w:val="00391221"/>
    <w:rsid w:val="00392F90"/>
    <w:rsid w:val="0039361E"/>
    <w:rsid w:val="003938F0"/>
    <w:rsid w:val="00394AB0"/>
    <w:rsid w:val="003A078F"/>
    <w:rsid w:val="003A0B3D"/>
    <w:rsid w:val="003A1113"/>
    <w:rsid w:val="003A2778"/>
    <w:rsid w:val="003A28E3"/>
    <w:rsid w:val="003A2AA0"/>
    <w:rsid w:val="003A449C"/>
    <w:rsid w:val="003A4634"/>
    <w:rsid w:val="003A56C1"/>
    <w:rsid w:val="003A59EB"/>
    <w:rsid w:val="003A59FB"/>
    <w:rsid w:val="003B0554"/>
    <w:rsid w:val="003B0F76"/>
    <w:rsid w:val="003B1A87"/>
    <w:rsid w:val="003B1DBC"/>
    <w:rsid w:val="003B2000"/>
    <w:rsid w:val="003B2137"/>
    <w:rsid w:val="003B2D4C"/>
    <w:rsid w:val="003B426A"/>
    <w:rsid w:val="003B670C"/>
    <w:rsid w:val="003B7352"/>
    <w:rsid w:val="003C1369"/>
    <w:rsid w:val="003C188C"/>
    <w:rsid w:val="003C36CA"/>
    <w:rsid w:val="003C3861"/>
    <w:rsid w:val="003C457D"/>
    <w:rsid w:val="003C6689"/>
    <w:rsid w:val="003C6CB7"/>
    <w:rsid w:val="003C6F38"/>
    <w:rsid w:val="003C7B03"/>
    <w:rsid w:val="003D123F"/>
    <w:rsid w:val="003D2294"/>
    <w:rsid w:val="003D2AAC"/>
    <w:rsid w:val="003D3349"/>
    <w:rsid w:val="003D41F9"/>
    <w:rsid w:val="003D4467"/>
    <w:rsid w:val="003D4E5B"/>
    <w:rsid w:val="003D5AE8"/>
    <w:rsid w:val="003D5BF1"/>
    <w:rsid w:val="003D6D2B"/>
    <w:rsid w:val="003D6EBA"/>
    <w:rsid w:val="003D7E00"/>
    <w:rsid w:val="003D7F73"/>
    <w:rsid w:val="003E0D34"/>
    <w:rsid w:val="003E2402"/>
    <w:rsid w:val="003E6769"/>
    <w:rsid w:val="003E7EA4"/>
    <w:rsid w:val="003F0663"/>
    <w:rsid w:val="003F1387"/>
    <w:rsid w:val="003F1DAD"/>
    <w:rsid w:val="003F243B"/>
    <w:rsid w:val="003F2EB7"/>
    <w:rsid w:val="003F4461"/>
    <w:rsid w:val="003F48BF"/>
    <w:rsid w:val="003F6152"/>
    <w:rsid w:val="003F6487"/>
    <w:rsid w:val="003F6E8A"/>
    <w:rsid w:val="003F7FD6"/>
    <w:rsid w:val="00400290"/>
    <w:rsid w:val="00400EB9"/>
    <w:rsid w:val="00401693"/>
    <w:rsid w:val="00402840"/>
    <w:rsid w:val="00403829"/>
    <w:rsid w:val="00403B65"/>
    <w:rsid w:val="004065AB"/>
    <w:rsid w:val="00406B4A"/>
    <w:rsid w:val="00407128"/>
    <w:rsid w:val="004077B4"/>
    <w:rsid w:val="00411537"/>
    <w:rsid w:val="00412765"/>
    <w:rsid w:val="004141F9"/>
    <w:rsid w:val="00414633"/>
    <w:rsid w:val="00414AFA"/>
    <w:rsid w:val="00416FCE"/>
    <w:rsid w:val="004173B0"/>
    <w:rsid w:val="00417613"/>
    <w:rsid w:val="00421D71"/>
    <w:rsid w:val="00422631"/>
    <w:rsid w:val="0042422B"/>
    <w:rsid w:val="004242C9"/>
    <w:rsid w:val="00424DD0"/>
    <w:rsid w:val="00430509"/>
    <w:rsid w:val="004310FE"/>
    <w:rsid w:val="00431C6F"/>
    <w:rsid w:val="00434246"/>
    <w:rsid w:val="004364CB"/>
    <w:rsid w:val="00436B0D"/>
    <w:rsid w:val="00436E97"/>
    <w:rsid w:val="004377F4"/>
    <w:rsid w:val="00437DA4"/>
    <w:rsid w:val="004405D6"/>
    <w:rsid w:val="00441FE9"/>
    <w:rsid w:val="004420D1"/>
    <w:rsid w:val="00443D77"/>
    <w:rsid w:val="00444F2D"/>
    <w:rsid w:val="00444F3F"/>
    <w:rsid w:val="00445ACE"/>
    <w:rsid w:val="00447F97"/>
    <w:rsid w:val="00450BC6"/>
    <w:rsid w:val="00450F40"/>
    <w:rsid w:val="00451237"/>
    <w:rsid w:val="00452A12"/>
    <w:rsid w:val="00452B73"/>
    <w:rsid w:val="00454786"/>
    <w:rsid w:val="00454F59"/>
    <w:rsid w:val="0045672F"/>
    <w:rsid w:val="00456C74"/>
    <w:rsid w:val="00460CAE"/>
    <w:rsid w:val="00464771"/>
    <w:rsid w:val="004677BF"/>
    <w:rsid w:val="00467DFE"/>
    <w:rsid w:val="00470487"/>
    <w:rsid w:val="00470549"/>
    <w:rsid w:val="00470C16"/>
    <w:rsid w:val="00473C66"/>
    <w:rsid w:val="00473FAA"/>
    <w:rsid w:val="00474CB7"/>
    <w:rsid w:val="00475C80"/>
    <w:rsid w:val="00475EB4"/>
    <w:rsid w:val="0047649C"/>
    <w:rsid w:val="0047764E"/>
    <w:rsid w:val="00477A4F"/>
    <w:rsid w:val="00480EB7"/>
    <w:rsid w:val="00482487"/>
    <w:rsid w:val="0048279E"/>
    <w:rsid w:val="004828D0"/>
    <w:rsid w:val="0048576C"/>
    <w:rsid w:val="004862A4"/>
    <w:rsid w:val="00486E42"/>
    <w:rsid w:val="00490009"/>
    <w:rsid w:val="00490085"/>
    <w:rsid w:val="00491262"/>
    <w:rsid w:val="00491609"/>
    <w:rsid w:val="00491B15"/>
    <w:rsid w:val="004963B8"/>
    <w:rsid w:val="00497A2F"/>
    <w:rsid w:val="004A0AD4"/>
    <w:rsid w:val="004A2166"/>
    <w:rsid w:val="004A4A9B"/>
    <w:rsid w:val="004A51DC"/>
    <w:rsid w:val="004A6997"/>
    <w:rsid w:val="004A7348"/>
    <w:rsid w:val="004B1F70"/>
    <w:rsid w:val="004B296D"/>
    <w:rsid w:val="004B6771"/>
    <w:rsid w:val="004B74BB"/>
    <w:rsid w:val="004C1711"/>
    <w:rsid w:val="004C3938"/>
    <w:rsid w:val="004C50FF"/>
    <w:rsid w:val="004C5B4B"/>
    <w:rsid w:val="004D1081"/>
    <w:rsid w:val="004D1C54"/>
    <w:rsid w:val="004D2A07"/>
    <w:rsid w:val="004D3586"/>
    <w:rsid w:val="004D4701"/>
    <w:rsid w:val="004D4A27"/>
    <w:rsid w:val="004D5190"/>
    <w:rsid w:val="004E29A6"/>
    <w:rsid w:val="004E6BCF"/>
    <w:rsid w:val="004E6FBC"/>
    <w:rsid w:val="004E78AF"/>
    <w:rsid w:val="004F2FA0"/>
    <w:rsid w:val="004F39CA"/>
    <w:rsid w:val="004F5B74"/>
    <w:rsid w:val="004F69F9"/>
    <w:rsid w:val="004F6FFD"/>
    <w:rsid w:val="004F71A5"/>
    <w:rsid w:val="004F7F43"/>
    <w:rsid w:val="0050107D"/>
    <w:rsid w:val="0050122C"/>
    <w:rsid w:val="00502F79"/>
    <w:rsid w:val="0050348A"/>
    <w:rsid w:val="00503930"/>
    <w:rsid w:val="00504B7A"/>
    <w:rsid w:val="005056F1"/>
    <w:rsid w:val="005059A2"/>
    <w:rsid w:val="00507119"/>
    <w:rsid w:val="005118E1"/>
    <w:rsid w:val="0051200F"/>
    <w:rsid w:val="0051204A"/>
    <w:rsid w:val="0051207B"/>
    <w:rsid w:val="00512169"/>
    <w:rsid w:val="00512587"/>
    <w:rsid w:val="005134E1"/>
    <w:rsid w:val="00513726"/>
    <w:rsid w:val="00514730"/>
    <w:rsid w:val="00514E6C"/>
    <w:rsid w:val="00514FB8"/>
    <w:rsid w:val="00515925"/>
    <w:rsid w:val="0051655D"/>
    <w:rsid w:val="0051703B"/>
    <w:rsid w:val="00517CE7"/>
    <w:rsid w:val="00520952"/>
    <w:rsid w:val="00523809"/>
    <w:rsid w:val="00523C41"/>
    <w:rsid w:val="00524015"/>
    <w:rsid w:val="0052592A"/>
    <w:rsid w:val="00526EEC"/>
    <w:rsid w:val="0052764A"/>
    <w:rsid w:val="00527F26"/>
    <w:rsid w:val="00530A65"/>
    <w:rsid w:val="00530D50"/>
    <w:rsid w:val="005328DC"/>
    <w:rsid w:val="00534D98"/>
    <w:rsid w:val="005350A5"/>
    <w:rsid w:val="00535878"/>
    <w:rsid w:val="0053613C"/>
    <w:rsid w:val="005363C6"/>
    <w:rsid w:val="00536559"/>
    <w:rsid w:val="00542B51"/>
    <w:rsid w:val="00543A2D"/>
    <w:rsid w:val="00544075"/>
    <w:rsid w:val="0054491B"/>
    <w:rsid w:val="0054682C"/>
    <w:rsid w:val="005468E0"/>
    <w:rsid w:val="00547C8C"/>
    <w:rsid w:val="00550715"/>
    <w:rsid w:val="0055153D"/>
    <w:rsid w:val="00552261"/>
    <w:rsid w:val="00552378"/>
    <w:rsid w:val="00552690"/>
    <w:rsid w:val="00552E04"/>
    <w:rsid w:val="00553543"/>
    <w:rsid w:val="0055393D"/>
    <w:rsid w:val="00554FF8"/>
    <w:rsid w:val="0055544E"/>
    <w:rsid w:val="00555DC5"/>
    <w:rsid w:val="00556703"/>
    <w:rsid w:val="00557E8D"/>
    <w:rsid w:val="005605A7"/>
    <w:rsid w:val="00560EFB"/>
    <w:rsid w:val="005622F5"/>
    <w:rsid w:val="00564825"/>
    <w:rsid w:val="00564C75"/>
    <w:rsid w:val="005652E8"/>
    <w:rsid w:val="00565800"/>
    <w:rsid w:val="00566983"/>
    <w:rsid w:val="00566ED6"/>
    <w:rsid w:val="00567BA5"/>
    <w:rsid w:val="00570602"/>
    <w:rsid w:val="00570B9D"/>
    <w:rsid w:val="00570D83"/>
    <w:rsid w:val="005744E0"/>
    <w:rsid w:val="00574BAD"/>
    <w:rsid w:val="005752DB"/>
    <w:rsid w:val="00576BA1"/>
    <w:rsid w:val="00576BE1"/>
    <w:rsid w:val="00582197"/>
    <w:rsid w:val="0058262C"/>
    <w:rsid w:val="00582639"/>
    <w:rsid w:val="00582A31"/>
    <w:rsid w:val="00582C12"/>
    <w:rsid w:val="0058437F"/>
    <w:rsid w:val="00584AA5"/>
    <w:rsid w:val="0059117B"/>
    <w:rsid w:val="00591F81"/>
    <w:rsid w:val="005925AF"/>
    <w:rsid w:val="00596278"/>
    <w:rsid w:val="00596BDD"/>
    <w:rsid w:val="00597E25"/>
    <w:rsid w:val="005A0603"/>
    <w:rsid w:val="005A0D98"/>
    <w:rsid w:val="005A1308"/>
    <w:rsid w:val="005A2A7A"/>
    <w:rsid w:val="005A4028"/>
    <w:rsid w:val="005A6474"/>
    <w:rsid w:val="005A6781"/>
    <w:rsid w:val="005A6AF1"/>
    <w:rsid w:val="005A7681"/>
    <w:rsid w:val="005A7A64"/>
    <w:rsid w:val="005B0D70"/>
    <w:rsid w:val="005B11BD"/>
    <w:rsid w:val="005B2021"/>
    <w:rsid w:val="005B33CD"/>
    <w:rsid w:val="005B34C9"/>
    <w:rsid w:val="005B41D4"/>
    <w:rsid w:val="005B4EC2"/>
    <w:rsid w:val="005B5E39"/>
    <w:rsid w:val="005B5F39"/>
    <w:rsid w:val="005B7FB1"/>
    <w:rsid w:val="005C1FD9"/>
    <w:rsid w:val="005C3683"/>
    <w:rsid w:val="005C4476"/>
    <w:rsid w:val="005C4E57"/>
    <w:rsid w:val="005C57F6"/>
    <w:rsid w:val="005C59FB"/>
    <w:rsid w:val="005C7014"/>
    <w:rsid w:val="005C725C"/>
    <w:rsid w:val="005C72E8"/>
    <w:rsid w:val="005C7949"/>
    <w:rsid w:val="005C7E01"/>
    <w:rsid w:val="005D42D7"/>
    <w:rsid w:val="005D65D1"/>
    <w:rsid w:val="005D6AD0"/>
    <w:rsid w:val="005E0901"/>
    <w:rsid w:val="005E13FD"/>
    <w:rsid w:val="005E18A0"/>
    <w:rsid w:val="005E190D"/>
    <w:rsid w:val="005E2083"/>
    <w:rsid w:val="005E237D"/>
    <w:rsid w:val="005E2C18"/>
    <w:rsid w:val="005E39B2"/>
    <w:rsid w:val="005E48DB"/>
    <w:rsid w:val="005E4CA9"/>
    <w:rsid w:val="005E4D4D"/>
    <w:rsid w:val="005E4FC1"/>
    <w:rsid w:val="005E52AA"/>
    <w:rsid w:val="005E7940"/>
    <w:rsid w:val="005E7D00"/>
    <w:rsid w:val="005F099E"/>
    <w:rsid w:val="005F1621"/>
    <w:rsid w:val="005F37AE"/>
    <w:rsid w:val="005F4B0C"/>
    <w:rsid w:val="005F6A98"/>
    <w:rsid w:val="005F7339"/>
    <w:rsid w:val="005F7371"/>
    <w:rsid w:val="00601A50"/>
    <w:rsid w:val="0060240E"/>
    <w:rsid w:val="00602476"/>
    <w:rsid w:val="006037FA"/>
    <w:rsid w:val="00603F19"/>
    <w:rsid w:val="0060490D"/>
    <w:rsid w:val="0060741A"/>
    <w:rsid w:val="0060752E"/>
    <w:rsid w:val="00614004"/>
    <w:rsid w:val="0061586A"/>
    <w:rsid w:val="00616A47"/>
    <w:rsid w:val="006220A9"/>
    <w:rsid w:val="006222EA"/>
    <w:rsid w:val="00622858"/>
    <w:rsid w:val="00624467"/>
    <w:rsid w:val="00624DC2"/>
    <w:rsid w:val="00624E16"/>
    <w:rsid w:val="00624ED4"/>
    <w:rsid w:val="006259B7"/>
    <w:rsid w:val="006276B4"/>
    <w:rsid w:val="00630D05"/>
    <w:rsid w:val="0063102D"/>
    <w:rsid w:val="00632EEA"/>
    <w:rsid w:val="00634F2E"/>
    <w:rsid w:val="00643F95"/>
    <w:rsid w:val="0064421C"/>
    <w:rsid w:val="006464D9"/>
    <w:rsid w:val="00653CF5"/>
    <w:rsid w:val="00655F9E"/>
    <w:rsid w:val="00655FA8"/>
    <w:rsid w:val="006570A9"/>
    <w:rsid w:val="006570D6"/>
    <w:rsid w:val="00661FC3"/>
    <w:rsid w:val="0066283C"/>
    <w:rsid w:val="0066285A"/>
    <w:rsid w:val="00663C27"/>
    <w:rsid w:val="006640B7"/>
    <w:rsid w:val="006641AB"/>
    <w:rsid w:val="00664667"/>
    <w:rsid w:val="006662AF"/>
    <w:rsid w:val="00666427"/>
    <w:rsid w:val="006679CB"/>
    <w:rsid w:val="006702BD"/>
    <w:rsid w:val="00670D34"/>
    <w:rsid w:val="00670E70"/>
    <w:rsid w:val="006713B0"/>
    <w:rsid w:val="006726E7"/>
    <w:rsid w:val="00672CA8"/>
    <w:rsid w:val="00673327"/>
    <w:rsid w:val="00673868"/>
    <w:rsid w:val="00674E20"/>
    <w:rsid w:val="00675054"/>
    <w:rsid w:val="006757F3"/>
    <w:rsid w:val="00675933"/>
    <w:rsid w:val="006763CD"/>
    <w:rsid w:val="006766FC"/>
    <w:rsid w:val="0068057E"/>
    <w:rsid w:val="00680A41"/>
    <w:rsid w:val="00681A46"/>
    <w:rsid w:val="00682547"/>
    <w:rsid w:val="006827D1"/>
    <w:rsid w:val="00682D8B"/>
    <w:rsid w:val="0068403A"/>
    <w:rsid w:val="0068559F"/>
    <w:rsid w:val="00685A02"/>
    <w:rsid w:val="00687B87"/>
    <w:rsid w:val="00690C3D"/>
    <w:rsid w:val="0069153F"/>
    <w:rsid w:val="00692500"/>
    <w:rsid w:val="00692C8B"/>
    <w:rsid w:val="0069373B"/>
    <w:rsid w:val="00693795"/>
    <w:rsid w:val="00693870"/>
    <w:rsid w:val="006943A8"/>
    <w:rsid w:val="00695421"/>
    <w:rsid w:val="00695657"/>
    <w:rsid w:val="00695813"/>
    <w:rsid w:val="006A2136"/>
    <w:rsid w:val="006A3446"/>
    <w:rsid w:val="006A43F4"/>
    <w:rsid w:val="006A44CD"/>
    <w:rsid w:val="006A5B0C"/>
    <w:rsid w:val="006B08CC"/>
    <w:rsid w:val="006B0982"/>
    <w:rsid w:val="006B2407"/>
    <w:rsid w:val="006B27D3"/>
    <w:rsid w:val="006B466B"/>
    <w:rsid w:val="006B59DA"/>
    <w:rsid w:val="006B6289"/>
    <w:rsid w:val="006B73D7"/>
    <w:rsid w:val="006C06A6"/>
    <w:rsid w:val="006C0967"/>
    <w:rsid w:val="006C0FE7"/>
    <w:rsid w:val="006C13E8"/>
    <w:rsid w:val="006C1A3C"/>
    <w:rsid w:val="006C1B3C"/>
    <w:rsid w:val="006C1D85"/>
    <w:rsid w:val="006C315B"/>
    <w:rsid w:val="006C3D3D"/>
    <w:rsid w:val="006C687C"/>
    <w:rsid w:val="006D1387"/>
    <w:rsid w:val="006D2E3C"/>
    <w:rsid w:val="006D34B8"/>
    <w:rsid w:val="006D44B1"/>
    <w:rsid w:val="006D55C7"/>
    <w:rsid w:val="006D655D"/>
    <w:rsid w:val="006D669C"/>
    <w:rsid w:val="006D6BFC"/>
    <w:rsid w:val="006D6FF3"/>
    <w:rsid w:val="006D7400"/>
    <w:rsid w:val="006D7C45"/>
    <w:rsid w:val="006D7D00"/>
    <w:rsid w:val="006E0424"/>
    <w:rsid w:val="006E084C"/>
    <w:rsid w:val="006E159A"/>
    <w:rsid w:val="006E17A3"/>
    <w:rsid w:val="006E2077"/>
    <w:rsid w:val="006E35A6"/>
    <w:rsid w:val="006E396F"/>
    <w:rsid w:val="006E4030"/>
    <w:rsid w:val="006E40CA"/>
    <w:rsid w:val="006E57AC"/>
    <w:rsid w:val="006E5E9C"/>
    <w:rsid w:val="006E641E"/>
    <w:rsid w:val="006E7748"/>
    <w:rsid w:val="006E774C"/>
    <w:rsid w:val="006F1B73"/>
    <w:rsid w:val="006F44EC"/>
    <w:rsid w:val="006F6334"/>
    <w:rsid w:val="006F6A8F"/>
    <w:rsid w:val="006F77A2"/>
    <w:rsid w:val="006F7BE5"/>
    <w:rsid w:val="007003FE"/>
    <w:rsid w:val="00700571"/>
    <w:rsid w:val="00700F1B"/>
    <w:rsid w:val="007011CB"/>
    <w:rsid w:val="00701654"/>
    <w:rsid w:val="00701AFB"/>
    <w:rsid w:val="00702063"/>
    <w:rsid w:val="00703EF6"/>
    <w:rsid w:val="007072B5"/>
    <w:rsid w:val="007077AF"/>
    <w:rsid w:val="00707A53"/>
    <w:rsid w:val="00710A10"/>
    <w:rsid w:val="00711912"/>
    <w:rsid w:val="00711FEA"/>
    <w:rsid w:val="0071478E"/>
    <w:rsid w:val="00714BAC"/>
    <w:rsid w:val="00714FF4"/>
    <w:rsid w:val="00716D34"/>
    <w:rsid w:val="0072086C"/>
    <w:rsid w:val="00720FC9"/>
    <w:rsid w:val="00724201"/>
    <w:rsid w:val="00726400"/>
    <w:rsid w:val="00727EE7"/>
    <w:rsid w:val="00731C6B"/>
    <w:rsid w:val="00731D63"/>
    <w:rsid w:val="0073375B"/>
    <w:rsid w:val="00733EDF"/>
    <w:rsid w:val="007344BF"/>
    <w:rsid w:val="00741189"/>
    <w:rsid w:val="00742AEF"/>
    <w:rsid w:val="0074307D"/>
    <w:rsid w:val="00744912"/>
    <w:rsid w:val="00744ACE"/>
    <w:rsid w:val="00744B35"/>
    <w:rsid w:val="007453A4"/>
    <w:rsid w:val="0074616F"/>
    <w:rsid w:val="0075072B"/>
    <w:rsid w:val="00752AF2"/>
    <w:rsid w:val="00753D02"/>
    <w:rsid w:val="00755C0A"/>
    <w:rsid w:val="007569D2"/>
    <w:rsid w:val="00757631"/>
    <w:rsid w:val="00760C90"/>
    <w:rsid w:val="00761574"/>
    <w:rsid w:val="00764DB8"/>
    <w:rsid w:val="0076504B"/>
    <w:rsid w:val="0076584F"/>
    <w:rsid w:val="007673FC"/>
    <w:rsid w:val="00770987"/>
    <w:rsid w:val="00770C64"/>
    <w:rsid w:val="00772AC0"/>
    <w:rsid w:val="00773DB9"/>
    <w:rsid w:val="007755DE"/>
    <w:rsid w:val="0077610C"/>
    <w:rsid w:val="00776B55"/>
    <w:rsid w:val="00776FDE"/>
    <w:rsid w:val="00777E30"/>
    <w:rsid w:val="00782364"/>
    <w:rsid w:val="00783FA5"/>
    <w:rsid w:val="007843C5"/>
    <w:rsid w:val="007849FB"/>
    <w:rsid w:val="00784CA0"/>
    <w:rsid w:val="00787D71"/>
    <w:rsid w:val="00791061"/>
    <w:rsid w:val="00791339"/>
    <w:rsid w:val="00791F7A"/>
    <w:rsid w:val="00793655"/>
    <w:rsid w:val="00793FB8"/>
    <w:rsid w:val="007947ED"/>
    <w:rsid w:val="00794D87"/>
    <w:rsid w:val="00795495"/>
    <w:rsid w:val="00795913"/>
    <w:rsid w:val="00795A2F"/>
    <w:rsid w:val="00795CD4"/>
    <w:rsid w:val="007A1AE8"/>
    <w:rsid w:val="007A1D35"/>
    <w:rsid w:val="007A2238"/>
    <w:rsid w:val="007A2EF6"/>
    <w:rsid w:val="007A489B"/>
    <w:rsid w:val="007A4E87"/>
    <w:rsid w:val="007A4F01"/>
    <w:rsid w:val="007A5847"/>
    <w:rsid w:val="007A5A89"/>
    <w:rsid w:val="007A7E8C"/>
    <w:rsid w:val="007B00C8"/>
    <w:rsid w:val="007B18E6"/>
    <w:rsid w:val="007B19FD"/>
    <w:rsid w:val="007B1A88"/>
    <w:rsid w:val="007B1ADE"/>
    <w:rsid w:val="007B1C69"/>
    <w:rsid w:val="007B1D68"/>
    <w:rsid w:val="007B292B"/>
    <w:rsid w:val="007B2BA0"/>
    <w:rsid w:val="007B5059"/>
    <w:rsid w:val="007B5D16"/>
    <w:rsid w:val="007B6C3E"/>
    <w:rsid w:val="007B7960"/>
    <w:rsid w:val="007C051F"/>
    <w:rsid w:val="007C1878"/>
    <w:rsid w:val="007C1F27"/>
    <w:rsid w:val="007C1FCE"/>
    <w:rsid w:val="007C2284"/>
    <w:rsid w:val="007C27DA"/>
    <w:rsid w:val="007C2D93"/>
    <w:rsid w:val="007C3556"/>
    <w:rsid w:val="007C3695"/>
    <w:rsid w:val="007C37A6"/>
    <w:rsid w:val="007C502B"/>
    <w:rsid w:val="007C521A"/>
    <w:rsid w:val="007C73AF"/>
    <w:rsid w:val="007C765E"/>
    <w:rsid w:val="007D0BA9"/>
    <w:rsid w:val="007D196A"/>
    <w:rsid w:val="007D1A8D"/>
    <w:rsid w:val="007D2416"/>
    <w:rsid w:val="007D291F"/>
    <w:rsid w:val="007D2AE1"/>
    <w:rsid w:val="007D458B"/>
    <w:rsid w:val="007D4CBB"/>
    <w:rsid w:val="007D4E4C"/>
    <w:rsid w:val="007D50AB"/>
    <w:rsid w:val="007D51D2"/>
    <w:rsid w:val="007D6627"/>
    <w:rsid w:val="007D6B88"/>
    <w:rsid w:val="007D6DA0"/>
    <w:rsid w:val="007D7E56"/>
    <w:rsid w:val="007E00BD"/>
    <w:rsid w:val="007E05E8"/>
    <w:rsid w:val="007E06FC"/>
    <w:rsid w:val="007E0BD3"/>
    <w:rsid w:val="007E2FFF"/>
    <w:rsid w:val="007E635D"/>
    <w:rsid w:val="007E68E0"/>
    <w:rsid w:val="007E7ACB"/>
    <w:rsid w:val="007F0565"/>
    <w:rsid w:val="007F0A7E"/>
    <w:rsid w:val="007F0B6D"/>
    <w:rsid w:val="007F1315"/>
    <w:rsid w:val="007F1B41"/>
    <w:rsid w:val="007F586C"/>
    <w:rsid w:val="007F5BD7"/>
    <w:rsid w:val="007F5D51"/>
    <w:rsid w:val="007F69ED"/>
    <w:rsid w:val="007F7963"/>
    <w:rsid w:val="00800106"/>
    <w:rsid w:val="00800B4E"/>
    <w:rsid w:val="008012FE"/>
    <w:rsid w:val="008016DC"/>
    <w:rsid w:val="00801BE7"/>
    <w:rsid w:val="00801E55"/>
    <w:rsid w:val="00801EE2"/>
    <w:rsid w:val="00805758"/>
    <w:rsid w:val="00805A07"/>
    <w:rsid w:val="00807B52"/>
    <w:rsid w:val="00807D3B"/>
    <w:rsid w:val="00810519"/>
    <w:rsid w:val="0081086C"/>
    <w:rsid w:val="008145DE"/>
    <w:rsid w:val="00817172"/>
    <w:rsid w:val="008174F4"/>
    <w:rsid w:val="00820E7D"/>
    <w:rsid w:val="00821AFB"/>
    <w:rsid w:val="00823255"/>
    <w:rsid w:val="00823959"/>
    <w:rsid w:val="008240DF"/>
    <w:rsid w:val="0082479F"/>
    <w:rsid w:val="008251C8"/>
    <w:rsid w:val="00827055"/>
    <w:rsid w:val="0082793F"/>
    <w:rsid w:val="0083040B"/>
    <w:rsid w:val="00831D09"/>
    <w:rsid w:val="0083277D"/>
    <w:rsid w:val="00832B1A"/>
    <w:rsid w:val="008342FA"/>
    <w:rsid w:val="008344A6"/>
    <w:rsid w:val="00834FC5"/>
    <w:rsid w:val="00840096"/>
    <w:rsid w:val="008403A6"/>
    <w:rsid w:val="0084042D"/>
    <w:rsid w:val="00842112"/>
    <w:rsid w:val="00842BBA"/>
    <w:rsid w:val="0084331E"/>
    <w:rsid w:val="00844431"/>
    <w:rsid w:val="008446EA"/>
    <w:rsid w:val="00846A3A"/>
    <w:rsid w:val="008476CF"/>
    <w:rsid w:val="00850680"/>
    <w:rsid w:val="008513A0"/>
    <w:rsid w:val="00851E47"/>
    <w:rsid w:val="00853EA4"/>
    <w:rsid w:val="0085405D"/>
    <w:rsid w:val="00854BFA"/>
    <w:rsid w:val="0085524E"/>
    <w:rsid w:val="008552E5"/>
    <w:rsid w:val="008564E0"/>
    <w:rsid w:val="008624AB"/>
    <w:rsid w:val="00862516"/>
    <w:rsid w:val="008634B0"/>
    <w:rsid w:val="0086437F"/>
    <w:rsid w:val="008649B9"/>
    <w:rsid w:val="00864E7C"/>
    <w:rsid w:val="008651F4"/>
    <w:rsid w:val="008655F5"/>
    <w:rsid w:val="0086563E"/>
    <w:rsid w:val="00866648"/>
    <w:rsid w:val="00867683"/>
    <w:rsid w:val="008705EB"/>
    <w:rsid w:val="00873BFE"/>
    <w:rsid w:val="00876200"/>
    <w:rsid w:val="00876874"/>
    <w:rsid w:val="008777BD"/>
    <w:rsid w:val="00880046"/>
    <w:rsid w:val="00880054"/>
    <w:rsid w:val="00880EAC"/>
    <w:rsid w:val="0088191F"/>
    <w:rsid w:val="0088253C"/>
    <w:rsid w:val="008826FA"/>
    <w:rsid w:val="0088291F"/>
    <w:rsid w:val="008835BA"/>
    <w:rsid w:val="00884940"/>
    <w:rsid w:val="00886CDD"/>
    <w:rsid w:val="0088767D"/>
    <w:rsid w:val="00887FB9"/>
    <w:rsid w:val="008900C0"/>
    <w:rsid w:val="00893251"/>
    <w:rsid w:val="00894564"/>
    <w:rsid w:val="00897AE0"/>
    <w:rsid w:val="00897D2C"/>
    <w:rsid w:val="00897F4B"/>
    <w:rsid w:val="008A1839"/>
    <w:rsid w:val="008A19F1"/>
    <w:rsid w:val="008A3DD7"/>
    <w:rsid w:val="008A41EB"/>
    <w:rsid w:val="008A461B"/>
    <w:rsid w:val="008A4F57"/>
    <w:rsid w:val="008A5583"/>
    <w:rsid w:val="008A676A"/>
    <w:rsid w:val="008A6C75"/>
    <w:rsid w:val="008B0534"/>
    <w:rsid w:val="008B0A53"/>
    <w:rsid w:val="008B24ED"/>
    <w:rsid w:val="008B4365"/>
    <w:rsid w:val="008B5D66"/>
    <w:rsid w:val="008B6964"/>
    <w:rsid w:val="008B7500"/>
    <w:rsid w:val="008B7A42"/>
    <w:rsid w:val="008B7AB9"/>
    <w:rsid w:val="008C0138"/>
    <w:rsid w:val="008C0561"/>
    <w:rsid w:val="008C19DB"/>
    <w:rsid w:val="008C1F03"/>
    <w:rsid w:val="008C307E"/>
    <w:rsid w:val="008C40B8"/>
    <w:rsid w:val="008C4BA4"/>
    <w:rsid w:val="008C62E5"/>
    <w:rsid w:val="008C7C5B"/>
    <w:rsid w:val="008C7F8B"/>
    <w:rsid w:val="008C7FFB"/>
    <w:rsid w:val="008D084A"/>
    <w:rsid w:val="008D3506"/>
    <w:rsid w:val="008D516B"/>
    <w:rsid w:val="008D5964"/>
    <w:rsid w:val="008D6240"/>
    <w:rsid w:val="008D62D3"/>
    <w:rsid w:val="008D6575"/>
    <w:rsid w:val="008E02BF"/>
    <w:rsid w:val="008E1203"/>
    <w:rsid w:val="008E174D"/>
    <w:rsid w:val="008E24B9"/>
    <w:rsid w:val="008E33BA"/>
    <w:rsid w:val="008E347C"/>
    <w:rsid w:val="008E34C4"/>
    <w:rsid w:val="008E3584"/>
    <w:rsid w:val="008E35C4"/>
    <w:rsid w:val="008E3662"/>
    <w:rsid w:val="008E37D3"/>
    <w:rsid w:val="008E3E75"/>
    <w:rsid w:val="008E4B08"/>
    <w:rsid w:val="008F018F"/>
    <w:rsid w:val="008F0CA1"/>
    <w:rsid w:val="008F263C"/>
    <w:rsid w:val="008F2EB2"/>
    <w:rsid w:val="008F4CDB"/>
    <w:rsid w:val="008F525C"/>
    <w:rsid w:val="008F6DE4"/>
    <w:rsid w:val="00900181"/>
    <w:rsid w:val="00900B6A"/>
    <w:rsid w:val="00904FBC"/>
    <w:rsid w:val="009062D0"/>
    <w:rsid w:val="00906585"/>
    <w:rsid w:val="009069DA"/>
    <w:rsid w:val="0091013A"/>
    <w:rsid w:val="0091021F"/>
    <w:rsid w:val="00911837"/>
    <w:rsid w:val="00911CA0"/>
    <w:rsid w:val="00911F62"/>
    <w:rsid w:val="00912C5B"/>
    <w:rsid w:val="00913183"/>
    <w:rsid w:val="00913B10"/>
    <w:rsid w:val="00913BFD"/>
    <w:rsid w:val="00914096"/>
    <w:rsid w:val="00914D60"/>
    <w:rsid w:val="0091593D"/>
    <w:rsid w:val="0091730E"/>
    <w:rsid w:val="00920A3D"/>
    <w:rsid w:val="009211D4"/>
    <w:rsid w:val="00921629"/>
    <w:rsid w:val="0092235F"/>
    <w:rsid w:val="00922B44"/>
    <w:rsid w:val="009243D3"/>
    <w:rsid w:val="009244D1"/>
    <w:rsid w:val="00924730"/>
    <w:rsid w:val="00927C60"/>
    <w:rsid w:val="009320A9"/>
    <w:rsid w:val="00933404"/>
    <w:rsid w:val="00934275"/>
    <w:rsid w:val="0093557C"/>
    <w:rsid w:val="00935849"/>
    <w:rsid w:val="0093716B"/>
    <w:rsid w:val="0094057B"/>
    <w:rsid w:val="009407EE"/>
    <w:rsid w:val="00940BFF"/>
    <w:rsid w:val="00941430"/>
    <w:rsid w:val="00941F51"/>
    <w:rsid w:val="0094272F"/>
    <w:rsid w:val="00944349"/>
    <w:rsid w:val="00944B01"/>
    <w:rsid w:val="00945ACE"/>
    <w:rsid w:val="00946D58"/>
    <w:rsid w:val="00947536"/>
    <w:rsid w:val="00950382"/>
    <w:rsid w:val="00951210"/>
    <w:rsid w:val="00952D42"/>
    <w:rsid w:val="00953310"/>
    <w:rsid w:val="00954560"/>
    <w:rsid w:val="00954D17"/>
    <w:rsid w:val="00955287"/>
    <w:rsid w:val="009573E9"/>
    <w:rsid w:val="00960113"/>
    <w:rsid w:val="009615D6"/>
    <w:rsid w:val="009616F3"/>
    <w:rsid w:val="00962070"/>
    <w:rsid w:val="00962EEA"/>
    <w:rsid w:val="00962F7E"/>
    <w:rsid w:val="00963F75"/>
    <w:rsid w:val="009642D8"/>
    <w:rsid w:val="00964C4D"/>
    <w:rsid w:val="00964CA6"/>
    <w:rsid w:val="00964F3E"/>
    <w:rsid w:val="00965386"/>
    <w:rsid w:val="0096577F"/>
    <w:rsid w:val="00970896"/>
    <w:rsid w:val="009709AB"/>
    <w:rsid w:val="00970CA2"/>
    <w:rsid w:val="00971732"/>
    <w:rsid w:val="00971D29"/>
    <w:rsid w:val="00972EEA"/>
    <w:rsid w:val="009734DE"/>
    <w:rsid w:val="00974B7C"/>
    <w:rsid w:val="00975299"/>
    <w:rsid w:val="00975BF7"/>
    <w:rsid w:val="0097672A"/>
    <w:rsid w:val="009858BD"/>
    <w:rsid w:val="0099110F"/>
    <w:rsid w:val="009920BB"/>
    <w:rsid w:val="00992AA3"/>
    <w:rsid w:val="00995F14"/>
    <w:rsid w:val="0099603C"/>
    <w:rsid w:val="00997938"/>
    <w:rsid w:val="00997945"/>
    <w:rsid w:val="00997980"/>
    <w:rsid w:val="009A1355"/>
    <w:rsid w:val="009A2BF4"/>
    <w:rsid w:val="009A2D7C"/>
    <w:rsid w:val="009A38A6"/>
    <w:rsid w:val="009A3A0A"/>
    <w:rsid w:val="009A4102"/>
    <w:rsid w:val="009A51FA"/>
    <w:rsid w:val="009A61E5"/>
    <w:rsid w:val="009B119E"/>
    <w:rsid w:val="009B142E"/>
    <w:rsid w:val="009B2C5F"/>
    <w:rsid w:val="009B2FAB"/>
    <w:rsid w:val="009B3F24"/>
    <w:rsid w:val="009B45B7"/>
    <w:rsid w:val="009B4C10"/>
    <w:rsid w:val="009B5D80"/>
    <w:rsid w:val="009B68C1"/>
    <w:rsid w:val="009B7452"/>
    <w:rsid w:val="009B7499"/>
    <w:rsid w:val="009C0980"/>
    <w:rsid w:val="009C3301"/>
    <w:rsid w:val="009C3394"/>
    <w:rsid w:val="009C37DF"/>
    <w:rsid w:val="009C3BDC"/>
    <w:rsid w:val="009C45E9"/>
    <w:rsid w:val="009C55F7"/>
    <w:rsid w:val="009C7D9E"/>
    <w:rsid w:val="009D0389"/>
    <w:rsid w:val="009D047B"/>
    <w:rsid w:val="009D12DD"/>
    <w:rsid w:val="009D14D9"/>
    <w:rsid w:val="009D37E1"/>
    <w:rsid w:val="009D4EF2"/>
    <w:rsid w:val="009D50B5"/>
    <w:rsid w:val="009D52FF"/>
    <w:rsid w:val="009D585B"/>
    <w:rsid w:val="009D6181"/>
    <w:rsid w:val="009D662D"/>
    <w:rsid w:val="009D6BF4"/>
    <w:rsid w:val="009D7CD7"/>
    <w:rsid w:val="009E0A42"/>
    <w:rsid w:val="009E12C1"/>
    <w:rsid w:val="009E4EEC"/>
    <w:rsid w:val="009E52E0"/>
    <w:rsid w:val="009E797B"/>
    <w:rsid w:val="009F0E99"/>
    <w:rsid w:val="009F484B"/>
    <w:rsid w:val="009F585D"/>
    <w:rsid w:val="009F596D"/>
    <w:rsid w:val="009F7DF1"/>
    <w:rsid w:val="00A002C7"/>
    <w:rsid w:val="00A01EF1"/>
    <w:rsid w:val="00A0382C"/>
    <w:rsid w:val="00A03F68"/>
    <w:rsid w:val="00A03F85"/>
    <w:rsid w:val="00A0476B"/>
    <w:rsid w:val="00A04ABA"/>
    <w:rsid w:val="00A055BB"/>
    <w:rsid w:val="00A05B4B"/>
    <w:rsid w:val="00A1002B"/>
    <w:rsid w:val="00A10F81"/>
    <w:rsid w:val="00A1153A"/>
    <w:rsid w:val="00A12EEE"/>
    <w:rsid w:val="00A13428"/>
    <w:rsid w:val="00A14ACD"/>
    <w:rsid w:val="00A15701"/>
    <w:rsid w:val="00A165D1"/>
    <w:rsid w:val="00A174A3"/>
    <w:rsid w:val="00A222F0"/>
    <w:rsid w:val="00A2231C"/>
    <w:rsid w:val="00A2424D"/>
    <w:rsid w:val="00A262DC"/>
    <w:rsid w:val="00A266F4"/>
    <w:rsid w:val="00A2714C"/>
    <w:rsid w:val="00A27539"/>
    <w:rsid w:val="00A27F4C"/>
    <w:rsid w:val="00A30DDF"/>
    <w:rsid w:val="00A3232A"/>
    <w:rsid w:val="00A33EFA"/>
    <w:rsid w:val="00A33FC3"/>
    <w:rsid w:val="00A343EA"/>
    <w:rsid w:val="00A34A8A"/>
    <w:rsid w:val="00A36B7E"/>
    <w:rsid w:val="00A40398"/>
    <w:rsid w:val="00A40435"/>
    <w:rsid w:val="00A40F40"/>
    <w:rsid w:val="00A42E64"/>
    <w:rsid w:val="00A438FA"/>
    <w:rsid w:val="00A43D09"/>
    <w:rsid w:val="00A43D23"/>
    <w:rsid w:val="00A43F5A"/>
    <w:rsid w:val="00A44518"/>
    <w:rsid w:val="00A448A7"/>
    <w:rsid w:val="00A45DA6"/>
    <w:rsid w:val="00A47801"/>
    <w:rsid w:val="00A478C3"/>
    <w:rsid w:val="00A51ABB"/>
    <w:rsid w:val="00A524A2"/>
    <w:rsid w:val="00A5420E"/>
    <w:rsid w:val="00A552BF"/>
    <w:rsid w:val="00A56758"/>
    <w:rsid w:val="00A57C5B"/>
    <w:rsid w:val="00A61B44"/>
    <w:rsid w:val="00A61D22"/>
    <w:rsid w:val="00A6256A"/>
    <w:rsid w:val="00A62901"/>
    <w:rsid w:val="00A638D3"/>
    <w:rsid w:val="00A638DE"/>
    <w:rsid w:val="00A65EC8"/>
    <w:rsid w:val="00A660B7"/>
    <w:rsid w:val="00A67737"/>
    <w:rsid w:val="00A6780F"/>
    <w:rsid w:val="00A738FF"/>
    <w:rsid w:val="00A746AF"/>
    <w:rsid w:val="00A75A11"/>
    <w:rsid w:val="00A76298"/>
    <w:rsid w:val="00A762A9"/>
    <w:rsid w:val="00A778DA"/>
    <w:rsid w:val="00A77D33"/>
    <w:rsid w:val="00A77DBD"/>
    <w:rsid w:val="00A80FC6"/>
    <w:rsid w:val="00A81F0B"/>
    <w:rsid w:val="00A83D3D"/>
    <w:rsid w:val="00A84146"/>
    <w:rsid w:val="00A842BB"/>
    <w:rsid w:val="00A84324"/>
    <w:rsid w:val="00A8619C"/>
    <w:rsid w:val="00A8695A"/>
    <w:rsid w:val="00A87368"/>
    <w:rsid w:val="00A90138"/>
    <w:rsid w:val="00A90B66"/>
    <w:rsid w:val="00A90D0C"/>
    <w:rsid w:val="00A91960"/>
    <w:rsid w:val="00A91C1D"/>
    <w:rsid w:val="00A91D5B"/>
    <w:rsid w:val="00A945EB"/>
    <w:rsid w:val="00A9491B"/>
    <w:rsid w:val="00A9536C"/>
    <w:rsid w:val="00A96941"/>
    <w:rsid w:val="00A96A15"/>
    <w:rsid w:val="00A97583"/>
    <w:rsid w:val="00A977FB"/>
    <w:rsid w:val="00A978A7"/>
    <w:rsid w:val="00A97BC9"/>
    <w:rsid w:val="00AA1758"/>
    <w:rsid w:val="00AA1D23"/>
    <w:rsid w:val="00AA3819"/>
    <w:rsid w:val="00AA4062"/>
    <w:rsid w:val="00AA4213"/>
    <w:rsid w:val="00AA45D0"/>
    <w:rsid w:val="00AA49B2"/>
    <w:rsid w:val="00AA5B00"/>
    <w:rsid w:val="00AA6AB0"/>
    <w:rsid w:val="00AA7E09"/>
    <w:rsid w:val="00AB0EB3"/>
    <w:rsid w:val="00AB0FD1"/>
    <w:rsid w:val="00AB1D5A"/>
    <w:rsid w:val="00AB4BE9"/>
    <w:rsid w:val="00AB583A"/>
    <w:rsid w:val="00AB597F"/>
    <w:rsid w:val="00AB72BF"/>
    <w:rsid w:val="00AC06A7"/>
    <w:rsid w:val="00AC159C"/>
    <w:rsid w:val="00AC1774"/>
    <w:rsid w:val="00AC2156"/>
    <w:rsid w:val="00AC3A2A"/>
    <w:rsid w:val="00AC5E05"/>
    <w:rsid w:val="00AC6A27"/>
    <w:rsid w:val="00AD1284"/>
    <w:rsid w:val="00AD1D4F"/>
    <w:rsid w:val="00AD1F9B"/>
    <w:rsid w:val="00AD3AAB"/>
    <w:rsid w:val="00AD3C96"/>
    <w:rsid w:val="00AD5959"/>
    <w:rsid w:val="00AD6FA8"/>
    <w:rsid w:val="00AD700E"/>
    <w:rsid w:val="00AD75A0"/>
    <w:rsid w:val="00AE1D2F"/>
    <w:rsid w:val="00AE29AD"/>
    <w:rsid w:val="00AE3643"/>
    <w:rsid w:val="00AE383E"/>
    <w:rsid w:val="00AE3D9B"/>
    <w:rsid w:val="00AE513E"/>
    <w:rsid w:val="00AE567E"/>
    <w:rsid w:val="00AE582D"/>
    <w:rsid w:val="00AF00DD"/>
    <w:rsid w:val="00AF01D5"/>
    <w:rsid w:val="00AF2BBE"/>
    <w:rsid w:val="00AF35C9"/>
    <w:rsid w:val="00AF3FDA"/>
    <w:rsid w:val="00AF50BF"/>
    <w:rsid w:val="00AF5146"/>
    <w:rsid w:val="00AF56AA"/>
    <w:rsid w:val="00AF6C2A"/>
    <w:rsid w:val="00AF6F23"/>
    <w:rsid w:val="00B00257"/>
    <w:rsid w:val="00B00A03"/>
    <w:rsid w:val="00B01BE3"/>
    <w:rsid w:val="00B058F2"/>
    <w:rsid w:val="00B104D6"/>
    <w:rsid w:val="00B10F8F"/>
    <w:rsid w:val="00B1183C"/>
    <w:rsid w:val="00B1186F"/>
    <w:rsid w:val="00B120FA"/>
    <w:rsid w:val="00B12464"/>
    <w:rsid w:val="00B12690"/>
    <w:rsid w:val="00B128DF"/>
    <w:rsid w:val="00B12D91"/>
    <w:rsid w:val="00B1596D"/>
    <w:rsid w:val="00B15B07"/>
    <w:rsid w:val="00B1627F"/>
    <w:rsid w:val="00B162D3"/>
    <w:rsid w:val="00B16DA4"/>
    <w:rsid w:val="00B17FA4"/>
    <w:rsid w:val="00B20C66"/>
    <w:rsid w:val="00B21136"/>
    <w:rsid w:val="00B2270F"/>
    <w:rsid w:val="00B24617"/>
    <w:rsid w:val="00B27565"/>
    <w:rsid w:val="00B31329"/>
    <w:rsid w:val="00B32D0F"/>
    <w:rsid w:val="00B33D6D"/>
    <w:rsid w:val="00B35105"/>
    <w:rsid w:val="00B35408"/>
    <w:rsid w:val="00B367A9"/>
    <w:rsid w:val="00B40567"/>
    <w:rsid w:val="00B40A02"/>
    <w:rsid w:val="00B40D10"/>
    <w:rsid w:val="00B41092"/>
    <w:rsid w:val="00B416C5"/>
    <w:rsid w:val="00B41D90"/>
    <w:rsid w:val="00B41ED3"/>
    <w:rsid w:val="00B42814"/>
    <w:rsid w:val="00B44821"/>
    <w:rsid w:val="00B44DD5"/>
    <w:rsid w:val="00B450AC"/>
    <w:rsid w:val="00B45C41"/>
    <w:rsid w:val="00B46790"/>
    <w:rsid w:val="00B50018"/>
    <w:rsid w:val="00B50332"/>
    <w:rsid w:val="00B52663"/>
    <w:rsid w:val="00B529C2"/>
    <w:rsid w:val="00B536FE"/>
    <w:rsid w:val="00B53A5F"/>
    <w:rsid w:val="00B552CE"/>
    <w:rsid w:val="00B55567"/>
    <w:rsid w:val="00B55D39"/>
    <w:rsid w:val="00B560E7"/>
    <w:rsid w:val="00B561DE"/>
    <w:rsid w:val="00B624D0"/>
    <w:rsid w:val="00B631BF"/>
    <w:rsid w:val="00B63D54"/>
    <w:rsid w:val="00B63F74"/>
    <w:rsid w:val="00B6590D"/>
    <w:rsid w:val="00B66DC6"/>
    <w:rsid w:val="00B66EB7"/>
    <w:rsid w:val="00B67013"/>
    <w:rsid w:val="00B6775E"/>
    <w:rsid w:val="00B67AC7"/>
    <w:rsid w:val="00B7042D"/>
    <w:rsid w:val="00B70F74"/>
    <w:rsid w:val="00B70F96"/>
    <w:rsid w:val="00B73BA3"/>
    <w:rsid w:val="00B761FE"/>
    <w:rsid w:val="00B7661B"/>
    <w:rsid w:val="00B771C5"/>
    <w:rsid w:val="00B77CC5"/>
    <w:rsid w:val="00B77F36"/>
    <w:rsid w:val="00B81E55"/>
    <w:rsid w:val="00B82477"/>
    <w:rsid w:val="00B825FA"/>
    <w:rsid w:val="00B82D95"/>
    <w:rsid w:val="00B83F9F"/>
    <w:rsid w:val="00B83FD0"/>
    <w:rsid w:val="00B84303"/>
    <w:rsid w:val="00B847D6"/>
    <w:rsid w:val="00B85B60"/>
    <w:rsid w:val="00B87FB8"/>
    <w:rsid w:val="00B929D1"/>
    <w:rsid w:val="00B93FDF"/>
    <w:rsid w:val="00B94A68"/>
    <w:rsid w:val="00B94AFE"/>
    <w:rsid w:val="00B94D26"/>
    <w:rsid w:val="00B94EA9"/>
    <w:rsid w:val="00B9556A"/>
    <w:rsid w:val="00B95D76"/>
    <w:rsid w:val="00B95FB7"/>
    <w:rsid w:val="00B9675E"/>
    <w:rsid w:val="00B96F1A"/>
    <w:rsid w:val="00B97CC6"/>
    <w:rsid w:val="00BA0B41"/>
    <w:rsid w:val="00BA0B9C"/>
    <w:rsid w:val="00BA17B4"/>
    <w:rsid w:val="00BA2D4E"/>
    <w:rsid w:val="00BA3B82"/>
    <w:rsid w:val="00BA3FBE"/>
    <w:rsid w:val="00BA4E61"/>
    <w:rsid w:val="00BA52FD"/>
    <w:rsid w:val="00BA7845"/>
    <w:rsid w:val="00BA7BFD"/>
    <w:rsid w:val="00BB2BE9"/>
    <w:rsid w:val="00BB4D1A"/>
    <w:rsid w:val="00BB5842"/>
    <w:rsid w:val="00BB5B33"/>
    <w:rsid w:val="00BB6903"/>
    <w:rsid w:val="00BB72F8"/>
    <w:rsid w:val="00BB76BB"/>
    <w:rsid w:val="00BC0541"/>
    <w:rsid w:val="00BC1B87"/>
    <w:rsid w:val="00BC2856"/>
    <w:rsid w:val="00BC2FBF"/>
    <w:rsid w:val="00BC3241"/>
    <w:rsid w:val="00BC4062"/>
    <w:rsid w:val="00BC4581"/>
    <w:rsid w:val="00BC461F"/>
    <w:rsid w:val="00BC52A7"/>
    <w:rsid w:val="00BC54B0"/>
    <w:rsid w:val="00BC564B"/>
    <w:rsid w:val="00BC5F9C"/>
    <w:rsid w:val="00BC5FC2"/>
    <w:rsid w:val="00BD0A35"/>
    <w:rsid w:val="00BD1544"/>
    <w:rsid w:val="00BD1B4C"/>
    <w:rsid w:val="00BD3213"/>
    <w:rsid w:val="00BD4724"/>
    <w:rsid w:val="00BD53F4"/>
    <w:rsid w:val="00BD648D"/>
    <w:rsid w:val="00BD6643"/>
    <w:rsid w:val="00BD7AE7"/>
    <w:rsid w:val="00BD7F9A"/>
    <w:rsid w:val="00BE0969"/>
    <w:rsid w:val="00BE0E87"/>
    <w:rsid w:val="00BE15F6"/>
    <w:rsid w:val="00BE1E66"/>
    <w:rsid w:val="00BE1E90"/>
    <w:rsid w:val="00BE2324"/>
    <w:rsid w:val="00BE2844"/>
    <w:rsid w:val="00BE2884"/>
    <w:rsid w:val="00BE29C4"/>
    <w:rsid w:val="00BE408A"/>
    <w:rsid w:val="00BE76E2"/>
    <w:rsid w:val="00BF17A4"/>
    <w:rsid w:val="00BF1D2D"/>
    <w:rsid w:val="00BF3C12"/>
    <w:rsid w:val="00BF5772"/>
    <w:rsid w:val="00BF794C"/>
    <w:rsid w:val="00C01289"/>
    <w:rsid w:val="00C02AB8"/>
    <w:rsid w:val="00C04CE6"/>
    <w:rsid w:val="00C04FF9"/>
    <w:rsid w:val="00C05CAA"/>
    <w:rsid w:val="00C0671C"/>
    <w:rsid w:val="00C06F4E"/>
    <w:rsid w:val="00C07C66"/>
    <w:rsid w:val="00C108D2"/>
    <w:rsid w:val="00C117B4"/>
    <w:rsid w:val="00C11952"/>
    <w:rsid w:val="00C11C24"/>
    <w:rsid w:val="00C12E00"/>
    <w:rsid w:val="00C13745"/>
    <w:rsid w:val="00C13F22"/>
    <w:rsid w:val="00C16A7B"/>
    <w:rsid w:val="00C20AC9"/>
    <w:rsid w:val="00C22BAD"/>
    <w:rsid w:val="00C23CFE"/>
    <w:rsid w:val="00C24FEF"/>
    <w:rsid w:val="00C25337"/>
    <w:rsid w:val="00C25D0B"/>
    <w:rsid w:val="00C2640E"/>
    <w:rsid w:val="00C26653"/>
    <w:rsid w:val="00C31155"/>
    <w:rsid w:val="00C31374"/>
    <w:rsid w:val="00C322C1"/>
    <w:rsid w:val="00C34BA1"/>
    <w:rsid w:val="00C35531"/>
    <w:rsid w:val="00C35715"/>
    <w:rsid w:val="00C35A5B"/>
    <w:rsid w:val="00C36623"/>
    <w:rsid w:val="00C37BAD"/>
    <w:rsid w:val="00C43C1E"/>
    <w:rsid w:val="00C43F8D"/>
    <w:rsid w:val="00C47614"/>
    <w:rsid w:val="00C479F8"/>
    <w:rsid w:val="00C50A4B"/>
    <w:rsid w:val="00C510F6"/>
    <w:rsid w:val="00C518EF"/>
    <w:rsid w:val="00C51CAA"/>
    <w:rsid w:val="00C526E6"/>
    <w:rsid w:val="00C529E7"/>
    <w:rsid w:val="00C52DC7"/>
    <w:rsid w:val="00C55209"/>
    <w:rsid w:val="00C561F1"/>
    <w:rsid w:val="00C6030E"/>
    <w:rsid w:val="00C61B53"/>
    <w:rsid w:val="00C62400"/>
    <w:rsid w:val="00C62778"/>
    <w:rsid w:val="00C62F3E"/>
    <w:rsid w:val="00C63855"/>
    <w:rsid w:val="00C645B4"/>
    <w:rsid w:val="00C65445"/>
    <w:rsid w:val="00C65970"/>
    <w:rsid w:val="00C669C7"/>
    <w:rsid w:val="00C672A2"/>
    <w:rsid w:val="00C673A7"/>
    <w:rsid w:val="00C67EFA"/>
    <w:rsid w:val="00C707F7"/>
    <w:rsid w:val="00C70B54"/>
    <w:rsid w:val="00C715BA"/>
    <w:rsid w:val="00C728C1"/>
    <w:rsid w:val="00C72BC2"/>
    <w:rsid w:val="00C73B66"/>
    <w:rsid w:val="00C742B5"/>
    <w:rsid w:val="00C74518"/>
    <w:rsid w:val="00C75BE3"/>
    <w:rsid w:val="00C803ED"/>
    <w:rsid w:val="00C80E84"/>
    <w:rsid w:val="00C81288"/>
    <w:rsid w:val="00C82134"/>
    <w:rsid w:val="00C8267D"/>
    <w:rsid w:val="00C8491C"/>
    <w:rsid w:val="00C85FEE"/>
    <w:rsid w:val="00C92166"/>
    <w:rsid w:val="00C922F6"/>
    <w:rsid w:val="00C96370"/>
    <w:rsid w:val="00C96396"/>
    <w:rsid w:val="00C964BE"/>
    <w:rsid w:val="00C96E66"/>
    <w:rsid w:val="00CA05D3"/>
    <w:rsid w:val="00CA1BD0"/>
    <w:rsid w:val="00CA40EB"/>
    <w:rsid w:val="00CA5AC5"/>
    <w:rsid w:val="00CA600E"/>
    <w:rsid w:val="00CA6D49"/>
    <w:rsid w:val="00CA7880"/>
    <w:rsid w:val="00CB1A5F"/>
    <w:rsid w:val="00CB2309"/>
    <w:rsid w:val="00CB26BF"/>
    <w:rsid w:val="00CB322A"/>
    <w:rsid w:val="00CB3BDF"/>
    <w:rsid w:val="00CB3E80"/>
    <w:rsid w:val="00CB530F"/>
    <w:rsid w:val="00CB7438"/>
    <w:rsid w:val="00CC03C0"/>
    <w:rsid w:val="00CC08A5"/>
    <w:rsid w:val="00CC118F"/>
    <w:rsid w:val="00CC11EF"/>
    <w:rsid w:val="00CC1893"/>
    <w:rsid w:val="00CC2392"/>
    <w:rsid w:val="00CC2A7E"/>
    <w:rsid w:val="00CC2DB3"/>
    <w:rsid w:val="00CC3517"/>
    <w:rsid w:val="00CC36D2"/>
    <w:rsid w:val="00CC50D4"/>
    <w:rsid w:val="00CC6878"/>
    <w:rsid w:val="00CD04CF"/>
    <w:rsid w:val="00CD1032"/>
    <w:rsid w:val="00CD1093"/>
    <w:rsid w:val="00CD1202"/>
    <w:rsid w:val="00CD13C8"/>
    <w:rsid w:val="00CD1B38"/>
    <w:rsid w:val="00CD2514"/>
    <w:rsid w:val="00CD2977"/>
    <w:rsid w:val="00CD2CC4"/>
    <w:rsid w:val="00CD2F88"/>
    <w:rsid w:val="00CD404E"/>
    <w:rsid w:val="00CD4B88"/>
    <w:rsid w:val="00CD596F"/>
    <w:rsid w:val="00CD5ED3"/>
    <w:rsid w:val="00CD721C"/>
    <w:rsid w:val="00CE0B64"/>
    <w:rsid w:val="00CE0F12"/>
    <w:rsid w:val="00CE1468"/>
    <w:rsid w:val="00CE1D22"/>
    <w:rsid w:val="00CE4017"/>
    <w:rsid w:val="00CE67C3"/>
    <w:rsid w:val="00CE6996"/>
    <w:rsid w:val="00CE6CB4"/>
    <w:rsid w:val="00CF034D"/>
    <w:rsid w:val="00CF0C77"/>
    <w:rsid w:val="00CF13EB"/>
    <w:rsid w:val="00CF1461"/>
    <w:rsid w:val="00CF1545"/>
    <w:rsid w:val="00CF1A36"/>
    <w:rsid w:val="00CF3832"/>
    <w:rsid w:val="00CF4600"/>
    <w:rsid w:val="00CF5749"/>
    <w:rsid w:val="00CF5C40"/>
    <w:rsid w:val="00CF5CDA"/>
    <w:rsid w:val="00CF621F"/>
    <w:rsid w:val="00CF70E6"/>
    <w:rsid w:val="00D00D9D"/>
    <w:rsid w:val="00D014A5"/>
    <w:rsid w:val="00D0157F"/>
    <w:rsid w:val="00D01848"/>
    <w:rsid w:val="00D01D95"/>
    <w:rsid w:val="00D03409"/>
    <w:rsid w:val="00D035C5"/>
    <w:rsid w:val="00D0373E"/>
    <w:rsid w:val="00D03C6B"/>
    <w:rsid w:val="00D03F3B"/>
    <w:rsid w:val="00D04A60"/>
    <w:rsid w:val="00D05201"/>
    <w:rsid w:val="00D06EB3"/>
    <w:rsid w:val="00D07ADB"/>
    <w:rsid w:val="00D07E40"/>
    <w:rsid w:val="00D10810"/>
    <w:rsid w:val="00D10EA8"/>
    <w:rsid w:val="00D116C9"/>
    <w:rsid w:val="00D11B09"/>
    <w:rsid w:val="00D1301E"/>
    <w:rsid w:val="00D144E8"/>
    <w:rsid w:val="00D1572D"/>
    <w:rsid w:val="00D159E7"/>
    <w:rsid w:val="00D174D5"/>
    <w:rsid w:val="00D17BE4"/>
    <w:rsid w:val="00D17BEA"/>
    <w:rsid w:val="00D20746"/>
    <w:rsid w:val="00D211C2"/>
    <w:rsid w:val="00D21C30"/>
    <w:rsid w:val="00D2243D"/>
    <w:rsid w:val="00D2269E"/>
    <w:rsid w:val="00D229CA"/>
    <w:rsid w:val="00D22EAC"/>
    <w:rsid w:val="00D24C12"/>
    <w:rsid w:val="00D24EEE"/>
    <w:rsid w:val="00D25C9C"/>
    <w:rsid w:val="00D265EF"/>
    <w:rsid w:val="00D3052C"/>
    <w:rsid w:val="00D311F0"/>
    <w:rsid w:val="00D31852"/>
    <w:rsid w:val="00D31FCC"/>
    <w:rsid w:val="00D32963"/>
    <w:rsid w:val="00D331D2"/>
    <w:rsid w:val="00D34DE9"/>
    <w:rsid w:val="00D36166"/>
    <w:rsid w:val="00D369F9"/>
    <w:rsid w:val="00D37BFA"/>
    <w:rsid w:val="00D37D90"/>
    <w:rsid w:val="00D40A66"/>
    <w:rsid w:val="00D412D5"/>
    <w:rsid w:val="00D41ECC"/>
    <w:rsid w:val="00D42BAF"/>
    <w:rsid w:val="00D44318"/>
    <w:rsid w:val="00D44950"/>
    <w:rsid w:val="00D44DAA"/>
    <w:rsid w:val="00D46396"/>
    <w:rsid w:val="00D47061"/>
    <w:rsid w:val="00D479CB"/>
    <w:rsid w:val="00D50B4F"/>
    <w:rsid w:val="00D50DCE"/>
    <w:rsid w:val="00D50E0C"/>
    <w:rsid w:val="00D513D4"/>
    <w:rsid w:val="00D51647"/>
    <w:rsid w:val="00D51888"/>
    <w:rsid w:val="00D51A58"/>
    <w:rsid w:val="00D5301D"/>
    <w:rsid w:val="00D54115"/>
    <w:rsid w:val="00D54980"/>
    <w:rsid w:val="00D54BD3"/>
    <w:rsid w:val="00D55A66"/>
    <w:rsid w:val="00D55B50"/>
    <w:rsid w:val="00D56A70"/>
    <w:rsid w:val="00D56DD1"/>
    <w:rsid w:val="00D5746A"/>
    <w:rsid w:val="00D607A5"/>
    <w:rsid w:val="00D60DF8"/>
    <w:rsid w:val="00D611EB"/>
    <w:rsid w:val="00D612E6"/>
    <w:rsid w:val="00D639B6"/>
    <w:rsid w:val="00D63E61"/>
    <w:rsid w:val="00D64470"/>
    <w:rsid w:val="00D64BD4"/>
    <w:rsid w:val="00D658B0"/>
    <w:rsid w:val="00D65DE2"/>
    <w:rsid w:val="00D66EA5"/>
    <w:rsid w:val="00D67735"/>
    <w:rsid w:val="00D7084D"/>
    <w:rsid w:val="00D70AE3"/>
    <w:rsid w:val="00D74033"/>
    <w:rsid w:val="00D74CCB"/>
    <w:rsid w:val="00D75D2D"/>
    <w:rsid w:val="00D767F3"/>
    <w:rsid w:val="00D77C71"/>
    <w:rsid w:val="00D80130"/>
    <w:rsid w:val="00D8224C"/>
    <w:rsid w:val="00D82532"/>
    <w:rsid w:val="00D82B06"/>
    <w:rsid w:val="00D839A7"/>
    <w:rsid w:val="00D861AA"/>
    <w:rsid w:val="00D87E3E"/>
    <w:rsid w:val="00D9355A"/>
    <w:rsid w:val="00D9391F"/>
    <w:rsid w:val="00D95E3C"/>
    <w:rsid w:val="00D96C0E"/>
    <w:rsid w:val="00D971E3"/>
    <w:rsid w:val="00D97682"/>
    <w:rsid w:val="00DA029A"/>
    <w:rsid w:val="00DA266E"/>
    <w:rsid w:val="00DA3797"/>
    <w:rsid w:val="00DA4039"/>
    <w:rsid w:val="00DA48D2"/>
    <w:rsid w:val="00DA4BF2"/>
    <w:rsid w:val="00DA52D7"/>
    <w:rsid w:val="00DA58C6"/>
    <w:rsid w:val="00DA6DCE"/>
    <w:rsid w:val="00DB07F6"/>
    <w:rsid w:val="00DB0EC8"/>
    <w:rsid w:val="00DB1653"/>
    <w:rsid w:val="00DB330F"/>
    <w:rsid w:val="00DB3BA9"/>
    <w:rsid w:val="00DB4A04"/>
    <w:rsid w:val="00DB54E2"/>
    <w:rsid w:val="00DB5782"/>
    <w:rsid w:val="00DB684A"/>
    <w:rsid w:val="00DB718F"/>
    <w:rsid w:val="00DB72AC"/>
    <w:rsid w:val="00DB72BC"/>
    <w:rsid w:val="00DB7C77"/>
    <w:rsid w:val="00DB7EA8"/>
    <w:rsid w:val="00DC292A"/>
    <w:rsid w:val="00DC2A1F"/>
    <w:rsid w:val="00DC4AB7"/>
    <w:rsid w:val="00DC5C02"/>
    <w:rsid w:val="00DC6A40"/>
    <w:rsid w:val="00DC7A39"/>
    <w:rsid w:val="00DD3203"/>
    <w:rsid w:val="00DD3BE0"/>
    <w:rsid w:val="00DD4125"/>
    <w:rsid w:val="00DD4946"/>
    <w:rsid w:val="00DD4D21"/>
    <w:rsid w:val="00DD5B8B"/>
    <w:rsid w:val="00DD5C52"/>
    <w:rsid w:val="00DD5C70"/>
    <w:rsid w:val="00DD61EC"/>
    <w:rsid w:val="00DD6567"/>
    <w:rsid w:val="00DD7000"/>
    <w:rsid w:val="00DD734C"/>
    <w:rsid w:val="00DD78FA"/>
    <w:rsid w:val="00DD7BE9"/>
    <w:rsid w:val="00DE0154"/>
    <w:rsid w:val="00DE14D4"/>
    <w:rsid w:val="00DE18F8"/>
    <w:rsid w:val="00DE4EB6"/>
    <w:rsid w:val="00DE5879"/>
    <w:rsid w:val="00DE6EC9"/>
    <w:rsid w:val="00DF0A94"/>
    <w:rsid w:val="00DF1A09"/>
    <w:rsid w:val="00DF4E77"/>
    <w:rsid w:val="00DF4EA6"/>
    <w:rsid w:val="00DF5F9A"/>
    <w:rsid w:val="00DF6534"/>
    <w:rsid w:val="00DF67CA"/>
    <w:rsid w:val="00DF67DA"/>
    <w:rsid w:val="00E00254"/>
    <w:rsid w:val="00E006FE"/>
    <w:rsid w:val="00E00FBD"/>
    <w:rsid w:val="00E0139A"/>
    <w:rsid w:val="00E0173A"/>
    <w:rsid w:val="00E022A6"/>
    <w:rsid w:val="00E02ACC"/>
    <w:rsid w:val="00E04B4F"/>
    <w:rsid w:val="00E05536"/>
    <w:rsid w:val="00E05BBC"/>
    <w:rsid w:val="00E1300D"/>
    <w:rsid w:val="00E13A91"/>
    <w:rsid w:val="00E164A0"/>
    <w:rsid w:val="00E1689F"/>
    <w:rsid w:val="00E174F9"/>
    <w:rsid w:val="00E179B4"/>
    <w:rsid w:val="00E17FE8"/>
    <w:rsid w:val="00E202C4"/>
    <w:rsid w:val="00E21665"/>
    <w:rsid w:val="00E21D8C"/>
    <w:rsid w:val="00E235EF"/>
    <w:rsid w:val="00E23AB2"/>
    <w:rsid w:val="00E24458"/>
    <w:rsid w:val="00E24B23"/>
    <w:rsid w:val="00E27C2F"/>
    <w:rsid w:val="00E30BAC"/>
    <w:rsid w:val="00E30C99"/>
    <w:rsid w:val="00E3153E"/>
    <w:rsid w:val="00E3235F"/>
    <w:rsid w:val="00E326A8"/>
    <w:rsid w:val="00E326EF"/>
    <w:rsid w:val="00E32854"/>
    <w:rsid w:val="00E32D08"/>
    <w:rsid w:val="00E33A6D"/>
    <w:rsid w:val="00E359B8"/>
    <w:rsid w:val="00E36DB0"/>
    <w:rsid w:val="00E36E2A"/>
    <w:rsid w:val="00E37661"/>
    <w:rsid w:val="00E37DDD"/>
    <w:rsid w:val="00E400C1"/>
    <w:rsid w:val="00E4066D"/>
    <w:rsid w:val="00E424F8"/>
    <w:rsid w:val="00E433A8"/>
    <w:rsid w:val="00E44373"/>
    <w:rsid w:val="00E50629"/>
    <w:rsid w:val="00E5091A"/>
    <w:rsid w:val="00E514BF"/>
    <w:rsid w:val="00E5388D"/>
    <w:rsid w:val="00E53D7F"/>
    <w:rsid w:val="00E5779A"/>
    <w:rsid w:val="00E61993"/>
    <w:rsid w:val="00E61C2C"/>
    <w:rsid w:val="00E6219B"/>
    <w:rsid w:val="00E63DA5"/>
    <w:rsid w:val="00E64D6F"/>
    <w:rsid w:val="00E65777"/>
    <w:rsid w:val="00E663C6"/>
    <w:rsid w:val="00E71D61"/>
    <w:rsid w:val="00E71E0F"/>
    <w:rsid w:val="00E7400B"/>
    <w:rsid w:val="00E742F9"/>
    <w:rsid w:val="00E74EED"/>
    <w:rsid w:val="00E757EF"/>
    <w:rsid w:val="00E76DA2"/>
    <w:rsid w:val="00E7708E"/>
    <w:rsid w:val="00E807C8"/>
    <w:rsid w:val="00E81C92"/>
    <w:rsid w:val="00E81D38"/>
    <w:rsid w:val="00E85955"/>
    <w:rsid w:val="00E86734"/>
    <w:rsid w:val="00E87BC0"/>
    <w:rsid w:val="00E87E64"/>
    <w:rsid w:val="00E91080"/>
    <w:rsid w:val="00E911AA"/>
    <w:rsid w:val="00E912B0"/>
    <w:rsid w:val="00E915BE"/>
    <w:rsid w:val="00E9395D"/>
    <w:rsid w:val="00E93C14"/>
    <w:rsid w:val="00E9441B"/>
    <w:rsid w:val="00E97CA1"/>
    <w:rsid w:val="00EA015C"/>
    <w:rsid w:val="00EA01BA"/>
    <w:rsid w:val="00EA0885"/>
    <w:rsid w:val="00EA1000"/>
    <w:rsid w:val="00EA29D7"/>
    <w:rsid w:val="00EA2EB6"/>
    <w:rsid w:val="00EA38D5"/>
    <w:rsid w:val="00EA3997"/>
    <w:rsid w:val="00EA55A8"/>
    <w:rsid w:val="00EB0673"/>
    <w:rsid w:val="00EB1CA4"/>
    <w:rsid w:val="00EB26D5"/>
    <w:rsid w:val="00EB2A6C"/>
    <w:rsid w:val="00EB2AAB"/>
    <w:rsid w:val="00EB2D23"/>
    <w:rsid w:val="00EB3C25"/>
    <w:rsid w:val="00EB5423"/>
    <w:rsid w:val="00EB5FC9"/>
    <w:rsid w:val="00EB63D0"/>
    <w:rsid w:val="00EB6C3C"/>
    <w:rsid w:val="00EB71EA"/>
    <w:rsid w:val="00EC172B"/>
    <w:rsid w:val="00EC3B6D"/>
    <w:rsid w:val="00EC3FF1"/>
    <w:rsid w:val="00EC44A5"/>
    <w:rsid w:val="00EC50F8"/>
    <w:rsid w:val="00EC5DC7"/>
    <w:rsid w:val="00EC716B"/>
    <w:rsid w:val="00EC781F"/>
    <w:rsid w:val="00EC7CE5"/>
    <w:rsid w:val="00ED1F2F"/>
    <w:rsid w:val="00ED3CFC"/>
    <w:rsid w:val="00ED3E4A"/>
    <w:rsid w:val="00ED51F2"/>
    <w:rsid w:val="00ED5594"/>
    <w:rsid w:val="00ED61B1"/>
    <w:rsid w:val="00ED6421"/>
    <w:rsid w:val="00ED6532"/>
    <w:rsid w:val="00ED72F3"/>
    <w:rsid w:val="00EE0030"/>
    <w:rsid w:val="00EE08D6"/>
    <w:rsid w:val="00EE0B63"/>
    <w:rsid w:val="00EE0E33"/>
    <w:rsid w:val="00EE33AA"/>
    <w:rsid w:val="00EE40DE"/>
    <w:rsid w:val="00EE4D91"/>
    <w:rsid w:val="00EE5CA1"/>
    <w:rsid w:val="00EE6644"/>
    <w:rsid w:val="00EE6C2C"/>
    <w:rsid w:val="00EE748C"/>
    <w:rsid w:val="00EE76CE"/>
    <w:rsid w:val="00EF0C38"/>
    <w:rsid w:val="00EF2DED"/>
    <w:rsid w:val="00EF433F"/>
    <w:rsid w:val="00EF7C96"/>
    <w:rsid w:val="00F01348"/>
    <w:rsid w:val="00F01CDC"/>
    <w:rsid w:val="00F022AE"/>
    <w:rsid w:val="00F028A9"/>
    <w:rsid w:val="00F038D4"/>
    <w:rsid w:val="00F0413D"/>
    <w:rsid w:val="00F04E2A"/>
    <w:rsid w:val="00F05246"/>
    <w:rsid w:val="00F07154"/>
    <w:rsid w:val="00F07920"/>
    <w:rsid w:val="00F1000F"/>
    <w:rsid w:val="00F114C7"/>
    <w:rsid w:val="00F11946"/>
    <w:rsid w:val="00F11A86"/>
    <w:rsid w:val="00F129B5"/>
    <w:rsid w:val="00F12AA7"/>
    <w:rsid w:val="00F12CBF"/>
    <w:rsid w:val="00F14A1A"/>
    <w:rsid w:val="00F1790A"/>
    <w:rsid w:val="00F17A74"/>
    <w:rsid w:val="00F20A4A"/>
    <w:rsid w:val="00F21123"/>
    <w:rsid w:val="00F211D3"/>
    <w:rsid w:val="00F217D8"/>
    <w:rsid w:val="00F2194A"/>
    <w:rsid w:val="00F220A7"/>
    <w:rsid w:val="00F2223B"/>
    <w:rsid w:val="00F22864"/>
    <w:rsid w:val="00F2289B"/>
    <w:rsid w:val="00F228CB"/>
    <w:rsid w:val="00F229E0"/>
    <w:rsid w:val="00F24694"/>
    <w:rsid w:val="00F24B59"/>
    <w:rsid w:val="00F2504A"/>
    <w:rsid w:val="00F25072"/>
    <w:rsid w:val="00F255D4"/>
    <w:rsid w:val="00F25CFB"/>
    <w:rsid w:val="00F27113"/>
    <w:rsid w:val="00F27847"/>
    <w:rsid w:val="00F302F6"/>
    <w:rsid w:val="00F318D3"/>
    <w:rsid w:val="00F3228E"/>
    <w:rsid w:val="00F3276A"/>
    <w:rsid w:val="00F32DDF"/>
    <w:rsid w:val="00F34931"/>
    <w:rsid w:val="00F34B7B"/>
    <w:rsid w:val="00F35D79"/>
    <w:rsid w:val="00F367B6"/>
    <w:rsid w:val="00F368DE"/>
    <w:rsid w:val="00F40445"/>
    <w:rsid w:val="00F40C18"/>
    <w:rsid w:val="00F42150"/>
    <w:rsid w:val="00F4271A"/>
    <w:rsid w:val="00F44500"/>
    <w:rsid w:val="00F4513A"/>
    <w:rsid w:val="00F46B76"/>
    <w:rsid w:val="00F46DD5"/>
    <w:rsid w:val="00F50AA0"/>
    <w:rsid w:val="00F51ECF"/>
    <w:rsid w:val="00F529EC"/>
    <w:rsid w:val="00F53F8F"/>
    <w:rsid w:val="00F54D57"/>
    <w:rsid w:val="00F570E2"/>
    <w:rsid w:val="00F57A0B"/>
    <w:rsid w:val="00F6074A"/>
    <w:rsid w:val="00F60DBA"/>
    <w:rsid w:val="00F610F1"/>
    <w:rsid w:val="00F62741"/>
    <w:rsid w:val="00F62758"/>
    <w:rsid w:val="00F62FE6"/>
    <w:rsid w:val="00F631F5"/>
    <w:rsid w:val="00F6561E"/>
    <w:rsid w:val="00F6697A"/>
    <w:rsid w:val="00F7034F"/>
    <w:rsid w:val="00F703EF"/>
    <w:rsid w:val="00F723F0"/>
    <w:rsid w:val="00F73432"/>
    <w:rsid w:val="00F73C6A"/>
    <w:rsid w:val="00F7470E"/>
    <w:rsid w:val="00F74DB8"/>
    <w:rsid w:val="00F74F58"/>
    <w:rsid w:val="00F75263"/>
    <w:rsid w:val="00F76B63"/>
    <w:rsid w:val="00F80B24"/>
    <w:rsid w:val="00F82837"/>
    <w:rsid w:val="00F82E54"/>
    <w:rsid w:val="00F8561D"/>
    <w:rsid w:val="00F85C0F"/>
    <w:rsid w:val="00F87304"/>
    <w:rsid w:val="00F87B38"/>
    <w:rsid w:val="00F90061"/>
    <w:rsid w:val="00F9098A"/>
    <w:rsid w:val="00F91459"/>
    <w:rsid w:val="00F91D4F"/>
    <w:rsid w:val="00F932A3"/>
    <w:rsid w:val="00F93513"/>
    <w:rsid w:val="00F938B0"/>
    <w:rsid w:val="00F94679"/>
    <w:rsid w:val="00F94DBA"/>
    <w:rsid w:val="00F9509E"/>
    <w:rsid w:val="00F950B6"/>
    <w:rsid w:val="00F95439"/>
    <w:rsid w:val="00F97D3D"/>
    <w:rsid w:val="00FA0117"/>
    <w:rsid w:val="00FA0796"/>
    <w:rsid w:val="00FA15C4"/>
    <w:rsid w:val="00FA4421"/>
    <w:rsid w:val="00FA527F"/>
    <w:rsid w:val="00FA56A8"/>
    <w:rsid w:val="00FA6706"/>
    <w:rsid w:val="00FA6ABB"/>
    <w:rsid w:val="00FA6D31"/>
    <w:rsid w:val="00FA7E87"/>
    <w:rsid w:val="00FB0400"/>
    <w:rsid w:val="00FB0457"/>
    <w:rsid w:val="00FB0AB4"/>
    <w:rsid w:val="00FB0B62"/>
    <w:rsid w:val="00FB0C9E"/>
    <w:rsid w:val="00FB2010"/>
    <w:rsid w:val="00FB2628"/>
    <w:rsid w:val="00FB524B"/>
    <w:rsid w:val="00FB5CCF"/>
    <w:rsid w:val="00FB6735"/>
    <w:rsid w:val="00FB6EE5"/>
    <w:rsid w:val="00FB721D"/>
    <w:rsid w:val="00FB7DD7"/>
    <w:rsid w:val="00FC0BE6"/>
    <w:rsid w:val="00FC16C0"/>
    <w:rsid w:val="00FC2D8B"/>
    <w:rsid w:val="00FC3559"/>
    <w:rsid w:val="00FC4645"/>
    <w:rsid w:val="00FC4B81"/>
    <w:rsid w:val="00FC4C74"/>
    <w:rsid w:val="00FD0829"/>
    <w:rsid w:val="00FD1592"/>
    <w:rsid w:val="00FD16A6"/>
    <w:rsid w:val="00FD1D49"/>
    <w:rsid w:val="00FD2D3A"/>
    <w:rsid w:val="00FD2DB0"/>
    <w:rsid w:val="00FD2ED8"/>
    <w:rsid w:val="00FD3F80"/>
    <w:rsid w:val="00FD4808"/>
    <w:rsid w:val="00FD7300"/>
    <w:rsid w:val="00FD740C"/>
    <w:rsid w:val="00FE03D3"/>
    <w:rsid w:val="00FE1C14"/>
    <w:rsid w:val="00FE4910"/>
    <w:rsid w:val="00FE5214"/>
    <w:rsid w:val="00FE62BC"/>
    <w:rsid w:val="00FF2B3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EE20327"/>
  <w15:docId w15:val="{8F0534F4-4F3B-4329-961D-626598EE6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0D6B"/>
    <w:rPr>
      <w:sz w:val="24"/>
      <w:szCs w:val="24"/>
    </w:rPr>
  </w:style>
  <w:style w:type="paragraph" w:styleId="Balk1">
    <w:name w:val="heading 1"/>
    <w:basedOn w:val="Normal"/>
    <w:next w:val="Normal"/>
    <w:link w:val="Balk1Char"/>
    <w:qFormat/>
    <w:pPr>
      <w:keepNext/>
      <w:jc w:val="center"/>
      <w:outlineLvl w:val="0"/>
    </w:pPr>
    <w:rPr>
      <w:rFonts w:ascii="Arial" w:hAnsi="Arial" w:cs="Arial"/>
      <w:b/>
      <w:bCs/>
      <w:sz w:val="20"/>
      <w:szCs w:val="20"/>
    </w:rPr>
  </w:style>
  <w:style w:type="paragraph" w:styleId="Balk2">
    <w:name w:val="heading 2"/>
    <w:basedOn w:val="Normal"/>
    <w:next w:val="Normal"/>
    <w:link w:val="Balk2Char"/>
    <w:qFormat/>
    <w:pPr>
      <w:keepNext/>
      <w:pBdr>
        <w:top w:val="double" w:sz="4" w:space="1" w:color="auto"/>
        <w:left w:val="double" w:sz="4" w:space="4" w:color="auto"/>
        <w:bottom w:val="double" w:sz="4" w:space="1" w:color="auto"/>
        <w:right w:val="double" w:sz="4" w:space="4" w:color="auto"/>
      </w:pBdr>
      <w:jc w:val="center"/>
      <w:outlineLvl w:val="1"/>
    </w:pPr>
    <w:rPr>
      <w:rFonts w:ascii="Garamond" w:hAnsi="Garamond"/>
      <w:b/>
      <w:sz w:val="32"/>
      <w:szCs w:val="20"/>
    </w:rPr>
  </w:style>
  <w:style w:type="paragraph" w:styleId="Balk3">
    <w:name w:val="heading 3"/>
    <w:basedOn w:val="Normal"/>
    <w:next w:val="Normal"/>
    <w:qFormat/>
    <w:pPr>
      <w:keepNext/>
      <w:jc w:val="both"/>
      <w:outlineLvl w:val="2"/>
    </w:pPr>
    <w:rPr>
      <w:b/>
      <w:bCs/>
      <w:sz w:val="20"/>
    </w:rPr>
  </w:style>
  <w:style w:type="paragraph" w:styleId="Balk4">
    <w:name w:val="heading 4"/>
    <w:basedOn w:val="Normal"/>
    <w:next w:val="Normal"/>
    <w:qFormat/>
    <w:pPr>
      <w:keepNext/>
      <w:pBdr>
        <w:top w:val="double" w:sz="4" w:space="1" w:color="auto"/>
        <w:left w:val="double" w:sz="4" w:space="4" w:color="auto"/>
        <w:bottom w:val="double" w:sz="4" w:space="1" w:color="auto"/>
        <w:right w:val="double" w:sz="4" w:space="4" w:color="auto"/>
      </w:pBdr>
      <w:jc w:val="center"/>
      <w:outlineLvl w:val="3"/>
    </w:pPr>
    <w:rPr>
      <w:rFonts w:ascii="Garamond" w:hAnsi="Garamond"/>
      <w:b/>
      <w:szCs w:val="20"/>
    </w:rPr>
  </w:style>
  <w:style w:type="paragraph" w:styleId="Balk6">
    <w:name w:val="heading 6"/>
    <w:basedOn w:val="Normal"/>
    <w:next w:val="Normal"/>
    <w:link w:val="Balk6Char"/>
    <w:qFormat/>
    <w:rsid w:val="00A75A11"/>
    <w:pPr>
      <w:spacing w:before="240" w:after="60"/>
      <w:outlineLvl w:val="5"/>
    </w:pPr>
    <w:rPr>
      <w:b/>
      <w:bCs/>
      <w:sz w:val="22"/>
      <w:szCs w:val="22"/>
    </w:rPr>
  </w:style>
  <w:style w:type="paragraph" w:styleId="Balk7">
    <w:name w:val="heading 7"/>
    <w:basedOn w:val="Normal"/>
    <w:next w:val="Normal"/>
    <w:link w:val="Balk7Char"/>
    <w:qFormat/>
    <w:rsid w:val="00A75A11"/>
    <w:pPr>
      <w:spacing w:before="240" w:after="60"/>
      <w:outlineLvl w:val="6"/>
    </w:pPr>
  </w:style>
  <w:style w:type="paragraph" w:styleId="Balk9">
    <w:name w:val="heading 9"/>
    <w:basedOn w:val="Normal"/>
    <w:next w:val="Normal"/>
    <w:qFormat/>
    <w:rsid w:val="00680A41"/>
    <w:pPr>
      <w:spacing w:before="240" w:after="60"/>
      <w:outlineLvl w:val="8"/>
    </w:pPr>
    <w:rPr>
      <w:rFonts w:ascii="Arial" w:hAnsi="Arial" w:cs="Arial"/>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semiHidden/>
    <w:rPr>
      <w:color w:val="0000FF"/>
      <w:u w:val="single"/>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lang w:val="en-US"/>
    </w:rPr>
  </w:style>
  <w:style w:type="character" w:styleId="zlenenKpr">
    <w:name w:val="FollowedHyperlink"/>
    <w:semiHidden/>
    <w:rPr>
      <w:color w:val="800080"/>
      <w:u w:val="single"/>
    </w:rPr>
  </w:style>
  <w:style w:type="paragraph" w:styleId="GvdeMetniGirintisi">
    <w:name w:val="Body Text Indent"/>
    <w:basedOn w:val="Normal"/>
    <w:semiHidden/>
    <w:pPr>
      <w:ind w:left="1800" w:hanging="360"/>
    </w:pPr>
  </w:style>
  <w:style w:type="paragraph" w:styleId="GvdeMetniGirintisi2">
    <w:name w:val="Body Text Indent 2"/>
    <w:basedOn w:val="Normal"/>
    <w:pPr>
      <w:ind w:left="360"/>
      <w:jc w:val="both"/>
    </w:pPr>
  </w:style>
  <w:style w:type="paragraph" w:styleId="GvdeMetniGirintisi3">
    <w:name w:val="Body Text Indent 3"/>
    <w:basedOn w:val="Normal"/>
    <w:link w:val="GvdeMetniGirintisi3Char"/>
    <w:semiHidden/>
    <w:pPr>
      <w:ind w:left="360" w:firstLine="360"/>
      <w:jc w:val="both"/>
    </w:pPr>
  </w:style>
  <w:style w:type="paragraph" w:customStyle="1" w:styleId="xl24">
    <w:name w:val="xl24"/>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lang w:val="en-US"/>
    </w:rPr>
  </w:style>
  <w:style w:type="paragraph" w:customStyle="1" w:styleId="xl25">
    <w:name w:val="xl25"/>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lang w:val="en-US"/>
    </w:rPr>
  </w:style>
  <w:style w:type="paragraph" w:customStyle="1" w:styleId="xl26">
    <w:name w:val="xl26"/>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lang w:val="en-US"/>
    </w:rPr>
  </w:style>
  <w:style w:type="paragraph" w:customStyle="1" w:styleId="xl27">
    <w:name w:val="xl27"/>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lang w:val="en-US"/>
    </w:rPr>
  </w:style>
  <w:style w:type="paragraph" w:customStyle="1" w:styleId="xl28">
    <w:name w:val="xl28"/>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lang w:val="en-US"/>
    </w:rPr>
  </w:style>
  <w:style w:type="paragraph" w:customStyle="1" w:styleId="xl29">
    <w:name w:val="xl29"/>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lang w:val="en-US"/>
    </w:rPr>
  </w:style>
  <w:style w:type="paragraph" w:styleId="GvdeMetni">
    <w:name w:val="Body Text"/>
    <w:basedOn w:val="Normal"/>
    <w:link w:val="GvdeMetniChar"/>
    <w:pPr>
      <w:shd w:val="clear" w:color="auto" w:fill="FFFFFF"/>
      <w:jc w:val="both"/>
    </w:pPr>
    <w:rPr>
      <w:color w:val="FF0000"/>
    </w:rPr>
  </w:style>
  <w:style w:type="paragraph" w:styleId="stBilgi">
    <w:name w:val="header"/>
    <w:basedOn w:val="Normal"/>
    <w:link w:val="stBilgiChar"/>
    <w:uiPriority w:val="99"/>
    <w:pPr>
      <w:tabs>
        <w:tab w:val="center" w:pos="4536"/>
        <w:tab w:val="right" w:pos="9072"/>
      </w:tabs>
    </w:pPr>
    <w:rPr>
      <w:lang w:val="x-none"/>
    </w:rPr>
  </w:style>
  <w:style w:type="paragraph" w:styleId="AltBilgi">
    <w:name w:val="footer"/>
    <w:basedOn w:val="Normal"/>
    <w:link w:val="AltBilgiChar"/>
    <w:uiPriority w:val="99"/>
    <w:pPr>
      <w:tabs>
        <w:tab w:val="center" w:pos="4536"/>
        <w:tab w:val="right" w:pos="9072"/>
      </w:tabs>
    </w:pPr>
  </w:style>
  <w:style w:type="character" w:styleId="SayfaNumaras">
    <w:name w:val="page number"/>
    <w:basedOn w:val="VarsaylanParagrafYazTipi"/>
  </w:style>
  <w:style w:type="paragraph" w:styleId="DipnotMetni">
    <w:name w:val="footnote text"/>
    <w:basedOn w:val="Normal"/>
    <w:link w:val="DipnotMetniChar"/>
    <w:semiHidden/>
    <w:rPr>
      <w:sz w:val="20"/>
      <w:szCs w:val="20"/>
    </w:rPr>
  </w:style>
  <w:style w:type="paragraph" w:customStyle="1" w:styleId="xl22">
    <w:name w:val="xl22"/>
    <w:basedOn w:val="Normal"/>
    <w:pPr>
      <w:pBdr>
        <w:left w:val="single" w:sz="4" w:space="0" w:color="auto"/>
        <w:bottom w:val="single" w:sz="4" w:space="0" w:color="auto"/>
        <w:right w:val="single" w:sz="4" w:space="0" w:color="auto"/>
      </w:pBdr>
      <w:spacing w:before="100" w:beforeAutospacing="1" w:after="100" w:afterAutospacing="1"/>
    </w:pPr>
    <w:rPr>
      <w:lang w:val="en-US"/>
    </w:rPr>
  </w:style>
  <w:style w:type="paragraph" w:customStyle="1" w:styleId="xl23">
    <w:name w:val="xl23"/>
    <w:basedOn w:val="Normal"/>
    <w:pPr>
      <w:pBdr>
        <w:bottom w:val="single" w:sz="4" w:space="0" w:color="auto"/>
        <w:right w:val="single" w:sz="4" w:space="0" w:color="auto"/>
      </w:pBdr>
      <w:spacing w:before="100" w:beforeAutospacing="1" w:after="100" w:afterAutospacing="1"/>
      <w:jc w:val="both"/>
    </w:pPr>
    <w:rPr>
      <w:lang w:val="en-US"/>
    </w:rPr>
  </w:style>
  <w:style w:type="paragraph" w:styleId="GvdeMetni2">
    <w:name w:val="Body Text 2"/>
    <w:basedOn w:val="Normal"/>
    <w:link w:val="GvdeMetni2Char"/>
    <w:pPr>
      <w:spacing w:after="120" w:line="480" w:lineRule="auto"/>
    </w:pPr>
    <w:rPr>
      <w:lang w:val="x-none"/>
    </w:rPr>
  </w:style>
  <w:style w:type="paragraph" w:styleId="BalonMetni">
    <w:name w:val="Balloon Text"/>
    <w:basedOn w:val="Normal"/>
    <w:link w:val="BalonMetniChar"/>
    <w:uiPriority w:val="99"/>
    <w:semiHidden/>
    <w:rPr>
      <w:rFonts w:ascii="Tahoma" w:hAnsi="Tahoma" w:cs="Tahoma"/>
      <w:sz w:val="16"/>
      <w:szCs w:val="16"/>
    </w:rPr>
  </w:style>
  <w:style w:type="character" w:customStyle="1" w:styleId="a">
    <w:name w:val="a"/>
    <w:basedOn w:val="VarsaylanParagrafYazTipi"/>
  </w:style>
  <w:style w:type="paragraph" w:styleId="GvdeMetni3">
    <w:name w:val="Body Text 3"/>
    <w:basedOn w:val="Normal"/>
    <w:link w:val="GvdeMetni3Char"/>
    <w:pPr>
      <w:spacing w:after="120"/>
    </w:pPr>
    <w:rPr>
      <w:sz w:val="16"/>
      <w:szCs w:val="16"/>
    </w:rPr>
  </w:style>
  <w:style w:type="character" w:styleId="DipnotBavurusu">
    <w:name w:val="footnote reference"/>
    <w:semiHidden/>
    <w:rPr>
      <w:vertAlign w:val="superscript"/>
    </w:rPr>
  </w:style>
  <w:style w:type="paragraph" w:customStyle="1" w:styleId="xl31">
    <w:name w:val="xl31"/>
    <w:basedOn w:val="Normal"/>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pPr>
  </w:style>
  <w:style w:type="paragraph" w:customStyle="1" w:styleId="xl30">
    <w:name w:val="xl30"/>
    <w:basedOn w:val="Normal"/>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pPr>
  </w:style>
  <w:style w:type="paragraph" w:customStyle="1" w:styleId="Default">
    <w:name w:val="Default"/>
    <w:rsid w:val="00D07ADB"/>
    <w:pPr>
      <w:autoSpaceDE w:val="0"/>
      <w:autoSpaceDN w:val="0"/>
      <w:adjustRightInd w:val="0"/>
    </w:pPr>
    <w:rPr>
      <w:color w:val="000000"/>
      <w:sz w:val="24"/>
      <w:szCs w:val="24"/>
    </w:rPr>
  </w:style>
  <w:style w:type="table" w:styleId="TabloKlavuzu">
    <w:name w:val="Table Grid"/>
    <w:basedOn w:val="NormalTablo"/>
    <w:rsid w:val="00AB0F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BB76BB"/>
    <w:pPr>
      <w:ind w:left="708"/>
    </w:pPr>
  </w:style>
  <w:style w:type="paragraph" w:styleId="KonuBal">
    <w:name w:val="Title"/>
    <w:basedOn w:val="Normal"/>
    <w:link w:val="KonuBalChar"/>
    <w:qFormat/>
    <w:rsid w:val="00866648"/>
    <w:pPr>
      <w:spacing w:line="240" w:lineRule="atLeast"/>
      <w:jc w:val="center"/>
    </w:pPr>
    <w:rPr>
      <w:b/>
      <w:sz w:val="32"/>
      <w:szCs w:val="20"/>
      <w:lang w:val="en-AU" w:eastAsia="x-none"/>
    </w:rPr>
  </w:style>
  <w:style w:type="character" w:customStyle="1" w:styleId="KonuBalChar">
    <w:name w:val="Konu Başlığı Char"/>
    <w:link w:val="KonuBal"/>
    <w:rsid w:val="00866648"/>
    <w:rPr>
      <w:b/>
      <w:sz w:val="32"/>
      <w:lang w:val="en-AU"/>
    </w:rPr>
  </w:style>
  <w:style w:type="character" w:styleId="Gl">
    <w:name w:val="Strong"/>
    <w:qFormat/>
    <w:rsid w:val="00782364"/>
    <w:rPr>
      <w:b/>
      <w:bCs/>
    </w:rPr>
  </w:style>
  <w:style w:type="character" w:styleId="Vurgu">
    <w:name w:val="Emphasis"/>
    <w:qFormat/>
    <w:rsid w:val="00680A41"/>
    <w:rPr>
      <w:b/>
      <w:bCs/>
      <w:i w:val="0"/>
      <w:iCs w:val="0"/>
    </w:rPr>
  </w:style>
  <w:style w:type="character" w:customStyle="1" w:styleId="apple-style-span">
    <w:name w:val="apple-style-span"/>
    <w:rsid w:val="00BB4D1A"/>
    <w:rPr>
      <w:rFonts w:cs="Times New Roman"/>
    </w:rPr>
  </w:style>
  <w:style w:type="character" w:customStyle="1" w:styleId="GvdeMetni2Char">
    <w:name w:val="Gövde Metni 2 Char"/>
    <w:link w:val="GvdeMetni2"/>
    <w:rsid w:val="009615D6"/>
    <w:rPr>
      <w:sz w:val="24"/>
      <w:szCs w:val="24"/>
      <w:lang w:eastAsia="en-US"/>
    </w:rPr>
  </w:style>
  <w:style w:type="character" w:customStyle="1" w:styleId="stBilgiChar">
    <w:name w:val="Üst Bilgi Char"/>
    <w:link w:val="stBilgi"/>
    <w:uiPriority w:val="99"/>
    <w:rsid w:val="001D3669"/>
    <w:rPr>
      <w:sz w:val="24"/>
      <w:szCs w:val="24"/>
      <w:lang w:eastAsia="en-US"/>
    </w:rPr>
  </w:style>
  <w:style w:type="character" w:customStyle="1" w:styleId="Balk6Char">
    <w:name w:val="Başlık 6 Char"/>
    <w:link w:val="Balk6"/>
    <w:rsid w:val="00A75A11"/>
    <w:rPr>
      <w:b/>
      <w:bCs/>
      <w:sz w:val="22"/>
      <w:szCs w:val="22"/>
    </w:rPr>
  </w:style>
  <w:style w:type="character" w:customStyle="1" w:styleId="Balk7Char">
    <w:name w:val="Başlık 7 Char"/>
    <w:link w:val="Balk7"/>
    <w:rsid w:val="00A75A11"/>
    <w:rPr>
      <w:sz w:val="24"/>
      <w:szCs w:val="24"/>
    </w:rPr>
  </w:style>
  <w:style w:type="character" w:customStyle="1" w:styleId="AltBilgiChar">
    <w:name w:val="Alt Bilgi Char"/>
    <w:link w:val="AltBilgi"/>
    <w:uiPriority w:val="99"/>
    <w:rsid w:val="007C1878"/>
    <w:rPr>
      <w:sz w:val="24"/>
      <w:szCs w:val="24"/>
    </w:rPr>
  </w:style>
  <w:style w:type="paragraph" w:styleId="ResimYazs">
    <w:name w:val="caption"/>
    <w:basedOn w:val="Normal"/>
    <w:next w:val="Normal"/>
    <w:uiPriority w:val="35"/>
    <w:unhideWhenUsed/>
    <w:qFormat/>
    <w:rsid w:val="00D56A70"/>
    <w:rPr>
      <w:b/>
      <w:bCs/>
      <w:sz w:val="20"/>
      <w:szCs w:val="20"/>
    </w:rPr>
  </w:style>
  <w:style w:type="character" w:customStyle="1" w:styleId="GvdeMetniChar">
    <w:name w:val="Gövde Metni Char"/>
    <w:basedOn w:val="VarsaylanParagrafYazTipi"/>
    <w:link w:val="GvdeMetni"/>
    <w:rsid w:val="00731D63"/>
    <w:rPr>
      <w:color w:val="FF0000"/>
      <w:sz w:val="24"/>
      <w:szCs w:val="24"/>
      <w:shd w:val="clear" w:color="auto" w:fill="FFFFFF"/>
    </w:rPr>
  </w:style>
  <w:style w:type="character" w:customStyle="1" w:styleId="Balk1Char">
    <w:name w:val="Başlık 1 Char"/>
    <w:basedOn w:val="VarsaylanParagrafYazTipi"/>
    <w:link w:val="Balk1"/>
    <w:rsid w:val="006E084C"/>
    <w:rPr>
      <w:rFonts w:ascii="Arial" w:hAnsi="Arial" w:cs="Arial"/>
      <w:b/>
      <w:bCs/>
    </w:rPr>
  </w:style>
  <w:style w:type="character" w:customStyle="1" w:styleId="Balk2Char">
    <w:name w:val="Başlık 2 Char"/>
    <w:link w:val="Balk2"/>
    <w:rsid w:val="003B426A"/>
    <w:rPr>
      <w:rFonts w:ascii="Garamond" w:hAnsi="Garamond"/>
      <w:b/>
      <w:sz w:val="32"/>
    </w:rPr>
  </w:style>
  <w:style w:type="character" w:customStyle="1" w:styleId="GvdeMetni3Char">
    <w:name w:val="Gövde Metni 3 Char"/>
    <w:link w:val="GvdeMetni3"/>
    <w:rsid w:val="00D60DF8"/>
    <w:rPr>
      <w:sz w:val="16"/>
      <w:szCs w:val="16"/>
    </w:rPr>
  </w:style>
  <w:style w:type="character" w:customStyle="1" w:styleId="DipnotMetniChar">
    <w:name w:val="Dipnot Metni Char"/>
    <w:basedOn w:val="VarsaylanParagrafYazTipi"/>
    <w:link w:val="DipnotMetni"/>
    <w:semiHidden/>
    <w:rsid w:val="00161E7C"/>
  </w:style>
  <w:style w:type="character" w:customStyle="1" w:styleId="BalonMetniChar">
    <w:name w:val="Balon Metni Char"/>
    <w:basedOn w:val="VarsaylanParagrafYazTipi"/>
    <w:link w:val="BalonMetni"/>
    <w:uiPriority w:val="99"/>
    <w:semiHidden/>
    <w:rsid w:val="00161E7C"/>
    <w:rPr>
      <w:rFonts w:ascii="Tahoma" w:hAnsi="Tahoma" w:cs="Tahoma"/>
      <w:sz w:val="16"/>
      <w:szCs w:val="16"/>
    </w:rPr>
  </w:style>
  <w:style w:type="paragraph" w:customStyle="1" w:styleId="default0">
    <w:name w:val="default"/>
    <w:basedOn w:val="Normal"/>
    <w:rsid w:val="00B1186F"/>
    <w:pPr>
      <w:spacing w:before="100" w:beforeAutospacing="1" w:after="100" w:afterAutospacing="1"/>
    </w:pPr>
  </w:style>
  <w:style w:type="character" w:customStyle="1" w:styleId="spelle">
    <w:name w:val="spelle"/>
    <w:basedOn w:val="VarsaylanParagrafYazTipi"/>
    <w:rsid w:val="00B1186F"/>
  </w:style>
  <w:style w:type="character" w:customStyle="1" w:styleId="GvdeMetniGirintisi3Char">
    <w:name w:val="Gövde Metni Girintisi 3 Char"/>
    <w:basedOn w:val="VarsaylanParagrafYazTipi"/>
    <w:link w:val="GvdeMetniGirintisi3"/>
    <w:semiHidden/>
    <w:rsid w:val="00130EB7"/>
    <w:rPr>
      <w:sz w:val="24"/>
      <w:szCs w:val="24"/>
    </w:rPr>
  </w:style>
  <w:style w:type="character" w:customStyle="1" w:styleId="grame">
    <w:name w:val="grame"/>
    <w:basedOn w:val="VarsaylanParagrafYazTipi"/>
    <w:rsid w:val="00E37D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42790">
      <w:bodyDiv w:val="1"/>
      <w:marLeft w:val="0"/>
      <w:marRight w:val="0"/>
      <w:marTop w:val="45"/>
      <w:marBottom w:val="45"/>
      <w:divBdr>
        <w:top w:val="none" w:sz="0" w:space="0" w:color="auto"/>
        <w:left w:val="none" w:sz="0" w:space="0" w:color="auto"/>
        <w:bottom w:val="none" w:sz="0" w:space="0" w:color="auto"/>
        <w:right w:val="none" w:sz="0" w:space="0" w:color="auto"/>
      </w:divBdr>
      <w:divsChild>
        <w:div w:id="1942371469">
          <w:marLeft w:val="0"/>
          <w:marRight w:val="0"/>
          <w:marTop w:val="0"/>
          <w:marBottom w:val="0"/>
          <w:divBdr>
            <w:top w:val="none" w:sz="0" w:space="0" w:color="auto"/>
            <w:left w:val="none" w:sz="0" w:space="0" w:color="auto"/>
            <w:bottom w:val="none" w:sz="0" w:space="0" w:color="auto"/>
            <w:right w:val="none" w:sz="0" w:space="0" w:color="auto"/>
          </w:divBdr>
          <w:divsChild>
            <w:div w:id="1605382390">
              <w:marLeft w:val="0"/>
              <w:marRight w:val="0"/>
              <w:marTop w:val="0"/>
              <w:marBottom w:val="0"/>
              <w:divBdr>
                <w:top w:val="none" w:sz="0" w:space="0" w:color="auto"/>
                <w:left w:val="none" w:sz="0" w:space="0" w:color="auto"/>
                <w:bottom w:val="none" w:sz="0" w:space="0" w:color="auto"/>
                <w:right w:val="none" w:sz="0" w:space="0" w:color="auto"/>
              </w:divBdr>
              <w:divsChild>
                <w:div w:id="2039156953">
                  <w:marLeft w:val="2385"/>
                  <w:marRight w:val="3960"/>
                  <w:marTop w:val="0"/>
                  <w:marBottom w:val="0"/>
                  <w:divBdr>
                    <w:top w:val="none" w:sz="0" w:space="0" w:color="auto"/>
                    <w:left w:val="single" w:sz="6" w:space="0" w:color="D3E1F9"/>
                    <w:bottom w:val="none" w:sz="0" w:space="0" w:color="auto"/>
                    <w:right w:val="none" w:sz="0" w:space="0" w:color="auto"/>
                  </w:divBdr>
                  <w:divsChild>
                    <w:div w:id="606038840">
                      <w:marLeft w:val="0"/>
                      <w:marRight w:val="0"/>
                      <w:marTop w:val="0"/>
                      <w:marBottom w:val="0"/>
                      <w:divBdr>
                        <w:top w:val="none" w:sz="0" w:space="0" w:color="auto"/>
                        <w:left w:val="none" w:sz="0" w:space="0" w:color="auto"/>
                        <w:bottom w:val="none" w:sz="0" w:space="0" w:color="auto"/>
                        <w:right w:val="none" w:sz="0" w:space="0" w:color="auto"/>
                      </w:divBdr>
                      <w:divsChild>
                        <w:div w:id="170074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928884">
      <w:bodyDiv w:val="1"/>
      <w:marLeft w:val="0"/>
      <w:marRight w:val="0"/>
      <w:marTop w:val="0"/>
      <w:marBottom w:val="0"/>
      <w:divBdr>
        <w:top w:val="none" w:sz="0" w:space="0" w:color="auto"/>
        <w:left w:val="none" w:sz="0" w:space="0" w:color="auto"/>
        <w:bottom w:val="none" w:sz="0" w:space="0" w:color="auto"/>
        <w:right w:val="none" w:sz="0" w:space="0" w:color="auto"/>
      </w:divBdr>
    </w:div>
    <w:div w:id="34432577">
      <w:bodyDiv w:val="1"/>
      <w:marLeft w:val="0"/>
      <w:marRight w:val="0"/>
      <w:marTop w:val="0"/>
      <w:marBottom w:val="0"/>
      <w:divBdr>
        <w:top w:val="none" w:sz="0" w:space="0" w:color="auto"/>
        <w:left w:val="none" w:sz="0" w:space="0" w:color="auto"/>
        <w:bottom w:val="none" w:sz="0" w:space="0" w:color="auto"/>
        <w:right w:val="none" w:sz="0" w:space="0" w:color="auto"/>
      </w:divBdr>
    </w:div>
    <w:div w:id="43063326">
      <w:bodyDiv w:val="1"/>
      <w:marLeft w:val="0"/>
      <w:marRight w:val="0"/>
      <w:marTop w:val="0"/>
      <w:marBottom w:val="0"/>
      <w:divBdr>
        <w:top w:val="none" w:sz="0" w:space="0" w:color="auto"/>
        <w:left w:val="none" w:sz="0" w:space="0" w:color="auto"/>
        <w:bottom w:val="none" w:sz="0" w:space="0" w:color="auto"/>
        <w:right w:val="none" w:sz="0" w:space="0" w:color="auto"/>
      </w:divBdr>
    </w:div>
    <w:div w:id="55667557">
      <w:bodyDiv w:val="1"/>
      <w:marLeft w:val="0"/>
      <w:marRight w:val="0"/>
      <w:marTop w:val="0"/>
      <w:marBottom w:val="0"/>
      <w:divBdr>
        <w:top w:val="none" w:sz="0" w:space="0" w:color="auto"/>
        <w:left w:val="none" w:sz="0" w:space="0" w:color="auto"/>
        <w:bottom w:val="none" w:sz="0" w:space="0" w:color="auto"/>
        <w:right w:val="none" w:sz="0" w:space="0" w:color="auto"/>
      </w:divBdr>
    </w:div>
    <w:div w:id="74207763">
      <w:bodyDiv w:val="1"/>
      <w:marLeft w:val="0"/>
      <w:marRight w:val="0"/>
      <w:marTop w:val="0"/>
      <w:marBottom w:val="0"/>
      <w:divBdr>
        <w:top w:val="none" w:sz="0" w:space="0" w:color="auto"/>
        <w:left w:val="none" w:sz="0" w:space="0" w:color="auto"/>
        <w:bottom w:val="none" w:sz="0" w:space="0" w:color="auto"/>
        <w:right w:val="none" w:sz="0" w:space="0" w:color="auto"/>
      </w:divBdr>
    </w:div>
    <w:div w:id="152454575">
      <w:bodyDiv w:val="1"/>
      <w:marLeft w:val="0"/>
      <w:marRight w:val="0"/>
      <w:marTop w:val="0"/>
      <w:marBottom w:val="0"/>
      <w:divBdr>
        <w:top w:val="none" w:sz="0" w:space="0" w:color="auto"/>
        <w:left w:val="none" w:sz="0" w:space="0" w:color="auto"/>
        <w:bottom w:val="none" w:sz="0" w:space="0" w:color="auto"/>
        <w:right w:val="none" w:sz="0" w:space="0" w:color="auto"/>
      </w:divBdr>
    </w:div>
    <w:div w:id="177473880">
      <w:bodyDiv w:val="1"/>
      <w:marLeft w:val="0"/>
      <w:marRight w:val="0"/>
      <w:marTop w:val="0"/>
      <w:marBottom w:val="0"/>
      <w:divBdr>
        <w:top w:val="none" w:sz="0" w:space="0" w:color="auto"/>
        <w:left w:val="none" w:sz="0" w:space="0" w:color="auto"/>
        <w:bottom w:val="none" w:sz="0" w:space="0" w:color="auto"/>
        <w:right w:val="none" w:sz="0" w:space="0" w:color="auto"/>
      </w:divBdr>
    </w:div>
    <w:div w:id="188111629">
      <w:bodyDiv w:val="1"/>
      <w:marLeft w:val="0"/>
      <w:marRight w:val="0"/>
      <w:marTop w:val="0"/>
      <w:marBottom w:val="0"/>
      <w:divBdr>
        <w:top w:val="none" w:sz="0" w:space="0" w:color="auto"/>
        <w:left w:val="none" w:sz="0" w:space="0" w:color="auto"/>
        <w:bottom w:val="none" w:sz="0" w:space="0" w:color="auto"/>
        <w:right w:val="none" w:sz="0" w:space="0" w:color="auto"/>
      </w:divBdr>
    </w:div>
    <w:div w:id="219750062">
      <w:bodyDiv w:val="1"/>
      <w:marLeft w:val="0"/>
      <w:marRight w:val="0"/>
      <w:marTop w:val="0"/>
      <w:marBottom w:val="0"/>
      <w:divBdr>
        <w:top w:val="none" w:sz="0" w:space="0" w:color="auto"/>
        <w:left w:val="none" w:sz="0" w:space="0" w:color="auto"/>
        <w:bottom w:val="none" w:sz="0" w:space="0" w:color="auto"/>
        <w:right w:val="none" w:sz="0" w:space="0" w:color="auto"/>
      </w:divBdr>
    </w:div>
    <w:div w:id="223496201">
      <w:bodyDiv w:val="1"/>
      <w:marLeft w:val="0"/>
      <w:marRight w:val="0"/>
      <w:marTop w:val="0"/>
      <w:marBottom w:val="0"/>
      <w:divBdr>
        <w:top w:val="none" w:sz="0" w:space="0" w:color="auto"/>
        <w:left w:val="none" w:sz="0" w:space="0" w:color="auto"/>
        <w:bottom w:val="none" w:sz="0" w:space="0" w:color="auto"/>
        <w:right w:val="none" w:sz="0" w:space="0" w:color="auto"/>
      </w:divBdr>
    </w:div>
    <w:div w:id="230385768">
      <w:bodyDiv w:val="1"/>
      <w:marLeft w:val="0"/>
      <w:marRight w:val="0"/>
      <w:marTop w:val="0"/>
      <w:marBottom w:val="0"/>
      <w:divBdr>
        <w:top w:val="none" w:sz="0" w:space="0" w:color="auto"/>
        <w:left w:val="none" w:sz="0" w:space="0" w:color="auto"/>
        <w:bottom w:val="none" w:sz="0" w:space="0" w:color="auto"/>
        <w:right w:val="none" w:sz="0" w:space="0" w:color="auto"/>
      </w:divBdr>
    </w:div>
    <w:div w:id="240061688">
      <w:bodyDiv w:val="1"/>
      <w:marLeft w:val="0"/>
      <w:marRight w:val="0"/>
      <w:marTop w:val="0"/>
      <w:marBottom w:val="0"/>
      <w:divBdr>
        <w:top w:val="none" w:sz="0" w:space="0" w:color="auto"/>
        <w:left w:val="none" w:sz="0" w:space="0" w:color="auto"/>
        <w:bottom w:val="none" w:sz="0" w:space="0" w:color="auto"/>
        <w:right w:val="none" w:sz="0" w:space="0" w:color="auto"/>
      </w:divBdr>
    </w:div>
    <w:div w:id="284388679">
      <w:bodyDiv w:val="1"/>
      <w:marLeft w:val="0"/>
      <w:marRight w:val="0"/>
      <w:marTop w:val="0"/>
      <w:marBottom w:val="0"/>
      <w:divBdr>
        <w:top w:val="none" w:sz="0" w:space="0" w:color="auto"/>
        <w:left w:val="none" w:sz="0" w:space="0" w:color="auto"/>
        <w:bottom w:val="none" w:sz="0" w:space="0" w:color="auto"/>
        <w:right w:val="none" w:sz="0" w:space="0" w:color="auto"/>
      </w:divBdr>
    </w:div>
    <w:div w:id="290938090">
      <w:bodyDiv w:val="1"/>
      <w:marLeft w:val="0"/>
      <w:marRight w:val="0"/>
      <w:marTop w:val="0"/>
      <w:marBottom w:val="0"/>
      <w:divBdr>
        <w:top w:val="none" w:sz="0" w:space="0" w:color="auto"/>
        <w:left w:val="none" w:sz="0" w:space="0" w:color="auto"/>
        <w:bottom w:val="none" w:sz="0" w:space="0" w:color="auto"/>
        <w:right w:val="none" w:sz="0" w:space="0" w:color="auto"/>
      </w:divBdr>
    </w:div>
    <w:div w:id="301887904">
      <w:bodyDiv w:val="1"/>
      <w:marLeft w:val="0"/>
      <w:marRight w:val="0"/>
      <w:marTop w:val="0"/>
      <w:marBottom w:val="0"/>
      <w:divBdr>
        <w:top w:val="none" w:sz="0" w:space="0" w:color="auto"/>
        <w:left w:val="none" w:sz="0" w:space="0" w:color="auto"/>
        <w:bottom w:val="none" w:sz="0" w:space="0" w:color="auto"/>
        <w:right w:val="none" w:sz="0" w:space="0" w:color="auto"/>
      </w:divBdr>
    </w:div>
    <w:div w:id="331377062">
      <w:bodyDiv w:val="1"/>
      <w:marLeft w:val="0"/>
      <w:marRight w:val="0"/>
      <w:marTop w:val="45"/>
      <w:marBottom w:val="45"/>
      <w:divBdr>
        <w:top w:val="none" w:sz="0" w:space="0" w:color="auto"/>
        <w:left w:val="none" w:sz="0" w:space="0" w:color="auto"/>
        <w:bottom w:val="none" w:sz="0" w:space="0" w:color="auto"/>
        <w:right w:val="none" w:sz="0" w:space="0" w:color="auto"/>
      </w:divBdr>
      <w:divsChild>
        <w:div w:id="1234660427">
          <w:marLeft w:val="0"/>
          <w:marRight w:val="0"/>
          <w:marTop w:val="0"/>
          <w:marBottom w:val="0"/>
          <w:divBdr>
            <w:top w:val="none" w:sz="0" w:space="0" w:color="auto"/>
            <w:left w:val="none" w:sz="0" w:space="0" w:color="auto"/>
            <w:bottom w:val="none" w:sz="0" w:space="0" w:color="auto"/>
            <w:right w:val="none" w:sz="0" w:space="0" w:color="auto"/>
          </w:divBdr>
          <w:divsChild>
            <w:div w:id="1528522421">
              <w:marLeft w:val="0"/>
              <w:marRight w:val="0"/>
              <w:marTop w:val="0"/>
              <w:marBottom w:val="0"/>
              <w:divBdr>
                <w:top w:val="none" w:sz="0" w:space="0" w:color="auto"/>
                <w:left w:val="none" w:sz="0" w:space="0" w:color="auto"/>
                <w:bottom w:val="none" w:sz="0" w:space="0" w:color="auto"/>
                <w:right w:val="none" w:sz="0" w:space="0" w:color="auto"/>
              </w:divBdr>
              <w:divsChild>
                <w:div w:id="1828134586">
                  <w:marLeft w:val="2385"/>
                  <w:marRight w:val="3960"/>
                  <w:marTop w:val="0"/>
                  <w:marBottom w:val="0"/>
                  <w:divBdr>
                    <w:top w:val="none" w:sz="0" w:space="0" w:color="auto"/>
                    <w:left w:val="single" w:sz="6" w:space="0" w:color="D3E1F9"/>
                    <w:bottom w:val="none" w:sz="0" w:space="0" w:color="auto"/>
                    <w:right w:val="none" w:sz="0" w:space="0" w:color="auto"/>
                  </w:divBdr>
                  <w:divsChild>
                    <w:div w:id="71634097">
                      <w:marLeft w:val="0"/>
                      <w:marRight w:val="0"/>
                      <w:marTop w:val="0"/>
                      <w:marBottom w:val="0"/>
                      <w:divBdr>
                        <w:top w:val="none" w:sz="0" w:space="0" w:color="auto"/>
                        <w:left w:val="none" w:sz="0" w:space="0" w:color="auto"/>
                        <w:bottom w:val="none" w:sz="0" w:space="0" w:color="auto"/>
                        <w:right w:val="none" w:sz="0" w:space="0" w:color="auto"/>
                      </w:divBdr>
                      <w:divsChild>
                        <w:div w:id="191608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8428669">
      <w:bodyDiv w:val="1"/>
      <w:marLeft w:val="0"/>
      <w:marRight w:val="0"/>
      <w:marTop w:val="0"/>
      <w:marBottom w:val="0"/>
      <w:divBdr>
        <w:top w:val="none" w:sz="0" w:space="0" w:color="auto"/>
        <w:left w:val="none" w:sz="0" w:space="0" w:color="auto"/>
        <w:bottom w:val="none" w:sz="0" w:space="0" w:color="auto"/>
        <w:right w:val="none" w:sz="0" w:space="0" w:color="auto"/>
      </w:divBdr>
    </w:div>
    <w:div w:id="398942959">
      <w:bodyDiv w:val="1"/>
      <w:marLeft w:val="0"/>
      <w:marRight w:val="0"/>
      <w:marTop w:val="0"/>
      <w:marBottom w:val="0"/>
      <w:divBdr>
        <w:top w:val="none" w:sz="0" w:space="0" w:color="auto"/>
        <w:left w:val="none" w:sz="0" w:space="0" w:color="auto"/>
        <w:bottom w:val="none" w:sz="0" w:space="0" w:color="auto"/>
        <w:right w:val="none" w:sz="0" w:space="0" w:color="auto"/>
      </w:divBdr>
    </w:div>
    <w:div w:id="401682824">
      <w:bodyDiv w:val="1"/>
      <w:marLeft w:val="0"/>
      <w:marRight w:val="0"/>
      <w:marTop w:val="0"/>
      <w:marBottom w:val="0"/>
      <w:divBdr>
        <w:top w:val="none" w:sz="0" w:space="0" w:color="auto"/>
        <w:left w:val="none" w:sz="0" w:space="0" w:color="auto"/>
        <w:bottom w:val="none" w:sz="0" w:space="0" w:color="auto"/>
        <w:right w:val="none" w:sz="0" w:space="0" w:color="auto"/>
      </w:divBdr>
    </w:div>
    <w:div w:id="414016794">
      <w:bodyDiv w:val="1"/>
      <w:marLeft w:val="0"/>
      <w:marRight w:val="0"/>
      <w:marTop w:val="0"/>
      <w:marBottom w:val="0"/>
      <w:divBdr>
        <w:top w:val="none" w:sz="0" w:space="0" w:color="auto"/>
        <w:left w:val="none" w:sz="0" w:space="0" w:color="auto"/>
        <w:bottom w:val="none" w:sz="0" w:space="0" w:color="auto"/>
        <w:right w:val="none" w:sz="0" w:space="0" w:color="auto"/>
      </w:divBdr>
      <w:divsChild>
        <w:div w:id="708458187">
          <w:marLeft w:val="0"/>
          <w:marRight w:val="0"/>
          <w:marTop w:val="0"/>
          <w:marBottom w:val="0"/>
          <w:divBdr>
            <w:top w:val="none" w:sz="0" w:space="0" w:color="auto"/>
            <w:left w:val="none" w:sz="0" w:space="0" w:color="auto"/>
            <w:bottom w:val="none" w:sz="0" w:space="0" w:color="auto"/>
            <w:right w:val="none" w:sz="0" w:space="0" w:color="auto"/>
          </w:divBdr>
          <w:divsChild>
            <w:div w:id="800464439">
              <w:marLeft w:val="0"/>
              <w:marRight w:val="0"/>
              <w:marTop w:val="33"/>
              <w:marBottom w:val="0"/>
              <w:divBdr>
                <w:top w:val="single" w:sz="2" w:space="0" w:color="596380"/>
                <w:left w:val="single" w:sz="2" w:space="0" w:color="596380"/>
                <w:bottom w:val="single" w:sz="2" w:space="0" w:color="596380"/>
                <w:right w:val="single" w:sz="2" w:space="0" w:color="596380"/>
              </w:divBdr>
              <w:divsChild>
                <w:div w:id="2014985568">
                  <w:marLeft w:val="0"/>
                  <w:marRight w:val="0"/>
                  <w:marTop w:val="0"/>
                  <w:marBottom w:val="0"/>
                  <w:divBdr>
                    <w:top w:val="none" w:sz="0" w:space="0" w:color="auto"/>
                    <w:left w:val="none" w:sz="0" w:space="0" w:color="auto"/>
                    <w:bottom w:val="none" w:sz="0" w:space="0" w:color="auto"/>
                    <w:right w:val="none" w:sz="0" w:space="0" w:color="auto"/>
                  </w:divBdr>
                  <w:divsChild>
                    <w:div w:id="1719696052">
                      <w:marLeft w:val="0"/>
                      <w:marRight w:val="0"/>
                      <w:marTop w:val="0"/>
                      <w:marBottom w:val="0"/>
                      <w:divBdr>
                        <w:top w:val="none" w:sz="0" w:space="0" w:color="auto"/>
                        <w:left w:val="none" w:sz="0" w:space="0" w:color="auto"/>
                        <w:bottom w:val="none" w:sz="0" w:space="0" w:color="auto"/>
                        <w:right w:val="none" w:sz="0" w:space="0" w:color="auto"/>
                      </w:divBdr>
                      <w:divsChild>
                        <w:div w:id="643193405">
                          <w:marLeft w:val="0"/>
                          <w:marRight w:val="0"/>
                          <w:marTop w:val="0"/>
                          <w:marBottom w:val="0"/>
                          <w:divBdr>
                            <w:top w:val="none" w:sz="0" w:space="0" w:color="auto"/>
                            <w:left w:val="none" w:sz="0" w:space="0" w:color="auto"/>
                            <w:bottom w:val="none" w:sz="0" w:space="0" w:color="auto"/>
                            <w:right w:val="none" w:sz="0" w:space="0" w:color="auto"/>
                          </w:divBdr>
                          <w:divsChild>
                            <w:div w:id="2005743220">
                              <w:marLeft w:val="0"/>
                              <w:marRight w:val="0"/>
                              <w:marTop w:val="0"/>
                              <w:marBottom w:val="0"/>
                              <w:divBdr>
                                <w:top w:val="none" w:sz="0" w:space="0" w:color="auto"/>
                                <w:left w:val="none" w:sz="0" w:space="0" w:color="auto"/>
                                <w:bottom w:val="none" w:sz="0" w:space="0" w:color="auto"/>
                                <w:right w:val="none" w:sz="0" w:space="0" w:color="auto"/>
                              </w:divBdr>
                              <w:divsChild>
                                <w:div w:id="727194786">
                                  <w:marLeft w:val="55"/>
                                  <w:marRight w:val="55"/>
                                  <w:marTop w:val="55"/>
                                  <w:marBottom w:val="55"/>
                                  <w:divBdr>
                                    <w:top w:val="none" w:sz="0" w:space="0" w:color="auto"/>
                                    <w:left w:val="none" w:sz="0" w:space="0" w:color="auto"/>
                                    <w:bottom w:val="none" w:sz="0" w:space="0" w:color="auto"/>
                                    <w:right w:val="none" w:sz="0" w:space="0" w:color="auto"/>
                                  </w:divBdr>
                                  <w:divsChild>
                                    <w:div w:id="487790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8697782">
      <w:bodyDiv w:val="1"/>
      <w:marLeft w:val="0"/>
      <w:marRight w:val="0"/>
      <w:marTop w:val="0"/>
      <w:marBottom w:val="0"/>
      <w:divBdr>
        <w:top w:val="none" w:sz="0" w:space="0" w:color="auto"/>
        <w:left w:val="none" w:sz="0" w:space="0" w:color="auto"/>
        <w:bottom w:val="none" w:sz="0" w:space="0" w:color="auto"/>
        <w:right w:val="none" w:sz="0" w:space="0" w:color="auto"/>
      </w:divBdr>
    </w:div>
    <w:div w:id="429934477">
      <w:bodyDiv w:val="1"/>
      <w:marLeft w:val="0"/>
      <w:marRight w:val="0"/>
      <w:marTop w:val="0"/>
      <w:marBottom w:val="0"/>
      <w:divBdr>
        <w:top w:val="none" w:sz="0" w:space="0" w:color="auto"/>
        <w:left w:val="none" w:sz="0" w:space="0" w:color="auto"/>
        <w:bottom w:val="none" w:sz="0" w:space="0" w:color="auto"/>
        <w:right w:val="none" w:sz="0" w:space="0" w:color="auto"/>
      </w:divBdr>
    </w:div>
    <w:div w:id="455761419">
      <w:bodyDiv w:val="1"/>
      <w:marLeft w:val="0"/>
      <w:marRight w:val="0"/>
      <w:marTop w:val="0"/>
      <w:marBottom w:val="0"/>
      <w:divBdr>
        <w:top w:val="none" w:sz="0" w:space="0" w:color="auto"/>
        <w:left w:val="none" w:sz="0" w:space="0" w:color="auto"/>
        <w:bottom w:val="none" w:sz="0" w:space="0" w:color="auto"/>
        <w:right w:val="none" w:sz="0" w:space="0" w:color="auto"/>
      </w:divBdr>
    </w:div>
    <w:div w:id="459081145">
      <w:bodyDiv w:val="1"/>
      <w:marLeft w:val="0"/>
      <w:marRight w:val="0"/>
      <w:marTop w:val="0"/>
      <w:marBottom w:val="0"/>
      <w:divBdr>
        <w:top w:val="none" w:sz="0" w:space="0" w:color="auto"/>
        <w:left w:val="none" w:sz="0" w:space="0" w:color="auto"/>
        <w:bottom w:val="none" w:sz="0" w:space="0" w:color="auto"/>
        <w:right w:val="none" w:sz="0" w:space="0" w:color="auto"/>
      </w:divBdr>
    </w:div>
    <w:div w:id="494341178">
      <w:bodyDiv w:val="1"/>
      <w:marLeft w:val="0"/>
      <w:marRight w:val="0"/>
      <w:marTop w:val="0"/>
      <w:marBottom w:val="0"/>
      <w:divBdr>
        <w:top w:val="none" w:sz="0" w:space="0" w:color="auto"/>
        <w:left w:val="none" w:sz="0" w:space="0" w:color="auto"/>
        <w:bottom w:val="none" w:sz="0" w:space="0" w:color="auto"/>
        <w:right w:val="none" w:sz="0" w:space="0" w:color="auto"/>
      </w:divBdr>
    </w:div>
    <w:div w:id="514031238">
      <w:bodyDiv w:val="1"/>
      <w:marLeft w:val="0"/>
      <w:marRight w:val="0"/>
      <w:marTop w:val="0"/>
      <w:marBottom w:val="0"/>
      <w:divBdr>
        <w:top w:val="none" w:sz="0" w:space="0" w:color="auto"/>
        <w:left w:val="none" w:sz="0" w:space="0" w:color="auto"/>
        <w:bottom w:val="none" w:sz="0" w:space="0" w:color="auto"/>
        <w:right w:val="none" w:sz="0" w:space="0" w:color="auto"/>
      </w:divBdr>
    </w:div>
    <w:div w:id="529614231">
      <w:bodyDiv w:val="1"/>
      <w:marLeft w:val="0"/>
      <w:marRight w:val="0"/>
      <w:marTop w:val="0"/>
      <w:marBottom w:val="0"/>
      <w:divBdr>
        <w:top w:val="none" w:sz="0" w:space="0" w:color="auto"/>
        <w:left w:val="none" w:sz="0" w:space="0" w:color="auto"/>
        <w:bottom w:val="none" w:sz="0" w:space="0" w:color="auto"/>
        <w:right w:val="none" w:sz="0" w:space="0" w:color="auto"/>
      </w:divBdr>
    </w:div>
    <w:div w:id="530267629">
      <w:bodyDiv w:val="1"/>
      <w:marLeft w:val="0"/>
      <w:marRight w:val="0"/>
      <w:marTop w:val="0"/>
      <w:marBottom w:val="0"/>
      <w:divBdr>
        <w:top w:val="none" w:sz="0" w:space="0" w:color="auto"/>
        <w:left w:val="none" w:sz="0" w:space="0" w:color="auto"/>
        <w:bottom w:val="none" w:sz="0" w:space="0" w:color="auto"/>
        <w:right w:val="none" w:sz="0" w:space="0" w:color="auto"/>
      </w:divBdr>
    </w:div>
    <w:div w:id="534660672">
      <w:bodyDiv w:val="1"/>
      <w:marLeft w:val="0"/>
      <w:marRight w:val="0"/>
      <w:marTop w:val="0"/>
      <w:marBottom w:val="0"/>
      <w:divBdr>
        <w:top w:val="none" w:sz="0" w:space="0" w:color="auto"/>
        <w:left w:val="none" w:sz="0" w:space="0" w:color="auto"/>
        <w:bottom w:val="none" w:sz="0" w:space="0" w:color="auto"/>
        <w:right w:val="none" w:sz="0" w:space="0" w:color="auto"/>
      </w:divBdr>
    </w:div>
    <w:div w:id="536938640">
      <w:bodyDiv w:val="1"/>
      <w:marLeft w:val="0"/>
      <w:marRight w:val="0"/>
      <w:marTop w:val="0"/>
      <w:marBottom w:val="0"/>
      <w:divBdr>
        <w:top w:val="none" w:sz="0" w:space="0" w:color="auto"/>
        <w:left w:val="none" w:sz="0" w:space="0" w:color="auto"/>
        <w:bottom w:val="none" w:sz="0" w:space="0" w:color="auto"/>
        <w:right w:val="none" w:sz="0" w:space="0" w:color="auto"/>
      </w:divBdr>
    </w:div>
    <w:div w:id="563374885">
      <w:bodyDiv w:val="1"/>
      <w:marLeft w:val="0"/>
      <w:marRight w:val="0"/>
      <w:marTop w:val="0"/>
      <w:marBottom w:val="0"/>
      <w:divBdr>
        <w:top w:val="none" w:sz="0" w:space="0" w:color="auto"/>
        <w:left w:val="none" w:sz="0" w:space="0" w:color="auto"/>
        <w:bottom w:val="none" w:sz="0" w:space="0" w:color="auto"/>
        <w:right w:val="none" w:sz="0" w:space="0" w:color="auto"/>
      </w:divBdr>
    </w:div>
    <w:div w:id="580331081">
      <w:bodyDiv w:val="1"/>
      <w:marLeft w:val="0"/>
      <w:marRight w:val="0"/>
      <w:marTop w:val="0"/>
      <w:marBottom w:val="0"/>
      <w:divBdr>
        <w:top w:val="none" w:sz="0" w:space="0" w:color="auto"/>
        <w:left w:val="none" w:sz="0" w:space="0" w:color="auto"/>
        <w:bottom w:val="none" w:sz="0" w:space="0" w:color="auto"/>
        <w:right w:val="none" w:sz="0" w:space="0" w:color="auto"/>
      </w:divBdr>
    </w:div>
    <w:div w:id="604383446">
      <w:bodyDiv w:val="1"/>
      <w:marLeft w:val="0"/>
      <w:marRight w:val="0"/>
      <w:marTop w:val="0"/>
      <w:marBottom w:val="0"/>
      <w:divBdr>
        <w:top w:val="none" w:sz="0" w:space="0" w:color="auto"/>
        <w:left w:val="none" w:sz="0" w:space="0" w:color="auto"/>
        <w:bottom w:val="none" w:sz="0" w:space="0" w:color="auto"/>
        <w:right w:val="none" w:sz="0" w:space="0" w:color="auto"/>
      </w:divBdr>
    </w:div>
    <w:div w:id="613053636">
      <w:bodyDiv w:val="1"/>
      <w:marLeft w:val="0"/>
      <w:marRight w:val="0"/>
      <w:marTop w:val="0"/>
      <w:marBottom w:val="0"/>
      <w:divBdr>
        <w:top w:val="none" w:sz="0" w:space="0" w:color="auto"/>
        <w:left w:val="none" w:sz="0" w:space="0" w:color="auto"/>
        <w:bottom w:val="none" w:sz="0" w:space="0" w:color="auto"/>
        <w:right w:val="none" w:sz="0" w:space="0" w:color="auto"/>
      </w:divBdr>
    </w:div>
    <w:div w:id="626737903">
      <w:bodyDiv w:val="1"/>
      <w:marLeft w:val="0"/>
      <w:marRight w:val="0"/>
      <w:marTop w:val="0"/>
      <w:marBottom w:val="0"/>
      <w:divBdr>
        <w:top w:val="none" w:sz="0" w:space="0" w:color="auto"/>
        <w:left w:val="none" w:sz="0" w:space="0" w:color="auto"/>
        <w:bottom w:val="none" w:sz="0" w:space="0" w:color="auto"/>
        <w:right w:val="none" w:sz="0" w:space="0" w:color="auto"/>
      </w:divBdr>
    </w:div>
    <w:div w:id="628171307">
      <w:bodyDiv w:val="1"/>
      <w:marLeft w:val="0"/>
      <w:marRight w:val="0"/>
      <w:marTop w:val="0"/>
      <w:marBottom w:val="0"/>
      <w:divBdr>
        <w:top w:val="none" w:sz="0" w:space="0" w:color="auto"/>
        <w:left w:val="none" w:sz="0" w:space="0" w:color="auto"/>
        <w:bottom w:val="none" w:sz="0" w:space="0" w:color="auto"/>
        <w:right w:val="none" w:sz="0" w:space="0" w:color="auto"/>
      </w:divBdr>
    </w:div>
    <w:div w:id="641614608">
      <w:bodyDiv w:val="1"/>
      <w:marLeft w:val="0"/>
      <w:marRight w:val="0"/>
      <w:marTop w:val="0"/>
      <w:marBottom w:val="0"/>
      <w:divBdr>
        <w:top w:val="none" w:sz="0" w:space="0" w:color="auto"/>
        <w:left w:val="none" w:sz="0" w:space="0" w:color="auto"/>
        <w:bottom w:val="none" w:sz="0" w:space="0" w:color="auto"/>
        <w:right w:val="none" w:sz="0" w:space="0" w:color="auto"/>
      </w:divBdr>
    </w:div>
    <w:div w:id="645477552">
      <w:bodyDiv w:val="1"/>
      <w:marLeft w:val="0"/>
      <w:marRight w:val="0"/>
      <w:marTop w:val="0"/>
      <w:marBottom w:val="0"/>
      <w:divBdr>
        <w:top w:val="none" w:sz="0" w:space="0" w:color="auto"/>
        <w:left w:val="none" w:sz="0" w:space="0" w:color="auto"/>
        <w:bottom w:val="none" w:sz="0" w:space="0" w:color="auto"/>
        <w:right w:val="none" w:sz="0" w:space="0" w:color="auto"/>
      </w:divBdr>
    </w:div>
    <w:div w:id="657268292">
      <w:bodyDiv w:val="1"/>
      <w:marLeft w:val="0"/>
      <w:marRight w:val="0"/>
      <w:marTop w:val="0"/>
      <w:marBottom w:val="0"/>
      <w:divBdr>
        <w:top w:val="none" w:sz="0" w:space="0" w:color="auto"/>
        <w:left w:val="none" w:sz="0" w:space="0" w:color="auto"/>
        <w:bottom w:val="none" w:sz="0" w:space="0" w:color="auto"/>
        <w:right w:val="none" w:sz="0" w:space="0" w:color="auto"/>
      </w:divBdr>
    </w:div>
    <w:div w:id="675691294">
      <w:bodyDiv w:val="1"/>
      <w:marLeft w:val="0"/>
      <w:marRight w:val="0"/>
      <w:marTop w:val="45"/>
      <w:marBottom w:val="45"/>
      <w:divBdr>
        <w:top w:val="none" w:sz="0" w:space="0" w:color="auto"/>
        <w:left w:val="none" w:sz="0" w:space="0" w:color="auto"/>
        <w:bottom w:val="none" w:sz="0" w:space="0" w:color="auto"/>
        <w:right w:val="none" w:sz="0" w:space="0" w:color="auto"/>
      </w:divBdr>
      <w:divsChild>
        <w:div w:id="1347947739">
          <w:marLeft w:val="0"/>
          <w:marRight w:val="0"/>
          <w:marTop w:val="0"/>
          <w:marBottom w:val="0"/>
          <w:divBdr>
            <w:top w:val="none" w:sz="0" w:space="0" w:color="auto"/>
            <w:left w:val="none" w:sz="0" w:space="0" w:color="auto"/>
            <w:bottom w:val="none" w:sz="0" w:space="0" w:color="auto"/>
            <w:right w:val="none" w:sz="0" w:space="0" w:color="auto"/>
          </w:divBdr>
          <w:divsChild>
            <w:div w:id="1979262644">
              <w:marLeft w:val="0"/>
              <w:marRight w:val="0"/>
              <w:marTop w:val="0"/>
              <w:marBottom w:val="0"/>
              <w:divBdr>
                <w:top w:val="none" w:sz="0" w:space="0" w:color="auto"/>
                <w:left w:val="none" w:sz="0" w:space="0" w:color="auto"/>
                <w:bottom w:val="none" w:sz="0" w:space="0" w:color="auto"/>
                <w:right w:val="none" w:sz="0" w:space="0" w:color="auto"/>
              </w:divBdr>
              <w:divsChild>
                <w:div w:id="693504948">
                  <w:marLeft w:val="2385"/>
                  <w:marRight w:val="3960"/>
                  <w:marTop w:val="0"/>
                  <w:marBottom w:val="0"/>
                  <w:divBdr>
                    <w:top w:val="none" w:sz="0" w:space="0" w:color="auto"/>
                    <w:left w:val="single" w:sz="6" w:space="0" w:color="D3E1F9"/>
                    <w:bottom w:val="none" w:sz="0" w:space="0" w:color="auto"/>
                    <w:right w:val="none" w:sz="0" w:space="0" w:color="auto"/>
                  </w:divBdr>
                  <w:divsChild>
                    <w:div w:id="678701220">
                      <w:marLeft w:val="0"/>
                      <w:marRight w:val="0"/>
                      <w:marTop w:val="0"/>
                      <w:marBottom w:val="0"/>
                      <w:divBdr>
                        <w:top w:val="none" w:sz="0" w:space="0" w:color="auto"/>
                        <w:left w:val="none" w:sz="0" w:space="0" w:color="auto"/>
                        <w:bottom w:val="none" w:sz="0" w:space="0" w:color="auto"/>
                        <w:right w:val="none" w:sz="0" w:space="0" w:color="auto"/>
                      </w:divBdr>
                      <w:divsChild>
                        <w:div w:id="1529757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7557607">
      <w:bodyDiv w:val="1"/>
      <w:marLeft w:val="0"/>
      <w:marRight w:val="0"/>
      <w:marTop w:val="0"/>
      <w:marBottom w:val="0"/>
      <w:divBdr>
        <w:top w:val="none" w:sz="0" w:space="0" w:color="auto"/>
        <w:left w:val="none" w:sz="0" w:space="0" w:color="auto"/>
        <w:bottom w:val="none" w:sz="0" w:space="0" w:color="auto"/>
        <w:right w:val="none" w:sz="0" w:space="0" w:color="auto"/>
      </w:divBdr>
    </w:div>
    <w:div w:id="732316477">
      <w:bodyDiv w:val="1"/>
      <w:marLeft w:val="0"/>
      <w:marRight w:val="0"/>
      <w:marTop w:val="0"/>
      <w:marBottom w:val="0"/>
      <w:divBdr>
        <w:top w:val="none" w:sz="0" w:space="0" w:color="auto"/>
        <w:left w:val="none" w:sz="0" w:space="0" w:color="auto"/>
        <w:bottom w:val="none" w:sz="0" w:space="0" w:color="auto"/>
        <w:right w:val="none" w:sz="0" w:space="0" w:color="auto"/>
      </w:divBdr>
    </w:div>
    <w:div w:id="746462423">
      <w:bodyDiv w:val="1"/>
      <w:marLeft w:val="0"/>
      <w:marRight w:val="0"/>
      <w:marTop w:val="0"/>
      <w:marBottom w:val="0"/>
      <w:divBdr>
        <w:top w:val="none" w:sz="0" w:space="0" w:color="auto"/>
        <w:left w:val="none" w:sz="0" w:space="0" w:color="auto"/>
        <w:bottom w:val="none" w:sz="0" w:space="0" w:color="auto"/>
        <w:right w:val="none" w:sz="0" w:space="0" w:color="auto"/>
      </w:divBdr>
    </w:div>
    <w:div w:id="760446206">
      <w:bodyDiv w:val="1"/>
      <w:marLeft w:val="0"/>
      <w:marRight w:val="0"/>
      <w:marTop w:val="0"/>
      <w:marBottom w:val="0"/>
      <w:divBdr>
        <w:top w:val="none" w:sz="0" w:space="0" w:color="auto"/>
        <w:left w:val="none" w:sz="0" w:space="0" w:color="auto"/>
        <w:bottom w:val="none" w:sz="0" w:space="0" w:color="auto"/>
        <w:right w:val="none" w:sz="0" w:space="0" w:color="auto"/>
      </w:divBdr>
    </w:div>
    <w:div w:id="793865506">
      <w:bodyDiv w:val="1"/>
      <w:marLeft w:val="0"/>
      <w:marRight w:val="0"/>
      <w:marTop w:val="0"/>
      <w:marBottom w:val="0"/>
      <w:divBdr>
        <w:top w:val="none" w:sz="0" w:space="0" w:color="auto"/>
        <w:left w:val="none" w:sz="0" w:space="0" w:color="auto"/>
        <w:bottom w:val="none" w:sz="0" w:space="0" w:color="auto"/>
        <w:right w:val="none" w:sz="0" w:space="0" w:color="auto"/>
      </w:divBdr>
    </w:div>
    <w:div w:id="815536614">
      <w:bodyDiv w:val="1"/>
      <w:marLeft w:val="0"/>
      <w:marRight w:val="0"/>
      <w:marTop w:val="0"/>
      <w:marBottom w:val="0"/>
      <w:divBdr>
        <w:top w:val="none" w:sz="0" w:space="0" w:color="auto"/>
        <w:left w:val="none" w:sz="0" w:space="0" w:color="auto"/>
        <w:bottom w:val="none" w:sz="0" w:space="0" w:color="auto"/>
        <w:right w:val="none" w:sz="0" w:space="0" w:color="auto"/>
      </w:divBdr>
    </w:div>
    <w:div w:id="827750072">
      <w:bodyDiv w:val="1"/>
      <w:marLeft w:val="0"/>
      <w:marRight w:val="0"/>
      <w:marTop w:val="0"/>
      <w:marBottom w:val="0"/>
      <w:divBdr>
        <w:top w:val="none" w:sz="0" w:space="0" w:color="auto"/>
        <w:left w:val="none" w:sz="0" w:space="0" w:color="auto"/>
        <w:bottom w:val="none" w:sz="0" w:space="0" w:color="auto"/>
        <w:right w:val="none" w:sz="0" w:space="0" w:color="auto"/>
      </w:divBdr>
    </w:div>
    <w:div w:id="850995562">
      <w:bodyDiv w:val="1"/>
      <w:marLeft w:val="0"/>
      <w:marRight w:val="0"/>
      <w:marTop w:val="0"/>
      <w:marBottom w:val="0"/>
      <w:divBdr>
        <w:top w:val="none" w:sz="0" w:space="0" w:color="auto"/>
        <w:left w:val="none" w:sz="0" w:space="0" w:color="auto"/>
        <w:bottom w:val="none" w:sz="0" w:space="0" w:color="auto"/>
        <w:right w:val="none" w:sz="0" w:space="0" w:color="auto"/>
      </w:divBdr>
    </w:div>
    <w:div w:id="866721998">
      <w:bodyDiv w:val="1"/>
      <w:marLeft w:val="0"/>
      <w:marRight w:val="0"/>
      <w:marTop w:val="0"/>
      <w:marBottom w:val="0"/>
      <w:divBdr>
        <w:top w:val="none" w:sz="0" w:space="0" w:color="auto"/>
        <w:left w:val="none" w:sz="0" w:space="0" w:color="auto"/>
        <w:bottom w:val="none" w:sz="0" w:space="0" w:color="auto"/>
        <w:right w:val="none" w:sz="0" w:space="0" w:color="auto"/>
      </w:divBdr>
    </w:div>
    <w:div w:id="869269961">
      <w:bodyDiv w:val="1"/>
      <w:marLeft w:val="0"/>
      <w:marRight w:val="0"/>
      <w:marTop w:val="0"/>
      <w:marBottom w:val="0"/>
      <w:divBdr>
        <w:top w:val="none" w:sz="0" w:space="0" w:color="auto"/>
        <w:left w:val="none" w:sz="0" w:space="0" w:color="auto"/>
        <w:bottom w:val="none" w:sz="0" w:space="0" w:color="auto"/>
        <w:right w:val="none" w:sz="0" w:space="0" w:color="auto"/>
      </w:divBdr>
    </w:div>
    <w:div w:id="878130089">
      <w:bodyDiv w:val="1"/>
      <w:marLeft w:val="0"/>
      <w:marRight w:val="0"/>
      <w:marTop w:val="0"/>
      <w:marBottom w:val="0"/>
      <w:divBdr>
        <w:top w:val="none" w:sz="0" w:space="0" w:color="auto"/>
        <w:left w:val="none" w:sz="0" w:space="0" w:color="auto"/>
        <w:bottom w:val="none" w:sz="0" w:space="0" w:color="auto"/>
        <w:right w:val="none" w:sz="0" w:space="0" w:color="auto"/>
      </w:divBdr>
    </w:div>
    <w:div w:id="889463427">
      <w:bodyDiv w:val="1"/>
      <w:marLeft w:val="0"/>
      <w:marRight w:val="0"/>
      <w:marTop w:val="0"/>
      <w:marBottom w:val="0"/>
      <w:divBdr>
        <w:top w:val="none" w:sz="0" w:space="0" w:color="auto"/>
        <w:left w:val="none" w:sz="0" w:space="0" w:color="auto"/>
        <w:bottom w:val="none" w:sz="0" w:space="0" w:color="auto"/>
        <w:right w:val="none" w:sz="0" w:space="0" w:color="auto"/>
      </w:divBdr>
    </w:div>
    <w:div w:id="898633932">
      <w:bodyDiv w:val="1"/>
      <w:marLeft w:val="0"/>
      <w:marRight w:val="0"/>
      <w:marTop w:val="0"/>
      <w:marBottom w:val="0"/>
      <w:divBdr>
        <w:top w:val="none" w:sz="0" w:space="0" w:color="auto"/>
        <w:left w:val="none" w:sz="0" w:space="0" w:color="auto"/>
        <w:bottom w:val="none" w:sz="0" w:space="0" w:color="auto"/>
        <w:right w:val="none" w:sz="0" w:space="0" w:color="auto"/>
      </w:divBdr>
    </w:div>
    <w:div w:id="906692712">
      <w:bodyDiv w:val="1"/>
      <w:marLeft w:val="0"/>
      <w:marRight w:val="0"/>
      <w:marTop w:val="0"/>
      <w:marBottom w:val="0"/>
      <w:divBdr>
        <w:top w:val="none" w:sz="0" w:space="0" w:color="auto"/>
        <w:left w:val="none" w:sz="0" w:space="0" w:color="auto"/>
        <w:bottom w:val="none" w:sz="0" w:space="0" w:color="auto"/>
        <w:right w:val="none" w:sz="0" w:space="0" w:color="auto"/>
      </w:divBdr>
    </w:div>
    <w:div w:id="927275053">
      <w:bodyDiv w:val="1"/>
      <w:marLeft w:val="0"/>
      <w:marRight w:val="0"/>
      <w:marTop w:val="0"/>
      <w:marBottom w:val="0"/>
      <w:divBdr>
        <w:top w:val="none" w:sz="0" w:space="0" w:color="auto"/>
        <w:left w:val="none" w:sz="0" w:space="0" w:color="auto"/>
        <w:bottom w:val="none" w:sz="0" w:space="0" w:color="auto"/>
        <w:right w:val="none" w:sz="0" w:space="0" w:color="auto"/>
      </w:divBdr>
    </w:div>
    <w:div w:id="937757352">
      <w:bodyDiv w:val="1"/>
      <w:marLeft w:val="0"/>
      <w:marRight w:val="0"/>
      <w:marTop w:val="0"/>
      <w:marBottom w:val="0"/>
      <w:divBdr>
        <w:top w:val="none" w:sz="0" w:space="0" w:color="auto"/>
        <w:left w:val="none" w:sz="0" w:space="0" w:color="auto"/>
        <w:bottom w:val="none" w:sz="0" w:space="0" w:color="auto"/>
        <w:right w:val="none" w:sz="0" w:space="0" w:color="auto"/>
      </w:divBdr>
      <w:divsChild>
        <w:div w:id="2089769201">
          <w:marLeft w:val="0"/>
          <w:marRight w:val="0"/>
          <w:marTop w:val="100"/>
          <w:marBottom w:val="100"/>
          <w:divBdr>
            <w:top w:val="none" w:sz="0" w:space="0" w:color="auto"/>
            <w:left w:val="none" w:sz="0" w:space="0" w:color="auto"/>
            <w:bottom w:val="none" w:sz="0" w:space="0" w:color="auto"/>
            <w:right w:val="none" w:sz="0" w:space="0" w:color="auto"/>
          </w:divBdr>
          <w:divsChild>
            <w:div w:id="772214855">
              <w:marLeft w:val="0"/>
              <w:marRight w:val="0"/>
              <w:marTop w:val="0"/>
              <w:marBottom w:val="0"/>
              <w:divBdr>
                <w:top w:val="none" w:sz="0" w:space="0" w:color="auto"/>
                <w:left w:val="none" w:sz="0" w:space="0" w:color="auto"/>
                <w:bottom w:val="none" w:sz="0" w:space="0" w:color="auto"/>
                <w:right w:val="none" w:sz="0" w:space="0" w:color="auto"/>
              </w:divBdr>
              <w:divsChild>
                <w:div w:id="639656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7472926">
      <w:bodyDiv w:val="1"/>
      <w:marLeft w:val="0"/>
      <w:marRight w:val="0"/>
      <w:marTop w:val="0"/>
      <w:marBottom w:val="0"/>
      <w:divBdr>
        <w:top w:val="none" w:sz="0" w:space="0" w:color="auto"/>
        <w:left w:val="none" w:sz="0" w:space="0" w:color="auto"/>
        <w:bottom w:val="none" w:sz="0" w:space="0" w:color="auto"/>
        <w:right w:val="none" w:sz="0" w:space="0" w:color="auto"/>
      </w:divBdr>
    </w:div>
    <w:div w:id="997920597">
      <w:bodyDiv w:val="1"/>
      <w:marLeft w:val="0"/>
      <w:marRight w:val="0"/>
      <w:marTop w:val="0"/>
      <w:marBottom w:val="0"/>
      <w:divBdr>
        <w:top w:val="none" w:sz="0" w:space="0" w:color="auto"/>
        <w:left w:val="none" w:sz="0" w:space="0" w:color="auto"/>
        <w:bottom w:val="none" w:sz="0" w:space="0" w:color="auto"/>
        <w:right w:val="none" w:sz="0" w:space="0" w:color="auto"/>
      </w:divBdr>
    </w:div>
    <w:div w:id="998533943">
      <w:bodyDiv w:val="1"/>
      <w:marLeft w:val="0"/>
      <w:marRight w:val="0"/>
      <w:marTop w:val="0"/>
      <w:marBottom w:val="0"/>
      <w:divBdr>
        <w:top w:val="none" w:sz="0" w:space="0" w:color="auto"/>
        <w:left w:val="none" w:sz="0" w:space="0" w:color="auto"/>
        <w:bottom w:val="none" w:sz="0" w:space="0" w:color="auto"/>
        <w:right w:val="none" w:sz="0" w:space="0" w:color="auto"/>
      </w:divBdr>
    </w:div>
    <w:div w:id="1000812390">
      <w:bodyDiv w:val="1"/>
      <w:marLeft w:val="0"/>
      <w:marRight w:val="0"/>
      <w:marTop w:val="0"/>
      <w:marBottom w:val="0"/>
      <w:divBdr>
        <w:top w:val="none" w:sz="0" w:space="0" w:color="auto"/>
        <w:left w:val="none" w:sz="0" w:space="0" w:color="auto"/>
        <w:bottom w:val="none" w:sz="0" w:space="0" w:color="auto"/>
        <w:right w:val="none" w:sz="0" w:space="0" w:color="auto"/>
      </w:divBdr>
    </w:div>
    <w:div w:id="1007244348">
      <w:bodyDiv w:val="1"/>
      <w:marLeft w:val="0"/>
      <w:marRight w:val="0"/>
      <w:marTop w:val="0"/>
      <w:marBottom w:val="0"/>
      <w:divBdr>
        <w:top w:val="none" w:sz="0" w:space="0" w:color="auto"/>
        <w:left w:val="none" w:sz="0" w:space="0" w:color="auto"/>
        <w:bottom w:val="none" w:sz="0" w:space="0" w:color="auto"/>
        <w:right w:val="none" w:sz="0" w:space="0" w:color="auto"/>
      </w:divBdr>
    </w:div>
    <w:div w:id="1071080628">
      <w:bodyDiv w:val="1"/>
      <w:marLeft w:val="0"/>
      <w:marRight w:val="0"/>
      <w:marTop w:val="0"/>
      <w:marBottom w:val="0"/>
      <w:divBdr>
        <w:top w:val="none" w:sz="0" w:space="0" w:color="auto"/>
        <w:left w:val="none" w:sz="0" w:space="0" w:color="auto"/>
        <w:bottom w:val="none" w:sz="0" w:space="0" w:color="auto"/>
        <w:right w:val="none" w:sz="0" w:space="0" w:color="auto"/>
      </w:divBdr>
    </w:div>
    <w:div w:id="1096242730">
      <w:bodyDiv w:val="1"/>
      <w:marLeft w:val="0"/>
      <w:marRight w:val="0"/>
      <w:marTop w:val="0"/>
      <w:marBottom w:val="0"/>
      <w:divBdr>
        <w:top w:val="none" w:sz="0" w:space="0" w:color="auto"/>
        <w:left w:val="none" w:sz="0" w:space="0" w:color="auto"/>
        <w:bottom w:val="none" w:sz="0" w:space="0" w:color="auto"/>
        <w:right w:val="none" w:sz="0" w:space="0" w:color="auto"/>
      </w:divBdr>
    </w:div>
    <w:div w:id="1124468826">
      <w:bodyDiv w:val="1"/>
      <w:marLeft w:val="0"/>
      <w:marRight w:val="0"/>
      <w:marTop w:val="0"/>
      <w:marBottom w:val="0"/>
      <w:divBdr>
        <w:top w:val="none" w:sz="0" w:space="0" w:color="auto"/>
        <w:left w:val="none" w:sz="0" w:space="0" w:color="auto"/>
        <w:bottom w:val="none" w:sz="0" w:space="0" w:color="auto"/>
        <w:right w:val="none" w:sz="0" w:space="0" w:color="auto"/>
      </w:divBdr>
    </w:div>
    <w:div w:id="1158501103">
      <w:bodyDiv w:val="1"/>
      <w:marLeft w:val="0"/>
      <w:marRight w:val="0"/>
      <w:marTop w:val="0"/>
      <w:marBottom w:val="0"/>
      <w:divBdr>
        <w:top w:val="none" w:sz="0" w:space="0" w:color="auto"/>
        <w:left w:val="none" w:sz="0" w:space="0" w:color="auto"/>
        <w:bottom w:val="none" w:sz="0" w:space="0" w:color="auto"/>
        <w:right w:val="none" w:sz="0" w:space="0" w:color="auto"/>
      </w:divBdr>
    </w:div>
    <w:div w:id="1202984063">
      <w:bodyDiv w:val="1"/>
      <w:marLeft w:val="0"/>
      <w:marRight w:val="0"/>
      <w:marTop w:val="0"/>
      <w:marBottom w:val="0"/>
      <w:divBdr>
        <w:top w:val="none" w:sz="0" w:space="0" w:color="auto"/>
        <w:left w:val="none" w:sz="0" w:space="0" w:color="auto"/>
        <w:bottom w:val="none" w:sz="0" w:space="0" w:color="auto"/>
        <w:right w:val="none" w:sz="0" w:space="0" w:color="auto"/>
      </w:divBdr>
    </w:div>
    <w:div w:id="1206139090">
      <w:bodyDiv w:val="1"/>
      <w:marLeft w:val="0"/>
      <w:marRight w:val="0"/>
      <w:marTop w:val="0"/>
      <w:marBottom w:val="0"/>
      <w:divBdr>
        <w:top w:val="none" w:sz="0" w:space="0" w:color="auto"/>
        <w:left w:val="none" w:sz="0" w:space="0" w:color="auto"/>
        <w:bottom w:val="none" w:sz="0" w:space="0" w:color="auto"/>
        <w:right w:val="none" w:sz="0" w:space="0" w:color="auto"/>
      </w:divBdr>
    </w:div>
    <w:div w:id="1206405687">
      <w:bodyDiv w:val="1"/>
      <w:marLeft w:val="0"/>
      <w:marRight w:val="0"/>
      <w:marTop w:val="0"/>
      <w:marBottom w:val="0"/>
      <w:divBdr>
        <w:top w:val="none" w:sz="0" w:space="0" w:color="auto"/>
        <w:left w:val="none" w:sz="0" w:space="0" w:color="auto"/>
        <w:bottom w:val="none" w:sz="0" w:space="0" w:color="auto"/>
        <w:right w:val="none" w:sz="0" w:space="0" w:color="auto"/>
      </w:divBdr>
    </w:div>
    <w:div w:id="1221480457">
      <w:bodyDiv w:val="1"/>
      <w:marLeft w:val="0"/>
      <w:marRight w:val="0"/>
      <w:marTop w:val="0"/>
      <w:marBottom w:val="0"/>
      <w:divBdr>
        <w:top w:val="none" w:sz="0" w:space="0" w:color="auto"/>
        <w:left w:val="none" w:sz="0" w:space="0" w:color="auto"/>
        <w:bottom w:val="none" w:sz="0" w:space="0" w:color="auto"/>
        <w:right w:val="none" w:sz="0" w:space="0" w:color="auto"/>
      </w:divBdr>
    </w:div>
    <w:div w:id="1227649669">
      <w:bodyDiv w:val="1"/>
      <w:marLeft w:val="0"/>
      <w:marRight w:val="0"/>
      <w:marTop w:val="0"/>
      <w:marBottom w:val="0"/>
      <w:divBdr>
        <w:top w:val="none" w:sz="0" w:space="0" w:color="auto"/>
        <w:left w:val="none" w:sz="0" w:space="0" w:color="auto"/>
        <w:bottom w:val="none" w:sz="0" w:space="0" w:color="auto"/>
        <w:right w:val="none" w:sz="0" w:space="0" w:color="auto"/>
      </w:divBdr>
    </w:div>
    <w:div w:id="1231380481">
      <w:bodyDiv w:val="1"/>
      <w:marLeft w:val="0"/>
      <w:marRight w:val="0"/>
      <w:marTop w:val="0"/>
      <w:marBottom w:val="0"/>
      <w:divBdr>
        <w:top w:val="none" w:sz="0" w:space="0" w:color="auto"/>
        <w:left w:val="none" w:sz="0" w:space="0" w:color="auto"/>
        <w:bottom w:val="none" w:sz="0" w:space="0" w:color="auto"/>
        <w:right w:val="none" w:sz="0" w:space="0" w:color="auto"/>
      </w:divBdr>
    </w:div>
    <w:div w:id="1237202982">
      <w:bodyDiv w:val="1"/>
      <w:marLeft w:val="0"/>
      <w:marRight w:val="0"/>
      <w:marTop w:val="0"/>
      <w:marBottom w:val="0"/>
      <w:divBdr>
        <w:top w:val="none" w:sz="0" w:space="0" w:color="auto"/>
        <w:left w:val="none" w:sz="0" w:space="0" w:color="auto"/>
        <w:bottom w:val="none" w:sz="0" w:space="0" w:color="auto"/>
        <w:right w:val="none" w:sz="0" w:space="0" w:color="auto"/>
      </w:divBdr>
    </w:div>
    <w:div w:id="1237544802">
      <w:bodyDiv w:val="1"/>
      <w:marLeft w:val="0"/>
      <w:marRight w:val="0"/>
      <w:marTop w:val="0"/>
      <w:marBottom w:val="0"/>
      <w:divBdr>
        <w:top w:val="none" w:sz="0" w:space="0" w:color="auto"/>
        <w:left w:val="none" w:sz="0" w:space="0" w:color="auto"/>
        <w:bottom w:val="none" w:sz="0" w:space="0" w:color="auto"/>
        <w:right w:val="none" w:sz="0" w:space="0" w:color="auto"/>
      </w:divBdr>
    </w:div>
    <w:div w:id="1245341833">
      <w:bodyDiv w:val="1"/>
      <w:marLeft w:val="0"/>
      <w:marRight w:val="0"/>
      <w:marTop w:val="0"/>
      <w:marBottom w:val="0"/>
      <w:divBdr>
        <w:top w:val="none" w:sz="0" w:space="0" w:color="auto"/>
        <w:left w:val="none" w:sz="0" w:space="0" w:color="auto"/>
        <w:bottom w:val="none" w:sz="0" w:space="0" w:color="auto"/>
        <w:right w:val="none" w:sz="0" w:space="0" w:color="auto"/>
      </w:divBdr>
    </w:div>
    <w:div w:id="1249268261">
      <w:bodyDiv w:val="1"/>
      <w:marLeft w:val="0"/>
      <w:marRight w:val="0"/>
      <w:marTop w:val="0"/>
      <w:marBottom w:val="0"/>
      <w:divBdr>
        <w:top w:val="none" w:sz="0" w:space="0" w:color="auto"/>
        <w:left w:val="none" w:sz="0" w:space="0" w:color="auto"/>
        <w:bottom w:val="none" w:sz="0" w:space="0" w:color="auto"/>
        <w:right w:val="none" w:sz="0" w:space="0" w:color="auto"/>
      </w:divBdr>
    </w:div>
    <w:div w:id="1258753217">
      <w:bodyDiv w:val="1"/>
      <w:marLeft w:val="0"/>
      <w:marRight w:val="0"/>
      <w:marTop w:val="0"/>
      <w:marBottom w:val="0"/>
      <w:divBdr>
        <w:top w:val="none" w:sz="0" w:space="0" w:color="auto"/>
        <w:left w:val="none" w:sz="0" w:space="0" w:color="auto"/>
        <w:bottom w:val="none" w:sz="0" w:space="0" w:color="auto"/>
        <w:right w:val="none" w:sz="0" w:space="0" w:color="auto"/>
      </w:divBdr>
    </w:div>
    <w:div w:id="1324889309">
      <w:bodyDiv w:val="1"/>
      <w:marLeft w:val="0"/>
      <w:marRight w:val="0"/>
      <w:marTop w:val="0"/>
      <w:marBottom w:val="0"/>
      <w:divBdr>
        <w:top w:val="none" w:sz="0" w:space="0" w:color="auto"/>
        <w:left w:val="none" w:sz="0" w:space="0" w:color="auto"/>
        <w:bottom w:val="none" w:sz="0" w:space="0" w:color="auto"/>
        <w:right w:val="none" w:sz="0" w:space="0" w:color="auto"/>
      </w:divBdr>
      <w:divsChild>
        <w:div w:id="1024672067">
          <w:marLeft w:val="0"/>
          <w:marRight w:val="0"/>
          <w:marTop w:val="100"/>
          <w:marBottom w:val="100"/>
          <w:divBdr>
            <w:top w:val="none" w:sz="0" w:space="0" w:color="auto"/>
            <w:left w:val="none" w:sz="0" w:space="0" w:color="auto"/>
            <w:bottom w:val="none" w:sz="0" w:space="0" w:color="auto"/>
            <w:right w:val="none" w:sz="0" w:space="0" w:color="auto"/>
          </w:divBdr>
          <w:divsChild>
            <w:div w:id="1521626857">
              <w:marLeft w:val="0"/>
              <w:marRight w:val="0"/>
              <w:marTop w:val="0"/>
              <w:marBottom w:val="0"/>
              <w:divBdr>
                <w:top w:val="none" w:sz="0" w:space="0" w:color="auto"/>
                <w:left w:val="none" w:sz="0" w:space="0" w:color="auto"/>
                <w:bottom w:val="none" w:sz="0" w:space="0" w:color="auto"/>
                <w:right w:val="none" w:sz="0" w:space="0" w:color="auto"/>
              </w:divBdr>
              <w:divsChild>
                <w:div w:id="1938714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434775">
      <w:bodyDiv w:val="1"/>
      <w:marLeft w:val="0"/>
      <w:marRight w:val="0"/>
      <w:marTop w:val="0"/>
      <w:marBottom w:val="0"/>
      <w:divBdr>
        <w:top w:val="none" w:sz="0" w:space="0" w:color="auto"/>
        <w:left w:val="none" w:sz="0" w:space="0" w:color="auto"/>
        <w:bottom w:val="none" w:sz="0" w:space="0" w:color="auto"/>
        <w:right w:val="none" w:sz="0" w:space="0" w:color="auto"/>
      </w:divBdr>
    </w:div>
    <w:div w:id="1340042520">
      <w:bodyDiv w:val="1"/>
      <w:marLeft w:val="0"/>
      <w:marRight w:val="0"/>
      <w:marTop w:val="0"/>
      <w:marBottom w:val="0"/>
      <w:divBdr>
        <w:top w:val="none" w:sz="0" w:space="0" w:color="auto"/>
        <w:left w:val="none" w:sz="0" w:space="0" w:color="auto"/>
        <w:bottom w:val="none" w:sz="0" w:space="0" w:color="auto"/>
        <w:right w:val="none" w:sz="0" w:space="0" w:color="auto"/>
      </w:divBdr>
    </w:div>
    <w:div w:id="1341736550">
      <w:bodyDiv w:val="1"/>
      <w:marLeft w:val="0"/>
      <w:marRight w:val="0"/>
      <w:marTop w:val="0"/>
      <w:marBottom w:val="0"/>
      <w:divBdr>
        <w:top w:val="none" w:sz="0" w:space="0" w:color="auto"/>
        <w:left w:val="none" w:sz="0" w:space="0" w:color="auto"/>
        <w:bottom w:val="none" w:sz="0" w:space="0" w:color="auto"/>
        <w:right w:val="none" w:sz="0" w:space="0" w:color="auto"/>
      </w:divBdr>
      <w:divsChild>
        <w:div w:id="766392993">
          <w:marLeft w:val="0"/>
          <w:marRight w:val="0"/>
          <w:marTop w:val="0"/>
          <w:marBottom w:val="0"/>
          <w:divBdr>
            <w:top w:val="none" w:sz="0" w:space="0" w:color="auto"/>
            <w:left w:val="none" w:sz="0" w:space="0" w:color="auto"/>
            <w:bottom w:val="none" w:sz="0" w:space="0" w:color="auto"/>
            <w:right w:val="none" w:sz="0" w:space="0" w:color="auto"/>
          </w:divBdr>
          <w:divsChild>
            <w:div w:id="221715853">
              <w:marLeft w:val="0"/>
              <w:marRight w:val="0"/>
              <w:marTop w:val="33"/>
              <w:marBottom w:val="0"/>
              <w:divBdr>
                <w:top w:val="single" w:sz="2" w:space="0" w:color="596380"/>
                <w:left w:val="single" w:sz="2" w:space="0" w:color="596380"/>
                <w:bottom w:val="single" w:sz="2" w:space="0" w:color="596380"/>
                <w:right w:val="single" w:sz="2" w:space="0" w:color="596380"/>
              </w:divBdr>
              <w:divsChild>
                <w:div w:id="748036035">
                  <w:marLeft w:val="0"/>
                  <w:marRight w:val="0"/>
                  <w:marTop w:val="0"/>
                  <w:marBottom w:val="0"/>
                  <w:divBdr>
                    <w:top w:val="none" w:sz="0" w:space="0" w:color="auto"/>
                    <w:left w:val="none" w:sz="0" w:space="0" w:color="auto"/>
                    <w:bottom w:val="none" w:sz="0" w:space="0" w:color="auto"/>
                    <w:right w:val="none" w:sz="0" w:space="0" w:color="auto"/>
                  </w:divBdr>
                  <w:divsChild>
                    <w:div w:id="258609488">
                      <w:marLeft w:val="0"/>
                      <w:marRight w:val="0"/>
                      <w:marTop w:val="0"/>
                      <w:marBottom w:val="0"/>
                      <w:divBdr>
                        <w:top w:val="none" w:sz="0" w:space="0" w:color="auto"/>
                        <w:left w:val="none" w:sz="0" w:space="0" w:color="auto"/>
                        <w:bottom w:val="none" w:sz="0" w:space="0" w:color="auto"/>
                        <w:right w:val="none" w:sz="0" w:space="0" w:color="auto"/>
                      </w:divBdr>
                      <w:divsChild>
                        <w:div w:id="132139974">
                          <w:marLeft w:val="0"/>
                          <w:marRight w:val="0"/>
                          <w:marTop w:val="0"/>
                          <w:marBottom w:val="0"/>
                          <w:divBdr>
                            <w:top w:val="none" w:sz="0" w:space="0" w:color="auto"/>
                            <w:left w:val="none" w:sz="0" w:space="0" w:color="auto"/>
                            <w:bottom w:val="none" w:sz="0" w:space="0" w:color="auto"/>
                            <w:right w:val="none" w:sz="0" w:space="0" w:color="auto"/>
                          </w:divBdr>
                          <w:divsChild>
                            <w:div w:id="1018893457">
                              <w:marLeft w:val="0"/>
                              <w:marRight w:val="0"/>
                              <w:marTop w:val="0"/>
                              <w:marBottom w:val="0"/>
                              <w:divBdr>
                                <w:top w:val="none" w:sz="0" w:space="0" w:color="auto"/>
                                <w:left w:val="none" w:sz="0" w:space="0" w:color="auto"/>
                                <w:bottom w:val="none" w:sz="0" w:space="0" w:color="auto"/>
                                <w:right w:val="none" w:sz="0" w:space="0" w:color="auto"/>
                              </w:divBdr>
                              <w:divsChild>
                                <w:div w:id="1108699298">
                                  <w:marLeft w:val="55"/>
                                  <w:marRight w:val="55"/>
                                  <w:marTop w:val="55"/>
                                  <w:marBottom w:val="55"/>
                                  <w:divBdr>
                                    <w:top w:val="none" w:sz="0" w:space="0" w:color="auto"/>
                                    <w:left w:val="none" w:sz="0" w:space="0" w:color="auto"/>
                                    <w:bottom w:val="none" w:sz="0" w:space="0" w:color="auto"/>
                                    <w:right w:val="none" w:sz="0" w:space="0" w:color="auto"/>
                                  </w:divBdr>
                                  <w:divsChild>
                                    <w:div w:id="176226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0447452">
      <w:bodyDiv w:val="1"/>
      <w:marLeft w:val="0"/>
      <w:marRight w:val="0"/>
      <w:marTop w:val="0"/>
      <w:marBottom w:val="0"/>
      <w:divBdr>
        <w:top w:val="none" w:sz="0" w:space="0" w:color="auto"/>
        <w:left w:val="none" w:sz="0" w:space="0" w:color="auto"/>
        <w:bottom w:val="none" w:sz="0" w:space="0" w:color="auto"/>
        <w:right w:val="none" w:sz="0" w:space="0" w:color="auto"/>
      </w:divBdr>
    </w:div>
    <w:div w:id="1353801244">
      <w:bodyDiv w:val="1"/>
      <w:marLeft w:val="0"/>
      <w:marRight w:val="0"/>
      <w:marTop w:val="0"/>
      <w:marBottom w:val="0"/>
      <w:divBdr>
        <w:top w:val="none" w:sz="0" w:space="0" w:color="auto"/>
        <w:left w:val="none" w:sz="0" w:space="0" w:color="auto"/>
        <w:bottom w:val="none" w:sz="0" w:space="0" w:color="auto"/>
        <w:right w:val="none" w:sz="0" w:space="0" w:color="auto"/>
      </w:divBdr>
    </w:div>
    <w:div w:id="1365593241">
      <w:bodyDiv w:val="1"/>
      <w:marLeft w:val="0"/>
      <w:marRight w:val="0"/>
      <w:marTop w:val="0"/>
      <w:marBottom w:val="0"/>
      <w:divBdr>
        <w:top w:val="none" w:sz="0" w:space="0" w:color="auto"/>
        <w:left w:val="none" w:sz="0" w:space="0" w:color="auto"/>
        <w:bottom w:val="none" w:sz="0" w:space="0" w:color="auto"/>
        <w:right w:val="none" w:sz="0" w:space="0" w:color="auto"/>
      </w:divBdr>
    </w:div>
    <w:div w:id="1384981871">
      <w:bodyDiv w:val="1"/>
      <w:marLeft w:val="0"/>
      <w:marRight w:val="0"/>
      <w:marTop w:val="0"/>
      <w:marBottom w:val="0"/>
      <w:divBdr>
        <w:top w:val="none" w:sz="0" w:space="0" w:color="auto"/>
        <w:left w:val="none" w:sz="0" w:space="0" w:color="auto"/>
        <w:bottom w:val="none" w:sz="0" w:space="0" w:color="auto"/>
        <w:right w:val="none" w:sz="0" w:space="0" w:color="auto"/>
      </w:divBdr>
    </w:div>
    <w:div w:id="1398090878">
      <w:bodyDiv w:val="1"/>
      <w:marLeft w:val="0"/>
      <w:marRight w:val="0"/>
      <w:marTop w:val="0"/>
      <w:marBottom w:val="0"/>
      <w:divBdr>
        <w:top w:val="none" w:sz="0" w:space="0" w:color="auto"/>
        <w:left w:val="none" w:sz="0" w:space="0" w:color="auto"/>
        <w:bottom w:val="none" w:sz="0" w:space="0" w:color="auto"/>
        <w:right w:val="none" w:sz="0" w:space="0" w:color="auto"/>
      </w:divBdr>
    </w:div>
    <w:div w:id="1410230392">
      <w:bodyDiv w:val="1"/>
      <w:marLeft w:val="0"/>
      <w:marRight w:val="0"/>
      <w:marTop w:val="0"/>
      <w:marBottom w:val="0"/>
      <w:divBdr>
        <w:top w:val="none" w:sz="0" w:space="0" w:color="auto"/>
        <w:left w:val="none" w:sz="0" w:space="0" w:color="auto"/>
        <w:bottom w:val="none" w:sz="0" w:space="0" w:color="auto"/>
        <w:right w:val="none" w:sz="0" w:space="0" w:color="auto"/>
      </w:divBdr>
    </w:div>
    <w:div w:id="1413821722">
      <w:bodyDiv w:val="1"/>
      <w:marLeft w:val="0"/>
      <w:marRight w:val="0"/>
      <w:marTop w:val="0"/>
      <w:marBottom w:val="0"/>
      <w:divBdr>
        <w:top w:val="none" w:sz="0" w:space="0" w:color="auto"/>
        <w:left w:val="none" w:sz="0" w:space="0" w:color="auto"/>
        <w:bottom w:val="none" w:sz="0" w:space="0" w:color="auto"/>
        <w:right w:val="none" w:sz="0" w:space="0" w:color="auto"/>
      </w:divBdr>
    </w:div>
    <w:div w:id="1421439882">
      <w:bodyDiv w:val="1"/>
      <w:marLeft w:val="0"/>
      <w:marRight w:val="0"/>
      <w:marTop w:val="0"/>
      <w:marBottom w:val="0"/>
      <w:divBdr>
        <w:top w:val="none" w:sz="0" w:space="0" w:color="auto"/>
        <w:left w:val="none" w:sz="0" w:space="0" w:color="auto"/>
        <w:bottom w:val="none" w:sz="0" w:space="0" w:color="auto"/>
        <w:right w:val="none" w:sz="0" w:space="0" w:color="auto"/>
      </w:divBdr>
    </w:div>
    <w:div w:id="1424836146">
      <w:bodyDiv w:val="1"/>
      <w:marLeft w:val="0"/>
      <w:marRight w:val="0"/>
      <w:marTop w:val="0"/>
      <w:marBottom w:val="0"/>
      <w:divBdr>
        <w:top w:val="none" w:sz="0" w:space="0" w:color="auto"/>
        <w:left w:val="none" w:sz="0" w:space="0" w:color="auto"/>
        <w:bottom w:val="none" w:sz="0" w:space="0" w:color="auto"/>
        <w:right w:val="none" w:sz="0" w:space="0" w:color="auto"/>
      </w:divBdr>
    </w:div>
    <w:div w:id="1429153648">
      <w:bodyDiv w:val="1"/>
      <w:marLeft w:val="0"/>
      <w:marRight w:val="0"/>
      <w:marTop w:val="0"/>
      <w:marBottom w:val="0"/>
      <w:divBdr>
        <w:top w:val="none" w:sz="0" w:space="0" w:color="auto"/>
        <w:left w:val="none" w:sz="0" w:space="0" w:color="auto"/>
        <w:bottom w:val="none" w:sz="0" w:space="0" w:color="auto"/>
        <w:right w:val="none" w:sz="0" w:space="0" w:color="auto"/>
      </w:divBdr>
    </w:div>
    <w:div w:id="1458721794">
      <w:bodyDiv w:val="1"/>
      <w:marLeft w:val="0"/>
      <w:marRight w:val="0"/>
      <w:marTop w:val="0"/>
      <w:marBottom w:val="0"/>
      <w:divBdr>
        <w:top w:val="none" w:sz="0" w:space="0" w:color="auto"/>
        <w:left w:val="none" w:sz="0" w:space="0" w:color="auto"/>
        <w:bottom w:val="none" w:sz="0" w:space="0" w:color="auto"/>
        <w:right w:val="none" w:sz="0" w:space="0" w:color="auto"/>
      </w:divBdr>
    </w:div>
    <w:div w:id="1472359376">
      <w:bodyDiv w:val="1"/>
      <w:marLeft w:val="0"/>
      <w:marRight w:val="0"/>
      <w:marTop w:val="0"/>
      <w:marBottom w:val="0"/>
      <w:divBdr>
        <w:top w:val="none" w:sz="0" w:space="0" w:color="auto"/>
        <w:left w:val="none" w:sz="0" w:space="0" w:color="auto"/>
        <w:bottom w:val="none" w:sz="0" w:space="0" w:color="auto"/>
        <w:right w:val="none" w:sz="0" w:space="0" w:color="auto"/>
      </w:divBdr>
    </w:div>
    <w:div w:id="1488743183">
      <w:bodyDiv w:val="1"/>
      <w:marLeft w:val="0"/>
      <w:marRight w:val="0"/>
      <w:marTop w:val="45"/>
      <w:marBottom w:val="45"/>
      <w:divBdr>
        <w:top w:val="none" w:sz="0" w:space="0" w:color="auto"/>
        <w:left w:val="none" w:sz="0" w:space="0" w:color="auto"/>
        <w:bottom w:val="none" w:sz="0" w:space="0" w:color="auto"/>
        <w:right w:val="none" w:sz="0" w:space="0" w:color="auto"/>
      </w:divBdr>
      <w:divsChild>
        <w:div w:id="736321548">
          <w:marLeft w:val="0"/>
          <w:marRight w:val="0"/>
          <w:marTop w:val="0"/>
          <w:marBottom w:val="0"/>
          <w:divBdr>
            <w:top w:val="none" w:sz="0" w:space="0" w:color="auto"/>
            <w:left w:val="none" w:sz="0" w:space="0" w:color="auto"/>
            <w:bottom w:val="none" w:sz="0" w:space="0" w:color="auto"/>
            <w:right w:val="none" w:sz="0" w:space="0" w:color="auto"/>
          </w:divBdr>
          <w:divsChild>
            <w:div w:id="1772236447">
              <w:marLeft w:val="0"/>
              <w:marRight w:val="0"/>
              <w:marTop w:val="0"/>
              <w:marBottom w:val="0"/>
              <w:divBdr>
                <w:top w:val="none" w:sz="0" w:space="0" w:color="auto"/>
                <w:left w:val="none" w:sz="0" w:space="0" w:color="auto"/>
                <w:bottom w:val="none" w:sz="0" w:space="0" w:color="auto"/>
                <w:right w:val="none" w:sz="0" w:space="0" w:color="auto"/>
              </w:divBdr>
              <w:divsChild>
                <w:div w:id="472020059">
                  <w:marLeft w:val="2385"/>
                  <w:marRight w:val="3960"/>
                  <w:marTop w:val="0"/>
                  <w:marBottom w:val="0"/>
                  <w:divBdr>
                    <w:top w:val="none" w:sz="0" w:space="0" w:color="auto"/>
                    <w:left w:val="single" w:sz="6" w:space="0" w:color="D3E1F9"/>
                    <w:bottom w:val="none" w:sz="0" w:space="0" w:color="auto"/>
                    <w:right w:val="none" w:sz="0" w:space="0" w:color="auto"/>
                  </w:divBdr>
                  <w:divsChild>
                    <w:div w:id="1213689097">
                      <w:marLeft w:val="0"/>
                      <w:marRight w:val="0"/>
                      <w:marTop w:val="0"/>
                      <w:marBottom w:val="0"/>
                      <w:divBdr>
                        <w:top w:val="none" w:sz="0" w:space="0" w:color="auto"/>
                        <w:left w:val="none" w:sz="0" w:space="0" w:color="auto"/>
                        <w:bottom w:val="none" w:sz="0" w:space="0" w:color="auto"/>
                        <w:right w:val="none" w:sz="0" w:space="0" w:color="auto"/>
                      </w:divBdr>
                      <w:divsChild>
                        <w:div w:id="286939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1411397">
      <w:bodyDiv w:val="1"/>
      <w:marLeft w:val="0"/>
      <w:marRight w:val="0"/>
      <w:marTop w:val="0"/>
      <w:marBottom w:val="0"/>
      <w:divBdr>
        <w:top w:val="none" w:sz="0" w:space="0" w:color="auto"/>
        <w:left w:val="none" w:sz="0" w:space="0" w:color="auto"/>
        <w:bottom w:val="none" w:sz="0" w:space="0" w:color="auto"/>
        <w:right w:val="none" w:sz="0" w:space="0" w:color="auto"/>
      </w:divBdr>
    </w:div>
    <w:div w:id="1503663712">
      <w:bodyDiv w:val="1"/>
      <w:marLeft w:val="0"/>
      <w:marRight w:val="0"/>
      <w:marTop w:val="0"/>
      <w:marBottom w:val="0"/>
      <w:divBdr>
        <w:top w:val="none" w:sz="0" w:space="0" w:color="auto"/>
        <w:left w:val="none" w:sz="0" w:space="0" w:color="auto"/>
        <w:bottom w:val="none" w:sz="0" w:space="0" w:color="auto"/>
        <w:right w:val="none" w:sz="0" w:space="0" w:color="auto"/>
      </w:divBdr>
      <w:divsChild>
        <w:div w:id="645163308">
          <w:marLeft w:val="0"/>
          <w:marRight w:val="0"/>
          <w:marTop w:val="100"/>
          <w:marBottom w:val="100"/>
          <w:divBdr>
            <w:top w:val="none" w:sz="0" w:space="0" w:color="auto"/>
            <w:left w:val="none" w:sz="0" w:space="0" w:color="auto"/>
            <w:bottom w:val="none" w:sz="0" w:space="0" w:color="auto"/>
            <w:right w:val="none" w:sz="0" w:space="0" w:color="auto"/>
          </w:divBdr>
          <w:divsChild>
            <w:div w:id="66806168">
              <w:marLeft w:val="0"/>
              <w:marRight w:val="0"/>
              <w:marTop w:val="0"/>
              <w:marBottom w:val="0"/>
              <w:divBdr>
                <w:top w:val="none" w:sz="0" w:space="0" w:color="auto"/>
                <w:left w:val="none" w:sz="0" w:space="0" w:color="auto"/>
                <w:bottom w:val="none" w:sz="0" w:space="0" w:color="auto"/>
                <w:right w:val="none" w:sz="0" w:space="0" w:color="auto"/>
              </w:divBdr>
              <w:divsChild>
                <w:div w:id="380371341">
                  <w:marLeft w:val="0"/>
                  <w:marRight w:val="150"/>
                  <w:marTop w:val="0"/>
                  <w:marBottom w:val="0"/>
                  <w:divBdr>
                    <w:top w:val="none" w:sz="0" w:space="0" w:color="auto"/>
                    <w:left w:val="none" w:sz="0" w:space="0" w:color="auto"/>
                    <w:bottom w:val="none" w:sz="0" w:space="0" w:color="auto"/>
                    <w:right w:val="none" w:sz="0" w:space="0" w:color="auto"/>
                  </w:divBdr>
                  <w:divsChild>
                    <w:div w:id="205726863">
                      <w:marLeft w:val="0"/>
                      <w:marRight w:val="0"/>
                      <w:marTop w:val="0"/>
                      <w:marBottom w:val="75"/>
                      <w:divBdr>
                        <w:top w:val="single" w:sz="6" w:space="0" w:color="B8CDE3"/>
                        <w:left w:val="single" w:sz="6" w:space="0" w:color="B8CDE3"/>
                        <w:bottom w:val="single" w:sz="6" w:space="0" w:color="B8CDE3"/>
                        <w:right w:val="single" w:sz="6" w:space="0" w:color="B8CDE3"/>
                      </w:divBdr>
                      <w:divsChild>
                        <w:div w:id="927077337">
                          <w:marLeft w:val="0"/>
                          <w:marRight w:val="0"/>
                          <w:marTop w:val="75"/>
                          <w:marBottom w:val="75"/>
                          <w:divBdr>
                            <w:top w:val="none" w:sz="0" w:space="0" w:color="auto"/>
                            <w:left w:val="none" w:sz="0" w:space="0" w:color="auto"/>
                            <w:bottom w:val="none" w:sz="0" w:space="0" w:color="auto"/>
                            <w:right w:val="none" w:sz="0" w:space="0" w:color="auto"/>
                          </w:divBdr>
                          <w:divsChild>
                            <w:div w:id="792017746">
                              <w:marLeft w:val="75"/>
                              <w:marRight w:val="75"/>
                              <w:marTop w:val="30"/>
                              <w:marBottom w:val="30"/>
                              <w:divBdr>
                                <w:top w:val="none" w:sz="0" w:space="0" w:color="auto"/>
                                <w:left w:val="none" w:sz="0" w:space="0" w:color="auto"/>
                                <w:bottom w:val="none" w:sz="0" w:space="0" w:color="auto"/>
                                <w:right w:val="none" w:sz="0" w:space="0" w:color="auto"/>
                              </w:divBdr>
                            </w:div>
                            <w:div w:id="1541015217">
                              <w:marLeft w:val="75"/>
                              <w:marRight w:val="75"/>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8061747">
      <w:bodyDiv w:val="1"/>
      <w:marLeft w:val="0"/>
      <w:marRight w:val="0"/>
      <w:marTop w:val="0"/>
      <w:marBottom w:val="0"/>
      <w:divBdr>
        <w:top w:val="none" w:sz="0" w:space="0" w:color="auto"/>
        <w:left w:val="none" w:sz="0" w:space="0" w:color="auto"/>
        <w:bottom w:val="none" w:sz="0" w:space="0" w:color="auto"/>
        <w:right w:val="none" w:sz="0" w:space="0" w:color="auto"/>
      </w:divBdr>
    </w:div>
    <w:div w:id="1512064070">
      <w:bodyDiv w:val="1"/>
      <w:marLeft w:val="0"/>
      <w:marRight w:val="0"/>
      <w:marTop w:val="0"/>
      <w:marBottom w:val="0"/>
      <w:divBdr>
        <w:top w:val="none" w:sz="0" w:space="0" w:color="auto"/>
        <w:left w:val="none" w:sz="0" w:space="0" w:color="auto"/>
        <w:bottom w:val="none" w:sz="0" w:space="0" w:color="auto"/>
        <w:right w:val="none" w:sz="0" w:space="0" w:color="auto"/>
      </w:divBdr>
    </w:div>
    <w:div w:id="1530608364">
      <w:bodyDiv w:val="1"/>
      <w:marLeft w:val="0"/>
      <w:marRight w:val="0"/>
      <w:marTop w:val="0"/>
      <w:marBottom w:val="0"/>
      <w:divBdr>
        <w:top w:val="none" w:sz="0" w:space="0" w:color="auto"/>
        <w:left w:val="none" w:sz="0" w:space="0" w:color="auto"/>
        <w:bottom w:val="none" w:sz="0" w:space="0" w:color="auto"/>
        <w:right w:val="none" w:sz="0" w:space="0" w:color="auto"/>
      </w:divBdr>
    </w:div>
    <w:div w:id="1535577854">
      <w:bodyDiv w:val="1"/>
      <w:marLeft w:val="0"/>
      <w:marRight w:val="0"/>
      <w:marTop w:val="0"/>
      <w:marBottom w:val="0"/>
      <w:divBdr>
        <w:top w:val="none" w:sz="0" w:space="0" w:color="auto"/>
        <w:left w:val="none" w:sz="0" w:space="0" w:color="auto"/>
        <w:bottom w:val="none" w:sz="0" w:space="0" w:color="auto"/>
        <w:right w:val="none" w:sz="0" w:space="0" w:color="auto"/>
      </w:divBdr>
    </w:div>
    <w:div w:id="1552231706">
      <w:bodyDiv w:val="1"/>
      <w:marLeft w:val="0"/>
      <w:marRight w:val="0"/>
      <w:marTop w:val="0"/>
      <w:marBottom w:val="0"/>
      <w:divBdr>
        <w:top w:val="none" w:sz="0" w:space="0" w:color="auto"/>
        <w:left w:val="none" w:sz="0" w:space="0" w:color="auto"/>
        <w:bottom w:val="none" w:sz="0" w:space="0" w:color="auto"/>
        <w:right w:val="none" w:sz="0" w:space="0" w:color="auto"/>
      </w:divBdr>
    </w:div>
    <w:div w:id="1570576146">
      <w:bodyDiv w:val="1"/>
      <w:marLeft w:val="0"/>
      <w:marRight w:val="0"/>
      <w:marTop w:val="0"/>
      <w:marBottom w:val="0"/>
      <w:divBdr>
        <w:top w:val="none" w:sz="0" w:space="0" w:color="auto"/>
        <w:left w:val="none" w:sz="0" w:space="0" w:color="auto"/>
        <w:bottom w:val="none" w:sz="0" w:space="0" w:color="auto"/>
        <w:right w:val="none" w:sz="0" w:space="0" w:color="auto"/>
      </w:divBdr>
    </w:div>
    <w:div w:id="1583374366">
      <w:bodyDiv w:val="1"/>
      <w:marLeft w:val="0"/>
      <w:marRight w:val="0"/>
      <w:marTop w:val="0"/>
      <w:marBottom w:val="0"/>
      <w:divBdr>
        <w:top w:val="none" w:sz="0" w:space="0" w:color="auto"/>
        <w:left w:val="none" w:sz="0" w:space="0" w:color="auto"/>
        <w:bottom w:val="none" w:sz="0" w:space="0" w:color="auto"/>
        <w:right w:val="none" w:sz="0" w:space="0" w:color="auto"/>
      </w:divBdr>
    </w:div>
    <w:div w:id="1591890373">
      <w:bodyDiv w:val="1"/>
      <w:marLeft w:val="0"/>
      <w:marRight w:val="0"/>
      <w:marTop w:val="0"/>
      <w:marBottom w:val="0"/>
      <w:divBdr>
        <w:top w:val="none" w:sz="0" w:space="0" w:color="auto"/>
        <w:left w:val="none" w:sz="0" w:space="0" w:color="auto"/>
        <w:bottom w:val="none" w:sz="0" w:space="0" w:color="auto"/>
        <w:right w:val="none" w:sz="0" w:space="0" w:color="auto"/>
      </w:divBdr>
    </w:div>
    <w:div w:id="1609968456">
      <w:bodyDiv w:val="1"/>
      <w:marLeft w:val="0"/>
      <w:marRight w:val="0"/>
      <w:marTop w:val="0"/>
      <w:marBottom w:val="0"/>
      <w:divBdr>
        <w:top w:val="none" w:sz="0" w:space="0" w:color="auto"/>
        <w:left w:val="none" w:sz="0" w:space="0" w:color="auto"/>
        <w:bottom w:val="none" w:sz="0" w:space="0" w:color="auto"/>
        <w:right w:val="none" w:sz="0" w:space="0" w:color="auto"/>
      </w:divBdr>
    </w:div>
    <w:div w:id="1647856395">
      <w:bodyDiv w:val="1"/>
      <w:marLeft w:val="0"/>
      <w:marRight w:val="0"/>
      <w:marTop w:val="0"/>
      <w:marBottom w:val="0"/>
      <w:divBdr>
        <w:top w:val="none" w:sz="0" w:space="0" w:color="auto"/>
        <w:left w:val="none" w:sz="0" w:space="0" w:color="auto"/>
        <w:bottom w:val="none" w:sz="0" w:space="0" w:color="auto"/>
        <w:right w:val="none" w:sz="0" w:space="0" w:color="auto"/>
      </w:divBdr>
    </w:div>
    <w:div w:id="1649356451">
      <w:bodyDiv w:val="1"/>
      <w:marLeft w:val="0"/>
      <w:marRight w:val="0"/>
      <w:marTop w:val="0"/>
      <w:marBottom w:val="0"/>
      <w:divBdr>
        <w:top w:val="none" w:sz="0" w:space="0" w:color="auto"/>
        <w:left w:val="none" w:sz="0" w:space="0" w:color="auto"/>
        <w:bottom w:val="none" w:sz="0" w:space="0" w:color="auto"/>
        <w:right w:val="none" w:sz="0" w:space="0" w:color="auto"/>
      </w:divBdr>
    </w:div>
    <w:div w:id="1656102664">
      <w:bodyDiv w:val="1"/>
      <w:marLeft w:val="0"/>
      <w:marRight w:val="0"/>
      <w:marTop w:val="0"/>
      <w:marBottom w:val="0"/>
      <w:divBdr>
        <w:top w:val="none" w:sz="0" w:space="0" w:color="auto"/>
        <w:left w:val="none" w:sz="0" w:space="0" w:color="auto"/>
        <w:bottom w:val="none" w:sz="0" w:space="0" w:color="auto"/>
        <w:right w:val="none" w:sz="0" w:space="0" w:color="auto"/>
      </w:divBdr>
    </w:div>
    <w:div w:id="1681005967">
      <w:bodyDiv w:val="1"/>
      <w:marLeft w:val="0"/>
      <w:marRight w:val="0"/>
      <w:marTop w:val="0"/>
      <w:marBottom w:val="0"/>
      <w:divBdr>
        <w:top w:val="none" w:sz="0" w:space="0" w:color="auto"/>
        <w:left w:val="none" w:sz="0" w:space="0" w:color="auto"/>
        <w:bottom w:val="none" w:sz="0" w:space="0" w:color="auto"/>
        <w:right w:val="none" w:sz="0" w:space="0" w:color="auto"/>
      </w:divBdr>
    </w:div>
    <w:div w:id="1705135524">
      <w:bodyDiv w:val="1"/>
      <w:marLeft w:val="0"/>
      <w:marRight w:val="0"/>
      <w:marTop w:val="0"/>
      <w:marBottom w:val="0"/>
      <w:divBdr>
        <w:top w:val="none" w:sz="0" w:space="0" w:color="auto"/>
        <w:left w:val="none" w:sz="0" w:space="0" w:color="auto"/>
        <w:bottom w:val="none" w:sz="0" w:space="0" w:color="auto"/>
        <w:right w:val="none" w:sz="0" w:space="0" w:color="auto"/>
      </w:divBdr>
    </w:div>
    <w:div w:id="1737125493">
      <w:bodyDiv w:val="1"/>
      <w:marLeft w:val="0"/>
      <w:marRight w:val="0"/>
      <w:marTop w:val="0"/>
      <w:marBottom w:val="0"/>
      <w:divBdr>
        <w:top w:val="none" w:sz="0" w:space="0" w:color="auto"/>
        <w:left w:val="none" w:sz="0" w:space="0" w:color="auto"/>
        <w:bottom w:val="none" w:sz="0" w:space="0" w:color="auto"/>
        <w:right w:val="none" w:sz="0" w:space="0" w:color="auto"/>
      </w:divBdr>
    </w:div>
    <w:div w:id="1740401578">
      <w:bodyDiv w:val="1"/>
      <w:marLeft w:val="0"/>
      <w:marRight w:val="0"/>
      <w:marTop w:val="0"/>
      <w:marBottom w:val="0"/>
      <w:divBdr>
        <w:top w:val="none" w:sz="0" w:space="0" w:color="auto"/>
        <w:left w:val="none" w:sz="0" w:space="0" w:color="auto"/>
        <w:bottom w:val="none" w:sz="0" w:space="0" w:color="auto"/>
        <w:right w:val="none" w:sz="0" w:space="0" w:color="auto"/>
      </w:divBdr>
    </w:div>
    <w:div w:id="1755475304">
      <w:bodyDiv w:val="1"/>
      <w:marLeft w:val="0"/>
      <w:marRight w:val="0"/>
      <w:marTop w:val="0"/>
      <w:marBottom w:val="0"/>
      <w:divBdr>
        <w:top w:val="none" w:sz="0" w:space="0" w:color="auto"/>
        <w:left w:val="none" w:sz="0" w:space="0" w:color="auto"/>
        <w:bottom w:val="none" w:sz="0" w:space="0" w:color="auto"/>
        <w:right w:val="none" w:sz="0" w:space="0" w:color="auto"/>
      </w:divBdr>
    </w:div>
    <w:div w:id="1759059028">
      <w:bodyDiv w:val="1"/>
      <w:marLeft w:val="0"/>
      <w:marRight w:val="0"/>
      <w:marTop w:val="0"/>
      <w:marBottom w:val="0"/>
      <w:divBdr>
        <w:top w:val="none" w:sz="0" w:space="0" w:color="auto"/>
        <w:left w:val="none" w:sz="0" w:space="0" w:color="auto"/>
        <w:bottom w:val="none" w:sz="0" w:space="0" w:color="auto"/>
        <w:right w:val="none" w:sz="0" w:space="0" w:color="auto"/>
      </w:divBdr>
    </w:div>
    <w:div w:id="1766027475">
      <w:bodyDiv w:val="1"/>
      <w:marLeft w:val="0"/>
      <w:marRight w:val="0"/>
      <w:marTop w:val="0"/>
      <w:marBottom w:val="0"/>
      <w:divBdr>
        <w:top w:val="none" w:sz="0" w:space="0" w:color="auto"/>
        <w:left w:val="none" w:sz="0" w:space="0" w:color="auto"/>
        <w:bottom w:val="none" w:sz="0" w:space="0" w:color="auto"/>
        <w:right w:val="none" w:sz="0" w:space="0" w:color="auto"/>
      </w:divBdr>
      <w:divsChild>
        <w:div w:id="873079076">
          <w:marLeft w:val="0"/>
          <w:marRight w:val="0"/>
          <w:marTop w:val="0"/>
          <w:marBottom w:val="0"/>
          <w:divBdr>
            <w:top w:val="none" w:sz="0" w:space="0" w:color="auto"/>
            <w:left w:val="none" w:sz="0" w:space="0" w:color="auto"/>
            <w:bottom w:val="none" w:sz="0" w:space="0" w:color="auto"/>
            <w:right w:val="none" w:sz="0" w:space="0" w:color="auto"/>
          </w:divBdr>
          <w:divsChild>
            <w:div w:id="1195654953">
              <w:marLeft w:val="0"/>
              <w:marRight w:val="0"/>
              <w:marTop w:val="33"/>
              <w:marBottom w:val="0"/>
              <w:divBdr>
                <w:top w:val="single" w:sz="2" w:space="0" w:color="596380"/>
                <w:left w:val="single" w:sz="2" w:space="0" w:color="596380"/>
                <w:bottom w:val="single" w:sz="2" w:space="0" w:color="596380"/>
                <w:right w:val="single" w:sz="2" w:space="0" w:color="596380"/>
              </w:divBdr>
              <w:divsChild>
                <w:div w:id="40983991">
                  <w:marLeft w:val="0"/>
                  <w:marRight w:val="0"/>
                  <w:marTop w:val="0"/>
                  <w:marBottom w:val="0"/>
                  <w:divBdr>
                    <w:top w:val="none" w:sz="0" w:space="0" w:color="auto"/>
                    <w:left w:val="none" w:sz="0" w:space="0" w:color="auto"/>
                    <w:bottom w:val="none" w:sz="0" w:space="0" w:color="auto"/>
                    <w:right w:val="none" w:sz="0" w:space="0" w:color="auto"/>
                  </w:divBdr>
                  <w:divsChild>
                    <w:div w:id="739444026">
                      <w:marLeft w:val="0"/>
                      <w:marRight w:val="0"/>
                      <w:marTop w:val="0"/>
                      <w:marBottom w:val="0"/>
                      <w:divBdr>
                        <w:top w:val="none" w:sz="0" w:space="0" w:color="auto"/>
                        <w:left w:val="none" w:sz="0" w:space="0" w:color="auto"/>
                        <w:bottom w:val="none" w:sz="0" w:space="0" w:color="auto"/>
                        <w:right w:val="none" w:sz="0" w:space="0" w:color="auto"/>
                      </w:divBdr>
                      <w:divsChild>
                        <w:div w:id="1848903762">
                          <w:marLeft w:val="0"/>
                          <w:marRight w:val="0"/>
                          <w:marTop w:val="0"/>
                          <w:marBottom w:val="0"/>
                          <w:divBdr>
                            <w:top w:val="none" w:sz="0" w:space="0" w:color="auto"/>
                            <w:left w:val="none" w:sz="0" w:space="0" w:color="auto"/>
                            <w:bottom w:val="none" w:sz="0" w:space="0" w:color="auto"/>
                            <w:right w:val="none" w:sz="0" w:space="0" w:color="auto"/>
                          </w:divBdr>
                          <w:divsChild>
                            <w:div w:id="328170874">
                              <w:marLeft w:val="0"/>
                              <w:marRight w:val="0"/>
                              <w:marTop w:val="0"/>
                              <w:marBottom w:val="0"/>
                              <w:divBdr>
                                <w:top w:val="none" w:sz="0" w:space="0" w:color="auto"/>
                                <w:left w:val="none" w:sz="0" w:space="0" w:color="auto"/>
                                <w:bottom w:val="none" w:sz="0" w:space="0" w:color="auto"/>
                                <w:right w:val="none" w:sz="0" w:space="0" w:color="auto"/>
                              </w:divBdr>
                              <w:divsChild>
                                <w:div w:id="683827167">
                                  <w:marLeft w:val="55"/>
                                  <w:marRight w:val="55"/>
                                  <w:marTop w:val="55"/>
                                  <w:marBottom w:val="55"/>
                                  <w:divBdr>
                                    <w:top w:val="none" w:sz="0" w:space="0" w:color="auto"/>
                                    <w:left w:val="none" w:sz="0" w:space="0" w:color="auto"/>
                                    <w:bottom w:val="none" w:sz="0" w:space="0" w:color="auto"/>
                                    <w:right w:val="none" w:sz="0" w:space="0" w:color="auto"/>
                                  </w:divBdr>
                                  <w:divsChild>
                                    <w:div w:id="644160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0588062">
      <w:bodyDiv w:val="1"/>
      <w:marLeft w:val="0"/>
      <w:marRight w:val="0"/>
      <w:marTop w:val="0"/>
      <w:marBottom w:val="0"/>
      <w:divBdr>
        <w:top w:val="none" w:sz="0" w:space="0" w:color="auto"/>
        <w:left w:val="none" w:sz="0" w:space="0" w:color="auto"/>
        <w:bottom w:val="none" w:sz="0" w:space="0" w:color="auto"/>
        <w:right w:val="none" w:sz="0" w:space="0" w:color="auto"/>
      </w:divBdr>
    </w:div>
    <w:div w:id="1815172868">
      <w:bodyDiv w:val="1"/>
      <w:marLeft w:val="0"/>
      <w:marRight w:val="0"/>
      <w:marTop w:val="0"/>
      <w:marBottom w:val="0"/>
      <w:divBdr>
        <w:top w:val="none" w:sz="0" w:space="0" w:color="auto"/>
        <w:left w:val="none" w:sz="0" w:space="0" w:color="auto"/>
        <w:bottom w:val="none" w:sz="0" w:space="0" w:color="auto"/>
        <w:right w:val="none" w:sz="0" w:space="0" w:color="auto"/>
      </w:divBdr>
    </w:div>
    <w:div w:id="1837846343">
      <w:bodyDiv w:val="1"/>
      <w:marLeft w:val="0"/>
      <w:marRight w:val="0"/>
      <w:marTop w:val="0"/>
      <w:marBottom w:val="0"/>
      <w:divBdr>
        <w:top w:val="none" w:sz="0" w:space="0" w:color="auto"/>
        <w:left w:val="none" w:sz="0" w:space="0" w:color="auto"/>
        <w:bottom w:val="none" w:sz="0" w:space="0" w:color="auto"/>
        <w:right w:val="none" w:sz="0" w:space="0" w:color="auto"/>
      </w:divBdr>
    </w:div>
    <w:div w:id="1857428725">
      <w:bodyDiv w:val="1"/>
      <w:marLeft w:val="0"/>
      <w:marRight w:val="0"/>
      <w:marTop w:val="0"/>
      <w:marBottom w:val="0"/>
      <w:divBdr>
        <w:top w:val="none" w:sz="0" w:space="0" w:color="auto"/>
        <w:left w:val="none" w:sz="0" w:space="0" w:color="auto"/>
        <w:bottom w:val="none" w:sz="0" w:space="0" w:color="auto"/>
        <w:right w:val="none" w:sz="0" w:space="0" w:color="auto"/>
      </w:divBdr>
    </w:div>
    <w:div w:id="1863588342">
      <w:bodyDiv w:val="1"/>
      <w:marLeft w:val="0"/>
      <w:marRight w:val="0"/>
      <w:marTop w:val="0"/>
      <w:marBottom w:val="0"/>
      <w:divBdr>
        <w:top w:val="none" w:sz="0" w:space="0" w:color="auto"/>
        <w:left w:val="none" w:sz="0" w:space="0" w:color="auto"/>
        <w:bottom w:val="none" w:sz="0" w:space="0" w:color="auto"/>
        <w:right w:val="none" w:sz="0" w:space="0" w:color="auto"/>
      </w:divBdr>
    </w:div>
    <w:div w:id="1865753050">
      <w:bodyDiv w:val="1"/>
      <w:marLeft w:val="0"/>
      <w:marRight w:val="0"/>
      <w:marTop w:val="0"/>
      <w:marBottom w:val="0"/>
      <w:divBdr>
        <w:top w:val="none" w:sz="0" w:space="0" w:color="auto"/>
        <w:left w:val="none" w:sz="0" w:space="0" w:color="auto"/>
        <w:bottom w:val="none" w:sz="0" w:space="0" w:color="auto"/>
        <w:right w:val="none" w:sz="0" w:space="0" w:color="auto"/>
      </w:divBdr>
    </w:div>
    <w:div w:id="1887177925">
      <w:bodyDiv w:val="1"/>
      <w:marLeft w:val="0"/>
      <w:marRight w:val="0"/>
      <w:marTop w:val="0"/>
      <w:marBottom w:val="0"/>
      <w:divBdr>
        <w:top w:val="none" w:sz="0" w:space="0" w:color="auto"/>
        <w:left w:val="none" w:sz="0" w:space="0" w:color="auto"/>
        <w:bottom w:val="none" w:sz="0" w:space="0" w:color="auto"/>
        <w:right w:val="none" w:sz="0" w:space="0" w:color="auto"/>
      </w:divBdr>
    </w:div>
    <w:div w:id="1894345890">
      <w:bodyDiv w:val="1"/>
      <w:marLeft w:val="0"/>
      <w:marRight w:val="0"/>
      <w:marTop w:val="0"/>
      <w:marBottom w:val="0"/>
      <w:divBdr>
        <w:top w:val="none" w:sz="0" w:space="0" w:color="auto"/>
        <w:left w:val="none" w:sz="0" w:space="0" w:color="auto"/>
        <w:bottom w:val="none" w:sz="0" w:space="0" w:color="auto"/>
        <w:right w:val="none" w:sz="0" w:space="0" w:color="auto"/>
      </w:divBdr>
    </w:div>
    <w:div w:id="1930573628">
      <w:bodyDiv w:val="1"/>
      <w:marLeft w:val="0"/>
      <w:marRight w:val="0"/>
      <w:marTop w:val="0"/>
      <w:marBottom w:val="0"/>
      <w:divBdr>
        <w:top w:val="none" w:sz="0" w:space="0" w:color="auto"/>
        <w:left w:val="none" w:sz="0" w:space="0" w:color="auto"/>
        <w:bottom w:val="none" w:sz="0" w:space="0" w:color="auto"/>
        <w:right w:val="none" w:sz="0" w:space="0" w:color="auto"/>
      </w:divBdr>
    </w:div>
    <w:div w:id="1930888112">
      <w:bodyDiv w:val="1"/>
      <w:marLeft w:val="0"/>
      <w:marRight w:val="0"/>
      <w:marTop w:val="0"/>
      <w:marBottom w:val="0"/>
      <w:divBdr>
        <w:top w:val="none" w:sz="0" w:space="0" w:color="auto"/>
        <w:left w:val="none" w:sz="0" w:space="0" w:color="auto"/>
        <w:bottom w:val="none" w:sz="0" w:space="0" w:color="auto"/>
        <w:right w:val="none" w:sz="0" w:space="0" w:color="auto"/>
      </w:divBdr>
    </w:div>
    <w:div w:id="1944652084">
      <w:bodyDiv w:val="1"/>
      <w:marLeft w:val="0"/>
      <w:marRight w:val="0"/>
      <w:marTop w:val="45"/>
      <w:marBottom w:val="45"/>
      <w:divBdr>
        <w:top w:val="none" w:sz="0" w:space="0" w:color="auto"/>
        <w:left w:val="none" w:sz="0" w:space="0" w:color="auto"/>
        <w:bottom w:val="none" w:sz="0" w:space="0" w:color="auto"/>
        <w:right w:val="none" w:sz="0" w:space="0" w:color="auto"/>
      </w:divBdr>
      <w:divsChild>
        <w:div w:id="229930545">
          <w:marLeft w:val="0"/>
          <w:marRight w:val="0"/>
          <w:marTop w:val="0"/>
          <w:marBottom w:val="0"/>
          <w:divBdr>
            <w:top w:val="none" w:sz="0" w:space="0" w:color="auto"/>
            <w:left w:val="none" w:sz="0" w:space="0" w:color="auto"/>
            <w:bottom w:val="none" w:sz="0" w:space="0" w:color="auto"/>
            <w:right w:val="none" w:sz="0" w:space="0" w:color="auto"/>
          </w:divBdr>
          <w:divsChild>
            <w:div w:id="1798525287">
              <w:marLeft w:val="0"/>
              <w:marRight w:val="0"/>
              <w:marTop w:val="0"/>
              <w:marBottom w:val="0"/>
              <w:divBdr>
                <w:top w:val="none" w:sz="0" w:space="0" w:color="auto"/>
                <w:left w:val="none" w:sz="0" w:space="0" w:color="auto"/>
                <w:bottom w:val="none" w:sz="0" w:space="0" w:color="auto"/>
                <w:right w:val="none" w:sz="0" w:space="0" w:color="auto"/>
              </w:divBdr>
              <w:divsChild>
                <w:div w:id="45952800">
                  <w:marLeft w:val="2385"/>
                  <w:marRight w:val="3960"/>
                  <w:marTop w:val="0"/>
                  <w:marBottom w:val="0"/>
                  <w:divBdr>
                    <w:top w:val="none" w:sz="0" w:space="0" w:color="auto"/>
                    <w:left w:val="single" w:sz="6" w:space="0" w:color="D3E1F9"/>
                    <w:bottom w:val="none" w:sz="0" w:space="0" w:color="auto"/>
                    <w:right w:val="none" w:sz="0" w:space="0" w:color="auto"/>
                  </w:divBdr>
                  <w:divsChild>
                    <w:div w:id="98183481">
                      <w:marLeft w:val="0"/>
                      <w:marRight w:val="0"/>
                      <w:marTop w:val="0"/>
                      <w:marBottom w:val="0"/>
                      <w:divBdr>
                        <w:top w:val="none" w:sz="0" w:space="0" w:color="auto"/>
                        <w:left w:val="none" w:sz="0" w:space="0" w:color="auto"/>
                        <w:bottom w:val="none" w:sz="0" w:space="0" w:color="auto"/>
                        <w:right w:val="none" w:sz="0" w:space="0" w:color="auto"/>
                      </w:divBdr>
                      <w:divsChild>
                        <w:div w:id="1743481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1180085">
      <w:bodyDiv w:val="1"/>
      <w:marLeft w:val="0"/>
      <w:marRight w:val="0"/>
      <w:marTop w:val="0"/>
      <w:marBottom w:val="0"/>
      <w:divBdr>
        <w:top w:val="none" w:sz="0" w:space="0" w:color="auto"/>
        <w:left w:val="none" w:sz="0" w:space="0" w:color="auto"/>
        <w:bottom w:val="none" w:sz="0" w:space="0" w:color="auto"/>
        <w:right w:val="none" w:sz="0" w:space="0" w:color="auto"/>
      </w:divBdr>
    </w:div>
    <w:div w:id="1962957532">
      <w:bodyDiv w:val="1"/>
      <w:marLeft w:val="0"/>
      <w:marRight w:val="0"/>
      <w:marTop w:val="0"/>
      <w:marBottom w:val="0"/>
      <w:divBdr>
        <w:top w:val="none" w:sz="0" w:space="0" w:color="auto"/>
        <w:left w:val="none" w:sz="0" w:space="0" w:color="auto"/>
        <w:bottom w:val="none" w:sz="0" w:space="0" w:color="auto"/>
        <w:right w:val="none" w:sz="0" w:space="0" w:color="auto"/>
      </w:divBdr>
    </w:div>
    <w:div w:id="1975063946">
      <w:bodyDiv w:val="1"/>
      <w:marLeft w:val="0"/>
      <w:marRight w:val="0"/>
      <w:marTop w:val="0"/>
      <w:marBottom w:val="0"/>
      <w:divBdr>
        <w:top w:val="none" w:sz="0" w:space="0" w:color="auto"/>
        <w:left w:val="none" w:sz="0" w:space="0" w:color="auto"/>
        <w:bottom w:val="none" w:sz="0" w:space="0" w:color="auto"/>
        <w:right w:val="none" w:sz="0" w:space="0" w:color="auto"/>
      </w:divBdr>
      <w:divsChild>
        <w:div w:id="1020199993">
          <w:marLeft w:val="0"/>
          <w:marRight w:val="0"/>
          <w:marTop w:val="100"/>
          <w:marBottom w:val="100"/>
          <w:divBdr>
            <w:top w:val="none" w:sz="0" w:space="0" w:color="auto"/>
            <w:left w:val="none" w:sz="0" w:space="0" w:color="auto"/>
            <w:bottom w:val="none" w:sz="0" w:space="0" w:color="auto"/>
            <w:right w:val="none" w:sz="0" w:space="0" w:color="auto"/>
          </w:divBdr>
          <w:divsChild>
            <w:div w:id="1600529769">
              <w:marLeft w:val="0"/>
              <w:marRight w:val="0"/>
              <w:marTop w:val="0"/>
              <w:marBottom w:val="0"/>
              <w:divBdr>
                <w:top w:val="none" w:sz="0" w:space="0" w:color="auto"/>
                <w:left w:val="none" w:sz="0" w:space="0" w:color="auto"/>
                <w:bottom w:val="none" w:sz="0" w:space="0" w:color="auto"/>
                <w:right w:val="none" w:sz="0" w:space="0" w:color="auto"/>
              </w:divBdr>
              <w:divsChild>
                <w:div w:id="2040859765">
                  <w:marLeft w:val="0"/>
                  <w:marRight w:val="150"/>
                  <w:marTop w:val="0"/>
                  <w:marBottom w:val="0"/>
                  <w:divBdr>
                    <w:top w:val="none" w:sz="0" w:space="0" w:color="auto"/>
                    <w:left w:val="none" w:sz="0" w:space="0" w:color="auto"/>
                    <w:bottom w:val="none" w:sz="0" w:space="0" w:color="auto"/>
                    <w:right w:val="none" w:sz="0" w:space="0" w:color="auto"/>
                  </w:divBdr>
                  <w:divsChild>
                    <w:div w:id="1308778259">
                      <w:marLeft w:val="0"/>
                      <w:marRight w:val="0"/>
                      <w:marTop w:val="0"/>
                      <w:marBottom w:val="75"/>
                      <w:divBdr>
                        <w:top w:val="single" w:sz="6" w:space="0" w:color="B8CDE3"/>
                        <w:left w:val="single" w:sz="6" w:space="0" w:color="B8CDE3"/>
                        <w:bottom w:val="single" w:sz="6" w:space="0" w:color="B8CDE3"/>
                        <w:right w:val="single" w:sz="6" w:space="0" w:color="B8CDE3"/>
                      </w:divBdr>
                      <w:divsChild>
                        <w:div w:id="1861624266">
                          <w:marLeft w:val="0"/>
                          <w:marRight w:val="0"/>
                          <w:marTop w:val="75"/>
                          <w:marBottom w:val="75"/>
                          <w:divBdr>
                            <w:top w:val="none" w:sz="0" w:space="0" w:color="auto"/>
                            <w:left w:val="none" w:sz="0" w:space="0" w:color="auto"/>
                            <w:bottom w:val="none" w:sz="0" w:space="0" w:color="auto"/>
                            <w:right w:val="none" w:sz="0" w:space="0" w:color="auto"/>
                          </w:divBdr>
                          <w:divsChild>
                            <w:div w:id="580069178">
                              <w:marLeft w:val="75"/>
                              <w:marRight w:val="75"/>
                              <w:marTop w:val="30"/>
                              <w:marBottom w:val="30"/>
                              <w:divBdr>
                                <w:top w:val="none" w:sz="0" w:space="0" w:color="auto"/>
                                <w:left w:val="none" w:sz="0" w:space="0" w:color="auto"/>
                                <w:bottom w:val="none" w:sz="0" w:space="0" w:color="auto"/>
                                <w:right w:val="none" w:sz="0" w:space="0" w:color="auto"/>
                              </w:divBdr>
                            </w:div>
                            <w:div w:id="1679692331">
                              <w:marLeft w:val="75"/>
                              <w:marRight w:val="75"/>
                              <w:marTop w:val="30"/>
                              <w:marBottom w:val="30"/>
                              <w:divBdr>
                                <w:top w:val="none" w:sz="0" w:space="0" w:color="auto"/>
                                <w:left w:val="none" w:sz="0" w:space="0" w:color="auto"/>
                                <w:bottom w:val="none" w:sz="0" w:space="0" w:color="auto"/>
                                <w:right w:val="none" w:sz="0" w:space="0" w:color="auto"/>
                              </w:divBdr>
                            </w:div>
                            <w:div w:id="2013335709">
                              <w:marLeft w:val="75"/>
                              <w:marRight w:val="75"/>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7781854">
      <w:bodyDiv w:val="1"/>
      <w:marLeft w:val="0"/>
      <w:marRight w:val="0"/>
      <w:marTop w:val="0"/>
      <w:marBottom w:val="0"/>
      <w:divBdr>
        <w:top w:val="none" w:sz="0" w:space="0" w:color="auto"/>
        <w:left w:val="none" w:sz="0" w:space="0" w:color="auto"/>
        <w:bottom w:val="none" w:sz="0" w:space="0" w:color="auto"/>
        <w:right w:val="none" w:sz="0" w:space="0" w:color="auto"/>
      </w:divBdr>
    </w:div>
    <w:div w:id="2049404230">
      <w:bodyDiv w:val="1"/>
      <w:marLeft w:val="0"/>
      <w:marRight w:val="0"/>
      <w:marTop w:val="0"/>
      <w:marBottom w:val="0"/>
      <w:divBdr>
        <w:top w:val="none" w:sz="0" w:space="0" w:color="auto"/>
        <w:left w:val="none" w:sz="0" w:space="0" w:color="auto"/>
        <w:bottom w:val="none" w:sz="0" w:space="0" w:color="auto"/>
        <w:right w:val="none" w:sz="0" w:space="0" w:color="auto"/>
      </w:divBdr>
    </w:div>
    <w:div w:id="2126266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BFCB83-6213-42AC-9BE1-652B8B27B1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996</TotalTime>
  <Pages>11</Pages>
  <Words>4935</Words>
  <Characters>28132</Characters>
  <Application>Microsoft Office Word</Application>
  <DocSecurity>0</DocSecurity>
  <Lines>234</Lines>
  <Paragraphs>66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1</vt:lpstr>
      <vt:lpstr>1</vt:lpstr>
    </vt:vector>
  </TitlesOfParts>
  <Company>DTM</Company>
  <LinksUpToDate>false</LinksUpToDate>
  <CharactersWithSpaces>33001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ozdoganas</dc:creator>
  <cp:lastModifiedBy>Koray Düğencioğlu</cp:lastModifiedBy>
  <cp:revision>309</cp:revision>
  <cp:lastPrinted>2018-08-28T07:13:00Z</cp:lastPrinted>
  <dcterms:created xsi:type="dcterms:W3CDTF">2017-05-22T08:50:00Z</dcterms:created>
  <dcterms:modified xsi:type="dcterms:W3CDTF">2018-10-08T08:44:00Z</dcterms:modified>
</cp:coreProperties>
</file>