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EB0" w:rsidRDefault="001C1EB0" w:rsidP="001C1EB0">
      <w:pPr>
        <w:rPr>
          <w:b/>
          <w:caps/>
        </w:rPr>
      </w:pPr>
      <w:r>
        <w:rPr>
          <w:b/>
          <w:caps/>
        </w:rPr>
        <w:t>EK</w:t>
      </w:r>
    </w:p>
    <w:p w:rsidR="001C1EB0" w:rsidRDefault="001C1EB0" w:rsidP="00914096">
      <w:pPr>
        <w:jc w:val="center"/>
        <w:rPr>
          <w:b/>
          <w:caps/>
        </w:rPr>
      </w:pPr>
    </w:p>
    <w:p w:rsidR="00914096" w:rsidRPr="00006558" w:rsidRDefault="00380A12" w:rsidP="00914096">
      <w:pPr>
        <w:jc w:val="center"/>
        <w:rPr>
          <w:b/>
          <w:caps/>
        </w:rPr>
      </w:pPr>
      <w:r>
        <w:rPr>
          <w:b/>
          <w:caps/>
        </w:rPr>
        <w:t xml:space="preserve">2018/29 SaYILI İTHALATTA HAKSIZ REKABETİN ÖNLENMESİNE İLİŞKİN TEBLİĞE DAİR </w:t>
      </w:r>
      <w:r w:rsidR="00914096" w:rsidRPr="00006558">
        <w:rPr>
          <w:b/>
          <w:caps/>
        </w:rPr>
        <w:t>BİLGİLENDİRME RAPORU</w:t>
      </w:r>
    </w:p>
    <w:p w:rsidR="00914096" w:rsidRDefault="00914096" w:rsidP="00164FF4">
      <w:pPr>
        <w:jc w:val="both"/>
        <w:rPr>
          <w:b/>
          <w:caps/>
        </w:rPr>
      </w:pPr>
    </w:p>
    <w:p w:rsidR="00D17BE4" w:rsidRPr="00006558" w:rsidRDefault="00D17BE4" w:rsidP="00164FF4">
      <w:pPr>
        <w:jc w:val="both"/>
        <w:rPr>
          <w:b/>
          <w:caps/>
        </w:rPr>
      </w:pPr>
    </w:p>
    <w:p w:rsidR="00164FF4" w:rsidRPr="00006558" w:rsidRDefault="00164FF4" w:rsidP="00164FF4">
      <w:pPr>
        <w:jc w:val="both"/>
        <w:rPr>
          <w:b/>
          <w:caps/>
        </w:rPr>
      </w:pPr>
      <w:r w:rsidRPr="00006558">
        <w:rPr>
          <w:b/>
          <w:caps/>
        </w:rPr>
        <w:t>1. soruşturmaya ilişkin GEnel BİLgi ve işlemler</w:t>
      </w:r>
    </w:p>
    <w:p w:rsidR="00164FF4" w:rsidRPr="00006558" w:rsidRDefault="00164FF4" w:rsidP="00164FF4">
      <w:pPr>
        <w:jc w:val="both"/>
        <w:rPr>
          <w:b/>
          <w:caps/>
        </w:rPr>
      </w:pPr>
    </w:p>
    <w:p w:rsidR="00164FF4" w:rsidRPr="00006558" w:rsidRDefault="00164FF4" w:rsidP="00164FF4">
      <w:pPr>
        <w:contextualSpacing/>
        <w:jc w:val="both"/>
        <w:rPr>
          <w:b/>
          <w:caps/>
        </w:rPr>
      </w:pPr>
      <w:r w:rsidRPr="00006558">
        <w:rPr>
          <w:b/>
          <w:caps/>
        </w:rPr>
        <w:t xml:space="preserve">1.1 </w:t>
      </w:r>
      <w:r w:rsidR="00731D63" w:rsidRPr="00006558">
        <w:rPr>
          <w:b/>
        </w:rPr>
        <w:t>Mevcut önlem</w:t>
      </w:r>
      <w:r w:rsidR="008C7F8B" w:rsidRPr="00006558">
        <w:rPr>
          <w:b/>
        </w:rPr>
        <w:t xml:space="preserve"> ve </w:t>
      </w:r>
      <w:r w:rsidR="00F85C0F">
        <w:rPr>
          <w:b/>
        </w:rPr>
        <w:t>s</w:t>
      </w:r>
      <w:r w:rsidR="008C7F8B" w:rsidRPr="00006558">
        <w:rPr>
          <w:b/>
        </w:rPr>
        <w:t xml:space="preserve">oruşturma </w:t>
      </w:r>
      <w:r w:rsidR="00731D63" w:rsidRPr="00006558">
        <w:rPr>
          <w:b/>
          <w:caps/>
        </w:rPr>
        <w:t xml:space="preserve"> </w:t>
      </w:r>
    </w:p>
    <w:p w:rsidR="00111A83" w:rsidRPr="00C83F52" w:rsidRDefault="00111A83" w:rsidP="00111A83">
      <w:pPr>
        <w:jc w:val="both"/>
      </w:pPr>
      <w:r w:rsidRPr="00C15E39">
        <w:t xml:space="preserve">(1) Hindistan Cumhuriyeti (Hindistan), Çin </w:t>
      </w:r>
      <w:proofErr w:type="spellStart"/>
      <w:r w:rsidRPr="00C15E39">
        <w:t>Tayvanı</w:t>
      </w:r>
      <w:proofErr w:type="spellEnd"/>
      <w:r w:rsidRPr="00C15E39">
        <w:t xml:space="preserve"> (Tayvan) ve Kore Cumhuriyeti (Güney Kore) menşeli başvuru konusu ürün ithalatına karşı </w:t>
      </w:r>
      <w:proofErr w:type="gramStart"/>
      <w:r w:rsidRPr="00C15E39">
        <w:t>dampinge</w:t>
      </w:r>
      <w:proofErr w:type="gramEnd"/>
      <w:r w:rsidRPr="00C15E39">
        <w:t xml:space="preserve"> karşı önlem 27/06/2000 tarihli ve 24092 sayılı Resmi </w:t>
      </w:r>
      <w:proofErr w:type="spellStart"/>
      <w:r w:rsidRPr="00C15E39">
        <w:t>Gazete'de</w:t>
      </w:r>
      <w:proofErr w:type="spellEnd"/>
      <w:r w:rsidRPr="00C15E39">
        <w:t xml:space="preserve"> yayımlanan İthalatta Haksız Rekabetin Önlenmesine İlişkin sayılı Tebliğ </w:t>
      </w:r>
      <w:r w:rsidR="007F0565">
        <w:t>(Tebliğ No:</w:t>
      </w:r>
      <w:r w:rsidR="007F0565" w:rsidRPr="007F0565">
        <w:t xml:space="preserve"> </w:t>
      </w:r>
      <w:r w:rsidR="007F0565">
        <w:t xml:space="preserve">2000/7) </w:t>
      </w:r>
      <w:r w:rsidRPr="00C15E39">
        <w:t>ile yürürlüğe konulmuştur.</w:t>
      </w:r>
      <w:r w:rsidRPr="00C15E39">
        <w:rPr>
          <w:lang w:eastAsia="en-US"/>
        </w:rPr>
        <w:t xml:space="preserve"> </w:t>
      </w:r>
      <w:r w:rsidRPr="00C15E39">
        <w:t xml:space="preserve">Bahse konu ülkelere yönelik ilk </w:t>
      </w:r>
      <w:r w:rsidR="000E5D3C">
        <w:t>nihai gözden geçirme soruşturması (</w:t>
      </w:r>
      <w:r>
        <w:t>NGGS</w:t>
      </w:r>
      <w:r w:rsidR="000E5D3C">
        <w:t>)</w:t>
      </w:r>
      <w:r>
        <w:t xml:space="preserve"> </w:t>
      </w:r>
      <w:r w:rsidRPr="00C15E39">
        <w:t xml:space="preserve">2005 yılında başlatılmış olup, 21/12/2006 tarihli ve 26383 sayılı Resmi </w:t>
      </w:r>
      <w:proofErr w:type="spellStart"/>
      <w:r w:rsidRPr="00C15E39">
        <w:t>Gazete’de</w:t>
      </w:r>
      <w:proofErr w:type="spellEnd"/>
      <w:r w:rsidRPr="00C15E39">
        <w:t xml:space="preserve"> yayımlanan İthalatta Haksız Rekabetin Önlenmesine İlişkin Tebliğ (Tebliğ No: 2006/31) çerçevesinde önlemin uygulanmasına devam edilmiştir.</w:t>
      </w:r>
    </w:p>
    <w:p w:rsidR="00111A83" w:rsidRPr="00C15E39" w:rsidRDefault="00111A83" w:rsidP="00111A83">
      <w:pPr>
        <w:ind w:firstLine="567"/>
      </w:pPr>
    </w:p>
    <w:p w:rsidR="00111A83" w:rsidRPr="00C15E39" w:rsidRDefault="00111A83" w:rsidP="00111A83">
      <w:pPr>
        <w:tabs>
          <w:tab w:val="left" w:pos="851"/>
        </w:tabs>
        <w:jc w:val="both"/>
        <w:rPr>
          <w:lang w:eastAsia="en-US"/>
        </w:rPr>
      </w:pPr>
      <w:r w:rsidRPr="00C15E39">
        <w:rPr>
          <w:lang w:eastAsia="en-US"/>
        </w:rPr>
        <w:t xml:space="preserve">(2) Önlemin beş yıllık uygulama süresinin bitiminden önce yerli üretim dalı tarafından Hindistan ve Tayvan menşeli </w:t>
      </w:r>
      <w:proofErr w:type="spellStart"/>
      <w:r w:rsidRPr="00C15E39">
        <w:rPr>
          <w:lang w:eastAsia="en-US"/>
        </w:rPr>
        <w:t>poliesterlerden</w:t>
      </w:r>
      <w:proofErr w:type="spellEnd"/>
      <w:r w:rsidRPr="00C15E39">
        <w:rPr>
          <w:lang w:eastAsia="en-US"/>
        </w:rPr>
        <w:t xml:space="preserve"> </w:t>
      </w:r>
      <w:proofErr w:type="spellStart"/>
      <w:r w:rsidRPr="00C15E39">
        <w:rPr>
          <w:lang w:eastAsia="en-US"/>
        </w:rPr>
        <w:t>tekstüre</w:t>
      </w:r>
      <w:proofErr w:type="spellEnd"/>
      <w:r w:rsidRPr="00C15E39">
        <w:rPr>
          <w:lang w:eastAsia="en-US"/>
        </w:rPr>
        <w:t xml:space="preserve"> iplik (PTİ) ithalatında halen uygulanmakta olan </w:t>
      </w:r>
      <w:proofErr w:type="gramStart"/>
      <w:r w:rsidRPr="00C15E39">
        <w:rPr>
          <w:lang w:eastAsia="en-US"/>
        </w:rPr>
        <w:t>dampinge</w:t>
      </w:r>
      <w:proofErr w:type="gramEnd"/>
      <w:r w:rsidRPr="00C15E39">
        <w:rPr>
          <w:lang w:eastAsia="en-US"/>
        </w:rPr>
        <w:t xml:space="preserve"> karşı önlemlerin devam ettirilmesi talep edilmiştir. </w:t>
      </w:r>
      <w:proofErr w:type="gramStart"/>
      <w:r w:rsidRPr="00C15E39">
        <w:rPr>
          <w:lang w:eastAsia="en-US"/>
        </w:rPr>
        <w:t>Anılan  başvuru</w:t>
      </w:r>
      <w:proofErr w:type="gramEnd"/>
      <w:r w:rsidRPr="00C15E39">
        <w:rPr>
          <w:lang w:eastAsia="en-US"/>
        </w:rPr>
        <w:t xml:space="preserve"> Güney Kore menşeli ithalatı kapsamadığından bu ülke menşeli ithalata yönelik olarak uygulanan dampinge karşı önlem 21/12/2011 tarihi itibariyle yürürlükten kalkmıştır. </w:t>
      </w:r>
    </w:p>
    <w:p w:rsidR="00111A83" w:rsidRPr="00C15E39" w:rsidRDefault="00111A83" w:rsidP="00111A83">
      <w:pPr>
        <w:tabs>
          <w:tab w:val="left" w:pos="851"/>
        </w:tabs>
        <w:jc w:val="both"/>
        <w:rPr>
          <w:lang w:eastAsia="en-US"/>
        </w:rPr>
      </w:pPr>
    </w:p>
    <w:p w:rsidR="00111A83" w:rsidRDefault="00111A83" w:rsidP="00111A83">
      <w:pPr>
        <w:tabs>
          <w:tab w:val="left" w:pos="851"/>
        </w:tabs>
        <w:jc w:val="both"/>
        <w:rPr>
          <w:lang w:eastAsia="en-US"/>
        </w:rPr>
      </w:pPr>
      <w:r w:rsidRPr="00C15E39">
        <w:rPr>
          <w:lang w:eastAsia="en-US"/>
        </w:rPr>
        <w:t xml:space="preserve">(3) 27/11/2012 tarihli ve 28480 sayılı Resmi </w:t>
      </w:r>
      <w:proofErr w:type="spellStart"/>
      <w:r w:rsidRPr="00C15E39">
        <w:rPr>
          <w:lang w:eastAsia="en-US"/>
        </w:rPr>
        <w:t>Gazete’de</w:t>
      </w:r>
      <w:proofErr w:type="spellEnd"/>
      <w:r w:rsidRPr="00C15E39">
        <w:rPr>
          <w:lang w:eastAsia="en-US"/>
        </w:rPr>
        <w:t xml:space="preserve"> yayımlanan İthalatta Haksız Rekabetin Önlenmesine İlişkin Tebliğ (Tebliğ No: 2012/22) çerçevesinde ise Hindistan ve </w:t>
      </w:r>
      <w:proofErr w:type="gramStart"/>
      <w:r w:rsidRPr="00C15E39">
        <w:rPr>
          <w:lang w:eastAsia="en-US"/>
        </w:rPr>
        <w:t>Tayvan  menşeli</w:t>
      </w:r>
      <w:proofErr w:type="gramEnd"/>
      <w:r w:rsidRPr="00C15E39">
        <w:rPr>
          <w:lang w:eastAsia="en-US"/>
        </w:rPr>
        <w:t xml:space="preserve"> ithalata yönelik önlemin yürürlük süresi mevcut haliyle uzatılmıştır.</w:t>
      </w:r>
    </w:p>
    <w:p w:rsidR="000E5D3C" w:rsidRDefault="000E5D3C" w:rsidP="00111A83">
      <w:pPr>
        <w:tabs>
          <w:tab w:val="left" w:pos="851"/>
        </w:tabs>
        <w:jc w:val="both"/>
        <w:rPr>
          <w:lang w:eastAsia="en-US"/>
        </w:rPr>
      </w:pPr>
    </w:p>
    <w:p w:rsidR="000E5D3C" w:rsidRPr="0037617A" w:rsidRDefault="000E5D3C" w:rsidP="000E5D3C">
      <w:pPr>
        <w:tabs>
          <w:tab w:val="left" w:pos="851"/>
        </w:tabs>
        <w:jc w:val="both"/>
        <w:rPr>
          <w:lang w:eastAsia="en-US"/>
        </w:rPr>
      </w:pPr>
      <w:r w:rsidRPr="0037617A">
        <w:rPr>
          <w:lang w:eastAsia="en-US"/>
        </w:rPr>
        <w:t xml:space="preserve">(4) </w:t>
      </w:r>
      <w:r w:rsidRPr="0037617A">
        <w:rPr>
          <w:lang w:eastAsia="en-US"/>
        </w:rPr>
        <w:t>Söz konusu nihai gözden geçirme soruşturması sonrasında Hindistan’da yerleşik bulunan </w:t>
      </w:r>
      <w:proofErr w:type="spellStart"/>
      <w:r w:rsidRPr="0037617A">
        <w:rPr>
          <w:lang w:eastAsia="en-US"/>
        </w:rPr>
        <w:t>Wellknown</w:t>
      </w:r>
      <w:proofErr w:type="spellEnd"/>
      <w:r w:rsidRPr="0037617A">
        <w:rPr>
          <w:lang w:eastAsia="en-US"/>
        </w:rPr>
        <w:t> Polyester </w:t>
      </w:r>
      <w:r w:rsidRPr="0037617A">
        <w:rPr>
          <w:lang w:eastAsia="en-US"/>
        </w:rPr>
        <w:t>Limited</w:t>
      </w:r>
      <w:r w:rsidRPr="0037617A">
        <w:rPr>
          <w:lang w:eastAsia="en-US"/>
        </w:rPr>
        <w:t> (</w:t>
      </w:r>
      <w:proofErr w:type="spellStart"/>
      <w:r w:rsidRPr="0037617A">
        <w:rPr>
          <w:lang w:eastAsia="en-US"/>
        </w:rPr>
        <w:t>Wellknown</w:t>
      </w:r>
      <w:proofErr w:type="spellEnd"/>
      <w:r w:rsidR="00AE3D9B" w:rsidRPr="0037617A">
        <w:rPr>
          <w:lang w:eastAsia="en-US"/>
        </w:rPr>
        <w:t xml:space="preserve">) </w:t>
      </w:r>
      <w:r w:rsidRPr="0037617A">
        <w:rPr>
          <w:lang w:eastAsia="en-US"/>
        </w:rPr>
        <w:t>firması ile </w:t>
      </w:r>
      <w:proofErr w:type="spellStart"/>
      <w:r w:rsidRPr="0037617A">
        <w:rPr>
          <w:lang w:eastAsia="en-US"/>
        </w:rPr>
        <w:t>Dodhia</w:t>
      </w:r>
      <w:proofErr w:type="spellEnd"/>
      <w:r w:rsidRPr="0037617A">
        <w:rPr>
          <w:lang w:eastAsia="en-US"/>
        </w:rPr>
        <w:t> </w:t>
      </w:r>
      <w:proofErr w:type="spellStart"/>
      <w:r w:rsidRPr="0037617A">
        <w:rPr>
          <w:lang w:eastAsia="en-US"/>
        </w:rPr>
        <w:t>Synthetics</w:t>
      </w:r>
      <w:proofErr w:type="spellEnd"/>
      <w:r w:rsidRPr="0037617A">
        <w:rPr>
          <w:lang w:eastAsia="en-US"/>
        </w:rPr>
        <w:t> Ltd. (</w:t>
      </w:r>
      <w:proofErr w:type="spellStart"/>
      <w:r w:rsidRPr="0037617A">
        <w:rPr>
          <w:lang w:eastAsia="en-US"/>
        </w:rPr>
        <w:t>Dodhia</w:t>
      </w:r>
      <w:proofErr w:type="spellEnd"/>
      <w:r w:rsidRPr="0037617A">
        <w:rPr>
          <w:lang w:eastAsia="en-US"/>
        </w:rPr>
        <w:t xml:space="preserve">) firmalarının yaptıkları başvuru üzerine  başlatılan </w:t>
      </w:r>
      <w:r w:rsidR="00AE3D9B" w:rsidRPr="0037617A">
        <w:rPr>
          <w:lang w:eastAsia="en-US"/>
        </w:rPr>
        <w:t xml:space="preserve">ve </w:t>
      </w:r>
      <w:r w:rsidR="00AE3D9B" w:rsidRPr="0037617A">
        <w:rPr>
          <w:lang w:eastAsia="en-US"/>
        </w:rPr>
        <w:t xml:space="preserve">26/6/2014 tarihli ve 29042 sayılı Resmî </w:t>
      </w:r>
      <w:proofErr w:type="spellStart"/>
      <w:r w:rsidR="00AE3D9B" w:rsidRPr="0037617A">
        <w:rPr>
          <w:lang w:eastAsia="en-US"/>
        </w:rPr>
        <w:t>Gazete’de</w:t>
      </w:r>
      <w:proofErr w:type="spellEnd"/>
      <w:r w:rsidR="00AE3D9B" w:rsidRPr="0037617A">
        <w:rPr>
          <w:lang w:eastAsia="en-US"/>
        </w:rPr>
        <w:t xml:space="preserve"> yayımlanan İthalatta Haksız Rekabetin Önlenmesine İlişkin Tebliğ (Tebliğ No: 2014/15) </w:t>
      </w:r>
      <w:r w:rsidR="00AE3D9B" w:rsidRPr="0037617A">
        <w:rPr>
          <w:lang w:eastAsia="en-US"/>
        </w:rPr>
        <w:t xml:space="preserve">ile tamamlanan </w:t>
      </w:r>
      <w:r w:rsidRPr="0037617A">
        <w:rPr>
          <w:lang w:eastAsia="en-US"/>
        </w:rPr>
        <w:t>yeni ihracatçı gözden geçirme soruşturması</w:t>
      </w:r>
      <w:r w:rsidRPr="0037617A">
        <w:rPr>
          <w:lang w:eastAsia="en-US"/>
        </w:rPr>
        <w:t xml:space="preserve"> kapsamında </w:t>
      </w:r>
      <w:proofErr w:type="spellStart"/>
      <w:r w:rsidRPr="0037617A">
        <w:rPr>
          <w:lang w:eastAsia="en-US"/>
        </w:rPr>
        <w:t>Wellknown</w:t>
      </w:r>
      <w:proofErr w:type="spellEnd"/>
      <w:r w:rsidRPr="0037617A">
        <w:rPr>
          <w:lang w:eastAsia="en-US"/>
        </w:rPr>
        <w:t> firması için CIF bedelin % 10,11’i oranında </w:t>
      </w:r>
      <w:r w:rsidRPr="0037617A">
        <w:rPr>
          <w:lang w:eastAsia="en-US"/>
        </w:rPr>
        <w:t>damping</w:t>
      </w:r>
      <w:r w:rsidR="00AE3D9B" w:rsidRPr="0037617A">
        <w:rPr>
          <w:lang w:eastAsia="en-US"/>
        </w:rPr>
        <w:t> marjı tespit edilerek mevcut önlem tablosuna eklenmiş</w:t>
      </w:r>
      <w:r w:rsidRPr="0037617A">
        <w:rPr>
          <w:lang w:eastAsia="en-US"/>
        </w:rPr>
        <w:t xml:space="preserve">, </w:t>
      </w:r>
      <w:r w:rsidRPr="0037617A">
        <w:rPr>
          <w:lang w:eastAsia="en-US"/>
        </w:rPr>
        <w:t> </w:t>
      </w:r>
      <w:proofErr w:type="spellStart"/>
      <w:r w:rsidR="00AE3D9B" w:rsidRPr="0037617A">
        <w:rPr>
          <w:lang w:eastAsia="en-US"/>
        </w:rPr>
        <w:t>Dodhia</w:t>
      </w:r>
      <w:proofErr w:type="spellEnd"/>
      <w:r w:rsidR="00AE3D9B" w:rsidRPr="0037617A">
        <w:rPr>
          <w:lang w:eastAsia="en-US"/>
        </w:rPr>
        <w:t xml:space="preserve"> firması </w:t>
      </w:r>
      <w:proofErr w:type="gramStart"/>
      <w:r w:rsidR="00AE3D9B" w:rsidRPr="0037617A">
        <w:rPr>
          <w:lang w:eastAsia="en-US"/>
        </w:rPr>
        <w:t xml:space="preserve">ise </w:t>
      </w:r>
      <w:r w:rsidRPr="0037617A">
        <w:rPr>
          <w:lang w:eastAsia="en-US"/>
        </w:rPr>
        <w:t xml:space="preserve"> </w:t>
      </w:r>
      <w:proofErr w:type="spellStart"/>
      <w:r w:rsidRPr="0037617A">
        <w:rPr>
          <w:lang w:eastAsia="en-US"/>
        </w:rPr>
        <w:t>tekstüre</w:t>
      </w:r>
      <w:proofErr w:type="spellEnd"/>
      <w:proofErr w:type="gramEnd"/>
      <w:r w:rsidRPr="0037617A">
        <w:rPr>
          <w:lang w:eastAsia="en-US"/>
        </w:rPr>
        <w:t> iplik üreticisi olarak değerlendiril</w:t>
      </w:r>
      <w:r w:rsidRPr="0037617A">
        <w:rPr>
          <w:lang w:eastAsia="en-US"/>
        </w:rPr>
        <w:t>eme</w:t>
      </w:r>
      <w:r w:rsidR="00AE3D9B" w:rsidRPr="0037617A">
        <w:rPr>
          <w:lang w:eastAsia="en-US"/>
        </w:rPr>
        <w:t xml:space="preserve">miş olup, bu çerçevede anılan firmanın talebi uygun görülmemiştir. </w:t>
      </w:r>
    </w:p>
    <w:p w:rsidR="00C65970" w:rsidRPr="0037617A" w:rsidRDefault="00C65970" w:rsidP="000E5D3C">
      <w:pPr>
        <w:tabs>
          <w:tab w:val="left" w:pos="851"/>
        </w:tabs>
        <w:jc w:val="both"/>
        <w:rPr>
          <w:lang w:eastAsia="en-US"/>
        </w:rPr>
      </w:pPr>
    </w:p>
    <w:p w:rsidR="000E5D3C" w:rsidRPr="00C15E39" w:rsidRDefault="00C65970" w:rsidP="000E5D3C">
      <w:pPr>
        <w:tabs>
          <w:tab w:val="left" w:pos="851"/>
        </w:tabs>
        <w:jc w:val="both"/>
        <w:rPr>
          <w:lang w:eastAsia="en-US"/>
        </w:rPr>
      </w:pPr>
      <w:proofErr w:type="gramStart"/>
      <w:r w:rsidRPr="0037617A">
        <w:rPr>
          <w:lang w:eastAsia="en-US"/>
        </w:rPr>
        <w:t xml:space="preserve">(5) </w:t>
      </w:r>
      <w:r w:rsidR="004B6771" w:rsidRPr="0037617A">
        <w:rPr>
          <w:lang w:eastAsia="en-US"/>
        </w:rPr>
        <w:t xml:space="preserve">Ticaret unvanı değişikliğine ilişkin başvuru çerçevesinde, </w:t>
      </w:r>
      <w:r w:rsidR="000E5D3C" w:rsidRPr="0037617A">
        <w:t xml:space="preserve">2/11/2016 tarihli ve 29876 sayılı Resmi </w:t>
      </w:r>
      <w:proofErr w:type="spellStart"/>
      <w:r w:rsidR="000E5D3C" w:rsidRPr="0037617A">
        <w:t>Gazete’de</w:t>
      </w:r>
      <w:proofErr w:type="spellEnd"/>
      <w:r w:rsidR="000E5D3C" w:rsidRPr="0037617A">
        <w:t xml:space="preserve"> yayımlanan 2012/22 Sayılı Tebliğde Değişiklik Yapılmasına Dair Tebliğ</w:t>
      </w:r>
      <w:r w:rsidRPr="0037617A">
        <w:t xml:space="preserve"> çerçevesinde İthalatta Haksız Rekabetin Önlenmesine İlişkin Tebliğ (Tebliğ No: 2012/22)’in 34 üncü maddesindeki tabloda yer alan “</w:t>
      </w:r>
      <w:proofErr w:type="spellStart"/>
      <w:r w:rsidRPr="0037617A">
        <w:t>Welspun</w:t>
      </w:r>
      <w:proofErr w:type="spellEnd"/>
      <w:r w:rsidRPr="0037617A">
        <w:t xml:space="preserve"> </w:t>
      </w:r>
      <w:proofErr w:type="spellStart"/>
      <w:r w:rsidRPr="0037617A">
        <w:t>Syntex</w:t>
      </w:r>
      <w:proofErr w:type="spellEnd"/>
      <w:r w:rsidRPr="0037617A">
        <w:t xml:space="preserve"> Ltd.” ibaresi “AYM </w:t>
      </w:r>
      <w:proofErr w:type="spellStart"/>
      <w:r w:rsidRPr="0037617A">
        <w:t>Syntex</w:t>
      </w:r>
      <w:proofErr w:type="spellEnd"/>
      <w:r w:rsidRPr="0037617A">
        <w:t xml:space="preserve"> Ltd.” olarak değiştirilmiştir.</w:t>
      </w:r>
      <w:proofErr w:type="gramEnd"/>
    </w:p>
    <w:p w:rsidR="00111A83" w:rsidRPr="00C15E39" w:rsidRDefault="00111A83" w:rsidP="00111A83">
      <w:pPr>
        <w:jc w:val="both"/>
      </w:pPr>
    </w:p>
    <w:p w:rsidR="008C7F8B" w:rsidRPr="00006558" w:rsidRDefault="00C65970" w:rsidP="00111A83">
      <w:pPr>
        <w:jc w:val="both"/>
        <w:rPr>
          <w:noProof/>
        </w:rPr>
      </w:pPr>
      <w:r>
        <w:t>(6</w:t>
      </w:r>
      <w:r w:rsidR="00111A83" w:rsidRPr="00C15E39">
        <w:t xml:space="preserve">) </w:t>
      </w:r>
      <w:r>
        <w:t xml:space="preserve">Son olarak, 2012/22 Sayılı Tebliğ çerçevesinde uygulanmakta olan </w:t>
      </w:r>
      <w:r w:rsidR="00111A83" w:rsidRPr="00C15E39">
        <w:t xml:space="preserve">önlemin yürürlükten kalkması halinde önleme konu Hindistan ve Tayvan  menşeli üründe dampingin ve zararın devam etmesinin veya yeniden meydana gelebilmesinin muhtemel olduğu iddiasıyla Korteks Mensucat </w:t>
      </w:r>
      <w:r w:rsidR="00111A83">
        <w:t>Sanayi ve Ticaret A.Ş.</w:t>
      </w:r>
      <w:r w:rsidR="00111A83" w:rsidRPr="00C15E39">
        <w:t xml:space="preserve"> tarafından gerçekleştirilen ve </w:t>
      </w:r>
      <w:proofErr w:type="spellStart"/>
      <w:r w:rsidR="00111A83" w:rsidRPr="00C15E39">
        <w:t>Polyteks</w:t>
      </w:r>
      <w:proofErr w:type="spellEnd"/>
      <w:r w:rsidR="00111A83" w:rsidRPr="00C15E39">
        <w:t xml:space="preserve"> Tekstil Araştırma Eğitim A.Ş</w:t>
      </w:r>
      <w:proofErr w:type="gramStart"/>
      <w:r w:rsidR="00111A83" w:rsidRPr="00C15E39">
        <w:t>.,</w:t>
      </w:r>
      <w:proofErr w:type="gramEnd"/>
      <w:r w:rsidR="00111A83" w:rsidRPr="00C15E39">
        <w:t xml:space="preserve"> </w:t>
      </w:r>
      <w:proofErr w:type="spellStart"/>
      <w:r w:rsidR="00111A83" w:rsidRPr="00C15E39">
        <w:t>Sasa</w:t>
      </w:r>
      <w:proofErr w:type="spellEnd"/>
      <w:r w:rsidR="00111A83" w:rsidRPr="00C15E39">
        <w:t xml:space="preserve"> Polyester San. A.Ş</w:t>
      </w:r>
      <w:proofErr w:type="gramStart"/>
      <w:r w:rsidR="00111A83" w:rsidRPr="00C15E39">
        <w:t>.,</w:t>
      </w:r>
      <w:proofErr w:type="gramEnd"/>
      <w:r w:rsidR="00111A83" w:rsidRPr="00C15E39">
        <w:t xml:space="preserve"> Şerbetçi </w:t>
      </w:r>
      <w:proofErr w:type="spellStart"/>
      <w:r w:rsidR="00111A83" w:rsidRPr="00C15E39">
        <w:t>Filament</w:t>
      </w:r>
      <w:proofErr w:type="spellEnd"/>
      <w:r w:rsidR="00111A83" w:rsidRPr="00C15E39">
        <w:t xml:space="preserve"> İplik San ve Dış Tic. </w:t>
      </w:r>
      <w:proofErr w:type="spellStart"/>
      <w:r w:rsidR="00111A83" w:rsidRPr="00C15E39">
        <w:t>Ltd</w:t>
      </w:r>
      <w:proofErr w:type="spellEnd"/>
      <w:r w:rsidR="00111A83" w:rsidRPr="00C15E39">
        <w:t xml:space="preserve"> Şti, </w:t>
      </w:r>
      <w:proofErr w:type="spellStart"/>
      <w:r w:rsidR="00111A83" w:rsidRPr="00C15E39">
        <w:t>Ekfil</w:t>
      </w:r>
      <w:proofErr w:type="spellEnd"/>
      <w:r w:rsidR="00111A83" w:rsidRPr="00C15E39">
        <w:t xml:space="preserve"> Tekstil San. </w:t>
      </w:r>
      <w:proofErr w:type="gramStart"/>
      <w:r w:rsidR="00111A83" w:rsidRPr="00C15E39">
        <w:t>ve</w:t>
      </w:r>
      <w:proofErr w:type="gramEnd"/>
      <w:r w:rsidR="00111A83" w:rsidRPr="00C15E39">
        <w:t xml:space="preserve"> </w:t>
      </w:r>
      <w:proofErr w:type="spellStart"/>
      <w:r w:rsidR="00111A83" w:rsidRPr="00C15E39">
        <w:t>Tic</w:t>
      </w:r>
      <w:proofErr w:type="spellEnd"/>
      <w:r w:rsidR="00111A83" w:rsidRPr="00C15E39">
        <w:t xml:space="preserve"> Ltd. Şti, Işıksoy Tekstil İnşaat </w:t>
      </w:r>
      <w:proofErr w:type="spellStart"/>
      <w:r w:rsidR="00111A83" w:rsidRPr="00C15E39">
        <w:t>Taahüt</w:t>
      </w:r>
      <w:proofErr w:type="spellEnd"/>
      <w:r w:rsidR="00111A83" w:rsidRPr="00C15E39">
        <w:t xml:space="preserve"> San ve </w:t>
      </w:r>
      <w:proofErr w:type="spellStart"/>
      <w:r w:rsidR="00111A83" w:rsidRPr="00C15E39">
        <w:t>Tic</w:t>
      </w:r>
      <w:proofErr w:type="spellEnd"/>
      <w:r w:rsidR="00111A83" w:rsidRPr="00C15E39">
        <w:t xml:space="preserve"> A.Ş</w:t>
      </w:r>
      <w:proofErr w:type="gramStart"/>
      <w:r w:rsidR="00111A83" w:rsidRPr="00C15E39">
        <w:t>.,</w:t>
      </w:r>
      <w:proofErr w:type="gramEnd"/>
      <w:r w:rsidR="00111A83" w:rsidRPr="00C15E39">
        <w:t xml:space="preserve"> </w:t>
      </w:r>
      <w:proofErr w:type="spellStart"/>
      <w:r w:rsidR="00111A83" w:rsidRPr="00C15E39">
        <w:t>Polyline</w:t>
      </w:r>
      <w:proofErr w:type="spellEnd"/>
      <w:r w:rsidR="00111A83" w:rsidRPr="00C15E39">
        <w:t xml:space="preserve"> Polyester İplik İşletmeleri Ltd. Şti, </w:t>
      </w:r>
      <w:proofErr w:type="spellStart"/>
      <w:r w:rsidR="00111A83" w:rsidRPr="00C15E39">
        <w:t>Özerdem</w:t>
      </w:r>
      <w:proofErr w:type="spellEnd"/>
      <w:r w:rsidR="00111A83" w:rsidRPr="00C15E39">
        <w:t xml:space="preserve"> Mensucat Sanayi ve Ticaret A.Ş. firmaları tarafından desteklenen başvurunun değerlendirilmesi neticesinde, 23/11/2017 tarihli ve 30249 sayılı Resmi </w:t>
      </w:r>
      <w:proofErr w:type="spellStart"/>
      <w:r w:rsidR="00111A83" w:rsidRPr="00C15E39">
        <w:t>Gazete’de</w:t>
      </w:r>
      <w:proofErr w:type="spellEnd"/>
      <w:r w:rsidR="00111A83" w:rsidRPr="00C15E39">
        <w:t xml:space="preserve"> yayımlanan İthalatta Haksız Rekabetin Önlenmesine İlişkin Tebliğ (Tebliğ </w:t>
      </w:r>
      <w:r w:rsidR="00111A83" w:rsidRPr="00C15E39">
        <w:lastRenderedPageBreak/>
        <w:t>No: 2017/27) ile</w:t>
      </w:r>
      <w:r w:rsidR="00111A83">
        <w:t xml:space="preserve"> başlatılan NGGS</w:t>
      </w:r>
      <w:r w:rsidR="00111A83" w:rsidRPr="00006558">
        <w:t xml:space="preserve"> </w:t>
      </w:r>
      <w:r w:rsidR="000A45DA" w:rsidRPr="00006558">
        <w:t xml:space="preserve">kapsamında </w:t>
      </w:r>
      <w:r w:rsidR="008C7F8B" w:rsidRPr="00006558">
        <w:t xml:space="preserve">“nihai bildirim” raporu ilgili taraflarla paylaşılmış ve ulaşılan tespitlere yönelik ilgili tarafların nesnel, kanıtlanabilir ve makul itiraz ve görüşleri değerlendirilmiştir. </w:t>
      </w:r>
    </w:p>
    <w:p w:rsidR="00DF4E77" w:rsidRPr="00006558" w:rsidRDefault="00DF4E77" w:rsidP="008C7F8B">
      <w:pPr>
        <w:jc w:val="both"/>
      </w:pPr>
    </w:p>
    <w:p w:rsidR="00164FF4" w:rsidRPr="00006558" w:rsidRDefault="00164FF4" w:rsidP="006D669C">
      <w:pPr>
        <w:pStyle w:val="GvdeMetni"/>
        <w:numPr>
          <w:ilvl w:val="1"/>
          <w:numId w:val="1"/>
        </w:numPr>
        <w:rPr>
          <w:b/>
          <w:caps/>
          <w:color w:val="auto"/>
        </w:rPr>
      </w:pPr>
      <w:r w:rsidRPr="00006558">
        <w:rPr>
          <w:b/>
          <w:color w:val="auto"/>
        </w:rPr>
        <w:t>Yerli üretim dalının temsil niteliği</w:t>
      </w:r>
    </w:p>
    <w:p w:rsidR="008C7F8B" w:rsidRPr="00006558" w:rsidRDefault="00B21136" w:rsidP="006D669C">
      <w:pPr>
        <w:pStyle w:val="ListeParagraf"/>
        <w:numPr>
          <w:ilvl w:val="0"/>
          <w:numId w:val="2"/>
        </w:numPr>
        <w:spacing w:line="240" w:lineRule="atLeast"/>
        <w:ind w:left="0" w:firstLine="0"/>
        <w:jc w:val="both"/>
      </w:pPr>
      <w:r w:rsidRPr="00006558">
        <w:t xml:space="preserve">Yönetmelik’in 18 </w:t>
      </w:r>
      <w:r w:rsidR="00C65970">
        <w:t xml:space="preserve">inci maddesi </w:t>
      </w:r>
      <w:r w:rsidR="008C7F8B" w:rsidRPr="00006558">
        <w:t xml:space="preserve">çerçevesinde yerli üretici </w:t>
      </w:r>
      <w:r w:rsidR="00111A83" w:rsidRPr="00C15E39">
        <w:t xml:space="preserve">Korteks </w:t>
      </w:r>
      <w:r w:rsidR="00111A83">
        <w:t>Men</w:t>
      </w:r>
      <w:r w:rsidR="00C65970">
        <w:t xml:space="preserve">sucat Sanayi ve Ticaret </w:t>
      </w:r>
      <w:proofErr w:type="spellStart"/>
      <w:r w:rsidR="00C65970">
        <w:t>A.Ş.nin</w:t>
      </w:r>
      <w:proofErr w:type="spellEnd"/>
      <w:r w:rsidR="008C7F8B" w:rsidRPr="00006558">
        <w:t xml:space="preserve"> yerli üretim dalını temsili haiz olduğuna kanaat getirilmiştir. Bu raporun ilerleyen bölümlerinde </w:t>
      </w:r>
      <w:r w:rsidR="00111A83">
        <w:t xml:space="preserve">Korteks </w:t>
      </w:r>
      <w:r w:rsidR="00CB26BF" w:rsidRPr="00006558">
        <w:t>firması</w:t>
      </w:r>
      <w:r w:rsidR="000A45DA" w:rsidRPr="00006558">
        <w:t xml:space="preserve"> </w:t>
      </w:r>
      <w:r w:rsidR="008C7F8B" w:rsidRPr="00006558">
        <w:t xml:space="preserve">“yerli üretim dalı” olarak anılacaktır. </w:t>
      </w:r>
    </w:p>
    <w:p w:rsidR="00164FF4" w:rsidRPr="00006558" w:rsidRDefault="00164FF4" w:rsidP="008C7F8B">
      <w:pPr>
        <w:jc w:val="both"/>
      </w:pPr>
    </w:p>
    <w:p w:rsidR="00164FF4" w:rsidRPr="00006558" w:rsidRDefault="00164FF4" w:rsidP="00164FF4">
      <w:pPr>
        <w:spacing w:line="240" w:lineRule="atLeast"/>
        <w:jc w:val="both"/>
        <w:rPr>
          <w:b/>
        </w:rPr>
      </w:pPr>
      <w:r w:rsidRPr="00006558">
        <w:rPr>
          <w:b/>
          <w:caps/>
        </w:rPr>
        <w:t>1.3</w:t>
      </w:r>
      <w:r w:rsidRPr="00006558">
        <w:rPr>
          <w:caps/>
        </w:rPr>
        <w:t xml:space="preserve"> </w:t>
      </w:r>
      <w:r w:rsidRPr="00006558">
        <w:rPr>
          <w:b/>
        </w:rPr>
        <w:t>İlgili tarafların bilgilendirilmesi, dinlenmesi ve bilgilerin değerlendirilmesi</w:t>
      </w:r>
    </w:p>
    <w:p w:rsidR="00A746AF" w:rsidRPr="00867463" w:rsidRDefault="00A746AF" w:rsidP="00A746AF">
      <w:pPr>
        <w:jc w:val="both"/>
        <w:rPr>
          <w:szCs w:val="20"/>
        </w:rPr>
      </w:pPr>
      <w:r w:rsidRPr="00867463">
        <w:t xml:space="preserve">(1) Soruşturma açılmasını müteakip, soruşturma konusu ürünün Bakanlık tarafından tespit edilen Hindistan ve Tayvan’da yerleşik </w:t>
      </w:r>
      <w:r w:rsidRPr="00867463">
        <w:rPr>
          <w:szCs w:val="20"/>
        </w:rPr>
        <w:t xml:space="preserve">üreticilerine/ihracatçılarına, Türkiye’de yerleşik ithalatçılarına ve ayrıca </w:t>
      </w:r>
      <w:r w:rsidRPr="00867463">
        <w:t xml:space="preserve">Hindistan ve Tayvan’da </w:t>
      </w:r>
      <w:r w:rsidR="007F0565">
        <w:rPr>
          <w:szCs w:val="20"/>
        </w:rPr>
        <w:t>yerleşik diğer üreticilere/</w:t>
      </w:r>
      <w:r w:rsidRPr="00867463">
        <w:rPr>
          <w:szCs w:val="20"/>
        </w:rPr>
        <w:t xml:space="preserve">ihracatçılara iletilebilmesini </w:t>
      </w:r>
      <w:proofErr w:type="spellStart"/>
      <w:r w:rsidRPr="00867463">
        <w:rPr>
          <w:szCs w:val="20"/>
        </w:rPr>
        <w:t>teminen</w:t>
      </w:r>
      <w:proofErr w:type="spellEnd"/>
      <w:r w:rsidRPr="00867463">
        <w:rPr>
          <w:szCs w:val="20"/>
        </w:rPr>
        <w:t xml:space="preserve"> Hindistan </w:t>
      </w:r>
      <w:r>
        <w:rPr>
          <w:szCs w:val="20"/>
        </w:rPr>
        <w:t>Ankara</w:t>
      </w:r>
      <w:r w:rsidRPr="00867463">
        <w:rPr>
          <w:szCs w:val="20"/>
        </w:rPr>
        <w:t xml:space="preserve"> Büyükelçiliği’ne, Tayvan Ekonomi ve Kültür Misyonu ile Tayvan Türk Ticaret Ofisi’ne soruşturmanın açılışına ilişkin bildirimde bulunulmuştur.</w:t>
      </w:r>
    </w:p>
    <w:p w:rsidR="00A746AF" w:rsidRPr="00867463" w:rsidRDefault="00A746AF" w:rsidP="00A746AF">
      <w:pPr>
        <w:ind w:firstLine="567"/>
        <w:jc w:val="both"/>
      </w:pPr>
    </w:p>
    <w:p w:rsidR="00A746AF" w:rsidRPr="00867463" w:rsidRDefault="00A746AF" w:rsidP="00A746AF">
      <w:pPr>
        <w:spacing w:after="240"/>
        <w:jc w:val="both"/>
      </w:pPr>
      <w:r w:rsidRPr="00867463">
        <w:rPr>
          <w:szCs w:val="20"/>
        </w:rPr>
        <w:t>(2) Bildirimde, soruşturma açılış Tebliğine, başvurunun gizli olmayan metnine ve soru formlarına nereden erişileceği hususunda bilgi verilmiştir.</w:t>
      </w:r>
    </w:p>
    <w:p w:rsidR="00A746AF" w:rsidRPr="00867463" w:rsidRDefault="00A746AF" w:rsidP="00A746AF">
      <w:pPr>
        <w:jc w:val="both"/>
        <w:rPr>
          <w:szCs w:val="20"/>
        </w:rPr>
      </w:pPr>
      <w:r w:rsidRPr="00867463">
        <w:rPr>
          <w:szCs w:val="20"/>
        </w:rPr>
        <w:t xml:space="preserve">(3) Taraflara soru formunu yanıtlamaları için posta süresi dâhil 37 gün süre tanınmıştır. Ayrıca ilgili tarafların süre uzatımı yönündeki </w:t>
      </w:r>
      <w:proofErr w:type="spellStart"/>
      <w:r w:rsidRPr="00867463">
        <w:rPr>
          <w:szCs w:val="20"/>
        </w:rPr>
        <w:t>m</w:t>
      </w:r>
      <w:r w:rsidRPr="00867463">
        <w:t>â</w:t>
      </w:r>
      <w:r w:rsidRPr="00867463">
        <w:rPr>
          <w:szCs w:val="20"/>
        </w:rPr>
        <w:t>kul</w:t>
      </w:r>
      <w:proofErr w:type="spellEnd"/>
      <w:r w:rsidRPr="00867463">
        <w:rPr>
          <w:szCs w:val="20"/>
        </w:rPr>
        <w:t xml:space="preserve"> talepleri karşılanmıştır.</w:t>
      </w:r>
    </w:p>
    <w:p w:rsidR="00A746AF" w:rsidRPr="00867463" w:rsidRDefault="00A746AF" w:rsidP="00A746AF">
      <w:pPr>
        <w:ind w:firstLine="567"/>
        <w:jc w:val="both"/>
        <w:rPr>
          <w:szCs w:val="20"/>
        </w:rPr>
      </w:pPr>
      <w:r w:rsidRPr="00867463">
        <w:rPr>
          <w:szCs w:val="20"/>
        </w:rPr>
        <w:t xml:space="preserve"> </w:t>
      </w:r>
    </w:p>
    <w:p w:rsidR="00A746AF" w:rsidRPr="00867463" w:rsidRDefault="00A746AF" w:rsidP="00A746AF">
      <w:pPr>
        <w:jc w:val="both"/>
        <w:rPr>
          <w:szCs w:val="20"/>
        </w:rPr>
      </w:pPr>
      <w:r w:rsidRPr="00867463">
        <w:rPr>
          <w:szCs w:val="20"/>
        </w:rPr>
        <w:t xml:space="preserve">(4) Yerli üretim dalı, soruşturma süresi boyunca Bakanlık ile işbirliği içinde olmuş ve gerektiğinde talep edilen ilave bilgileri temin etmiştir. </w:t>
      </w:r>
    </w:p>
    <w:p w:rsidR="00A746AF" w:rsidRPr="007C2718" w:rsidRDefault="00A746AF" w:rsidP="00A746AF">
      <w:pPr>
        <w:ind w:firstLine="567"/>
        <w:jc w:val="both"/>
        <w:rPr>
          <w:szCs w:val="20"/>
          <w:highlight w:val="yellow"/>
        </w:rPr>
      </w:pPr>
    </w:p>
    <w:p w:rsidR="00A746AF" w:rsidRPr="00C15E39" w:rsidRDefault="00A746AF" w:rsidP="00A746AF">
      <w:pPr>
        <w:jc w:val="both"/>
      </w:pPr>
      <w:r w:rsidRPr="00151925">
        <w:rPr>
          <w:szCs w:val="20"/>
        </w:rPr>
        <w:t>(5)  Soruşturma</w:t>
      </w:r>
      <w:r w:rsidRPr="00C15E39">
        <w:rPr>
          <w:szCs w:val="20"/>
        </w:rPr>
        <w:t xml:space="preserve"> </w:t>
      </w:r>
      <w:r w:rsidRPr="00C15E39">
        <w:t>döneminde ithalat gerçekleştirdiği tespit edilen ve soru formu gönderilen ithalatçılardan on ithalatçı firma soru formunu öngörülen sürede yanıtlamıştır. Üretici/ihracatçı soru formuna ise dokuz ihracatçı firmadan yanıt alınmıştır.</w:t>
      </w:r>
    </w:p>
    <w:p w:rsidR="00D67735" w:rsidRPr="00006558" w:rsidRDefault="00D67735" w:rsidP="00D67735">
      <w:pPr>
        <w:ind w:firstLine="567"/>
        <w:jc w:val="both"/>
      </w:pPr>
    </w:p>
    <w:p w:rsidR="00A746AF" w:rsidRPr="00151925" w:rsidRDefault="00A746AF" w:rsidP="00A746AF">
      <w:pPr>
        <w:jc w:val="both"/>
        <w:rPr>
          <w:szCs w:val="20"/>
        </w:rPr>
      </w:pPr>
      <w:r w:rsidRPr="00151925">
        <w:rPr>
          <w:szCs w:val="20"/>
        </w:rPr>
        <w:t xml:space="preserve">(6) Soruşturmaya ilişkin bilgi ve bulguların tamamlanması akabinde, soruşturma sonucunda alınacak karara esas teşkil edecek bilgi, bulgu, tespit ve değerlendirmeleri içeren “Nihai Bildirim Raporu” 19/6/2018 tarihinde ilgili tarafların bilgisine sunulmuştur. Söz konusu bildirim, </w:t>
      </w:r>
      <w:proofErr w:type="gramStart"/>
      <w:r w:rsidRPr="00151925">
        <w:rPr>
          <w:szCs w:val="20"/>
        </w:rPr>
        <w:t>Hindistan  Ankara</w:t>
      </w:r>
      <w:proofErr w:type="gramEnd"/>
      <w:r w:rsidRPr="00151925">
        <w:rPr>
          <w:szCs w:val="20"/>
        </w:rPr>
        <w:t xml:space="preserve"> Büyükelçiliği, Tayvan Ekonomi ve Kültür Misyonu ile Tayvan Türk Ticaret Ofisi ile soruşturma sırasında görüş bildiren ithalatçı ve ihracatçı firmalar, üretici birlikleri, yerli üretim dalı ve başvuruyu destekleyen diğer yerli üreticilere iletilmiştir.</w:t>
      </w:r>
    </w:p>
    <w:p w:rsidR="00D67735" w:rsidRPr="00006558" w:rsidRDefault="00D67735" w:rsidP="00A746AF">
      <w:pPr>
        <w:jc w:val="both"/>
        <w:rPr>
          <w:szCs w:val="20"/>
        </w:rPr>
      </w:pPr>
    </w:p>
    <w:p w:rsidR="00A746AF" w:rsidRPr="00151925" w:rsidRDefault="00A746AF" w:rsidP="00A746AF">
      <w:pPr>
        <w:jc w:val="both"/>
        <w:rPr>
          <w:szCs w:val="20"/>
        </w:rPr>
      </w:pPr>
      <w:r w:rsidRPr="00151925">
        <w:rPr>
          <w:szCs w:val="20"/>
        </w:rPr>
        <w:t xml:space="preserve">(7)  Nihai Bildirim Raporu’na ilişkin yerli üretici, ithalatçı ve ihracatçı firmalar ile Tayvan Kültür ve Ekonomi </w:t>
      </w:r>
      <w:proofErr w:type="spellStart"/>
      <w:proofErr w:type="gramStart"/>
      <w:r w:rsidRPr="00151925">
        <w:rPr>
          <w:szCs w:val="20"/>
        </w:rPr>
        <w:t>Misyonu’ndan</w:t>
      </w:r>
      <w:proofErr w:type="spellEnd"/>
      <w:r w:rsidRPr="00151925">
        <w:rPr>
          <w:szCs w:val="20"/>
        </w:rPr>
        <w:t xml:space="preserve">  görüş</w:t>
      </w:r>
      <w:proofErr w:type="gramEnd"/>
      <w:r w:rsidRPr="00151925">
        <w:rPr>
          <w:szCs w:val="20"/>
        </w:rPr>
        <w:t xml:space="preserve"> alınmıştır.</w:t>
      </w:r>
    </w:p>
    <w:p w:rsidR="00D67735" w:rsidRPr="00006558" w:rsidRDefault="00D67735" w:rsidP="00D67735">
      <w:pPr>
        <w:ind w:firstLine="567"/>
        <w:jc w:val="both"/>
        <w:rPr>
          <w:szCs w:val="20"/>
        </w:rPr>
      </w:pPr>
    </w:p>
    <w:p w:rsidR="00A746AF" w:rsidRDefault="00A746AF" w:rsidP="00A746AF">
      <w:pPr>
        <w:jc w:val="both"/>
        <w:rPr>
          <w:szCs w:val="20"/>
        </w:rPr>
      </w:pPr>
      <w:r w:rsidRPr="00151925">
        <w:rPr>
          <w:szCs w:val="20"/>
        </w:rPr>
        <w:t xml:space="preserve">(8)  Nihai bildirim sonrasında, </w:t>
      </w:r>
      <w:r w:rsidRPr="00151925">
        <w:t xml:space="preserve">ilgili tarafların katılımı ile 2/7/2018 tarihinde kamu dinleme toplantısı düzenlenmiştir. </w:t>
      </w:r>
      <w:r w:rsidRPr="00151925">
        <w:rPr>
          <w:szCs w:val="20"/>
        </w:rPr>
        <w:t>Yerli üretici Korteks firması, diğer yerli üreticiler, bazı ihracatçı firmalar ile Tayvan Kültür ve Ekonomi Misyonu kamu dinleme toplantısına yönelik görüşlerini yazılı olarak da Genel Müdürlüğe iletmiştir.</w:t>
      </w:r>
    </w:p>
    <w:p w:rsidR="00A746AF" w:rsidRDefault="00A746AF" w:rsidP="00A746AF">
      <w:pPr>
        <w:jc w:val="both"/>
        <w:rPr>
          <w:szCs w:val="20"/>
        </w:rPr>
      </w:pPr>
    </w:p>
    <w:p w:rsidR="00A746AF" w:rsidRPr="00A746AF" w:rsidRDefault="00A746AF" w:rsidP="00A746AF">
      <w:pPr>
        <w:jc w:val="both"/>
        <w:rPr>
          <w:szCs w:val="20"/>
        </w:rPr>
      </w:pPr>
      <w:r>
        <w:t xml:space="preserve">(9) Anılan süreçte, bazı ihracatçı firmalar tarafından halihazırda devam eden NGGS kapsamında işbirliğinde bulundukları </w:t>
      </w:r>
      <w:proofErr w:type="gramStart"/>
      <w:r>
        <w:t>ve  esas</w:t>
      </w:r>
      <w:proofErr w:type="gramEnd"/>
      <w:r>
        <w:t xml:space="preserve"> soruşturma döneminde ihracat yapmadıkları belirtilerek bu soruşturma kapsamında münferit marj hesaplanması veya esas soruşturmada işbirliğinde bulunan firmalara uygulanan damping marjlarının anılan firmalara da uygulanması talebinde bulunmuşlardır. </w:t>
      </w:r>
      <w:r w:rsidR="00C65970">
        <w:t xml:space="preserve">Söz konusu talepler, bir nihai gözden geçirme soruşturmasının önlemin yürürlükten kaldırılması halinde dampingin veya zararın devam etmesinin veya yeniden meydana gelmesinin muhtemel olup olmadığının </w:t>
      </w:r>
      <w:r w:rsidR="004B6771">
        <w:t xml:space="preserve">incelendiği ve Yönetmeliğin 41 inci </w:t>
      </w:r>
      <w:r w:rsidR="004B6771">
        <w:lastRenderedPageBreak/>
        <w:t xml:space="preserve">maddesi çerçevesinde </w:t>
      </w:r>
      <w:proofErr w:type="gramStart"/>
      <w:r w:rsidR="004B6771">
        <w:t>damping</w:t>
      </w:r>
      <w:proofErr w:type="gramEnd"/>
      <w:r w:rsidR="004B6771">
        <w:t xml:space="preserve"> marjının yeniden hesaplanmasının hukuken zorunlu olmadığı dikkate alınarak uygun görülmemiştir.</w:t>
      </w:r>
    </w:p>
    <w:p w:rsidR="00D67735" w:rsidRPr="00006558" w:rsidRDefault="00D67735" w:rsidP="00D67735">
      <w:pPr>
        <w:ind w:firstLine="567"/>
        <w:jc w:val="both"/>
        <w:rPr>
          <w:szCs w:val="20"/>
        </w:rPr>
      </w:pPr>
    </w:p>
    <w:p w:rsidR="00DA029A" w:rsidRPr="00006558" w:rsidRDefault="00F94DBA" w:rsidP="00DA029A">
      <w:pPr>
        <w:spacing w:line="240" w:lineRule="atLeast"/>
        <w:jc w:val="both"/>
      </w:pPr>
      <w:r w:rsidRPr="00006558">
        <w:t>(</w:t>
      </w:r>
      <w:r w:rsidR="008826FA">
        <w:t>10</w:t>
      </w:r>
      <w:r w:rsidR="00DA029A" w:rsidRPr="00006558">
        <w:t>) İlgili taraflardan alınan yanıtlardaki nesnel görüşler, bu raporun ilgili kısımlarında değerlendirilmiştir.</w:t>
      </w:r>
    </w:p>
    <w:p w:rsidR="00164FF4" w:rsidRPr="00006558" w:rsidRDefault="00164FF4" w:rsidP="003C6689">
      <w:pPr>
        <w:contextualSpacing/>
        <w:jc w:val="both"/>
      </w:pPr>
    </w:p>
    <w:p w:rsidR="0054491B" w:rsidRPr="00006558" w:rsidRDefault="00EC3FF1" w:rsidP="005056F1">
      <w:pPr>
        <w:keepNext/>
        <w:contextualSpacing/>
        <w:outlineLvl w:val="1"/>
        <w:rPr>
          <w:b/>
        </w:rPr>
      </w:pPr>
      <w:r w:rsidRPr="00006558">
        <w:rPr>
          <w:b/>
        </w:rPr>
        <w:t>1.</w:t>
      </w:r>
      <w:r w:rsidR="00DA029A" w:rsidRPr="00006558">
        <w:rPr>
          <w:b/>
        </w:rPr>
        <w:t>4</w:t>
      </w:r>
      <w:r w:rsidRPr="00006558">
        <w:rPr>
          <w:b/>
        </w:rPr>
        <w:t xml:space="preserve"> </w:t>
      </w:r>
      <w:r w:rsidR="00164FF4" w:rsidRPr="00006558">
        <w:rPr>
          <w:b/>
        </w:rPr>
        <w:t xml:space="preserve">Gözden geçirme dönemi </w:t>
      </w:r>
    </w:p>
    <w:p w:rsidR="00DA029A" w:rsidRPr="00006558" w:rsidRDefault="00164FF4" w:rsidP="00DA029A">
      <w:pPr>
        <w:jc w:val="both"/>
      </w:pPr>
      <w:r w:rsidRPr="00006558">
        <w:t xml:space="preserve">(1) </w:t>
      </w:r>
      <w:r w:rsidR="00DA029A" w:rsidRPr="00006558">
        <w:t>Gözde</w:t>
      </w:r>
      <w:r w:rsidR="00F94DBA" w:rsidRPr="00006558">
        <w:t>n geçirme dönemi olarak 1/1/2014</w:t>
      </w:r>
      <w:r w:rsidR="00DA029A" w:rsidRPr="00006558">
        <w:t>-31/12/201</w:t>
      </w:r>
      <w:r w:rsidR="00F94DBA" w:rsidRPr="00006558">
        <w:t>6</w:t>
      </w:r>
      <w:r w:rsidR="00DA029A" w:rsidRPr="00006558">
        <w:t xml:space="preserve"> arasındaki dönem esas alınmıştır.</w:t>
      </w:r>
    </w:p>
    <w:p w:rsidR="00164FF4" w:rsidRPr="00006558" w:rsidRDefault="00164FF4" w:rsidP="00DA029A">
      <w:pPr>
        <w:spacing w:line="240" w:lineRule="atLeast"/>
        <w:contextualSpacing/>
        <w:jc w:val="both"/>
        <w:rPr>
          <w:rFonts w:eastAsia="MS Mincho"/>
          <w:b/>
          <w:bCs/>
          <w:lang w:eastAsia="ja-JP"/>
        </w:rPr>
      </w:pPr>
    </w:p>
    <w:p w:rsidR="008E4B08" w:rsidRPr="00006558" w:rsidRDefault="00EC3FF1" w:rsidP="00164FF4">
      <w:pPr>
        <w:jc w:val="both"/>
        <w:rPr>
          <w:rFonts w:eastAsia="MS Mincho"/>
          <w:b/>
          <w:bCs/>
          <w:caps/>
          <w:lang w:eastAsia="ja-JP"/>
        </w:rPr>
      </w:pPr>
      <w:r w:rsidRPr="00006558">
        <w:rPr>
          <w:rFonts w:eastAsia="MS Mincho"/>
          <w:b/>
          <w:bCs/>
          <w:caps/>
          <w:lang w:eastAsia="ja-JP"/>
        </w:rPr>
        <w:t xml:space="preserve">2. </w:t>
      </w:r>
      <w:r w:rsidR="00164FF4" w:rsidRPr="00006558">
        <w:rPr>
          <w:rFonts w:eastAsia="MS Mincho"/>
          <w:b/>
          <w:bCs/>
          <w:caps/>
          <w:lang w:eastAsia="ja-JP"/>
        </w:rPr>
        <w:t>Soruşturma konusu ürün ve benzer ürün</w:t>
      </w:r>
    </w:p>
    <w:p w:rsidR="00130EB7" w:rsidRPr="00C15E39" w:rsidRDefault="00130EB7" w:rsidP="00130EB7">
      <w:pPr>
        <w:jc w:val="both"/>
        <w:rPr>
          <w:lang w:eastAsia="en-US"/>
        </w:rPr>
      </w:pPr>
      <w:r w:rsidRPr="00C15E39">
        <w:rPr>
          <w:lang w:eastAsia="en-US"/>
        </w:rPr>
        <w:t xml:space="preserve">(1) Soruşturma konusu ürün, 5402.33 </w:t>
      </w:r>
      <w:proofErr w:type="spellStart"/>
      <w:r w:rsidRPr="00C15E39">
        <w:rPr>
          <w:lang w:eastAsia="en-US"/>
        </w:rPr>
        <w:t>GTP’de</w:t>
      </w:r>
      <w:proofErr w:type="spellEnd"/>
      <w:r w:rsidRPr="00C15E39">
        <w:rPr>
          <w:lang w:eastAsia="en-US"/>
        </w:rPr>
        <w:t xml:space="preserve"> yer alan ve “</w:t>
      </w:r>
      <w:proofErr w:type="spellStart"/>
      <w:r w:rsidRPr="00C15E39">
        <w:rPr>
          <w:lang w:eastAsia="en-US"/>
        </w:rPr>
        <w:t>Poliesterlerden</w:t>
      </w:r>
      <w:proofErr w:type="spellEnd"/>
      <w:r w:rsidRPr="00C15E39">
        <w:rPr>
          <w:lang w:eastAsia="en-US"/>
        </w:rPr>
        <w:t xml:space="preserve"> </w:t>
      </w:r>
      <w:proofErr w:type="spellStart"/>
      <w:r w:rsidRPr="00C15E39">
        <w:rPr>
          <w:lang w:eastAsia="en-US"/>
        </w:rPr>
        <w:t>Tekstüre</w:t>
      </w:r>
      <w:proofErr w:type="spellEnd"/>
      <w:r w:rsidRPr="00C15E39">
        <w:rPr>
          <w:lang w:eastAsia="en-US"/>
        </w:rPr>
        <w:t xml:space="preserve"> İplikler” (</w:t>
      </w:r>
      <w:proofErr w:type="spellStart"/>
      <w:r w:rsidRPr="00C15E39">
        <w:rPr>
          <w:lang w:eastAsia="en-US"/>
        </w:rPr>
        <w:t>Poliesterlerden</w:t>
      </w:r>
      <w:proofErr w:type="spellEnd"/>
      <w:r w:rsidRPr="00C15E39">
        <w:rPr>
          <w:lang w:eastAsia="en-US"/>
        </w:rPr>
        <w:t xml:space="preserve">) </w:t>
      </w:r>
      <w:proofErr w:type="spellStart"/>
      <w:r w:rsidRPr="00C15E39">
        <w:rPr>
          <w:lang w:eastAsia="en-US"/>
        </w:rPr>
        <w:t>dir</w:t>
      </w:r>
      <w:proofErr w:type="spellEnd"/>
      <w:r w:rsidRPr="00C15E39">
        <w:rPr>
          <w:lang w:eastAsia="en-US"/>
        </w:rPr>
        <w:t>.</w:t>
      </w:r>
    </w:p>
    <w:p w:rsidR="00130EB7" w:rsidRPr="00C15E39" w:rsidRDefault="00130EB7" w:rsidP="00130EB7">
      <w:pPr>
        <w:jc w:val="both"/>
        <w:rPr>
          <w:lang w:eastAsia="en-US"/>
        </w:rPr>
      </w:pPr>
    </w:p>
    <w:p w:rsidR="00130EB7" w:rsidRPr="00C15E39" w:rsidRDefault="00130EB7" w:rsidP="00130EB7">
      <w:pPr>
        <w:jc w:val="both"/>
        <w:rPr>
          <w:lang w:eastAsia="en-US"/>
        </w:rPr>
      </w:pPr>
      <w:r w:rsidRPr="00C15E39">
        <w:rPr>
          <w:lang w:eastAsia="en-US"/>
        </w:rPr>
        <w:t xml:space="preserve">(2)  Sıkı ve paralel bir biçimde düzenlenmiş kesiksiz sentetik </w:t>
      </w:r>
      <w:proofErr w:type="spellStart"/>
      <w:r w:rsidRPr="00C15E39">
        <w:rPr>
          <w:lang w:eastAsia="en-US"/>
        </w:rPr>
        <w:t>filamentlerin</w:t>
      </w:r>
      <w:proofErr w:type="spellEnd"/>
      <w:r w:rsidRPr="00C15E39">
        <w:rPr>
          <w:lang w:eastAsia="en-US"/>
        </w:rPr>
        <w:t xml:space="preserve"> doğal lif görünüm ve tutumuna benzetilebilmesi için çeşitli kimyasal, mekanik veya ısıl işlemlerin uygulanması ile daha açık ve hacimli bir yapıya dönüştürülmesi işlemine </w:t>
      </w:r>
      <w:proofErr w:type="spellStart"/>
      <w:r w:rsidRPr="00C15E39">
        <w:rPr>
          <w:lang w:eastAsia="en-US"/>
        </w:rPr>
        <w:t>tekstüre</w:t>
      </w:r>
      <w:proofErr w:type="spellEnd"/>
      <w:r w:rsidRPr="00C15E39">
        <w:rPr>
          <w:lang w:eastAsia="en-US"/>
        </w:rPr>
        <w:t xml:space="preserve"> denir. </w:t>
      </w:r>
      <w:proofErr w:type="spellStart"/>
      <w:r w:rsidRPr="00C15E39">
        <w:rPr>
          <w:lang w:eastAsia="en-US"/>
        </w:rPr>
        <w:t>Tekstürize</w:t>
      </w:r>
      <w:proofErr w:type="spellEnd"/>
      <w:r w:rsidRPr="00C15E39">
        <w:rPr>
          <w:lang w:eastAsia="en-US"/>
        </w:rPr>
        <w:t xml:space="preserve"> iplikler, </w:t>
      </w:r>
      <w:proofErr w:type="spellStart"/>
      <w:r w:rsidRPr="00C15E39">
        <w:rPr>
          <w:lang w:eastAsia="en-US"/>
        </w:rPr>
        <w:t>filamentler</w:t>
      </w:r>
      <w:proofErr w:type="spellEnd"/>
      <w:r w:rsidRPr="00C15E39">
        <w:rPr>
          <w:lang w:eastAsia="en-US"/>
        </w:rPr>
        <w:t xml:space="preserve"> boyunca sabit kıvrımlar, lüleler, ilmekler veya başka ince bükümler elde etmek için işlenmiş, esneklik, hacim, nem alma ve örme kabiliyetleri yükseltilmiş, ısıyla şekillenebilme özellikleri çeşitli mekanik tesirlerle kalıcı ve belirli olarak değişikliğe uğratılmış ipliklerdir. </w:t>
      </w:r>
      <w:proofErr w:type="spellStart"/>
      <w:r w:rsidRPr="00C15E39">
        <w:rPr>
          <w:lang w:eastAsia="en-US"/>
        </w:rPr>
        <w:t>Tekstürize</w:t>
      </w:r>
      <w:proofErr w:type="spellEnd"/>
      <w:r w:rsidRPr="00C15E39">
        <w:rPr>
          <w:lang w:eastAsia="en-US"/>
        </w:rPr>
        <w:t xml:space="preserve"> iplik ihtiva eden kumaşların dolgunluğu, nemi emme kabiliyeti, daha iyi ısı </w:t>
      </w:r>
      <w:proofErr w:type="spellStart"/>
      <w:r w:rsidRPr="00C15E39">
        <w:rPr>
          <w:lang w:eastAsia="en-US"/>
        </w:rPr>
        <w:t>yalıtkanlığı</w:t>
      </w:r>
      <w:proofErr w:type="spellEnd"/>
      <w:r w:rsidRPr="00C15E39">
        <w:rPr>
          <w:lang w:eastAsia="en-US"/>
        </w:rPr>
        <w:t xml:space="preserve"> özelliği ve daha sıcak tutumu vardır. Bazı çeşitleri aynı zamanda üretildikleri kumaşlara uzama özellikleri de verirler. </w:t>
      </w:r>
    </w:p>
    <w:p w:rsidR="00130EB7" w:rsidRPr="00C15E39" w:rsidRDefault="00130EB7" w:rsidP="00130EB7">
      <w:pPr>
        <w:jc w:val="both"/>
        <w:rPr>
          <w:lang w:eastAsia="en-US"/>
        </w:rPr>
      </w:pPr>
    </w:p>
    <w:p w:rsidR="00130EB7" w:rsidRPr="00C15E39" w:rsidRDefault="00130EB7" w:rsidP="00130EB7">
      <w:pPr>
        <w:jc w:val="both"/>
        <w:rPr>
          <w:lang w:eastAsia="en-US"/>
        </w:rPr>
      </w:pPr>
      <w:r w:rsidRPr="00C15E39">
        <w:rPr>
          <w:lang w:eastAsia="en-US"/>
        </w:rPr>
        <w:t xml:space="preserve">(3)  Bahse konu ürünün üretim sürecinde ilk aşama polimer üretimidir. Saf </w:t>
      </w:r>
      <w:proofErr w:type="spellStart"/>
      <w:r w:rsidRPr="00C15E39">
        <w:rPr>
          <w:lang w:eastAsia="en-US"/>
        </w:rPr>
        <w:t>teraftalik</w:t>
      </w:r>
      <w:proofErr w:type="spellEnd"/>
      <w:r w:rsidRPr="00C15E39">
        <w:rPr>
          <w:lang w:eastAsia="en-US"/>
        </w:rPr>
        <w:t xml:space="preserve"> </w:t>
      </w:r>
      <w:proofErr w:type="spellStart"/>
      <w:r w:rsidRPr="00C15E39">
        <w:rPr>
          <w:lang w:eastAsia="en-US"/>
        </w:rPr>
        <w:t>asitin</w:t>
      </w:r>
      <w:proofErr w:type="spellEnd"/>
      <w:r w:rsidRPr="00C15E39">
        <w:rPr>
          <w:lang w:eastAsia="en-US"/>
        </w:rPr>
        <w:t xml:space="preserve"> (PTA) </w:t>
      </w:r>
      <w:proofErr w:type="spellStart"/>
      <w:r w:rsidRPr="00C15E39">
        <w:rPr>
          <w:lang w:eastAsia="en-US"/>
        </w:rPr>
        <w:t>monoetilen</w:t>
      </w:r>
      <w:proofErr w:type="spellEnd"/>
      <w:r w:rsidRPr="00C15E39">
        <w:rPr>
          <w:lang w:eastAsia="en-US"/>
        </w:rPr>
        <w:t xml:space="preserve"> glikol (MEG) ile sürekli </w:t>
      </w:r>
      <w:proofErr w:type="spellStart"/>
      <w:r w:rsidRPr="00C15E39">
        <w:rPr>
          <w:lang w:eastAsia="en-US"/>
        </w:rPr>
        <w:t>polimerizasyonu</w:t>
      </w:r>
      <w:proofErr w:type="spellEnd"/>
      <w:r w:rsidRPr="00C15E39">
        <w:rPr>
          <w:lang w:eastAsia="en-US"/>
        </w:rPr>
        <w:t xml:space="preserve"> ile elde edilen polimerlerin kurutulup küçük granüller halinde kesilmesi sonucunda cips üretimi gerçekleşmektedir. Cipslerin </w:t>
      </w:r>
      <w:proofErr w:type="spellStart"/>
      <w:r w:rsidRPr="00C15E39">
        <w:rPr>
          <w:lang w:eastAsia="en-US"/>
        </w:rPr>
        <w:t>ekstrüzyon</w:t>
      </w:r>
      <w:proofErr w:type="spellEnd"/>
      <w:r w:rsidRPr="00C15E39">
        <w:rPr>
          <w:lang w:eastAsia="en-US"/>
        </w:rPr>
        <w:t xml:space="preserve"> işleminden geçmesi neticesinde ise, poy iplik elde edilmekte olup poy ipliklerin </w:t>
      </w:r>
      <w:proofErr w:type="spellStart"/>
      <w:r w:rsidRPr="00C15E39">
        <w:rPr>
          <w:lang w:eastAsia="en-US"/>
        </w:rPr>
        <w:t>tekstüre</w:t>
      </w:r>
      <w:proofErr w:type="spellEnd"/>
      <w:r w:rsidRPr="00C15E39">
        <w:rPr>
          <w:lang w:eastAsia="en-US"/>
        </w:rPr>
        <w:t xml:space="preserve"> işleminden geçmesi ile </w:t>
      </w:r>
      <w:proofErr w:type="spellStart"/>
      <w:r w:rsidRPr="00C15E39">
        <w:rPr>
          <w:lang w:eastAsia="en-US"/>
        </w:rPr>
        <w:t>tekstürize</w:t>
      </w:r>
      <w:proofErr w:type="spellEnd"/>
      <w:r w:rsidRPr="00C15E39">
        <w:rPr>
          <w:lang w:eastAsia="en-US"/>
        </w:rPr>
        <w:t xml:space="preserve"> iplik üretilmektedir.</w:t>
      </w:r>
    </w:p>
    <w:p w:rsidR="00130EB7" w:rsidRPr="00C15E39" w:rsidRDefault="00130EB7" w:rsidP="00130EB7">
      <w:pPr>
        <w:jc w:val="both"/>
        <w:rPr>
          <w:lang w:eastAsia="en-US"/>
        </w:rPr>
      </w:pPr>
    </w:p>
    <w:p w:rsidR="00130EB7" w:rsidRPr="00C15E39" w:rsidRDefault="00130EB7" w:rsidP="00130EB7">
      <w:pPr>
        <w:jc w:val="both"/>
        <w:rPr>
          <w:lang w:eastAsia="en-US"/>
        </w:rPr>
      </w:pPr>
      <w:r w:rsidRPr="00C15E39">
        <w:rPr>
          <w:lang w:eastAsia="en-US"/>
        </w:rPr>
        <w:t xml:space="preserve">(4) Soruşturma konusu ürün, kadife ve polyester </w:t>
      </w:r>
      <w:proofErr w:type="gramStart"/>
      <w:r w:rsidRPr="00C15E39">
        <w:rPr>
          <w:lang w:eastAsia="en-US"/>
        </w:rPr>
        <w:t>bazlı</w:t>
      </w:r>
      <w:proofErr w:type="gramEnd"/>
      <w:r w:rsidRPr="00C15E39">
        <w:rPr>
          <w:lang w:eastAsia="en-US"/>
        </w:rPr>
        <w:t xml:space="preserve"> kumaş üretimi, ev tekstili (perde, nevresim, havlu, bornoz) ve eşofman üretiminde kullanılmaktadır.</w:t>
      </w:r>
    </w:p>
    <w:p w:rsidR="00130EB7" w:rsidRPr="00C15E39" w:rsidRDefault="00130EB7" w:rsidP="00130EB7">
      <w:pPr>
        <w:ind w:firstLine="357"/>
        <w:jc w:val="both"/>
        <w:rPr>
          <w:lang w:eastAsia="en-US"/>
        </w:rPr>
      </w:pPr>
    </w:p>
    <w:p w:rsidR="00130EB7" w:rsidRPr="00C15E39" w:rsidRDefault="00130EB7" w:rsidP="00130EB7">
      <w:pPr>
        <w:pStyle w:val="GvdeMetni"/>
        <w:rPr>
          <w:color w:val="auto"/>
        </w:rPr>
      </w:pPr>
      <w:r w:rsidRPr="00C15E39">
        <w:rPr>
          <w:color w:val="auto"/>
        </w:rPr>
        <w:t xml:space="preserve">(5) Bazı ithalatçı firmalar soru formuna verdikleri cevaplarda yerli üretim dalının soruşturma konusu ürünün bazı tiplerini üretmediğini, ayrıca yerli üreticinin yeterince ürün çeşitliliği sağlayamadığını ve </w:t>
      </w:r>
      <w:proofErr w:type="spellStart"/>
      <w:r w:rsidRPr="00C15E39">
        <w:rPr>
          <w:color w:val="auto"/>
        </w:rPr>
        <w:t>termin</w:t>
      </w:r>
      <w:proofErr w:type="spellEnd"/>
      <w:r w:rsidRPr="00C15E39">
        <w:rPr>
          <w:color w:val="auto"/>
        </w:rPr>
        <w:t xml:space="preserve"> sürelerinin uzun olduğunu ifade etmişlerdir. Ancak soruşturma esnasında yapılan tespitler neticesinde, üretilmediği iddia edilen ürün tipleri için yerli üreticinin üretme kabiliyetinin bulunduğu; ayrıca, birçok kullanım yeri açısından söz konusu ürünlerin yerli ürünün ikamesi konumunda bulunduğu ve yerli üreticinin geniş bir ürün gamına sahip bulunduğu tespit edilmiştir.</w:t>
      </w:r>
    </w:p>
    <w:p w:rsidR="00130EB7" w:rsidRPr="00C15E39" w:rsidRDefault="00130EB7" w:rsidP="00130EB7">
      <w:pPr>
        <w:pStyle w:val="GvdeMetni"/>
        <w:ind w:firstLine="567"/>
        <w:rPr>
          <w:color w:val="auto"/>
        </w:rPr>
      </w:pPr>
    </w:p>
    <w:p w:rsidR="00130EB7" w:rsidRPr="00C15E39" w:rsidRDefault="00130EB7" w:rsidP="00130EB7">
      <w:pPr>
        <w:pStyle w:val="GvdeMetni"/>
        <w:rPr>
          <w:color w:val="auto"/>
        </w:rPr>
      </w:pPr>
      <w:r w:rsidRPr="00C15E39">
        <w:rPr>
          <w:color w:val="auto"/>
        </w:rPr>
        <w:t xml:space="preserve">(6)  Çoğu ithalatçı firma ithal edilen ürünün tercih sebepleri arasında ilk ve çoğu zaman da tek sebep olarak fiyatı göstermektedir. </w:t>
      </w:r>
    </w:p>
    <w:p w:rsidR="00130EB7" w:rsidRPr="00C15E39" w:rsidRDefault="00130EB7" w:rsidP="00130EB7">
      <w:pPr>
        <w:jc w:val="both"/>
        <w:rPr>
          <w:lang w:eastAsia="en-US"/>
        </w:rPr>
      </w:pPr>
    </w:p>
    <w:p w:rsidR="00130EB7" w:rsidRPr="00C15E39" w:rsidRDefault="00130EB7" w:rsidP="00130EB7">
      <w:pPr>
        <w:jc w:val="both"/>
        <w:rPr>
          <w:lang w:eastAsia="en-US"/>
        </w:rPr>
      </w:pPr>
      <w:r w:rsidRPr="00C15E39">
        <w:rPr>
          <w:lang w:eastAsia="en-US"/>
        </w:rPr>
        <w:t>(7) 2000/7, 2006/31 ve 2012/22 sayılı Tebliğler ile sonuçlandırılan soruşturmalarda yerli üretici tarafından üretilen ürün ile önleme konu ülkeler menşeli ürün arasında fiziksel özellikler, ürün çeşitliliği ve kullanım alanları olarak “benzer ürün” tanımı açısından ayrım yaratan herhangi bir farklılık bulunmadığı tespit edilmiştir. Bu defa soruşturma kapsamında yapılan değerlendirmede, İthalatta Haksız Rekabetin Önlenmesi Hakkında Yönetmeliğin 4 üncü maddesi çerçevesinde benzer ürüne yönelik tespiti değiştirecek herhangi bir bulguya rastlanılmamıştır.</w:t>
      </w:r>
    </w:p>
    <w:p w:rsidR="00130EB7" w:rsidRPr="00C15E39" w:rsidRDefault="00130EB7" w:rsidP="00130EB7">
      <w:pPr>
        <w:jc w:val="both"/>
        <w:rPr>
          <w:lang w:eastAsia="en-US"/>
        </w:rPr>
      </w:pPr>
    </w:p>
    <w:p w:rsidR="00130EB7" w:rsidRPr="00C15E39" w:rsidRDefault="00130EB7" w:rsidP="00130EB7">
      <w:pPr>
        <w:pStyle w:val="GvdeMetni"/>
        <w:rPr>
          <w:noProof/>
          <w:color w:val="auto"/>
        </w:rPr>
      </w:pPr>
      <w:r w:rsidRPr="00C15E39">
        <w:rPr>
          <w:color w:val="auto"/>
        </w:rPr>
        <w:lastRenderedPageBreak/>
        <w:t>(8) Soruşturma konusu ürün ve benzer ürün ile ilgili açıklamalar bağlayıcı nitelikte olmayıp genel içerikli ve bilgi amaçlıdır.</w:t>
      </w:r>
      <w:r w:rsidRPr="00C15E39">
        <w:rPr>
          <w:noProof/>
          <w:color w:val="auto"/>
        </w:rPr>
        <w:t xml:space="preserve"> </w:t>
      </w:r>
    </w:p>
    <w:p w:rsidR="00130EB7" w:rsidRDefault="00130EB7" w:rsidP="002861CC">
      <w:pPr>
        <w:jc w:val="both"/>
      </w:pPr>
    </w:p>
    <w:p w:rsidR="00164FF4" w:rsidRPr="00006558" w:rsidRDefault="008E4B08" w:rsidP="002861CC">
      <w:pPr>
        <w:jc w:val="both"/>
        <w:rPr>
          <w:b/>
          <w:caps/>
        </w:rPr>
      </w:pPr>
      <w:r w:rsidRPr="00006558">
        <w:rPr>
          <w:b/>
          <w:caps/>
        </w:rPr>
        <w:t xml:space="preserve">3. Dampinge İlişkin Belirlemeler- </w:t>
      </w:r>
      <w:r w:rsidR="00164FF4" w:rsidRPr="00006558">
        <w:rPr>
          <w:b/>
          <w:caps/>
        </w:rPr>
        <w:t>Dampingin Devamı ve</w:t>
      </w:r>
      <w:r w:rsidR="002861CC" w:rsidRPr="00006558">
        <w:rPr>
          <w:b/>
          <w:caps/>
        </w:rPr>
        <w:t>YA</w:t>
      </w:r>
      <w:r w:rsidR="00164FF4" w:rsidRPr="00006558">
        <w:rPr>
          <w:b/>
          <w:caps/>
        </w:rPr>
        <w:t xml:space="preserve"> Yeniden Meydana Gelme İhtimali</w:t>
      </w:r>
    </w:p>
    <w:p w:rsidR="00164FF4" w:rsidRPr="00006558" w:rsidRDefault="00164FF4" w:rsidP="00164FF4">
      <w:pPr>
        <w:jc w:val="both"/>
      </w:pPr>
    </w:p>
    <w:p w:rsidR="008E4B08" w:rsidRPr="00006558" w:rsidRDefault="008E4B08" w:rsidP="005056F1">
      <w:pPr>
        <w:jc w:val="both"/>
        <w:rPr>
          <w:b/>
        </w:rPr>
      </w:pPr>
      <w:r w:rsidRPr="00006558">
        <w:rPr>
          <w:b/>
        </w:rPr>
        <w:t xml:space="preserve">3.1 </w:t>
      </w:r>
      <w:r w:rsidR="00164FF4" w:rsidRPr="00006558">
        <w:rPr>
          <w:b/>
        </w:rPr>
        <w:t xml:space="preserve">Genel açıklamalar </w:t>
      </w:r>
    </w:p>
    <w:p w:rsidR="009E797B" w:rsidRDefault="00B367A9" w:rsidP="009E797B">
      <w:pPr>
        <w:jc w:val="both"/>
      </w:pPr>
      <w:r w:rsidRPr="00006558">
        <w:t xml:space="preserve">(1) Yönetmelik’in </w:t>
      </w:r>
      <w:r w:rsidR="00A90138" w:rsidRPr="00006558">
        <w:t xml:space="preserve">40 </w:t>
      </w:r>
      <w:proofErr w:type="spellStart"/>
      <w:r w:rsidR="00F7470E" w:rsidRPr="00006558">
        <w:t>ıncı</w:t>
      </w:r>
      <w:proofErr w:type="spellEnd"/>
      <w:r w:rsidR="00F7470E" w:rsidRPr="00006558">
        <w:t xml:space="preserve"> ve </w:t>
      </w:r>
      <w:r w:rsidR="00A90138" w:rsidRPr="00006558">
        <w:t xml:space="preserve">41 </w:t>
      </w:r>
      <w:r w:rsidRPr="00006558">
        <w:t>inci madde</w:t>
      </w:r>
      <w:r w:rsidR="00F7470E" w:rsidRPr="00006558">
        <w:t>ler</w:t>
      </w:r>
      <w:r w:rsidRPr="00006558">
        <w:t xml:space="preserve">i çerçevesinde soruşturma kapsamında </w:t>
      </w:r>
      <w:r w:rsidR="000C262C" w:rsidRPr="00006558">
        <w:t xml:space="preserve">yeniden </w:t>
      </w:r>
      <w:proofErr w:type="gramStart"/>
      <w:r w:rsidRPr="00006558">
        <w:t>damping</w:t>
      </w:r>
      <w:proofErr w:type="gramEnd"/>
      <w:r w:rsidRPr="00006558">
        <w:t xml:space="preserve"> marjı hesaplanmamıştır. Öte yanda</w:t>
      </w:r>
      <w:r w:rsidR="00343DBB" w:rsidRPr="00006558">
        <w:t xml:space="preserve">n Yönetmelik’in 35 </w:t>
      </w:r>
      <w:r w:rsidR="009E797B" w:rsidRPr="00006558">
        <w:t xml:space="preserve">inci maddesi çerçevesinde, gözden geçirme döneminde yerli üretim dalının ekonomik göstergeleri ve önlemin yürürlükten kalkması halinde zararın devam etmesinin veya tekrar etmesinin muhtemel olup olmadığına ilişkin olarak </w:t>
      </w:r>
      <w:r w:rsidR="00375AAE" w:rsidRPr="00006558">
        <w:t>esas</w:t>
      </w:r>
      <w:r w:rsidR="009E797B" w:rsidRPr="00006558">
        <w:t xml:space="preserve"> soruşturmada tespit edilen </w:t>
      </w:r>
      <w:proofErr w:type="gramStart"/>
      <w:r w:rsidR="009E797B" w:rsidRPr="00006558">
        <w:t>damping</w:t>
      </w:r>
      <w:proofErr w:type="gramEnd"/>
      <w:r w:rsidR="009E797B" w:rsidRPr="00006558">
        <w:t xml:space="preserve"> marj</w:t>
      </w:r>
      <w:r w:rsidR="00375AAE" w:rsidRPr="00006558">
        <w:t>lar</w:t>
      </w:r>
      <w:r w:rsidR="009E797B" w:rsidRPr="00006558">
        <w:t>ı, soruşturma ko</w:t>
      </w:r>
      <w:r w:rsidR="003A449C" w:rsidRPr="00006558">
        <w:t>nusu ülkenin ihracat kapasitesi ve</w:t>
      </w:r>
      <w:r w:rsidR="009E797B" w:rsidRPr="00006558">
        <w:t xml:space="preserve"> </w:t>
      </w:r>
      <w:r w:rsidR="00CF1A36" w:rsidRPr="00006558">
        <w:t xml:space="preserve">küresel ihracat fiyatları </w:t>
      </w:r>
      <w:r w:rsidR="009E797B" w:rsidRPr="00006558">
        <w:t>incelenmiştir.</w:t>
      </w:r>
    </w:p>
    <w:p w:rsidR="009D52FF" w:rsidRDefault="009D52FF" w:rsidP="00164FF4">
      <w:pPr>
        <w:jc w:val="both"/>
        <w:rPr>
          <w:b/>
        </w:rPr>
      </w:pPr>
    </w:p>
    <w:p w:rsidR="00D22EAC" w:rsidRPr="00006558" w:rsidRDefault="008E4B08" w:rsidP="00164FF4">
      <w:pPr>
        <w:jc w:val="both"/>
        <w:rPr>
          <w:b/>
        </w:rPr>
      </w:pPr>
      <w:r w:rsidRPr="00006558">
        <w:rPr>
          <w:b/>
        </w:rPr>
        <w:t xml:space="preserve">3.2 </w:t>
      </w:r>
      <w:r w:rsidR="00B367A9" w:rsidRPr="00006558">
        <w:rPr>
          <w:b/>
        </w:rPr>
        <w:t>Damping</w:t>
      </w:r>
      <w:r w:rsidR="002861CC" w:rsidRPr="00006558">
        <w:rPr>
          <w:b/>
        </w:rPr>
        <w:t>in</w:t>
      </w:r>
      <w:r w:rsidR="00B367A9" w:rsidRPr="00006558">
        <w:rPr>
          <w:b/>
        </w:rPr>
        <w:t xml:space="preserve"> </w:t>
      </w:r>
      <w:r w:rsidR="00F85C0F">
        <w:rPr>
          <w:b/>
        </w:rPr>
        <w:t>devamı veya y</w:t>
      </w:r>
      <w:r w:rsidR="00B367A9" w:rsidRPr="00006558">
        <w:rPr>
          <w:b/>
        </w:rPr>
        <w:t xml:space="preserve">eniden </w:t>
      </w:r>
      <w:r w:rsidR="00F85C0F">
        <w:rPr>
          <w:b/>
        </w:rPr>
        <w:t>m</w:t>
      </w:r>
      <w:r w:rsidR="00B367A9" w:rsidRPr="00006558">
        <w:rPr>
          <w:b/>
        </w:rPr>
        <w:t xml:space="preserve">eydana </w:t>
      </w:r>
      <w:r w:rsidR="00F85C0F">
        <w:rPr>
          <w:b/>
        </w:rPr>
        <w:t>gelme ihtimaline ilişkin d</w:t>
      </w:r>
      <w:r w:rsidR="00B367A9" w:rsidRPr="00006558">
        <w:rPr>
          <w:b/>
        </w:rPr>
        <w:t>eğerlendirme</w:t>
      </w:r>
    </w:p>
    <w:p w:rsidR="00130EB7" w:rsidRPr="00C15E39" w:rsidRDefault="00B367A9" w:rsidP="00130EB7">
      <w:pPr>
        <w:jc w:val="both"/>
        <w:rPr>
          <w:bCs/>
        </w:rPr>
      </w:pPr>
      <w:r w:rsidRPr="00006558">
        <w:t xml:space="preserve">(1) Meri önlemin yürürlükten kaldırılması halinde dampingin devam edip etmeyeceğini veya yeniden meydana gelip gelmeyeceğini incelemek amacıyla </w:t>
      </w:r>
      <w:r w:rsidR="006C1B3C" w:rsidRPr="00006558">
        <w:t>ilk</w:t>
      </w:r>
      <w:r w:rsidRPr="00006558">
        <w:t xml:space="preserve"> soruşturmada </w:t>
      </w:r>
      <w:r w:rsidR="006C1B3C" w:rsidRPr="00006558">
        <w:t xml:space="preserve">tespit edilen </w:t>
      </w:r>
      <w:proofErr w:type="gramStart"/>
      <w:r w:rsidR="006C1B3C" w:rsidRPr="00006558">
        <w:t>damping</w:t>
      </w:r>
      <w:proofErr w:type="gramEnd"/>
      <w:r w:rsidR="006C1B3C" w:rsidRPr="00006558">
        <w:t xml:space="preserve"> marj</w:t>
      </w:r>
      <w:r w:rsidR="00AD75A0" w:rsidRPr="00006558">
        <w:t>lar</w:t>
      </w:r>
      <w:r w:rsidRPr="00006558">
        <w:t xml:space="preserve">ı değerlendirilmiştir. </w:t>
      </w:r>
      <w:r w:rsidR="00130EB7" w:rsidRPr="00C15E39">
        <w:rPr>
          <w:bCs/>
        </w:rPr>
        <w:t xml:space="preserve">Hindistan’da yerleşik ve işbirliğine gelen </w:t>
      </w:r>
      <w:proofErr w:type="spellStart"/>
      <w:r w:rsidR="00130EB7" w:rsidRPr="00C15E39">
        <w:rPr>
          <w:bCs/>
        </w:rPr>
        <w:t>Reliance</w:t>
      </w:r>
      <w:proofErr w:type="spellEnd"/>
      <w:r w:rsidR="00130EB7" w:rsidRPr="00C15E39">
        <w:rPr>
          <w:bCs/>
        </w:rPr>
        <w:t xml:space="preserve">, Modern </w:t>
      </w:r>
      <w:proofErr w:type="spellStart"/>
      <w:r w:rsidR="00130EB7" w:rsidRPr="00C15E39">
        <w:rPr>
          <w:bCs/>
        </w:rPr>
        <w:t>Petrofils</w:t>
      </w:r>
      <w:proofErr w:type="spellEnd"/>
      <w:r w:rsidR="00130EB7" w:rsidRPr="00C15E39">
        <w:rPr>
          <w:bCs/>
        </w:rPr>
        <w:t xml:space="preserve">, JBF ve </w:t>
      </w:r>
      <w:proofErr w:type="spellStart"/>
      <w:r w:rsidR="00130EB7" w:rsidRPr="00C15E39">
        <w:rPr>
          <w:bCs/>
        </w:rPr>
        <w:t>Wellknown</w:t>
      </w:r>
      <w:proofErr w:type="spellEnd"/>
      <w:r w:rsidR="00130EB7" w:rsidRPr="00C15E39">
        <w:rPr>
          <w:bCs/>
        </w:rPr>
        <w:t xml:space="preserve"> firmaları için CIF değere göre hesaplanan damping marjlarının sırasıyla %7,</w:t>
      </w:r>
      <w:r w:rsidR="00130EB7">
        <w:rPr>
          <w:bCs/>
        </w:rPr>
        <w:t xml:space="preserve">1; %14,1; %6,8 ve %10,11 olduğu; </w:t>
      </w:r>
      <w:r w:rsidR="00130EB7" w:rsidRPr="00C15E39">
        <w:rPr>
          <w:bCs/>
        </w:rPr>
        <w:t xml:space="preserve">Hindistan’da yerleşik ve işbirliğine gelen </w:t>
      </w:r>
      <w:proofErr w:type="spellStart"/>
      <w:r w:rsidR="00130EB7" w:rsidRPr="00C15E39">
        <w:rPr>
          <w:bCs/>
        </w:rPr>
        <w:t>Indo</w:t>
      </w:r>
      <w:proofErr w:type="spellEnd"/>
      <w:r w:rsidR="00130EB7" w:rsidRPr="00C15E39">
        <w:rPr>
          <w:bCs/>
        </w:rPr>
        <w:t xml:space="preserve"> Rama, AYM </w:t>
      </w:r>
      <w:proofErr w:type="spellStart"/>
      <w:r w:rsidR="00130EB7" w:rsidRPr="00C15E39">
        <w:rPr>
          <w:bCs/>
        </w:rPr>
        <w:t>Syntex</w:t>
      </w:r>
      <w:proofErr w:type="spellEnd"/>
      <w:r w:rsidR="00130EB7" w:rsidRPr="00C15E39">
        <w:rPr>
          <w:bCs/>
        </w:rPr>
        <w:t xml:space="preserve"> </w:t>
      </w:r>
      <w:proofErr w:type="spellStart"/>
      <w:r w:rsidR="00130EB7" w:rsidRPr="00C15E39">
        <w:rPr>
          <w:bCs/>
        </w:rPr>
        <w:t>Ltd</w:t>
      </w:r>
      <w:proofErr w:type="spellEnd"/>
      <w:r w:rsidR="00130EB7" w:rsidRPr="00C15E39">
        <w:rPr>
          <w:bCs/>
        </w:rPr>
        <w:t xml:space="preserve"> (ticaret unvanı değişikliği öncesindeki ticaret unvanı </w:t>
      </w:r>
      <w:proofErr w:type="spellStart"/>
      <w:r w:rsidR="00130EB7" w:rsidRPr="00C15E39">
        <w:rPr>
          <w:bCs/>
        </w:rPr>
        <w:t>Wellspun</w:t>
      </w:r>
      <w:proofErr w:type="spellEnd"/>
      <w:r w:rsidR="00130EB7" w:rsidRPr="00C15E39">
        <w:rPr>
          <w:bCs/>
        </w:rPr>
        <w:t xml:space="preserve"> </w:t>
      </w:r>
      <w:proofErr w:type="spellStart"/>
      <w:r w:rsidR="00130EB7" w:rsidRPr="00C15E39">
        <w:rPr>
          <w:bCs/>
        </w:rPr>
        <w:t>Syntex’dir</w:t>
      </w:r>
      <w:proofErr w:type="spellEnd"/>
      <w:r w:rsidR="00130EB7" w:rsidRPr="00C15E39">
        <w:rPr>
          <w:bCs/>
        </w:rPr>
        <w:t xml:space="preserve">), DCL </w:t>
      </w:r>
      <w:proofErr w:type="spellStart"/>
      <w:r w:rsidR="00130EB7" w:rsidRPr="00C15E39">
        <w:rPr>
          <w:bCs/>
        </w:rPr>
        <w:t>Polyesters</w:t>
      </w:r>
      <w:proofErr w:type="spellEnd"/>
      <w:r w:rsidR="00130EB7" w:rsidRPr="00C15E39">
        <w:rPr>
          <w:bCs/>
        </w:rPr>
        <w:t xml:space="preserve">, </w:t>
      </w:r>
      <w:proofErr w:type="spellStart"/>
      <w:r w:rsidR="00130EB7" w:rsidRPr="00C15E39">
        <w:rPr>
          <w:bCs/>
        </w:rPr>
        <w:t>Rishab</w:t>
      </w:r>
      <w:proofErr w:type="spellEnd"/>
      <w:r w:rsidR="00130EB7" w:rsidRPr="00C15E39">
        <w:rPr>
          <w:bCs/>
        </w:rPr>
        <w:t xml:space="preserve"> Special </w:t>
      </w:r>
      <w:proofErr w:type="spellStart"/>
      <w:r w:rsidR="00130EB7" w:rsidRPr="00C15E39">
        <w:rPr>
          <w:bCs/>
        </w:rPr>
        <w:t>Yarns</w:t>
      </w:r>
      <w:proofErr w:type="spellEnd"/>
      <w:r w:rsidR="00130EB7" w:rsidRPr="00C15E39">
        <w:rPr>
          <w:bCs/>
        </w:rPr>
        <w:t xml:space="preserve">, </w:t>
      </w:r>
      <w:proofErr w:type="spellStart"/>
      <w:r w:rsidR="00130EB7" w:rsidRPr="00C15E39">
        <w:rPr>
          <w:bCs/>
        </w:rPr>
        <w:t>Supertex</w:t>
      </w:r>
      <w:proofErr w:type="spellEnd"/>
      <w:r w:rsidR="00130EB7" w:rsidRPr="00C15E39">
        <w:rPr>
          <w:bCs/>
        </w:rPr>
        <w:t xml:space="preserve"> </w:t>
      </w:r>
      <w:proofErr w:type="spellStart"/>
      <w:r w:rsidR="00130EB7" w:rsidRPr="00C15E39">
        <w:rPr>
          <w:bCs/>
        </w:rPr>
        <w:t>Industrıes</w:t>
      </w:r>
      <w:proofErr w:type="spellEnd"/>
      <w:r w:rsidR="00130EB7" w:rsidRPr="00C15E39">
        <w:rPr>
          <w:bCs/>
        </w:rPr>
        <w:t xml:space="preserve">, </w:t>
      </w:r>
      <w:proofErr w:type="spellStart"/>
      <w:r w:rsidR="00130EB7" w:rsidRPr="00C15E39">
        <w:rPr>
          <w:bCs/>
        </w:rPr>
        <w:t>Rajasthan</w:t>
      </w:r>
      <w:proofErr w:type="spellEnd"/>
      <w:r w:rsidR="00130EB7" w:rsidRPr="00C15E39">
        <w:rPr>
          <w:bCs/>
        </w:rPr>
        <w:t xml:space="preserve"> </w:t>
      </w:r>
      <w:proofErr w:type="spellStart"/>
      <w:r w:rsidR="00130EB7" w:rsidRPr="00C15E39">
        <w:rPr>
          <w:bCs/>
        </w:rPr>
        <w:t>Polyesters</w:t>
      </w:r>
      <w:proofErr w:type="spellEnd"/>
      <w:r w:rsidR="00130EB7" w:rsidRPr="00C15E39">
        <w:rPr>
          <w:bCs/>
        </w:rPr>
        <w:t xml:space="preserve">, </w:t>
      </w:r>
      <w:proofErr w:type="spellStart"/>
      <w:r w:rsidR="00130EB7" w:rsidRPr="00C15E39">
        <w:rPr>
          <w:bCs/>
        </w:rPr>
        <w:t>Raymond</w:t>
      </w:r>
      <w:proofErr w:type="spellEnd"/>
      <w:r w:rsidR="00130EB7" w:rsidRPr="00C15E39">
        <w:rPr>
          <w:bCs/>
        </w:rPr>
        <w:t xml:space="preserve"> </w:t>
      </w:r>
      <w:proofErr w:type="spellStart"/>
      <w:r w:rsidR="00130EB7" w:rsidRPr="00C15E39">
        <w:rPr>
          <w:bCs/>
        </w:rPr>
        <w:t>Synthetics</w:t>
      </w:r>
      <w:proofErr w:type="spellEnd"/>
      <w:r w:rsidR="00130EB7" w:rsidRPr="00C15E39">
        <w:rPr>
          <w:bCs/>
        </w:rPr>
        <w:t xml:space="preserve">, </w:t>
      </w:r>
      <w:proofErr w:type="spellStart"/>
      <w:r w:rsidR="00130EB7" w:rsidRPr="00C15E39">
        <w:rPr>
          <w:bCs/>
        </w:rPr>
        <w:t>Akai</w:t>
      </w:r>
      <w:proofErr w:type="spellEnd"/>
      <w:r w:rsidR="00130EB7" w:rsidRPr="00C15E39">
        <w:rPr>
          <w:bCs/>
        </w:rPr>
        <w:t xml:space="preserve"> </w:t>
      </w:r>
      <w:proofErr w:type="spellStart"/>
      <w:r w:rsidR="00130EB7" w:rsidRPr="00C15E39">
        <w:rPr>
          <w:bCs/>
        </w:rPr>
        <w:t>Impex</w:t>
      </w:r>
      <w:proofErr w:type="spellEnd"/>
      <w:r w:rsidR="00130EB7" w:rsidRPr="00C15E39">
        <w:rPr>
          <w:bCs/>
        </w:rPr>
        <w:t xml:space="preserve">, </w:t>
      </w:r>
      <w:proofErr w:type="spellStart"/>
      <w:r w:rsidR="00130EB7" w:rsidRPr="00C15E39">
        <w:rPr>
          <w:bCs/>
        </w:rPr>
        <w:t>Parasrampuria</w:t>
      </w:r>
      <w:proofErr w:type="spellEnd"/>
      <w:r w:rsidR="00130EB7" w:rsidRPr="00C15E39">
        <w:rPr>
          <w:bCs/>
        </w:rPr>
        <w:t xml:space="preserve"> </w:t>
      </w:r>
      <w:proofErr w:type="spellStart"/>
      <w:r w:rsidR="00130EB7" w:rsidRPr="00C15E39">
        <w:rPr>
          <w:bCs/>
        </w:rPr>
        <w:t>Industries</w:t>
      </w:r>
      <w:proofErr w:type="spellEnd"/>
      <w:r w:rsidR="00130EB7" w:rsidRPr="00C15E39">
        <w:rPr>
          <w:bCs/>
        </w:rPr>
        <w:t xml:space="preserve">, </w:t>
      </w:r>
      <w:proofErr w:type="spellStart"/>
      <w:r w:rsidR="00130EB7" w:rsidRPr="00C15E39">
        <w:rPr>
          <w:bCs/>
        </w:rPr>
        <w:t>Sarla</w:t>
      </w:r>
      <w:proofErr w:type="spellEnd"/>
      <w:r w:rsidR="00130EB7" w:rsidRPr="00C15E39">
        <w:rPr>
          <w:bCs/>
        </w:rPr>
        <w:t xml:space="preserve"> Polyester firmaları için CIF değere göre hesaplan</w:t>
      </w:r>
      <w:r w:rsidR="00130EB7">
        <w:rPr>
          <w:bCs/>
        </w:rPr>
        <w:t xml:space="preserve">an damping marjının %8,7 olduğu; </w:t>
      </w:r>
      <w:r w:rsidR="00130EB7" w:rsidRPr="00C15E39">
        <w:rPr>
          <w:bCs/>
        </w:rPr>
        <w:t>Hindistan’da yerleşik işbirliğine gelmeyen firmalar için CIF değere göre hesaplana</w:t>
      </w:r>
      <w:r w:rsidR="00130EB7">
        <w:rPr>
          <w:bCs/>
        </w:rPr>
        <w:t xml:space="preserve">n damping marjının %20,3 olduğu; </w:t>
      </w:r>
      <w:r w:rsidR="00130EB7" w:rsidRPr="00C15E39">
        <w:rPr>
          <w:bCs/>
        </w:rPr>
        <w:t xml:space="preserve">Tayvan’da yerleşik ve işbirliğine gelen </w:t>
      </w:r>
      <w:proofErr w:type="spellStart"/>
      <w:r w:rsidR="00130EB7" w:rsidRPr="00C15E39">
        <w:rPr>
          <w:bCs/>
        </w:rPr>
        <w:t>Lea</w:t>
      </w:r>
      <w:proofErr w:type="spellEnd"/>
      <w:r w:rsidR="00130EB7" w:rsidRPr="00C15E39">
        <w:rPr>
          <w:bCs/>
        </w:rPr>
        <w:t xml:space="preserve"> </w:t>
      </w:r>
      <w:proofErr w:type="spellStart"/>
      <w:r w:rsidR="00130EB7" w:rsidRPr="00C15E39">
        <w:rPr>
          <w:bCs/>
        </w:rPr>
        <w:t>Lea</w:t>
      </w:r>
      <w:proofErr w:type="spellEnd"/>
      <w:r w:rsidR="00130EB7" w:rsidRPr="00C15E39">
        <w:rPr>
          <w:bCs/>
        </w:rPr>
        <w:t xml:space="preserve"> Enterprise ve</w:t>
      </w:r>
      <w:r w:rsidR="00130EB7" w:rsidRPr="00C15E39">
        <w:t xml:space="preserve"> </w:t>
      </w:r>
      <w:proofErr w:type="spellStart"/>
      <w:r w:rsidR="00130EB7" w:rsidRPr="00C15E39">
        <w:rPr>
          <w:bCs/>
        </w:rPr>
        <w:t>Yi</w:t>
      </w:r>
      <w:proofErr w:type="spellEnd"/>
      <w:r w:rsidR="00130EB7" w:rsidRPr="00C15E39">
        <w:rPr>
          <w:bCs/>
        </w:rPr>
        <w:t xml:space="preserve"> </w:t>
      </w:r>
      <w:proofErr w:type="spellStart"/>
      <w:r w:rsidR="00130EB7" w:rsidRPr="00C15E39">
        <w:rPr>
          <w:bCs/>
        </w:rPr>
        <w:t>Jinn</w:t>
      </w:r>
      <w:proofErr w:type="spellEnd"/>
      <w:r w:rsidR="00130EB7" w:rsidRPr="00C15E39">
        <w:rPr>
          <w:bCs/>
        </w:rPr>
        <w:t xml:space="preserve"> </w:t>
      </w:r>
      <w:proofErr w:type="spellStart"/>
      <w:proofErr w:type="gramStart"/>
      <w:r w:rsidR="00130EB7" w:rsidRPr="00C15E39">
        <w:rPr>
          <w:bCs/>
        </w:rPr>
        <w:t>Industrial</w:t>
      </w:r>
      <w:proofErr w:type="spellEnd"/>
      <w:r w:rsidR="00130EB7" w:rsidRPr="00C15E39">
        <w:rPr>
          <w:bCs/>
        </w:rPr>
        <w:t xml:space="preserve">  firmaları</w:t>
      </w:r>
      <w:proofErr w:type="gramEnd"/>
      <w:r w:rsidR="00130EB7" w:rsidRPr="00C15E39">
        <w:rPr>
          <w:bCs/>
        </w:rPr>
        <w:t xml:space="preserve"> için CIF değere göre hesaplanan damping marjlarının</w:t>
      </w:r>
      <w:r w:rsidR="00130EB7">
        <w:rPr>
          <w:bCs/>
        </w:rPr>
        <w:t xml:space="preserve"> sırasıyla %9,9 ve %28,6 olduğu;</w:t>
      </w:r>
    </w:p>
    <w:p w:rsidR="00B367A9" w:rsidRPr="00006558" w:rsidRDefault="00130EB7" w:rsidP="00130EB7">
      <w:pPr>
        <w:pStyle w:val="GvdeMetniGirintisi3"/>
        <w:ind w:left="0" w:firstLine="0"/>
        <w:rPr>
          <w:bCs/>
        </w:rPr>
      </w:pPr>
      <w:r w:rsidRPr="00C15E39">
        <w:rPr>
          <w:bCs/>
        </w:rPr>
        <w:t xml:space="preserve">Tayvan’da yerleşik ve işbirliğine gelen Far </w:t>
      </w:r>
      <w:proofErr w:type="spellStart"/>
      <w:r w:rsidRPr="00C15E39">
        <w:rPr>
          <w:bCs/>
        </w:rPr>
        <w:t>Eastern</w:t>
      </w:r>
      <w:proofErr w:type="spellEnd"/>
      <w:r w:rsidRPr="00C15E39">
        <w:rPr>
          <w:bCs/>
        </w:rPr>
        <w:t xml:space="preserve"> </w:t>
      </w:r>
      <w:proofErr w:type="spellStart"/>
      <w:r w:rsidRPr="00C15E39">
        <w:rPr>
          <w:bCs/>
        </w:rPr>
        <w:t>Textile</w:t>
      </w:r>
      <w:proofErr w:type="spellEnd"/>
      <w:r w:rsidRPr="00C15E39">
        <w:rPr>
          <w:bCs/>
        </w:rPr>
        <w:t xml:space="preserve">, </w:t>
      </w:r>
      <w:proofErr w:type="spellStart"/>
      <w:r w:rsidRPr="00C15E39">
        <w:rPr>
          <w:bCs/>
        </w:rPr>
        <w:t>Chung</w:t>
      </w:r>
      <w:proofErr w:type="spellEnd"/>
      <w:r w:rsidRPr="00C15E39">
        <w:rPr>
          <w:bCs/>
        </w:rPr>
        <w:t xml:space="preserve"> </w:t>
      </w:r>
      <w:proofErr w:type="spellStart"/>
      <w:r w:rsidRPr="00C15E39">
        <w:rPr>
          <w:bCs/>
        </w:rPr>
        <w:t>Shing</w:t>
      </w:r>
      <w:proofErr w:type="spellEnd"/>
      <w:r w:rsidRPr="00C15E39">
        <w:rPr>
          <w:bCs/>
        </w:rPr>
        <w:t xml:space="preserve"> </w:t>
      </w:r>
      <w:proofErr w:type="spellStart"/>
      <w:r w:rsidRPr="00C15E39">
        <w:rPr>
          <w:bCs/>
        </w:rPr>
        <w:t>Textile</w:t>
      </w:r>
      <w:proofErr w:type="spellEnd"/>
      <w:r w:rsidRPr="00C15E39">
        <w:rPr>
          <w:bCs/>
        </w:rPr>
        <w:t xml:space="preserve">, </w:t>
      </w:r>
      <w:proofErr w:type="spellStart"/>
      <w:r w:rsidRPr="00C15E39">
        <w:rPr>
          <w:bCs/>
        </w:rPr>
        <w:t>Nan</w:t>
      </w:r>
      <w:proofErr w:type="spellEnd"/>
      <w:r w:rsidRPr="00C15E39">
        <w:rPr>
          <w:bCs/>
        </w:rPr>
        <w:t xml:space="preserve"> Ya </w:t>
      </w:r>
      <w:proofErr w:type="spellStart"/>
      <w:r w:rsidRPr="00C15E39">
        <w:rPr>
          <w:bCs/>
        </w:rPr>
        <w:t>Plastics</w:t>
      </w:r>
      <w:proofErr w:type="spellEnd"/>
      <w:r w:rsidRPr="00C15E39">
        <w:rPr>
          <w:bCs/>
        </w:rPr>
        <w:t xml:space="preserve">, </w:t>
      </w:r>
      <w:proofErr w:type="spellStart"/>
      <w:r w:rsidRPr="00C15E39">
        <w:rPr>
          <w:bCs/>
        </w:rPr>
        <w:t>Zig</w:t>
      </w:r>
      <w:proofErr w:type="spellEnd"/>
      <w:r w:rsidRPr="00C15E39">
        <w:rPr>
          <w:bCs/>
        </w:rPr>
        <w:t xml:space="preserve"> </w:t>
      </w:r>
      <w:proofErr w:type="spellStart"/>
      <w:r w:rsidRPr="00C15E39">
        <w:rPr>
          <w:bCs/>
        </w:rPr>
        <w:t>Sheng</w:t>
      </w:r>
      <w:proofErr w:type="spellEnd"/>
      <w:r w:rsidRPr="00C15E39">
        <w:rPr>
          <w:bCs/>
        </w:rPr>
        <w:t xml:space="preserve"> </w:t>
      </w:r>
      <w:proofErr w:type="spellStart"/>
      <w:r w:rsidRPr="00C15E39">
        <w:rPr>
          <w:bCs/>
        </w:rPr>
        <w:t>Industrial</w:t>
      </w:r>
      <w:proofErr w:type="spellEnd"/>
      <w:r w:rsidRPr="00C15E39">
        <w:rPr>
          <w:bCs/>
        </w:rPr>
        <w:t xml:space="preserve"> </w:t>
      </w:r>
      <w:proofErr w:type="spellStart"/>
      <w:r w:rsidRPr="00C15E39">
        <w:rPr>
          <w:bCs/>
        </w:rPr>
        <w:t>Co</w:t>
      </w:r>
      <w:proofErr w:type="spellEnd"/>
      <w:proofErr w:type="gramStart"/>
      <w:r w:rsidRPr="00C15E39">
        <w:rPr>
          <w:bCs/>
        </w:rPr>
        <w:t>.,</w:t>
      </w:r>
      <w:proofErr w:type="gramEnd"/>
      <w:r w:rsidRPr="00C15E39">
        <w:rPr>
          <w:bCs/>
        </w:rPr>
        <w:t xml:space="preserve"> </w:t>
      </w:r>
      <w:proofErr w:type="spellStart"/>
      <w:r w:rsidRPr="00C15E39">
        <w:rPr>
          <w:bCs/>
        </w:rPr>
        <w:t>The</w:t>
      </w:r>
      <w:proofErr w:type="spellEnd"/>
      <w:r w:rsidRPr="00C15E39">
        <w:rPr>
          <w:bCs/>
        </w:rPr>
        <w:t xml:space="preserve"> E-</w:t>
      </w:r>
      <w:proofErr w:type="spellStart"/>
      <w:r w:rsidRPr="00C15E39">
        <w:rPr>
          <w:bCs/>
        </w:rPr>
        <w:t>Hsin</w:t>
      </w:r>
      <w:proofErr w:type="spellEnd"/>
      <w:r w:rsidRPr="00C15E39">
        <w:rPr>
          <w:bCs/>
        </w:rPr>
        <w:t xml:space="preserve"> International firmaları için CIF değere göre hesaplanan damping marjının % 18,9</w:t>
      </w:r>
      <w:r w:rsidRPr="00C15E39">
        <w:t xml:space="preserve"> </w:t>
      </w:r>
      <w:r>
        <w:rPr>
          <w:bCs/>
        </w:rPr>
        <w:t xml:space="preserve">olduğu; </w:t>
      </w:r>
      <w:r w:rsidRPr="00C15E39">
        <w:rPr>
          <w:bCs/>
        </w:rPr>
        <w:t>Tayvan’da yerleşik işbirliğine gelmeyen firmalar için CIF değere göre he</w:t>
      </w:r>
      <w:r w:rsidR="00AD3AAB">
        <w:rPr>
          <w:bCs/>
        </w:rPr>
        <w:t xml:space="preserve">saplanan damping marjının %28,6 </w:t>
      </w:r>
      <w:r w:rsidR="00EA2EB6" w:rsidRPr="00006558">
        <w:t xml:space="preserve">olduğu </w:t>
      </w:r>
      <w:r w:rsidR="00B367A9" w:rsidRPr="00006558">
        <w:t>göz önünde bulundurulduğunda s</w:t>
      </w:r>
      <w:r w:rsidR="00000FA3" w:rsidRPr="00006558">
        <w:t>öz konusu damping marjı seviyeleri</w:t>
      </w:r>
      <w:r w:rsidR="00B367A9" w:rsidRPr="00006558">
        <w:t>nin meri önlemin mevcut olmadığı piyasa koşullarında üretici/ihracatçı firmaların dampinge konu fiyatlarla soruşturma konusu ürünü Türkiye</w:t>
      </w:r>
      <w:r w:rsidR="002861CC" w:rsidRPr="00006558">
        <w:t>’ye</w:t>
      </w:r>
      <w:r w:rsidR="00B367A9" w:rsidRPr="00006558">
        <w:t xml:space="preserve"> ihraç etme eğilimini göstermesi bakımından önem arz ettiği düşünülmektedir. </w:t>
      </w:r>
    </w:p>
    <w:p w:rsidR="00B367A9" w:rsidRPr="00006558" w:rsidRDefault="00B367A9" w:rsidP="00B367A9">
      <w:pPr>
        <w:ind w:firstLine="708"/>
        <w:jc w:val="both"/>
      </w:pPr>
    </w:p>
    <w:p w:rsidR="00574BAD" w:rsidRDefault="00574BAD" w:rsidP="00574BAD">
      <w:pPr>
        <w:pStyle w:val="GvdeMetniGirintisi3"/>
        <w:ind w:left="0" w:firstLine="0"/>
      </w:pPr>
      <w:r>
        <w:t xml:space="preserve">(2) </w:t>
      </w:r>
      <w:r w:rsidR="00B367A9" w:rsidRPr="00006558">
        <w:t xml:space="preserve">Değerlendirme kapsamında, </w:t>
      </w:r>
      <w:r w:rsidR="00000FA3" w:rsidRPr="00006558">
        <w:t>önleme tabi ülkelerin</w:t>
      </w:r>
      <w:r w:rsidR="00B367A9" w:rsidRPr="00006558">
        <w:t xml:space="preserve"> soruşturma konusu üründe ihracat kabiliyeti değerlendirilmiştir. Bu amaca yönelik olarak Uluslararası Ticaret Merkezi </w:t>
      </w:r>
      <w:r w:rsidR="00B33D6D" w:rsidRPr="00006558">
        <w:t xml:space="preserve">(ITC) </w:t>
      </w:r>
      <w:r w:rsidR="00B367A9" w:rsidRPr="00006558">
        <w:t xml:space="preserve">verileri dikkate alınmıştır. </w:t>
      </w:r>
      <w:r w:rsidRPr="00C15E39">
        <w:t xml:space="preserve">Soruşturma konusu ürünün dünya ihracat pazarının, 2014 yılında 4 milyar ABD Doları, 2015 yılında 3,6 milyar ABD Doları, 2016 yılında ise 3,4 milyar ABD Doları seviyesinde gerçekleştiği kaydedilmiştir. Dünya ihracat pazarından ülkelerin aldıkları paylar incelendiğinde, </w:t>
      </w:r>
      <w:proofErr w:type="spellStart"/>
      <w:r w:rsidRPr="00C15E39">
        <w:t>ÇHC’nin</w:t>
      </w:r>
      <w:proofErr w:type="spellEnd"/>
      <w:r w:rsidRPr="00C15E39">
        <w:t xml:space="preserve"> dünya ihracat pazarından en fazla payı aldığı görülmektedir. Bu kapsamda, </w:t>
      </w:r>
      <w:proofErr w:type="spellStart"/>
      <w:r w:rsidRPr="00C15E39">
        <w:t>ÇHC’nin</w:t>
      </w:r>
      <w:proofErr w:type="spellEnd"/>
      <w:r w:rsidRPr="00C15E39">
        <w:t xml:space="preserve"> soruşturma konusu üründe 2014 yılında 1,3 milyar ABD Doları olan ihracatının 2015 ve 2016 yıllarında 1,2 milyar ABD Doları olarak gerçekleştiği tespit edilmiştir. 2014 ve 2015 yıllarında %32 olan </w:t>
      </w:r>
      <w:proofErr w:type="spellStart"/>
      <w:r w:rsidRPr="00C15E39">
        <w:t>ÇHC’nin</w:t>
      </w:r>
      <w:proofErr w:type="spellEnd"/>
      <w:r w:rsidRPr="00C15E39">
        <w:t xml:space="preserve"> payının 2016 yılında %34’e yükseldiği kaydedilmiştir. 2016 yılı istatistiklerine göre, </w:t>
      </w:r>
      <w:proofErr w:type="spellStart"/>
      <w:r w:rsidRPr="00C15E39">
        <w:t>ÇHC’den</w:t>
      </w:r>
      <w:proofErr w:type="spellEnd"/>
      <w:r w:rsidRPr="00C15E39">
        <w:t xml:space="preserve"> sonra dünya ihracatından en fazla pay alan diğer 2 ülke ise Hindistan ve Tayvan’dır. </w:t>
      </w:r>
    </w:p>
    <w:p w:rsidR="007F0565" w:rsidRDefault="007F0565" w:rsidP="00574BAD">
      <w:pPr>
        <w:pStyle w:val="GvdeMetniGirintisi3"/>
        <w:ind w:left="0" w:firstLine="0"/>
      </w:pPr>
    </w:p>
    <w:p w:rsidR="00574BAD" w:rsidRPr="00C15E39" w:rsidRDefault="00574BAD" w:rsidP="00574BAD">
      <w:pPr>
        <w:pStyle w:val="GvdeMetniGirintisi3"/>
        <w:ind w:left="0" w:firstLine="0"/>
      </w:pPr>
      <w:r>
        <w:t>(3</w:t>
      </w:r>
      <w:r w:rsidRPr="00C15E39">
        <w:t xml:space="preserve">) Dünya geneline ilişkin olarak miktar bazında veriler incelendiğinde, 2016 yılında 6 milyon ton ihracat yapıldığı kaydedilmiştir. En çok ihracat gerçekleştiren ülke olan </w:t>
      </w:r>
      <w:proofErr w:type="spellStart"/>
      <w:r w:rsidRPr="00C15E39">
        <w:t>ÇHC’nin</w:t>
      </w:r>
      <w:proofErr w:type="spellEnd"/>
      <w:r w:rsidRPr="00C15E39">
        <w:t xml:space="preserve"> 2014-2016 yılları arasında sırayla 1,9 milyon ton, 2 milyon ton, 2,4 milyon ton ihracat gerçekleştirdiği tespit edilmiştir. </w:t>
      </w:r>
    </w:p>
    <w:p w:rsidR="00574BAD" w:rsidRPr="00C15E39" w:rsidRDefault="00574BAD" w:rsidP="00574BAD">
      <w:pPr>
        <w:pStyle w:val="GvdeMetniGirintisi3"/>
      </w:pPr>
    </w:p>
    <w:p w:rsidR="00574BAD" w:rsidRPr="00C15E39" w:rsidRDefault="00574BAD" w:rsidP="00574BAD">
      <w:pPr>
        <w:pStyle w:val="GvdeMetniGirintisi3"/>
        <w:ind w:left="0" w:firstLine="0"/>
      </w:pPr>
      <w:r>
        <w:lastRenderedPageBreak/>
        <w:t>(4</w:t>
      </w:r>
      <w:r w:rsidRPr="00C15E39">
        <w:t xml:space="preserve">) Dünya ihracat sıralamasında </w:t>
      </w:r>
      <w:proofErr w:type="spellStart"/>
      <w:r w:rsidRPr="00C15E39">
        <w:t>ÇHC’yi</w:t>
      </w:r>
      <w:proofErr w:type="spellEnd"/>
      <w:r w:rsidRPr="00C15E39">
        <w:t xml:space="preserve"> </w:t>
      </w:r>
      <w:proofErr w:type="gramStart"/>
      <w:r w:rsidRPr="00C15E39">
        <w:t>soruşturma  konusu</w:t>
      </w:r>
      <w:proofErr w:type="gramEnd"/>
      <w:r w:rsidRPr="00C15E39">
        <w:t xml:space="preserve"> ülkeler takip etmektedir. Dünya ihracat sıralamasında ikinci sırada yer alan Hindistan 2014 yılında 684 bin ton (802 milyon dolar) , 2015 yılında 660 bin ton (743 milyon dolar) , 2016 yılında ise 574 bin ton (714 milyon dolar) ihracat gerçekleştirirmiştir. Sıralamada üçüncü sırada yer alan Tayvan ise 2014-2016 yılları arasında sırayla 478 bin ton (320 milyon dolar) , 427 bin ton (277 milyon dolar), 435 bin ton (262 milyon dolar) ihracat yapmıştır. </w:t>
      </w:r>
    </w:p>
    <w:p w:rsidR="00574BAD" w:rsidRPr="00C15E39" w:rsidRDefault="00574BAD" w:rsidP="00574BAD">
      <w:pPr>
        <w:pStyle w:val="GvdeMetniGirintisi3"/>
      </w:pPr>
    </w:p>
    <w:p w:rsidR="00574BAD" w:rsidRDefault="00574BAD" w:rsidP="00574BAD">
      <w:pPr>
        <w:pStyle w:val="GvdeMetniGirintisi3"/>
        <w:ind w:left="0" w:firstLine="0"/>
      </w:pPr>
      <w:r>
        <w:t>(5</w:t>
      </w:r>
      <w:r w:rsidRPr="00C15E39">
        <w:t>) ITC verilerine göre 2014-2016 yıllarında soruşturma konusu ülkelerin soruşturma konusu üründe dünya ihracat pazarından aldıkları toplam pay %28 olarak gerçekleşmiştir. Buna göre, soruşturma konusu ülkelerin 2014 yılında 1,1 milyar ABD Doları olan toplam ihracatları, 2015 yılında 1 milyar ABD Doları, 2016 yılında ise 976 milyon ABD Doları olarak gerçekleşmiştir. İhracat miktar verilerine bakıldığında ise, soruşturma konusu ülkelerden gerçekleşen toplam ihracat miktarı 2014 yılında 1,1 milyon ton iken, 2015 ve 2016 yıllarında 1 milyon ton olarak gerçekleşmiştir. Ayrıca, 2016 yılı verilerine göre, soruşturma konusu ülkeler tarafından gerçekleştirilen miktar bazında toplam ihracatın dünya geneli içi</w:t>
      </w:r>
      <w:r w:rsidR="002C059B">
        <w:t xml:space="preserve">ndeki payı ise  %17’dir. </w:t>
      </w:r>
    </w:p>
    <w:p w:rsidR="00574BAD" w:rsidRDefault="00574BAD" w:rsidP="00574BAD">
      <w:pPr>
        <w:pStyle w:val="GvdeMetniGirintisi3"/>
        <w:spacing w:after="240"/>
        <w:ind w:left="0" w:firstLine="0"/>
      </w:pPr>
    </w:p>
    <w:p w:rsidR="00574BAD" w:rsidRPr="00C15E39" w:rsidRDefault="00574BAD" w:rsidP="00574BAD">
      <w:pPr>
        <w:pStyle w:val="GvdeMetniGirintisi3"/>
        <w:spacing w:after="240"/>
        <w:ind w:left="0" w:firstLine="0"/>
      </w:pPr>
      <w:r>
        <w:t>(6) Nihai bildirimin ardından ihracatçı firmalar tarafından Hindistan’ın ihracatının gözden geçirme döneminde azaldığı belirtilerek Hindistan’dan yapılan ithalatın yerli üretim dalı üzerinde bir zarara neden olmadığı belirtilmiştir. Ancak, anılan dönemde Hindistan’dan yapılan ithalatın azalma eğilimi göstermesine karşılık, Hindistan’ın dünya ihracat sıralamasında ikinci sırada yer alması ve ihracat miktarının yüksekliği dikkate alındığında mevcut önlemlerin uygulanmadığı piyasa koşullarında Hindistan menşeli ithalatın yerli üretim dalını olumsuz etkileyeceği değerlendirilmektedir.</w:t>
      </w:r>
    </w:p>
    <w:p w:rsidR="00B367A9" w:rsidRPr="00006558" w:rsidRDefault="00B367A9" w:rsidP="00574BAD">
      <w:pPr>
        <w:pStyle w:val="ListeParagraf"/>
        <w:ind w:left="0"/>
        <w:jc w:val="both"/>
      </w:pPr>
      <w:r w:rsidRPr="00006558">
        <w:t>(</w:t>
      </w:r>
      <w:r w:rsidR="00450BC6" w:rsidRPr="00006558">
        <w:t>7</w:t>
      </w:r>
      <w:r w:rsidRPr="00006558">
        <w:t xml:space="preserve">) Söz konusu bilgi ve tespitler birlikte değerlendirildiğinde meri önlemin yürürlükten kaldırılması halinde </w:t>
      </w:r>
      <w:proofErr w:type="gramStart"/>
      <w:r w:rsidRPr="00006558">
        <w:t>dampingli</w:t>
      </w:r>
      <w:proofErr w:type="gramEnd"/>
      <w:r w:rsidRPr="00006558">
        <w:t xml:space="preserve"> ithalatın devam etmesinin veya yeniden ortaya çıkmasının muhtemel olduğuna kanaat getirilmesine yetecek nesnel ve kanıtlanabilir verilerin mev</w:t>
      </w:r>
      <w:r w:rsidR="00361FF5" w:rsidRPr="00006558">
        <w:t>cut olduğu değerlendirilmiştir.</w:t>
      </w:r>
    </w:p>
    <w:p w:rsidR="00B20C66" w:rsidRPr="00006558" w:rsidRDefault="00B20C66" w:rsidP="00B367A9">
      <w:pPr>
        <w:jc w:val="both"/>
      </w:pPr>
    </w:p>
    <w:p w:rsidR="008E4B08" w:rsidRPr="00006558" w:rsidRDefault="009A1355" w:rsidP="00361FF5">
      <w:pPr>
        <w:jc w:val="both"/>
        <w:rPr>
          <w:b/>
          <w:caps/>
        </w:rPr>
      </w:pPr>
      <w:r w:rsidRPr="00006558">
        <w:rPr>
          <w:b/>
          <w:caps/>
        </w:rPr>
        <w:t>4</w:t>
      </w:r>
      <w:r w:rsidR="008E4B08" w:rsidRPr="00006558">
        <w:rPr>
          <w:b/>
          <w:caps/>
        </w:rPr>
        <w:t>. ZAR</w:t>
      </w:r>
      <w:r w:rsidR="000D216F" w:rsidRPr="00006558">
        <w:rPr>
          <w:b/>
          <w:caps/>
        </w:rPr>
        <w:t>ARA İlişkin Belirlemeler- ZARARIN</w:t>
      </w:r>
      <w:r w:rsidR="008E4B08" w:rsidRPr="00006558">
        <w:rPr>
          <w:b/>
          <w:caps/>
        </w:rPr>
        <w:t xml:space="preserve"> Devamı ve Yeniden Meydana Gelmesi İhtimali</w:t>
      </w:r>
    </w:p>
    <w:p w:rsidR="00164FF4" w:rsidRPr="00006558" w:rsidRDefault="00164FF4" w:rsidP="00164FF4">
      <w:pPr>
        <w:jc w:val="both"/>
      </w:pPr>
    </w:p>
    <w:p w:rsidR="008E4B08" w:rsidRPr="00006558" w:rsidRDefault="009A1355" w:rsidP="005056F1">
      <w:pPr>
        <w:jc w:val="both"/>
        <w:rPr>
          <w:b/>
        </w:rPr>
      </w:pPr>
      <w:r w:rsidRPr="00006558">
        <w:rPr>
          <w:b/>
        </w:rPr>
        <w:t>4</w:t>
      </w:r>
      <w:r w:rsidR="008E4B08" w:rsidRPr="00006558">
        <w:rPr>
          <w:b/>
        </w:rPr>
        <w:t xml:space="preserve">.1 </w:t>
      </w:r>
      <w:r w:rsidR="00B367A9" w:rsidRPr="00006558">
        <w:rPr>
          <w:b/>
        </w:rPr>
        <w:t xml:space="preserve">İthalatın hacmi ve gelişimi </w:t>
      </w:r>
    </w:p>
    <w:p w:rsidR="00B367A9" w:rsidRPr="00006558" w:rsidRDefault="00164FF4" w:rsidP="00B367A9">
      <w:pPr>
        <w:jc w:val="both"/>
      </w:pPr>
      <w:r w:rsidRPr="00006558">
        <w:t>(1)</w:t>
      </w:r>
      <w:r w:rsidR="003F4461" w:rsidRPr="00006558">
        <w:t xml:space="preserve"> Yönetmelik’in 17 </w:t>
      </w:r>
      <w:proofErr w:type="spellStart"/>
      <w:r w:rsidR="00B367A9" w:rsidRPr="00006558">
        <w:t>nci</w:t>
      </w:r>
      <w:proofErr w:type="spellEnd"/>
      <w:r w:rsidR="00B367A9" w:rsidRPr="00006558">
        <w:t xml:space="preserve"> maddesi çerçe</w:t>
      </w:r>
      <w:r w:rsidR="002861CC" w:rsidRPr="00006558">
        <w:t>vesinde, soruşturma konusu ülke</w:t>
      </w:r>
      <w:r w:rsidR="006679CB" w:rsidRPr="00006558">
        <w:t>ler</w:t>
      </w:r>
      <w:r w:rsidR="00B367A9" w:rsidRPr="00006558">
        <w:t xml:space="preserve"> menşeli ithalatın hacminde mutlak anlamda ya da Türkiye tüketimine oranla önemli ölçüde artış olup olmadığı incelenmiştir. Zarar in</w:t>
      </w:r>
      <w:r w:rsidR="002526F8" w:rsidRPr="00006558">
        <w:t>celemesine esas dönem 1/</w:t>
      </w:r>
      <w:r w:rsidR="00FB0B62" w:rsidRPr="00006558">
        <w:t>1/2014</w:t>
      </w:r>
      <w:r w:rsidR="00B367A9" w:rsidRPr="00006558">
        <w:t>-31/12/201</w:t>
      </w:r>
      <w:r w:rsidR="00FB0B62" w:rsidRPr="00006558">
        <w:t>6</w:t>
      </w:r>
      <w:r w:rsidR="00EA2EB6" w:rsidRPr="00006558">
        <w:t xml:space="preserve"> </w:t>
      </w:r>
      <w:r w:rsidR="00B367A9" w:rsidRPr="00006558">
        <w:t xml:space="preserve">dönemi olarak belirlenmiştir. </w:t>
      </w:r>
      <w:r w:rsidR="006C06A6" w:rsidRPr="00006558">
        <w:t xml:space="preserve">Soruşturma konusu ürünün genel ithalatı ve soruşturmaya konu ülkelerden yapılan ithalatın incelemesinde Türkiye İstatistik Kurumu (TÜİK) verileri kullanılmıştır. </w:t>
      </w:r>
    </w:p>
    <w:p w:rsidR="008E4B08" w:rsidRPr="00006558" w:rsidRDefault="008E4B08" w:rsidP="008E4B08">
      <w:pPr>
        <w:jc w:val="both"/>
        <w:rPr>
          <w:b/>
        </w:rPr>
      </w:pPr>
    </w:p>
    <w:p w:rsidR="00944349" w:rsidRPr="00006558" w:rsidRDefault="009A1355" w:rsidP="00944349">
      <w:pPr>
        <w:jc w:val="both"/>
        <w:rPr>
          <w:b/>
        </w:rPr>
      </w:pPr>
      <w:r w:rsidRPr="00006558">
        <w:rPr>
          <w:b/>
        </w:rPr>
        <w:t>4</w:t>
      </w:r>
      <w:r w:rsidR="008E4B08" w:rsidRPr="00006558">
        <w:rPr>
          <w:b/>
        </w:rPr>
        <w:t xml:space="preserve">.2 </w:t>
      </w:r>
      <w:r w:rsidR="004B6771">
        <w:rPr>
          <w:b/>
        </w:rPr>
        <w:t>G</w:t>
      </w:r>
      <w:r w:rsidR="00164FF4" w:rsidRPr="00006558">
        <w:rPr>
          <w:b/>
        </w:rPr>
        <w:t>enel ithalatı</w:t>
      </w:r>
      <w:r w:rsidR="004B6771">
        <w:rPr>
          <w:b/>
        </w:rPr>
        <w:t>n</w:t>
      </w:r>
      <w:r w:rsidR="00164FF4" w:rsidRPr="00006558">
        <w:rPr>
          <w:b/>
        </w:rPr>
        <w:t xml:space="preserve"> </w:t>
      </w:r>
      <w:r w:rsidR="004B6771">
        <w:rPr>
          <w:b/>
        </w:rPr>
        <w:t>mutlak gelişimi</w:t>
      </w:r>
    </w:p>
    <w:p w:rsidR="00E05BBC" w:rsidRPr="00582639" w:rsidRDefault="00164FF4" w:rsidP="00582639">
      <w:pPr>
        <w:pStyle w:val="Balk2"/>
        <w:pBdr>
          <w:top w:val="none" w:sz="0" w:space="0" w:color="auto"/>
          <w:left w:val="none" w:sz="0" w:space="0" w:color="auto"/>
          <w:bottom w:val="none" w:sz="0" w:space="0" w:color="auto"/>
          <w:right w:val="none" w:sz="0" w:space="0" w:color="auto"/>
        </w:pBdr>
        <w:spacing w:after="240"/>
        <w:jc w:val="both"/>
        <w:rPr>
          <w:rFonts w:ascii="Times New Roman" w:hAnsi="Times New Roman"/>
          <w:b w:val="0"/>
          <w:bCs/>
          <w:noProof/>
          <w:sz w:val="24"/>
          <w:szCs w:val="24"/>
        </w:rPr>
      </w:pPr>
      <w:r w:rsidRPr="00006558">
        <w:t xml:space="preserve"> </w:t>
      </w:r>
      <w:r w:rsidR="00582639" w:rsidRPr="00426005">
        <w:rPr>
          <w:rFonts w:ascii="Times New Roman" w:hAnsi="Times New Roman"/>
          <w:b w:val="0"/>
          <w:bCs/>
          <w:noProof/>
          <w:sz w:val="24"/>
          <w:szCs w:val="24"/>
        </w:rPr>
        <w:t>(1)</w:t>
      </w:r>
      <w:r w:rsidR="00582639" w:rsidRPr="00FA36F2">
        <w:rPr>
          <w:rFonts w:ascii="Times New Roman" w:hAnsi="Times New Roman"/>
          <w:b w:val="0"/>
          <w:bCs/>
          <w:noProof/>
          <w:sz w:val="24"/>
          <w:szCs w:val="24"/>
        </w:rPr>
        <w:t xml:space="preserve"> </w:t>
      </w:r>
      <w:r w:rsidR="00582639" w:rsidRPr="00C15E39">
        <w:rPr>
          <w:rFonts w:ascii="Times New Roman" w:hAnsi="Times New Roman"/>
          <w:b w:val="0"/>
          <w:bCs/>
          <w:noProof/>
          <w:sz w:val="24"/>
          <w:szCs w:val="24"/>
        </w:rPr>
        <w:t>Önlem konusu ürünün 2014-2016 döneminde tüm ülkelerden gerçekleşen ithalat rakamları incelendiğinde 2014 yılında 314.603 Ton olan ithalatın, 2015 yılında 297.768 Ton seviyesine gerilediği, 2016 yılında ise 295.789 Ton olarak gerçekleştiği görülmektedir. Toplam ithalatın değeri ise 2014-2016 döneminde sırasıyla 649 milyon ABD Doları, 513 milyon ABD Doları ve 443 milyon ABD Doları olarak gerçekleşmiştir. Genel ithalatın birim fiyatının ise 2014-2016 döneminde sır</w:t>
      </w:r>
      <w:r w:rsidR="00582639">
        <w:rPr>
          <w:rFonts w:ascii="Times New Roman" w:hAnsi="Times New Roman"/>
          <w:b w:val="0"/>
          <w:bCs/>
          <w:noProof/>
          <w:sz w:val="24"/>
          <w:szCs w:val="24"/>
        </w:rPr>
        <w:t>asıyla 2,30 ABD Doları/Kg, 2,17 ABD Doları/Kg ve 2,10</w:t>
      </w:r>
      <w:r w:rsidR="00582639" w:rsidRPr="00C15E39">
        <w:rPr>
          <w:rFonts w:ascii="Times New Roman" w:hAnsi="Times New Roman"/>
          <w:b w:val="0"/>
          <w:bCs/>
          <w:noProof/>
          <w:sz w:val="24"/>
          <w:szCs w:val="24"/>
        </w:rPr>
        <w:t xml:space="preserve">  ABD Doları/Kg olarak gerçekleştiği ve azalan bir seyir izlediği görülmektedir.</w:t>
      </w:r>
    </w:p>
    <w:p w:rsidR="008E4B08" w:rsidRPr="00006558" w:rsidRDefault="009A1355" w:rsidP="003C6689">
      <w:pPr>
        <w:jc w:val="both"/>
        <w:rPr>
          <w:b/>
        </w:rPr>
      </w:pPr>
      <w:r w:rsidRPr="00006558">
        <w:rPr>
          <w:b/>
        </w:rPr>
        <w:t>4.</w:t>
      </w:r>
      <w:r w:rsidR="008E4B08" w:rsidRPr="00006558">
        <w:rPr>
          <w:b/>
        </w:rPr>
        <w:t xml:space="preserve">3 </w:t>
      </w:r>
      <w:r w:rsidR="004B6771">
        <w:rPr>
          <w:b/>
        </w:rPr>
        <w:t>Ö</w:t>
      </w:r>
      <w:r w:rsidR="00164FF4" w:rsidRPr="00006558">
        <w:rPr>
          <w:b/>
        </w:rPr>
        <w:t>nlem konusu ülke</w:t>
      </w:r>
      <w:r w:rsidR="00D70AE3" w:rsidRPr="00006558">
        <w:rPr>
          <w:b/>
        </w:rPr>
        <w:t>ler</w:t>
      </w:r>
      <w:r w:rsidR="00164FF4" w:rsidRPr="00006558">
        <w:rPr>
          <w:b/>
        </w:rPr>
        <w:t>den ithalatı</w:t>
      </w:r>
      <w:r w:rsidR="004B6771">
        <w:rPr>
          <w:b/>
        </w:rPr>
        <w:t>n mutlak gelişimi</w:t>
      </w:r>
    </w:p>
    <w:p w:rsidR="00582639" w:rsidRPr="00C15E39" w:rsidRDefault="00582639" w:rsidP="00582639">
      <w:pPr>
        <w:spacing w:after="240"/>
        <w:jc w:val="both"/>
        <w:rPr>
          <w:bCs/>
          <w:noProof/>
        </w:rPr>
      </w:pPr>
      <w:r>
        <w:rPr>
          <w:bCs/>
          <w:noProof/>
        </w:rPr>
        <w:t xml:space="preserve">1) </w:t>
      </w:r>
      <w:r w:rsidRPr="00C15E39">
        <w:rPr>
          <w:bCs/>
          <w:noProof/>
        </w:rPr>
        <w:t xml:space="preserve">Önlem konusu ürünün 2014-2016 döneminde Hindistan’ dan gerçekleşen ithalat rakamları incelendiğinde 2014 yılında 115.373 Ton olan ithalatın, 2015 yılında 113.189 Ton seviyesine gerilediği, 2016 yılında ise artarak 127.990 Ton olarak gerçekleştiği ve mutlak artış gösterdiği </w:t>
      </w:r>
      <w:r w:rsidRPr="00C15E39">
        <w:rPr>
          <w:bCs/>
          <w:noProof/>
        </w:rPr>
        <w:lastRenderedPageBreak/>
        <w:t>tespit edilmişitr. Söz konusu ülkeden yapılan ithalatın değeri ise 2014-2016 döneminde sırasıyla 221 milyon ABD Doları, 177 milyon ABD Doları ve 175 milyon ABD Doları olarak gerçekleşmiştir. Hindistan’dan ithalatın birim fiyatının ise 2014-2016 döneminde sırasıyla 1,91 ABD Doları/Kg, 1,56 ABD Doları/Kg ve 1,37  ABD Doları/Kg olarak gerçekleştiği görülmektedir.</w:t>
      </w:r>
    </w:p>
    <w:p w:rsidR="00582639" w:rsidRPr="00C15E39" w:rsidRDefault="00582639" w:rsidP="00582639">
      <w:pPr>
        <w:jc w:val="both"/>
      </w:pPr>
      <w:r w:rsidRPr="00C15E39">
        <w:t xml:space="preserve">(2) Önlem konusu ürünün 2014-2016 döneminde Tayvan’dan gerçekleşen ithalat rakamları incelendiğinde 2014 yılında 2.151 Ton olan ithalatın, 2015 yılında artarak 3.030 Ton seviyesine geldiği, 2016 yılında ise 3.102 Ton seviyesine yükseldiği görülmekte olup, anılan dönemde ithalatın mutlak artış gösterdiği tespit edilmiştir. Söz konusu ülkeden yapılan ithalatın değeri ise 2014-2016 döneminde sırasıyla 7,9 milyon ABD Doları, 10,6 milyon ABD Doları ve 10,1 milyon ABD Doları olarak gerçekleşmiştir. </w:t>
      </w:r>
      <w:proofErr w:type="gramStart"/>
      <w:r w:rsidRPr="00C15E39">
        <w:t>Tayvan’dan  ithalatın</w:t>
      </w:r>
      <w:proofErr w:type="gramEnd"/>
      <w:r w:rsidRPr="00C15E39">
        <w:t xml:space="preserve"> birim fiyatının ise 2014-2016 döneminde sırasıyla 3,67 ABD Doları/Kg, 3,49 ABD Doları/Kg ve 3,28  ABD Doları/Kg olarak gerçekleştiği görülmektedir.</w:t>
      </w:r>
    </w:p>
    <w:p w:rsidR="00582639" w:rsidRDefault="00582639" w:rsidP="00582639">
      <w:pPr>
        <w:jc w:val="both"/>
      </w:pPr>
    </w:p>
    <w:p w:rsidR="00582639" w:rsidRPr="009F23DD" w:rsidRDefault="00582639" w:rsidP="00582639">
      <w:pPr>
        <w:jc w:val="both"/>
      </w:pPr>
      <w:r w:rsidRPr="00C15E39">
        <w:t>(3) 2014-2016 döneminde tüm soruşturma konusu ülkelerden gerçekleşen ithalat rakamları incelendiğinde 2014 yılında 117.524 Ton olan ithalatın, 2015 yılında artarak 116.218 Ton seviyesine geldiği, 2016 yılında ise 131.</w:t>
      </w:r>
      <w:proofErr w:type="gramStart"/>
      <w:r w:rsidRPr="00C15E39">
        <w:t>092  Ton</w:t>
      </w:r>
      <w:proofErr w:type="gramEnd"/>
      <w:r w:rsidRPr="00C15E39">
        <w:t xml:space="preserve"> seviyesine yükseldiği görülmektedir. Soruşturma konusu ülkelerden gerçekleşen toplam ithalatın değeri ise 2014-2016 döneminde sırasıyla 228 milyon ABD Doları, 188 milyon ABD Doları ve 185 milyon ABD Doları olarak gerçekleşmiştir. 2014-2016 döneminde önleme tabi ülkelerden ithalat miktar olarak %12 oranında artış göstermiştir. Önleme tabi ülkelerden toplam ithalatın birim fiyatının ise 2014-2016 döneminde sırasıyla 1,94 ABD Doları/Kg, 1,61 ABD Doları/Kg ve 1,41 ABD Doları/Kg olarak gerçekleştiği görülmektedir.</w:t>
      </w:r>
    </w:p>
    <w:p w:rsidR="00B20C66" w:rsidRPr="00006558" w:rsidRDefault="00B20C66" w:rsidP="008E4B08">
      <w:pPr>
        <w:jc w:val="both"/>
        <w:rPr>
          <w:b/>
        </w:rPr>
      </w:pPr>
    </w:p>
    <w:p w:rsidR="00164FF4" w:rsidRPr="00006558" w:rsidRDefault="009A1355" w:rsidP="008E4B08">
      <w:pPr>
        <w:jc w:val="both"/>
        <w:rPr>
          <w:b/>
        </w:rPr>
      </w:pPr>
      <w:r w:rsidRPr="00006558">
        <w:rPr>
          <w:b/>
        </w:rPr>
        <w:t>4</w:t>
      </w:r>
      <w:r w:rsidR="008E4B08" w:rsidRPr="00006558">
        <w:rPr>
          <w:b/>
        </w:rPr>
        <w:t xml:space="preserve">.4 </w:t>
      </w:r>
      <w:r w:rsidR="004B6771">
        <w:rPr>
          <w:b/>
        </w:rPr>
        <w:t>Üçüncü ülkelerden ithalatın mutlak gelişimi</w:t>
      </w:r>
    </w:p>
    <w:p w:rsidR="00582639" w:rsidRPr="00582639" w:rsidRDefault="00582639" w:rsidP="00582639">
      <w:pPr>
        <w:spacing w:after="240"/>
        <w:jc w:val="both"/>
        <w:rPr>
          <w:noProof/>
          <w:lang w:val="nb-NO"/>
        </w:rPr>
      </w:pPr>
      <w:r>
        <w:rPr>
          <w:bCs/>
          <w:noProof/>
        </w:rPr>
        <w:t xml:space="preserve">(1) </w:t>
      </w:r>
      <w:r w:rsidRPr="00C15E39">
        <w:rPr>
          <w:noProof/>
          <w:lang w:val="nb-NO"/>
        </w:rPr>
        <w:t>Önlem konusu ürünün 2014-2016 döneminde üçüncü ülkelerden gerçekleşen ithalat rakamları incelendiğinde 2014 yılında 197.079 Ton olan ithalatın, 2015 yılında azalarak 181.550 Ton seviyesine geldiği, 2016 yılında ise 164.697 Ton seviyesine düştüğü görülmektedir. Üçüncü ülkelerden gerçekleşen toplam ithalatın değeri ise 2014-2016 döneminde sırasıyla 420 milyon ABD Doları, 325 milyon ABD Doları ve 257  milyon ABD Doları olarak kaydedilmiştir. 2014-2016 döneminde üçüncü ülkelerden ithalat miktar olarak %16 oranında azalış göstermiştir. Üçüncü ülkelerden toplam ithalatın birim fiyatının ise 2014-2016 döneminde sırasıyla 2,13 ABD Doları/Kg, 1,79 ABD Doları/Kg ve 1,56 ABD Doları/Kg olarak gerçekleştiği görülmektedir.</w:t>
      </w:r>
    </w:p>
    <w:p w:rsidR="004B6771" w:rsidRDefault="009A1355" w:rsidP="00A76298">
      <w:pPr>
        <w:jc w:val="both"/>
        <w:rPr>
          <w:b/>
        </w:rPr>
      </w:pPr>
      <w:r w:rsidRPr="00006558">
        <w:rPr>
          <w:b/>
        </w:rPr>
        <w:t>4</w:t>
      </w:r>
      <w:r w:rsidR="008E4B08" w:rsidRPr="00006558">
        <w:rPr>
          <w:b/>
        </w:rPr>
        <w:t xml:space="preserve">.5 </w:t>
      </w:r>
      <w:r w:rsidR="004B6771">
        <w:rPr>
          <w:b/>
        </w:rPr>
        <w:t>Soruşturma konusu ürün ithalatının nispi gelişimi</w:t>
      </w:r>
    </w:p>
    <w:p w:rsidR="009A1355" w:rsidRPr="00006558" w:rsidRDefault="009A1355" w:rsidP="00A76298">
      <w:pPr>
        <w:jc w:val="both"/>
        <w:rPr>
          <w:b/>
        </w:rPr>
      </w:pPr>
      <w:r w:rsidRPr="00006558">
        <w:t xml:space="preserve">(1) </w:t>
      </w:r>
      <w:r w:rsidRPr="00006558">
        <w:rPr>
          <w:bCs/>
        </w:rPr>
        <w:t xml:space="preserve">Türkiye toplam benzer mal tüketiminin hesaplanmasında </w:t>
      </w:r>
      <w:r w:rsidR="003516B3" w:rsidRPr="00006558">
        <w:rPr>
          <w:bCs/>
        </w:rPr>
        <w:t>başvuru sahibi yerli üreticinin</w:t>
      </w:r>
      <w:r w:rsidRPr="00006558">
        <w:rPr>
          <w:bCs/>
        </w:rPr>
        <w:t xml:space="preserve"> yurt içi satışları genel ithalat miktarı ile toplanmıştır. Yerli üretim dalının yurtiçi satışlarının ve soruşturma konus</w:t>
      </w:r>
      <w:r w:rsidR="003516B3" w:rsidRPr="00006558">
        <w:rPr>
          <w:bCs/>
        </w:rPr>
        <w:t>u ülke</w:t>
      </w:r>
      <w:r w:rsidRPr="00006558">
        <w:rPr>
          <w:bCs/>
        </w:rPr>
        <w:t>den gerçekleştirilen ithalatın toplam tüketime oranlanmasıyla pazar payları hesaplanmıştır.</w:t>
      </w:r>
    </w:p>
    <w:p w:rsidR="008E3E75" w:rsidRPr="00006558" w:rsidRDefault="008E3E75" w:rsidP="003C6689">
      <w:pPr>
        <w:jc w:val="both"/>
        <w:rPr>
          <w:b/>
        </w:rPr>
      </w:pPr>
    </w:p>
    <w:p w:rsidR="00CD04CF" w:rsidRPr="00006558" w:rsidRDefault="009A1355" w:rsidP="009A1355">
      <w:pPr>
        <w:pStyle w:val="GvdeMetni2"/>
        <w:spacing w:line="240" w:lineRule="auto"/>
        <w:jc w:val="both"/>
        <w:rPr>
          <w:bCs/>
          <w:lang w:val="tr-TR"/>
        </w:rPr>
      </w:pPr>
      <w:r w:rsidRPr="00006558">
        <w:rPr>
          <w:bCs/>
        </w:rPr>
        <w:t>(2) Bu çerçevede</w:t>
      </w:r>
      <w:r w:rsidR="006D7400" w:rsidRPr="00006558">
        <w:rPr>
          <w:bCs/>
        </w:rPr>
        <w:t xml:space="preserve">, </w:t>
      </w:r>
      <w:r w:rsidRPr="00006558">
        <w:rPr>
          <w:bCs/>
        </w:rPr>
        <w:t>Türkiye toplam tüketiminin 201</w:t>
      </w:r>
      <w:r w:rsidR="00CD04CF" w:rsidRPr="00006558">
        <w:rPr>
          <w:bCs/>
          <w:lang w:val="tr-TR"/>
        </w:rPr>
        <w:t>4</w:t>
      </w:r>
      <w:r w:rsidRPr="00006558">
        <w:rPr>
          <w:bCs/>
        </w:rPr>
        <w:t xml:space="preserve"> yılında 100 iken</w:t>
      </w:r>
      <w:r w:rsidRPr="00006558">
        <w:rPr>
          <w:bCs/>
          <w:lang w:val="tr-TR"/>
        </w:rPr>
        <w:t xml:space="preserve">, </w:t>
      </w:r>
      <w:r w:rsidR="00E30C99" w:rsidRPr="00006558">
        <w:rPr>
          <w:bCs/>
          <w:lang w:val="tr-TR"/>
        </w:rPr>
        <w:t>201</w:t>
      </w:r>
      <w:r w:rsidR="00CD04CF" w:rsidRPr="00006558">
        <w:rPr>
          <w:bCs/>
          <w:lang w:val="tr-TR"/>
        </w:rPr>
        <w:t>5</w:t>
      </w:r>
      <w:r w:rsidR="00E30C99" w:rsidRPr="00006558">
        <w:rPr>
          <w:bCs/>
          <w:lang w:val="tr-TR"/>
        </w:rPr>
        <w:t xml:space="preserve"> yılında </w:t>
      </w:r>
      <w:r w:rsidR="000B7159">
        <w:rPr>
          <w:bCs/>
          <w:lang w:val="tr-TR"/>
        </w:rPr>
        <w:t>91</w:t>
      </w:r>
      <w:r w:rsidR="00E30C99" w:rsidRPr="00006558">
        <w:rPr>
          <w:bCs/>
          <w:lang w:val="tr-TR"/>
        </w:rPr>
        <w:t xml:space="preserve">, </w:t>
      </w:r>
      <w:r w:rsidR="00CD04CF" w:rsidRPr="00006558">
        <w:rPr>
          <w:bCs/>
        </w:rPr>
        <w:t>2016</w:t>
      </w:r>
      <w:r w:rsidRPr="00006558">
        <w:rPr>
          <w:bCs/>
        </w:rPr>
        <w:t xml:space="preserve"> yılında </w:t>
      </w:r>
      <w:r w:rsidR="000B7159">
        <w:rPr>
          <w:bCs/>
          <w:lang w:val="tr-TR"/>
        </w:rPr>
        <w:t>89</w:t>
      </w:r>
      <w:r w:rsidR="00E30C99" w:rsidRPr="00006558">
        <w:rPr>
          <w:bCs/>
          <w:lang w:val="tr-TR"/>
        </w:rPr>
        <w:t xml:space="preserve"> </w:t>
      </w:r>
      <w:r w:rsidR="000B7159">
        <w:rPr>
          <w:bCs/>
        </w:rPr>
        <w:t xml:space="preserve">seviyesine </w:t>
      </w:r>
      <w:r w:rsidR="000B7159">
        <w:rPr>
          <w:bCs/>
          <w:lang w:val="tr-TR"/>
        </w:rPr>
        <w:t xml:space="preserve">düştüğü </w:t>
      </w:r>
      <w:r w:rsidRPr="00006558">
        <w:rPr>
          <w:bCs/>
        </w:rPr>
        <w:t xml:space="preserve"> tespit edilmiştir. </w:t>
      </w:r>
      <w:r w:rsidR="000B7159">
        <w:rPr>
          <w:bCs/>
        </w:rPr>
        <w:t>Y</w:t>
      </w:r>
      <w:r w:rsidRPr="00006558">
        <w:rPr>
          <w:bCs/>
        </w:rPr>
        <w:t xml:space="preserve">erli üretim dalının </w:t>
      </w:r>
      <w:r w:rsidR="00E30C99" w:rsidRPr="00006558">
        <w:rPr>
          <w:bCs/>
          <w:lang w:val="tr-TR"/>
        </w:rPr>
        <w:t>201</w:t>
      </w:r>
      <w:r w:rsidR="00CD04CF" w:rsidRPr="00006558">
        <w:rPr>
          <w:bCs/>
          <w:lang w:val="tr-TR"/>
        </w:rPr>
        <w:t>4</w:t>
      </w:r>
      <w:r w:rsidR="00E30C99" w:rsidRPr="00006558">
        <w:rPr>
          <w:bCs/>
          <w:lang w:val="tr-TR"/>
        </w:rPr>
        <w:t xml:space="preserve"> yılında 1</w:t>
      </w:r>
      <w:r w:rsidR="00CD04CF" w:rsidRPr="00006558">
        <w:rPr>
          <w:bCs/>
          <w:lang w:val="tr-TR"/>
        </w:rPr>
        <w:t>00 birim olan pazar payını</w:t>
      </w:r>
      <w:r w:rsidR="000B7159">
        <w:rPr>
          <w:bCs/>
          <w:lang w:val="tr-TR"/>
        </w:rPr>
        <w:t>n ise,</w:t>
      </w:r>
      <w:r w:rsidR="00CD04CF" w:rsidRPr="00006558">
        <w:rPr>
          <w:bCs/>
          <w:lang w:val="tr-TR"/>
        </w:rPr>
        <w:t xml:space="preserve"> 2015 </w:t>
      </w:r>
      <w:r w:rsidR="00E30C99" w:rsidRPr="00006558">
        <w:rPr>
          <w:bCs/>
          <w:lang w:val="tr-TR"/>
        </w:rPr>
        <w:t>ve 201</w:t>
      </w:r>
      <w:r w:rsidR="00CD04CF" w:rsidRPr="00006558">
        <w:rPr>
          <w:bCs/>
          <w:lang w:val="tr-TR"/>
        </w:rPr>
        <w:t>6</w:t>
      </w:r>
      <w:r w:rsidR="00E30C99" w:rsidRPr="00006558">
        <w:rPr>
          <w:bCs/>
          <w:lang w:val="tr-TR"/>
        </w:rPr>
        <w:t xml:space="preserve"> yıllarında sırasıyla </w:t>
      </w:r>
      <w:r w:rsidR="000B7159">
        <w:rPr>
          <w:bCs/>
          <w:lang w:val="tr-TR"/>
        </w:rPr>
        <w:t>87</w:t>
      </w:r>
      <w:r w:rsidR="00E30C99" w:rsidRPr="00006558">
        <w:rPr>
          <w:bCs/>
          <w:lang w:val="tr-TR"/>
        </w:rPr>
        <w:t xml:space="preserve"> ve </w:t>
      </w:r>
      <w:r w:rsidR="000B7159">
        <w:rPr>
          <w:bCs/>
          <w:lang w:val="tr-TR"/>
        </w:rPr>
        <w:t xml:space="preserve">78 olarak gerçekleştiği </w:t>
      </w:r>
      <w:r w:rsidR="00E30C99" w:rsidRPr="00006558">
        <w:rPr>
          <w:bCs/>
          <w:lang w:val="tr-TR"/>
        </w:rPr>
        <w:t xml:space="preserve">görülmüştür. </w:t>
      </w:r>
    </w:p>
    <w:p w:rsidR="000B7159" w:rsidRPr="00C15E39" w:rsidRDefault="000B7159" w:rsidP="000B7159">
      <w:pPr>
        <w:spacing w:after="240"/>
        <w:jc w:val="both"/>
        <w:rPr>
          <w:noProof/>
        </w:rPr>
      </w:pPr>
      <w:r w:rsidRPr="00C15E39">
        <w:rPr>
          <w:noProof/>
        </w:rPr>
        <w:t>(3)Hindistan’ın 2014 yılında 100 olan pazar payı endeksi, 2015 ve 2016 yıllarında sırasıyla 107 ve 125 olarak gerçekleşmiştir.</w:t>
      </w:r>
    </w:p>
    <w:p w:rsidR="000B7159" w:rsidRPr="00C15E39" w:rsidRDefault="000B7159" w:rsidP="000B7159">
      <w:pPr>
        <w:spacing w:after="240"/>
        <w:jc w:val="both"/>
        <w:rPr>
          <w:noProof/>
        </w:rPr>
      </w:pPr>
      <w:r w:rsidRPr="00C15E39">
        <w:rPr>
          <w:noProof/>
        </w:rPr>
        <w:t>(4) Tayvan’ın 2014 yılında 100 olan pazar payı endeksi, 2015 ve 2016 yıllarında sırasıyla 154 ve 162 olarak gerçekleşmiştir.</w:t>
      </w:r>
    </w:p>
    <w:p w:rsidR="000B7159" w:rsidRPr="00C15E39" w:rsidRDefault="000B7159" w:rsidP="000B7159">
      <w:pPr>
        <w:spacing w:after="240"/>
        <w:jc w:val="both"/>
        <w:rPr>
          <w:noProof/>
        </w:rPr>
      </w:pPr>
      <w:r w:rsidRPr="00C15E39">
        <w:rPr>
          <w:noProof/>
        </w:rPr>
        <w:lastRenderedPageBreak/>
        <w:t xml:space="preserve"> (5) Soruşturma konusu ülkeler menşeli toplam ithalatın pazar payı endeksi ise 2014 yılı 100 kabul edildiğinde, 2015 ve 2016 yıllarında sırasıyla 108 ve 126 olarak gerçekleşmiştir. </w:t>
      </w:r>
    </w:p>
    <w:p w:rsidR="000B7159" w:rsidRPr="00C15E39" w:rsidRDefault="000B7159" w:rsidP="000B7159">
      <w:pPr>
        <w:spacing w:after="240"/>
        <w:jc w:val="both"/>
        <w:rPr>
          <w:noProof/>
        </w:rPr>
      </w:pPr>
      <w:r w:rsidRPr="00C15E39">
        <w:rPr>
          <w:noProof/>
        </w:rPr>
        <w:t>(6) Diğer ülkelerden ithalatın pazar payı endeksi ise 2014 yılı 100 kabul edildiğinde, 2015 yılında 101, 2016 yılında ise 94 olarak gerçekleşmiştir.</w:t>
      </w:r>
    </w:p>
    <w:p w:rsidR="005E18A0" w:rsidRPr="00006558" w:rsidRDefault="009A1355" w:rsidP="008E4B08">
      <w:pPr>
        <w:jc w:val="both"/>
        <w:rPr>
          <w:b/>
        </w:rPr>
      </w:pPr>
      <w:r w:rsidRPr="00006558">
        <w:rPr>
          <w:b/>
        </w:rPr>
        <w:t>4</w:t>
      </w:r>
      <w:r w:rsidR="00E30C99" w:rsidRPr="00006558">
        <w:rPr>
          <w:b/>
        </w:rPr>
        <w:t>.6</w:t>
      </w:r>
      <w:r w:rsidR="008E4B08" w:rsidRPr="00006558">
        <w:rPr>
          <w:b/>
        </w:rPr>
        <w:t xml:space="preserve"> </w:t>
      </w:r>
      <w:r w:rsidR="005E18A0" w:rsidRPr="00006558">
        <w:rPr>
          <w:b/>
        </w:rPr>
        <w:t xml:space="preserve">Fiyat kırılması </w:t>
      </w:r>
    </w:p>
    <w:p w:rsidR="008B5D66" w:rsidRPr="00006558" w:rsidRDefault="005E18A0" w:rsidP="008B5D66">
      <w:pPr>
        <w:jc w:val="both"/>
      </w:pPr>
      <w:r w:rsidRPr="00006558">
        <w:t xml:space="preserve">(1) </w:t>
      </w:r>
      <w:r w:rsidR="008B5D66" w:rsidRPr="00006558">
        <w:t>Fiyat kırılması, soruşturma konusu ürünün Türkiye piyasasında oluşan fiyatlarının yerli üretim dalının yurtiçi satış fiyatlarının ne kadar altında kaldığını göstermektedir. Bu kapsamda, soruşturma konusu ülkelerden gerçekleştirilen ithalatın yerli üretim dalının fiyatlarını ne ölçüde kırdığı incelenmiştir.</w:t>
      </w:r>
    </w:p>
    <w:p w:rsidR="008B5D66" w:rsidRPr="00006558" w:rsidRDefault="008B5D66" w:rsidP="008B5D66">
      <w:pPr>
        <w:jc w:val="both"/>
      </w:pPr>
    </w:p>
    <w:p w:rsidR="008B5D66" w:rsidRPr="00006558" w:rsidRDefault="008B5D66" w:rsidP="008B5D66">
      <w:pPr>
        <w:jc w:val="both"/>
      </w:pPr>
      <w:r w:rsidRPr="00006558">
        <w:t>(2) Fiyat kırılması hesaplanır</w:t>
      </w:r>
      <w:r w:rsidR="00411537">
        <w:t xml:space="preserve">ken; CIF ithal fiyatın üzerine, Hindistan ve </w:t>
      </w:r>
      <w:proofErr w:type="gramStart"/>
      <w:r w:rsidR="00411537">
        <w:t>Tayvan</w:t>
      </w:r>
      <w:r w:rsidRPr="00006558">
        <w:t>’dan  ge</w:t>
      </w:r>
      <w:r w:rsidR="00411537">
        <w:t>rçekleştirilen</w:t>
      </w:r>
      <w:proofErr w:type="gramEnd"/>
      <w:r w:rsidR="00411537">
        <w:t xml:space="preserve"> ithalat için %4</w:t>
      </w:r>
      <w:r w:rsidRPr="00006558">
        <w:t xml:space="preserve"> gümrük vergisi ile tüm soruşturma konusu ülkeler için makul sayılabilecek</w:t>
      </w:r>
      <w:r w:rsidR="00411537">
        <w:t xml:space="preserve"> bir oran olarak CIF kıymetin %2’si</w:t>
      </w:r>
      <w:r w:rsidRPr="00006558">
        <w:t xml:space="preserve"> tutarındaki diğer ithal masrafları eklenerek ürünün Türkiye piyasasına giriş fiyatı bulunmuştur. Dampinge karşı önlemin söz konusu olmadığı bir ortamda fiyatların hangi düzeyde oluşacağına ilişkin değerlendirmeyi mümkün kılmak amacıyla anılan fiyatlara </w:t>
      </w:r>
      <w:proofErr w:type="gramStart"/>
      <w:r w:rsidRPr="00006558">
        <w:t>dampinge</w:t>
      </w:r>
      <w:proofErr w:type="gramEnd"/>
      <w:r w:rsidRPr="00006558">
        <w:t xml:space="preserve"> karşı önlem eklenmemiştir. Bulunan değerler ile başvuru sahibi yerli üreticinin yurtiçi satış fiyatları karşılaştırılmıştır.</w:t>
      </w:r>
    </w:p>
    <w:p w:rsidR="008B5D66" w:rsidRPr="00006558" w:rsidRDefault="008B5D66" w:rsidP="008B5D66">
      <w:pPr>
        <w:ind w:firstLine="567"/>
        <w:jc w:val="both"/>
      </w:pPr>
    </w:p>
    <w:p w:rsidR="008B5D66" w:rsidRPr="00006558" w:rsidRDefault="008B5D66" w:rsidP="008B5D66">
      <w:pPr>
        <w:jc w:val="both"/>
      </w:pPr>
      <w:r w:rsidRPr="00006558">
        <w:t>(3) Fiyat kırılması hesaplanırken, soruşturma konusu ülkeler menşeli ithalatın Türkiye pazarına giriş fiyatları yerli üretim dalının iç piyasa satış fiyatlarıyla karşılaştırılmıştır. Hesaplamalar 2016 yılı için yapılmıştır.</w:t>
      </w:r>
    </w:p>
    <w:p w:rsidR="008B5D66" w:rsidRPr="00006558" w:rsidRDefault="008B5D66" w:rsidP="008B5D66">
      <w:pPr>
        <w:ind w:firstLine="567"/>
        <w:jc w:val="both"/>
      </w:pPr>
    </w:p>
    <w:p w:rsidR="008B5D66" w:rsidRDefault="008B5D66" w:rsidP="008B5D66">
      <w:pPr>
        <w:jc w:val="both"/>
      </w:pPr>
      <w:r w:rsidRPr="00006558">
        <w:t>(4) Bu kapsamda, Brezilya dışındaki soruşturma konusu ülkeler menşeli ithalatın yerli üretim dalının iç p</w:t>
      </w:r>
      <w:r w:rsidR="00411537">
        <w:t>iyasa fiyatlarını CIF değerin %40 ila %50’sine</w:t>
      </w:r>
      <w:r w:rsidRPr="00006558">
        <w:t xml:space="preserve"> tekabül eden değer aralığında kırdığı görülmüştür.</w:t>
      </w:r>
    </w:p>
    <w:p w:rsidR="00DD4946" w:rsidRPr="00006558" w:rsidRDefault="00DD4946" w:rsidP="00DD4946">
      <w:pPr>
        <w:pStyle w:val="ListeParagraf"/>
        <w:ind w:left="0"/>
        <w:jc w:val="both"/>
      </w:pPr>
    </w:p>
    <w:p w:rsidR="0025290B" w:rsidRPr="00006558" w:rsidRDefault="005E18A0" w:rsidP="008E4B08">
      <w:pPr>
        <w:jc w:val="both"/>
        <w:rPr>
          <w:b/>
        </w:rPr>
      </w:pPr>
      <w:r w:rsidRPr="00006558">
        <w:rPr>
          <w:b/>
        </w:rPr>
        <w:t xml:space="preserve">4.7 </w:t>
      </w:r>
      <w:r w:rsidR="00164FF4" w:rsidRPr="00006558">
        <w:rPr>
          <w:b/>
        </w:rPr>
        <w:t xml:space="preserve">Yerli üretim dalının ekonomik göstergeleri </w:t>
      </w:r>
    </w:p>
    <w:p w:rsidR="00BD3213" w:rsidRPr="00006558" w:rsidRDefault="0025290B" w:rsidP="00BD3213">
      <w:pPr>
        <w:jc w:val="both"/>
        <w:rPr>
          <w:bCs/>
        </w:rPr>
      </w:pPr>
      <w:r w:rsidRPr="00006558">
        <w:t xml:space="preserve">(1) </w:t>
      </w:r>
      <w:r w:rsidR="00DB72BC" w:rsidRPr="00006558">
        <w:rPr>
          <w:bCs/>
        </w:rPr>
        <w:t xml:space="preserve">Yerli üretim dalının ekonomik göstergelerinin değerlendirilmesinde </w:t>
      </w:r>
      <w:r w:rsidR="001305C0" w:rsidRPr="00006558">
        <w:rPr>
          <w:bCs/>
        </w:rPr>
        <w:t>yerli üretim dalı niteliğini haiz</w:t>
      </w:r>
      <w:r w:rsidR="00DB72BC" w:rsidRPr="00006558">
        <w:rPr>
          <w:bCs/>
        </w:rPr>
        <w:t xml:space="preserve"> </w:t>
      </w:r>
      <w:r w:rsidR="009573E9">
        <w:rPr>
          <w:noProof/>
        </w:rPr>
        <w:t xml:space="preserve">Korteks </w:t>
      </w:r>
      <w:r w:rsidR="00DB72BC" w:rsidRPr="00006558">
        <w:rPr>
          <w:noProof/>
        </w:rPr>
        <w:t>firmasının</w:t>
      </w:r>
      <w:r w:rsidR="004F2FA0" w:rsidRPr="00006558">
        <w:rPr>
          <w:bCs/>
        </w:rPr>
        <w:t xml:space="preserve"> 2014-2016</w:t>
      </w:r>
      <w:r w:rsidR="00DB72BC" w:rsidRPr="00006558">
        <w:rPr>
          <w:bCs/>
        </w:rPr>
        <w:t xml:space="preserve"> yılları arasındaki verileri </w:t>
      </w:r>
      <w:r w:rsidR="00BD3213" w:rsidRPr="00006558">
        <w:rPr>
          <w:bCs/>
        </w:rPr>
        <w:t xml:space="preserve">esas alınmıştır. </w:t>
      </w:r>
      <w:r w:rsidR="00174CD8" w:rsidRPr="00006558">
        <w:t xml:space="preserve">Yönetmelik’in 17 </w:t>
      </w:r>
      <w:proofErr w:type="spellStart"/>
      <w:r w:rsidR="00BD3213" w:rsidRPr="00006558">
        <w:t>nci</w:t>
      </w:r>
      <w:proofErr w:type="spellEnd"/>
      <w:r w:rsidR="00BD3213" w:rsidRPr="00006558">
        <w:t xml:space="preserve"> maddesi hükümleri çerçevesinde, </w:t>
      </w:r>
      <w:r w:rsidR="00DB72BC" w:rsidRPr="00006558">
        <w:t>soruşturma konusu</w:t>
      </w:r>
      <w:r w:rsidR="00BD3213" w:rsidRPr="00006558">
        <w:t xml:space="preserve"> ithalatın yerli üretim dalının ekonomik göstergeleri üzerindeki etkisinin tespiti amacıyla, zarar dönemi içerisinde yerli üretim dalının üretim, satış, pazar payı, yurtiçi fiyatlar, kapasite, kapasite kullanımı, maliyetler, stoklar, istihdam, verimlilik, nakit akışı, kârlılık, net dönem kârı/zararı </w:t>
      </w:r>
      <w:r w:rsidR="008E3E75" w:rsidRPr="00006558">
        <w:t xml:space="preserve">gibi </w:t>
      </w:r>
      <w:r w:rsidR="00BD3213" w:rsidRPr="00006558">
        <w:t xml:space="preserve">göstergeleri analiz edilmiştir. </w:t>
      </w:r>
    </w:p>
    <w:p w:rsidR="00BD3213" w:rsidRPr="00006558" w:rsidRDefault="00BD3213" w:rsidP="00BD3213">
      <w:pPr>
        <w:jc w:val="both"/>
        <w:outlineLvl w:val="0"/>
      </w:pPr>
    </w:p>
    <w:p w:rsidR="00BD3213" w:rsidRPr="00006558" w:rsidRDefault="00BD3213" w:rsidP="00BD3213">
      <w:pPr>
        <w:jc w:val="both"/>
        <w:outlineLvl w:val="0"/>
      </w:pPr>
      <w:r w:rsidRPr="00006558">
        <w:t xml:space="preserve">(2) Söz konusu dönem için yapılan zarar analizinde eğilimi görebilmek amacıyla TL bazındaki veriler </w:t>
      </w:r>
      <w:r w:rsidR="001D108C" w:rsidRPr="00006558">
        <w:t xml:space="preserve">Türkiye İstatistik Kurumu (TÜİK) </w:t>
      </w:r>
      <w:r w:rsidRPr="00006558">
        <w:t>tarafından hesaplanan yıllık ortalama üretici fiyatları endeksi kullanılarak enflasyondan arındırılm</w:t>
      </w:r>
      <w:r w:rsidR="008E3E75" w:rsidRPr="00006558">
        <w:t>ış, reel hale getirilmiş ve 201</w:t>
      </w:r>
      <w:r w:rsidR="004F2FA0" w:rsidRPr="00006558">
        <w:t>4</w:t>
      </w:r>
      <w:r w:rsidRPr="00006558">
        <w:t xml:space="preserve"> yılı </w:t>
      </w:r>
      <w:proofErr w:type="gramStart"/>
      <w:r w:rsidR="0061586A" w:rsidRPr="00006558">
        <w:t>baz</w:t>
      </w:r>
      <w:proofErr w:type="gramEnd"/>
      <w:r w:rsidRPr="00006558">
        <w:t xml:space="preserve"> alınarak endekslenmiştir.</w:t>
      </w:r>
    </w:p>
    <w:p w:rsidR="009243D3" w:rsidRPr="00006558" w:rsidRDefault="009243D3" w:rsidP="009243D3"/>
    <w:p w:rsidR="009573E9" w:rsidRPr="00C15E39" w:rsidRDefault="009573E9" w:rsidP="009573E9">
      <w:pPr>
        <w:jc w:val="both"/>
        <w:rPr>
          <w:b/>
        </w:rPr>
      </w:pPr>
      <w:r w:rsidRPr="00C15E39">
        <w:rPr>
          <w:b/>
        </w:rPr>
        <w:t>a) Üretim, kapasite ve kapasite kullanım oranı (KKO)</w:t>
      </w:r>
    </w:p>
    <w:p w:rsidR="009573E9" w:rsidRPr="00C15E39" w:rsidRDefault="009573E9" w:rsidP="009573E9">
      <w:pPr>
        <w:ind w:firstLine="567"/>
        <w:jc w:val="both"/>
        <w:rPr>
          <w:b/>
        </w:rPr>
      </w:pPr>
    </w:p>
    <w:p w:rsidR="009573E9" w:rsidRPr="00C15E39" w:rsidRDefault="009573E9" w:rsidP="009573E9">
      <w:pPr>
        <w:spacing w:after="240"/>
        <w:jc w:val="both"/>
      </w:pPr>
      <w:r w:rsidRPr="00C15E39">
        <w:t xml:space="preserve">(1) Yerli üretim dalının ilgili üründe 2014 yılında 100 olan üretim miktar endeksi, 2015 yılında 78, 2016 yılında ise 71 olmuştur. </w:t>
      </w:r>
    </w:p>
    <w:p w:rsidR="009573E9" w:rsidRDefault="009573E9" w:rsidP="009573E9">
      <w:pPr>
        <w:spacing w:after="240"/>
        <w:jc w:val="both"/>
      </w:pPr>
      <w:r w:rsidRPr="00C15E39">
        <w:t xml:space="preserve"> (2) Yerli üretim dalının önlem konusu üründe 2014 yılında 100 olan kurulu kapasitesi 2015-2016 yıllarında 85 olarak gerçekleşmiştir KKO endeksi 2014-2016 döneminde sırasıyla 100, 92 ve 83 olarak tespit edilmiştir</w:t>
      </w:r>
      <w:r w:rsidR="00D17BE4">
        <w:t>.</w:t>
      </w:r>
    </w:p>
    <w:p w:rsidR="00D17BE4" w:rsidRPr="00C15E39" w:rsidRDefault="00D17BE4" w:rsidP="009573E9">
      <w:pPr>
        <w:spacing w:after="240"/>
        <w:jc w:val="both"/>
      </w:pPr>
    </w:p>
    <w:p w:rsidR="009573E9" w:rsidRPr="00C15E39" w:rsidRDefault="009573E9" w:rsidP="009573E9">
      <w:pPr>
        <w:jc w:val="both"/>
        <w:rPr>
          <w:b/>
        </w:rPr>
      </w:pPr>
      <w:r w:rsidRPr="00C15E39">
        <w:rPr>
          <w:b/>
        </w:rPr>
        <w:lastRenderedPageBreak/>
        <w:t xml:space="preserve">b) Yurt içi ve yurtdışı satışlar </w:t>
      </w:r>
    </w:p>
    <w:p w:rsidR="009573E9" w:rsidRPr="00C15E39" w:rsidRDefault="009573E9" w:rsidP="009573E9">
      <w:pPr>
        <w:jc w:val="both"/>
      </w:pPr>
      <w:r w:rsidRPr="00C15E39">
        <w:t>(1) Yerli üretim dalının soruşturma konusu üründe 2014 yılında 100 olan yurt içi satış miktar endeksi, 2015 yılında 79, 2016 yılında ise 69 olarak gerçekleşmiştir.</w:t>
      </w:r>
    </w:p>
    <w:p w:rsidR="009573E9" w:rsidRPr="00C15E39" w:rsidRDefault="009573E9" w:rsidP="009573E9">
      <w:pPr>
        <w:ind w:firstLine="567"/>
        <w:jc w:val="both"/>
        <w:rPr>
          <w:b/>
        </w:rPr>
      </w:pPr>
    </w:p>
    <w:p w:rsidR="009573E9" w:rsidRPr="00C15E39" w:rsidRDefault="009573E9" w:rsidP="009573E9">
      <w:pPr>
        <w:spacing w:after="240"/>
        <w:jc w:val="both"/>
      </w:pPr>
      <w:r w:rsidRPr="00C15E39">
        <w:t>(</w:t>
      </w:r>
      <w:r w:rsidR="008826FA">
        <w:t>2</w:t>
      </w:r>
      <w:r w:rsidRPr="00C15E39">
        <w:t xml:space="preserve">) Yerli üretim dalının soruşturma konusu üründe yurt dışı satışları ise miktar bazında 2014 yılı 100 olmak üzere 2015 yılında 91; 2016 yılında ise 90 olarak gerçekleşmiştir. </w:t>
      </w:r>
    </w:p>
    <w:p w:rsidR="009573E9" w:rsidRPr="00C15E39" w:rsidRDefault="009573E9" w:rsidP="009573E9">
      <w:pPr>
        <w:jc w:val="both"/>
        <w:rPr>
          <w:b/>
        </w:rPr>
      </w:pPr>
      <w:r w:rsidRPr="00C15E39">
        <w:rPr>
          <w:b/>
        </w:rPr>
        <w:t>c)  Yurtiçi fiyatlar ve fiyatları etkileyen unsurlar</w:t>
      </w:r>
    </w:p>
    <w:p w:rsidR="009573E9" w:rsidRPr="00C15E39" w:rsidRDefault="009573E9" w:rsidP="009573E9">
      <w:pPr>
        <w:spacing w:after="240"/>
        <w:jc w:val="both"/>
      </w:pPr>
      <w:r w:rsidRPr="00C15E39">
        <w:t>(1) Aynı dönemde, 2014 yılında 100 olan yurtiçi satış birim değerinin 2015 yılında 105 ve 2016 yılında 102 olarak gerçekleştiği görülmüştür.</w:t>
      </w:r>
    </w:p>
    <w:p w:rsidR="009573E9" w:rsidRDefault="009573E9" w:rsidP="009573E9">
      <w:pPr>
        <w:jc w:val="both"/>
      </w:pPr>
      <w:r w:rsidRPr="00C15E39">
        <w:t xml:space="preserve">(2) </w:t>
      </w:r>
      <w:proofErr w:type="spellStart"/>
      <w:r w:rsidRPr="00C15E39">
        <w:t>PTİ’nin</w:t>
      </w:r>
      <w:proofErr w:type="spellEnd"/>
      <w:r w:rsidRPr="00C15E39">
        <w:t xml:space="preserve"> </w:t>
      </w:r>
      <w:r>
        <w:t xml:space="preserve">bir maliyet unsuru olduğu ve </w:t>
      </w:r>
      <w:r w:rsidRPr="00C15E39">
        <w:t>girdi olarak kullanıldığı mensucat imalatındaki üretim ve satış eğilimleri yurtiçi fiyatları etkilemektedir.</w:t>
      </w:r>
    </w:p>
    <w:p w:rsidR="009573E9" w:rsidRPr="00C15E39" w:rsidRDefault="009573E9" w:rsidP="007F0565">
      <w:pPr>
        <w:jc w:val="both"/>
        <w:rPr>
          <w:b/>
        </w:rPr>
      </w:pPr>
    </w:p>
    <w:p w:rsidR="009573E9" w:rsidRPr="00C15E39" w:rsidRDefault="009573E9" w:rsidP="009573E9">
      <w:pPr>
        <w:jc w:val="both"/>
        <w:rPr>
          <w:b/>
          <w:bCs/>
        </w:rPr>
      </w:pPr>
      <w:r w:rsidRPr="00C15E39">
        <w:rPr>
          <w:b/>
        </w:rPr>
        <w:t xml:space="preserve">ç) </w:t>
      </w:r>
      <w:r w:rsidRPr="00C15E39">
        <w:rPr>
          <w:b/>
          <w:bCs/>
        </w:rPr>
        <w:t>Maliyetler ve kârlılık</w:t>
      </w:r>
    </w:p>
    <w:p w:rsidR="009573E9" w:rsidRPr="00C15E39" w:rsidRDefault="009573E9" w:rsidP="009573E9">
      <w:pPr>
        <w:spacing w:after="240"/>
        <w:jc w:val="both"/>
      </w:pPr>
      <w:r w:rsidRPr="00C15E39">
        <w:t>(1) Yerli üretim dalının benzer üründe ortalama birim ticari maliyet endeksi 2014 yılı 100 olmak üzere 2015 yılında 97, 2016 yılında ise 100 olmuştur.</w:t>
      </w:r>
    </w:p>
    <w:p w:rsidR="009573E9" w:rsidRPr="00C15E39" w:rsidRDefault="009573E9" w:rsidP="009573E9">
      <w:pPr>
        <w:spacing w:after="240"/>
        <w:jc w:val="both"/>
      </w:pPr>
      <w:r w:rsidRPr="00C15E39">
        <w:t>(2) Yerli üretim dalının benzer üründe ticari maliyetleri ve ortalama yurt içi satış fiyatları dikkate alınarak hesaplanan yurt içi ürün birim kârlılık endeksi 2014 yılı 100 olmak üzere 2015 yılında 204, 2016 yılında ise 137 düzeyinde gerçekleşmiştir.</w:t>
      </w:r>
    </w:p>
    <w:p w:rsidR="009573E9" w:rsidRPr="009573E9" w:rsidRDefault="009573E9" w:rsidP="009573E9">
      <w:pPr>
        <w:spacing w:after="240"/>
        <w:jc w:val="both"/>
      </w:pPr>
      <w:r w:rsidRPr="00C15E39">
        <w:t>(3) Yerli üretim dalının soruşturma konusu üründe toplam birim kârlılığı 2014 yılı 100 olmak üzere 2015 ve 2016 yılında sırasıyla 170 ve 138 olarak gerçekleşmiştir.</w:t>
      </w:r>
    </w:p>
    <w:p w:rsidR="009573E9" w:rsidRPr="00C15E39" w:rsidRDefault="009573E9" w:rsidP="009573E9">
      <w:pPr>
        <w:jc w:val="both"/>
        <w:rPr>
          <w:b/>
          <w:bCs/>
        </w:rPr>
      </w:pPr>
      <w:r w:rsidRPr="00C15E39">
        <w:rPr>
          <w:b/>
          <w:bCs/>
        </w:rPr>
        <w:t>d)  Pazar payı</w:t>
      </w:r>
    </w:p>
    <w:p w:rsidR="009573E9" w:rsidRPr="00C15E39" w:rsidRDefault="009573E9" w:rsidP="009573E9">
      <w:pPr>
        <w:spacing w:after="240"/>
        <w:jc w:val="both"/>
      </w:pPr>
      <w:r w:rsidRPr="00C15E39">
        <w:t>(1) Önlem konusu üründe yerli üretim dalının pazar payı endeksi 2014-2016 döneminde sırasıyla 100, 87 ve 78 düzeyindedir</w:t>
      </w:r>
    </w:p>
    <w:p w:rsidR="009573E9" w:rsidRPr="00C15E39" w:rsidRDefault="009573E9" w:rsidP="009573E9">
      <w:pPr>
        <w:jc w:val="both"/>
        <w:rPr>
          <w:b/>
        </w:rPr>
      </w:pPr>
      <w:r w:rsidRPr="00C15E39">
        <w:rPr>
          <w:b/>
        </w:rPr>
        <w:t>e) Verimlilik</w:t>
      </w:r>
    </w:p>
    <w:p w:rsidR="009573E9" w:rsidRPr="00C15E39" w:rsidRDefault="009573E9" w:rsidP="009573E9">
      <w:pPr>
        <w:jc w:val="both"/>
      </w:pPr>
      <w:r w:rsidRPr="00C15E39">
        <w:t>(1) Yerli üretim dalının ilgili ürün üretiminde işçi başına düşen üretim rakamını yansıtan verimlilik endeksi 2014-2016 döneminde sırasıyla 100, 82 ve 76 olmuştur.</w:t>
      </w:r>
    </w:p>
    <w:p w:rsidR="009573E9" w:rsidRPr="00C15E39" w:rsidRDefault="009573E9" w:rsidP="009573E9">
      <w:pPr>
        <w:ind w:firstLine="567"/>
        <w:jc w:val="both"/>
      </w:pPr>
    </w:p>
    <w:p w:rsidR="009573E9" w:rsidRDefault="009573E9" w:rsidP="009573E9">
      <w:pPr>
        <w:jc w:val="both"/>
        <w:rPr>
          <w:b/>
          <w:bCs/>
        </w:rPr>
      </w:pPr>
      <w:r w:rsidRPr="00C15E39">
        <w:rPr>
          <w:b/>
          <w:bCs/>
        </w:rPr>
        <w:t>f) Nakit akışı</w:t>
      </w:r>
    </w:p>
    <w:p w:rsidR="009573E9" w:rsidRPr="009573E9" w:rsidRDefault="009573E9" w:rsidP="009573E9">
      <w:pPr>
        <w:jc w:val="both"/>
        <w:rPr>
          <w:b/>
          <w:bCs/>
        </w:rPr>
      </w:pPr>
      <w:r w:rsidRPr="00C15E39">
        <w:rPr>
          <w:bCs/>
        </w:rPr>
        <w:t>(1)</w:t>
      </w:r>
      <w:r w:rsidRPr="00C15E39">
        <w:rPr>
          <w:b/>
          <w:bCs/>
        </w:rPr>
        <w:t xml:space="preserve"> </w:t>
      </w:r>
      <w:r w:rsidRPr="00C15E39">
        <w:rPr>
          <w:bCs/>
        </w:rPr>
        <w:t>Yerli üretim dalının önlem konusu ürün satışlarından elde ettiği nakit akışı endeksi 2014 yılı 100 olarak alındığında 2015 yılında 137, 2016 yılında ise 114 olarak tespit edilmiştir.</w:t>
      </w:r>
    </w:p>
    <w:p w:rsidR="009573E9" w:rsidRPr="00C15E39" w:rsidRDefault="009573E9" w:rsidP="009573E9">
      <w:pPr>
        <w:ind w:firstLine="357"/>
        <w:jc w:val="both"/>
        <w:rPr>
          <w:bCs/>
        </w:rPr>
      </w:pPr>
      <w:r w:rsidRPr="00C15E39">
        <w:rPr>
          <w:bCs/>
        </w:rPr>
        <w:t xml:space="preserve"> </w:t>
      </w:r>
    </w:p>
    <w:p w:rsidR="009573E9" w:rsidRPr="00C15E39" w:rsidRDefault="009573E9" w:rsidP="009573E9">
      <w:pPr>
        <w:jc w:val="both"/>
        <w:rPr>
          <w:b/>
        </w:rPr>
      </w:pPr>
      <w:r w:rsidRPr="00C15E39">
        <w:rPr>
          <w:b/>
        </w:rPr>
        <w:t>g) Stoklar</w:t>
      </w:r>
    </w:p>
    <w:p w:rsidR="009573E9" w:rsidRPr="00C15E39" w:rsidRDefault="009573E9" w:rsidP="009573E9">
      <w:pPr>
        <w:jc w:val="both"/>
      </w:pPr>
      <w:r w:rsidRPr="00C15E39">
        <w:t>(1) Yerli üretim dalının ilgili üründeki stok verileri incelendiğinde, miktar bazında 2014 yılında 100, 2015 yılında 98 olan stok endeksinin, 2016 yılında 118 seviyesinde gerçekleştiği görülmektedir.</w:t>
      </w:r>
    </w:p>
    <w:p w:rsidR="009573E9" w:rsidRPr="00C15E39" w:rsidRDefault="009573E9" w:rsidP="009573E9">
      <w:pPr>
        <w:ind w:firstLine="567"/>
        <w:jc w:val="both"/>
      </w:pPr>
    </w:p>
    <w:p w:rsidR="009573E9" w:rsidRPr="00C15E39" w:rsidRDefault="009573E9" w:rsidP="009573E9">
      <w:pPr>
        <w:spacing w:after="240"/>
        <w:jc w:val="both"/>
      </w:pPr>
      <w:r w:rsidRPr="00C15E39">
        <w:t>(2) 2014-2016 döneminde stok çevrim hızları ise sırasıyla 100, 82 ve 61 olarak gerçekleşmiştir.</w:t>
      </w:r>
    </w:p>
    <w:p w:rsidR="009573E9" w:rsidRPr="00C15E39" w:rsidRDefault="009573E9" w:rsidP="009573E9">
      <w:pPr>
        <w:jc w:val="both"/>
        <w:rPr>
          <w:b/>
        </w:rPr>
      </w:pPr>
      <w:r w:rsidRPr="00C15E39">
        <w:rPr>
          <w:b/>
        </w:rPr>
        <w:t>h) İstihdam</w:t>
      </w:r>
    </w:p>
    <w:p w:rsidR="009573E9" w:rsidRPr="00C15E39" w:rsidRDefault="009573E9" w:rsidP="009573E9">
      <w:pPr>
        <w:jc w:val="both"/>
      </w:pPr>
      <w:r w:rsidRPr="00C15E39">
        <w:t>(1) Yerli üretim dalının doğrudan işçi sayısı endeksi 2014 yılında 100, 2015 yılında 95 ve 2016 yılında 93 olarak tespit edilmiştir.</w:t>
      </w:r>
    </w:p>
    <w:p w:rsidR="009573E9" w:rsidRPr="00C15E39" w:rsidRDefault="009573E9" w:rsidP="009573E9">
      <w:pPr>
        <w:ind w:firstLine="567"/>
        <w:jc w:val="both"/>
      </w:pPr>
    </w:p>
    <w:p w:rsidR="009573E9" w:rsidRPr="00C15E39" w:rsidRDefault="009573E9" w:rsidP="009573E9">
      <w:pPr>
        <w:jc w:val="both"/>
        <w:rPr>
          <w:b/>
        </w:rPr>
      </w:pPr>
      <w:r w:rsidRPr="00C15E39">
        <w:rPr>
          <w:b/>
        </w:rPr>
        <w:t>ı) Ücretler</w:t>
      </w:r>
    </w:p>
    <w:p w:rsidR="009573E9" w:rsidRDefault="009573E9" w:rsidP="009573E9">
      <w:pPr>
        <w:jc w:val="both"/>
      </w:pPr>
      <w:r w:rsidRPr="00C15E39">
        <w:t xml:space="preserve">(1) Yerli üretim dalının aylık brüt işçi ücret endeksi 2014 yılı 100 olmak üzere 2015 yılında 103, 2016 yılında ise 119 düzeyinde gerçekleşmiştir. </w:t>
      </w:r>
    </w:p>
    <w:p w:rsidR="00D17BE4" w:rsidRPr="00C15E39" w:rsidRDefault="00D17BE4" w:rsidP="009573E9">
      <w:pPr>
        <w:jc w:val="both"/>
      </w:pPr>
    </w:p>
    <w:p w:rsidR="009573E9" w:rsidRPr="00C15E39" w:rsidRDefault="009573E9" w:rsidP="009573E9">
      <w:pPr>
        <w:jc w:val="both"/>
      </w:pPr>
    </w:p>
    <w:p w:rsidR="009573E9" w:rsidRPr="00C15E39" w:rsidRDefault="009573E9" w:rsidP="009573E9">
      <w:pPr>
        <w:jc w:val="both"/>
        <w:rPr>
          <w:b/>
          <w:bCs/>
        </w:rPr>
      </w:pPr>
      <w:r w:rsidRPr="00C15E39">
        <w:rPr>
          <w:b/>
          <w:bCs/>
        </w:rPr>
        <w:lastRenderedPageBreak/>
        <w:t>i) Büyüme</w:t>
      </w:r>
    </w:p>
    <w:p w:rsidR="009573E9" w:rsidRPr="00C15E39" w:rsidRDefault="009573E9" w:rsidP="009573E9">
      <w:pPr>
        <w:jc w:val="both"/>
      </w:pPr>
      <w:r w:rsidRPr="00C15E39">
        <w:t>(1) Yerli üretim dalının bütün faaliyetleri ile ilgili olarak, bilançosunda yer alan aktif büyüklüğü reel olarak 2014-2016 döneminde sırasıyla 100, 118 ve 131 olarak gerçekleşmiştir.</w:t>
      </w:r>
    </w:p>
    <w:p w:rsidR="009573E9" w:rsidRPr="00C15E39" w:rsidRDefault="009573E9" w:rsidP="009573E9">
      <w:pPr>
        <w:ind w:firstLine="357"/>
        <w:jc w:val="both"/>
      </w:pPr>
    </w:p>
    <w:p w:rsidR="009573E9" w:rsidRPr="00C15E39" w:rsidRDefault="009573E9" w:rsidP="009573E9">
      <w:pPr>
        <w:jc w:val="both"/>
        <w:rPr>
          <w:b/>
        </w:rPr>
      </w:pPr>
      <w:r>
        <w:rPr>
          <w:b/>
        </w:rPr>
        <w:t xml:space="preserve"> </w:t>
      </w:r>
      <w:r w:rsidRPr="00C15E39">
        <w:rPr>
          <w:b/>
        </w:rPr>
        <w:t>j) Sermaye artırma yeteneği</w:t>
      </w:r>
    </w:p>
    <w:p w:rsidR="009573E9" w:rsidRPr="00C15E39" w:rsidRDefault="009573E9" w:rsidP="009573E9">
      <w:pPr>
        <w:jc w:val="both"/>
      </w:pPr>
      <w:r w:rsidRPr="00C15E39">
        <w:t xml:space="preserve">(1) Sermaye arttırma yeteneğini görmek için, </w:t>
      </w:r>
      <w:proofErr w:type="spellStart"/>
      <w:r w:rsidRPr="00C15E39">
        <w:t>özsermayenin</w:t>
      </w:r>
      <w:proofErr w:type="spellEnd"/>
      <w:r w:rsidRPr="00C15E39">
        <w:t xml:space="preserve"> gelişimi incelenmelidir. Buna göre, yerli üretim dalının bütün faaliyetleri ile ilgili olarak, 2014 yılında 100 olan öz sermaye büyüklük endeksi takip eden yıllarda sırasıyla 104 ve 95 olarak gerçekleşmiştir.</w:t>
      </w:r>
    </w:p>
    <w:p w:rsidR="009573E9" w:rsidRPr="00C15E39" w:rsidRDefault="009573E9" w:rsidP="009573E9">
      <w:pPr>
        <w:jc w:val="both"/>
      </w:pPr>
    </w:p>
    <w:p w:rsidR="009573E9" w:rsidRPr="00C15E39" w:rsidRDefault="009573E9" w:rsidP="009573E9">
      <w:pPr>
        <w:jc w:val="both"/>
        <w:rPr>
          <w:b/>
          <w:lang w:val="x-none"/>
        </w:rPr>
      </w:pPr>
      <w:r w:rsidRPr="00C15E39">
        <w:rPr>
          <w:b/>
        </w:rPr>
        <w:t>k</w:t>
      </w:r>
      <w:r w:rsidRPr="00C15E39">
        <w:rPr>
          <w:b/>
          <w:lang w:val="x-none"/>
        </w:rPr>
        <w:t>) Yatırımları arttırma yeteneği</w:t>
      </w:r>
    </w:p>
    <w:p w:rsidR="009573E9" w:rsidRDefault="009573E9" w:rsidP="009573E9">
      <w:pPr>
        <w:jc w:val="both"/>
      </w:pPr>
      <w:r w:rsidRPr="00C15E39">
        <w:t xml:space="preserve">(1)Yerli üretim dalının bütün faaliyetlerine ilişkin olarak 2014-2016 döneminde gerçekleşen tevsi yatırım endeksi 2014 yılı 100 olarak kabul edildiğinde; takip eden yıllarda sırasıyla 5.665 ve 18.650 olarak gerçekleşmiştir. </w:t>
      </w:r>
    </w:p>
    <w:p w:rsidR="009573E9" w:rsidRPr="00C15E39" w:rsidRDefault="009573E9" w:rsidP="009573E9">
      <w:pPr>
        <w:jc w:val="both"/>
      </w:pPr>
    </w:p>
    <w:p w:rsidR="009573E9" w:rsidRPr="00C15E39" w:rsidRDefault="009573E9" w:rsidP="009573E9">
      <w:pPr>
        <w:jc w:val="both"/>
      </w:pPr>
      <w:r>
        <w:t>(2</w:t>
      </w:r>
      <w:r w:rsidRPr="00C15E39">
        <w:t>)Yerli üretim dalının bütün faaliyetlerine ilişkin olarak 2014-2016 döneminde yenileme yatırımı gerçekleştirmemiştir.</w:t>
      </w:r>
    </w:p>
    <w:p w:rsidR="009573E9" w:rsidRPr="00C15E39" w:rsidRDefault="009573E9" w:rsidP="009573E9">
      <w:pPr>
        <w:jc w:val="both"/>
      </w:pPr>
    </w:p>
    <w:p w:rsidR="009573E9" w:rsidRDefault="009573E9" w:rsidP="009573E9">
      <w:pPr>
        <w:jc w:val="both"/>
        <w:rPr>
          <w:b/>
        </w:rPr>
      </w:pPr>
      <w:r w:rsidRPr="00C15E39">
        <w:rPr>
          <w:b/>
        </w:rPr>
        <w:t>l)  Yatırımların geri dönüşü</w:t>
      </w:r>
    </w:p>
    <w:p w:rsidR="009573E9" w:rsidRDefault="00840096" w:rsidP="009573E9">
      <w:pPr>
        <w:jc w:val="both"/>
      </w:pPr>
      <w:r>
        <w:t>(1)</w:t>
      </w:r>
      <w:r w:rsidR="009573E9" w:rsidRPr="00C15E39">
        <w:t xml:space="preserve">Yatırımların geri dönüşünü analiz etmek amacıyla yerli üretim dalının yatırdığı </w:t>
      </w:r>
      <w:proofErr w:type="spellStart"/>
      <w:r w:rsidR="009573E9" w:rsidRPr="00C15E39">
        <w:t>özsermayeye</w:t>
      </w:r>
      <w:proofErr w:type="spellEnd"/>
      <w:r w:rsidR="009573E9" w:rsidRPr="00C15E39">
        <w:t xml:space="preserve"> karşılık elde ettiği karı (kar/</w:t>
      </w:r>
      <w:proofErr w:type="spellStart"/>
      <w:r w:rsidR="009573E9" w:rsidRPr="00C15E39">
        <w:t>özsermaye</w:t>
      </w:r>
      <w:proofErr w:type="spellEnd"/>
      <w:r w:rsidR="009573E9" w:rsidRPr="00C15E39">
        <w:t xml:space="preserve">) incelenmiştir. Buna göre, yerli üretim dalının bütün faaliyetleri ile ilgili olarak, 2014 yılı itibariyle 100 olan yatırım hasılatı oranı endeksi 2015 yılında 108’e yükselmiş, 2016 yılında ise 56’ya gerilemiştir. </w:t>
      </w:r>
    </w:p>
    <w:p w:rsidR="00840096" w:rsidRDefault="00840096" w:rsidP="009573E9">
      <w:pPr>
        <w:jc w:val="both"/>
      </w:pPr>
    </w:p>
    <w:p w:rsidR="00840096" w:rsidRDefault="00840096" w:rsidP="009573E9">
      <w:pPr>
        <w:jc w:val="both"/>
        <w:rPr>
          <w:b/>
        </w:rPr>
      </w:pPr>
      <w:r w:rsidRPr="00AF2BBE">
        <w:rPr>
          <w:b/>
        </w:rPr>
        <w:t>m)</w:t>
      </w:r>
      <w:r>
        <w:t xml:space="preserve"> </w:t>
      </w:r>
      <w:r w:rsidRPr="00840096">
        <w:rPr>
          <w:b/>
        </w:rPr>
        <w:t xml:space="preserve">Önceki soruşturmalarda tespit edilen </w:t>
      </w:r>
      <w:proofErr w:type="gramStart"/>
      <w:r w:rsidRPr="00840096">
        <w:rPr>
          <w:b/>
        </w:rPr>
        <w:t>damping</w:t>
      </w:r>
      <w:proofErr w:type="gramEnd"/>
      <w:r w:rsidRPr="00840096">
        <w:rPr>
          <w:b/>
        </w:rPr>
        <w:t xml:space="preserve"> marjı seviyesi</w:t>
      </w:r>
    </w:p>
    <w:p w:rsidR="00D17BE4" w:rsidRPr="00A72C4D" w:rsidRDefault="00D17BE4" w:rsidP="00D17BE4">
      <w:pPr>
        <w:jc w:val="both"/>
      </w:pPr>
      <w:r w:rsidRPr="00A72C4D">
        <w:t xml:space="preserve">(1) Önlemin yürürlükte olduğu haliyle Hindistan’da yerleşik üretici/ihracatçılar </w:t>
      </w:r>
      <w:proofErr w:type="gramStart"/>
      <w:r w:rsidRPr="00A72C4D">
        <w:t>firmalara  yönelik</w:t>
      </w:r>
      <w:proofErr w:type="gramEnd"/>
      <w:r w:rsidRPr="00A72C4D">
        <w:t xml:space="preserve"> olarak daha önce tespit edilen damping marjları %6,8 ile %20,3 arasında</w:t>
      </w:r>
      <w:r w:rsidRPr="00A72C4D">
        <w:rPr>
          <w:bCs/>
          <w:szCs w:val="20"/>
          <w:lang w:eastAsia="en-US"/>
        </w:rPr>
        <w:t xml:space="preserve"> değişen önemli düzeylerdedir.</w:t>
      </w:r>
    </w:p>
    <w:p w:rsidR="00D17BE4" w:rsidRDefault="00D17BE4" w:rsidP="00D17BE4">
      <w:pPr>
        <w:jc w:val="both"/>
        <w:rPr>
          <w:bCs/>
          <w:szCs w:val="20"/>
          <w:lang w:eastAsia="en-US"/>
        </w:rPr>
      </w:pPr>
    </w:p>
    <w:p w:rsidR="00D17BE4" w:rsidRPr="00A72C4D" w:rsidRDefault="00D17BE4" w:rsidP="00D17BE4">
      <w:pPr>
        <w:jc w:val="both"/>
        <w:rPr>
          <w:bCs/>
          <w:szCs w:val="20"/>
          <w:lang w:eastAsia="en-US"/>
        </w:rPr>
      </w:pPr>
      <w:r w:rsidRPr="00A72C4D">
        <w:rPr>
          <w:bCs/>
          <w:szCs w:val="20"/>
          <w:lang w:eastAsia="en-US"/>
        </w:rPr>
        <w:t xml:space="preserve">(2) </w:t>
      </w:r>
      <w:r w:rsidRPr="00A72C4D">
        <w:t>Önlemin yürürlükte olduğu haliyle</w:t>
      </w:r>
      <w:r w:rsidRPr="00A72C4D">
        <w:rPr>
          <w:bCs/>
          <w:szCs w:val="20"/>
          <w:lang w:eastAsia="en-US"/>
        </w:rPr>
        <w:t xml:space="preserve"> Tayvan’da yerleşik üretici-ihracatçı firmalara yönelik </w:t>
      </w:r>
      <w:proofErr w:type="gramStart"/>
      <w:r w:rsidRPr="00A72C4D">
        <w:rPr>
          <w:bCs/>
          <w:szCs w:val="20"/>
          <w:lang w:eastAsia="en-US"/>
        </w:rPr>
        <w:t>olarak  daha</w:t>
      </w:r>
      <w:proofErr w:type="gramEnd"/>
      <w:r w:rsidRPr="00A72C4D">
        <w:rPr>
          <w:bCs/>
          <w:szCs w:val="20"/>
          <w:lang w:eastAsia="en-US"/>
        </w:rPr>
        <w:t xml:space="preserve"> önce tespit edilen damping marjları %9,9 ile %28,6 arasında değişen önemli düzeylerdedir.</w:t>
      </w:r>
    </w:p>
    <w:p w:rsidR="009573E9" w:rsidRPr="00C15E39" w:rsidRDefault="009573E9" w:rsidP="009573E9">
      <w:pPr>
        <w:jc w:val="both"/>
      </w:pPr>
    </w:p>
    <w:p w:rsidR="008E4B08" w:rsidRDefault="009A1355" w:rsidP="0023793B">
      <w:pPr>
        <w:rPr>
          <w:b/>
        </w:rPr>
      </w:pPr>
      <w:r w:rsidRPr="00006558">
        <w:rPr>
          <w:b/>
        </w:rPr>
        <w:t>4</w:t>
      </w:r>
      <w:r w:rsidR="008E4B08" w:rsidRPr="00006558">
        <w:rPr>
          <w:b/>
        </w:rPr>
        <w:t xml:space="preserve">.8 </w:t>
      </w:r>
      <w:r w:rsidR="00164FF4" w:rsidRPr="00006558">
        <w:rPr>
          <w:b/>
        </w:rPr>
        <w:t>Yerli üretim dalının ekonomik göstergelerinin değerlendirilmesi</w:t>
      </w:r>
    </w:p>
    <w:p w:rsidR="00064D77" w:rsidRPr="001D7D28" w:rsidRDefault="00064D77" w:rsidP="00064D77">
      <w:pPr>
        <w:spacing w:after="240"/>
        <w:jc w:val="both"/>
      </w:pPr>
      <w:r w:rsidRPr="001D7D28">
        <w:rPr>
          <w:bCs/>
          <w:noProof/>
        </w:rPr>
        <w:t>(</w:t>
      </w:r>
      <w:r w:rsidRPr="001D7D28">
        <w:t>1) Yerli üretim dalının ekonomik göstergeleri bir bütün olarak değerlendirildiğinde; gözden geçirme döneminde ürünün birim yurtiçi satış fiyatının artış kaydettiği ve firma bilanço aktif toplamı ve firma tevsi yatırımları gibi bazı göstergelerinin ise olumlu seyir izlediği görülmüştür.</w:t>
      </w:r>
    </w:p>
    <w:p w:rsidR="00064D77" w:rsidRDefault="00064D77" w:rsidP="00064D77">
      <w:pPr>
        <w:spacing w:after="240"/>
        <w:jc w:val="both"/>
      </w:pPr>
      <w:r w:rsidRPr="001D7D28">
        <w:t xml:space="preserve">(2) Diğer taraftan, yerli üretim dalının önlem konusu üründe 2014-2016 yıllarını kapsayan dönemde miktar bazında üretim, yurtiçi satışlar ve yurtdışı satışlarının kademeli olarak azaldığı görülmüştür. Ayrıca, 2016 yılında 2015 yılına göre karlılığın, </w:t>
      </w:r>
      <w:proofErr w:type="spellStart"/>
      <w:r w:rsidRPr="001D7D28">
        <w:t>özsermayenin</w:t>
      </w:r>
      <w:proofErr w:type="spellEnd"/>
      <w:r w:rsidRPr="001D7D28">
        <w:t xml:space="preserve"> ve net satış toplamındaki gerileme nedeniyle nakit akışının azaldığı, dönem sonu stoklarının yükseldiği, stok çevrim hızının </w:t>
      </w:r>
      <w:proofErr w:type="gramStart"/>
      <w:r w:rsidRPr="001D7D28">
        <w:t>ise  düşüş</w:t>
      </w:r>
      <w:proofErr w:type="gramEnd"/>
      <w:r w:rsidRPr="001D7D28">
        <w:t xml:space="preserve"> gösterdiği tespit edilmiştir.</w:t>
      </w:r>
    </w:p>
    <w:p w:rsidR="00064D77" w:rsidRPr="00C15E39" w:rsidRDefault="00064D77" w:rsidP="00064D77">
      <w:pPr>
        <w:spacing w:after="240"/>
        <w:jc w:val="both"/>
      </w:pPr>
      <w:r>
        <w:t>(3) Diğer taraftan, nihai bildirim safhasında bazı ihracatçı firmalar tarafından yerli üretim dalının ekonomik göstergelerinin olumlu bir seyir izlediği, yerli üretim dalının kapasite ve yatırımlarını artırabildiği ve yerli üretim dalı üzerinde bir zarar oluşmadığı belirtilmiştir. Öte yandan, yerli üretim dalı tarafından yatırımlarda görülen artışın makine aksam parçalarının tadil zorunluluğundan kaynaklanan tevzi yatırımlardan kaynaklandığı ifade edilmiştir.</w:t>
      </w:r>
    </w:p>
    <w:p w:rsidR="00064D77" w:rsidRDefault="00064D77" w:rsidP="00DF4E77">
      <w:pPr>
        <w:jc w:val="both"/>
      </w:pPr>
    </w:p>
    <w:p w:rsidR="00D17BE4" w:rsidRDefault="00D17BE4" w:rsidP="00DF4E77">
      <w:pPr>
        <w:jc w:val="both"/>
      </w:pPr>
    </w:p>
    <w:p w:rsidR="00D17BE4" w:rsidRDefault="00D17BE4" w:rsidP="00DF4E77">
      <w:pPr>
        <w:jc w:val="both"/>
      </w:pPr>
    </w:p>
    <w:p w:rsidR="00D17BE4" w:rsidRPr="00006558" w:rsidRDefault="00D17BE4" w:rsidP="00DF4E77">
      <w:pPr>
        <w:jc w:val="both"/>
      </w:pPr>
    </w:p>
    <w:p w:rsidR="00164FF4" w:rsidRPr="00006558" w:rsidRDefault="00DF4E77" w:rsidP="008E4B08">
      <w:pPr>
        <w:tabs>
          <w:tab w:val="left" w:pos="709"/>
        </w:tabs>
        <w:rPr>
          <w:b/>
          <w:bCs/>
          <w:caps/>
        </w:rPr>
      </w:pPr>
      <w:r w:rsidRPr="000A7B8F">
        <w:rPr>
          <w:b/>
          <w:bCs/>
          <w:caps/>
        </w:rPr>
        <w:lastRenderedPageBreak/>
        <w:t>5</w:t>
      </w:r>
      <w:r w:rsidR="008E4B08" w:rsidRPr="000A7B8F">
        <w:rPr>
          <w:b/>
          <w:bCs/>
          <w:caps/>
        </w:rPr>
        <w:t xml:space="preserve">. </w:t>
      </w:r>
      <w:r w:rsidR="00164FF4" w:rsidRPr="000A7B8F">
        <w:rPr>
          <w:b/>
          <w:bCs/>
          <w:caps/>
        </w:rPr>
        <w:t>Dampingin ve Zararın Devamı veya Yeniden Meydana Gelmesi İhtimalinin Değerlendirilmesi</w:t>
      </w:r>
    </w:p>
    <w:p w:rsidR="00164FF4" w:rsidRPr="00006558" w:rsidRDefault="00164FF4" w:rsidP="00164FF4">
      <w:pPr>
        <w:tabs>
          <w:tab w:val="left" w:pos="709"/>
        </w:tabs>
        <w:ind w:firstLine="567"/>
        <w:rPr>
          <w:b/>
          <w:bCs/>
        </w:rPr>
      </w:pPr>
    </w:p>
    <w:p w:rsidR="00164FF4" w:rsidRPr="00006558" w:rsidRDefault="00DF4E77" w:rsidP="008E4B08">
      <w:pPr>
        <w:tabs>
          <w:tab w:val="left" w:pos="709"/>
        </w:tabs>
        <w:rPr>
          <w:b/>
          <w:bCs/>
        </w:rPr>
      </w:pPr>
      <w:r w:rsidRPr="00006558">
        <w:rPr>
          <w:b/>
          <w:bCs/>
        </w:rPr>
        <w:t>5</w:t>
      </w:r>
      <w:r w:rsidR="008E4B08" w:rsidRPr="00006558">
        <w:rPr>
          <w:b/>
          <w:bCs/>
        </w:rPr>
        <w:t xml:space="preserve">.1 </w:t>
      </w:r>
      <w:r w:rsidR="00164FF4" w:rsidRPr="00006558">
        <w:rPr>
          <w:b/>
          <w:bCs/>
        </w:rPr>
        <w:t>Genel açıklamalar</w:t>
      </w:r>
    </w:p>
    <w:p w:rsidR="00602476" w:rsidRDefault="00164FF4" w:rsidP="00602476">
      <w:pPr>
        <w:pStyle w:val="GvdeMetniGirintisi3"/>
        <w:ind w:left="0" w:firstLine="0"/>
        <w:rPr>
          <w:bCs/>
        </w:rPr>
      </w:pPr>
      <w:r w:rsidRPr="00006558">
        <w:t>(1)</w:t>
      </w:r>
      <w:r w:rsidRPr="00006558">
        <w:rPr>
          <w:b/>
          <w:bCs/>
        </w:rPr>
        <w:t xml:space="preserve"> </w:t>
      </w:r>
      <w:r w:rsidR="007B1ADE" w:rsidRPr="00006558">
        <w:t>Yönetmelik’in</w:t>
      </w:r>
      <w:r w:rsidR="00BC461F" w:rsidRPr="00006558">
        <w:rPr>
          <w:bCs/>
        </w:rPr>
        <w:t xml:space="preserve"> 35 inci maddesi hükümleri gereğince, önlemin yürürlükten kalkması halinde </w:t>
      </w:r>
      <w:proofErr w:type="gramStart"/>
      <w:r w:rsidR="00BC461F" w:rsidRPr="00006558">
        <w:rPr>
          <w:bCs/>
        </w:rPr>
        <w:t>dampingin</w:t>
      </w:r>
      <w:proofErr w:type="gramEnd"/>
      <w:r w:rsidR="00BC461F" w:rsidRPr="00006558">
        <w:rPr>
          <w:bCs/>
        </w:rPr>
        <w:t xml:space="preserve"> ve zararın devam etmesinin veya yeniden meydana gelmesinin muhtemel olup olmadığı değerlendirilmiştir.</w:t>
      </w:r>
      <w:r w:rsidR="00BC461F" w:rsidRPr="00006558">
        <w:t xml:space="preserve"> </w:t>
      </w:r>
      <w:r w:rsidR="00BC461F" w:rsidRPr="00006558">
        <w:rPr>
          <w:bCs/>
        </w:rPr>
        <w:t>Bu çerçevede, önleme tabi ülke</w:t>
      </w:r>
      <w:r w:rsidR="00A84324" w:rsidRPr="00006558">
        <w:rPr>
          <w:bCs/>
        </w:rPr>
        <w:t>ler</w:t>
      </w:r>
      <w:r w:rsidR="00BC461F" w:rsidRPr="00006558">
        <w:rPr>
          <w:bCs/>
        </w:rPr>
        <w:t xml:space="preserve">deki kapasite ve ihracat potansiyeli ile talebi etkileyen unsurlar incelenmiştir. </w:t>
      </w:r>
      <w:r w:rsidR="00BC461F" w:rsidRPr="00006558">
        <w:t xml:space="preserve">Önleme tabi </w:t>
      </w:r>
      <w:r w:rsidR="00602476" w:rsidRPr="00006558">
        <w:t xml:space="preserve">ülkelerin ihracat kabiliyeti, Uluslararası Ticaret Merkezi (International </w:t>
      </w:r>
      <w:proofErr w:type="spellStart"/>
      <w:r w:rsidR="00602476" w:rsidRPr="00006558">
        <w:t>Trade</w:t>
      </w:r>
      <w:proofErr w:type="spellEnd"/>
      <w:r w:rsidR="00602476" w:rsidRPr="00006558">
        <w:t xml:space="preserve"> Center - ITC) verileri</w:t>
      </w:r>
      <w:r w:rsidR="000A7B8F">
        <w:rPr>
          <w:bCs/>
        </w:rPr>
        <w:t>nden</w:t>
      </w:r>
      <w:r w:rsidR="00602476" w:rsidRPr="00006558">
        <w:rPr>
          <w:bCs/>
        </w:rPr>
        <w:t xml:space="preserve"> faydalanılarak incelenmiştir.</w:t>
      </w:r>
    </w:p>
    <w:p w:rsidR="00D658B0" w:rsidRDefault="00D658B0" w:rsidP="00BC461F">
      <w:pPr>
        <w:pStyle w:val="GvdeMetniGirintisi3"/>
        <w:ind w:left="0" w:firstLine="0"/>
        <w:rPr>
          <w:b/>
        </w:rPr>
      </w:pPr>
    </w:p>
    <w:p w:rsidR="009D662D" w:rsidRPr="00006558" w:rsidRDefault="00DF4E77" w:rsidP="00BC461F">
      <w:pPr>
        <w:pStyle w:val="GvdeMetniGirintisi3"/>
        <w:ind w:left="0" w:firstLine="0"/>
        <w:rPr>
          <w:b/>
        </w:rPr>
      </w:pPr>
      <w:r w:rsidRPr="00006558">
        <w:rPr>
          <w:b/>
        </w:rPr>
        <w:t>5</w:t>
      </w:r>
      <w:r w:rsidR="009D662D" w:rsidRPr="00006558">
        <w:rPr>
          <w:b/>
        </w:rPr>
        <w:t>.2 Damping</w:t>
      </w:r>
      <w:r w:rsidR="00A97583" w:rsidRPr="00006558">
        <w:rPr>
          <w:b/>
        </w:rPr>
        <w:t>in</w:t>
      </w:r>
      <w:r w:rsidR="009D662D" w:rsidRPr="00006558">
        <w:rPr>
          <w:b/>
        </w:rPr>
        <w:t xml:space="preserve"> devamına veya yeniden meydana </w:t>
      </w:r>
      <w:r w:rsidR="00B63F74" w:rsidRPr="00006558">
        <w:rPr>
          <w:b/>
        </w:rPr>
        <w:t>gelme</w:t>
      </w:r>
      <w:r w:rsidR="009D662D" w:rsidRPr="00006558">
        <w:rPr>
          <w:b/>
        </w:rPr>
        <w:t xml:space="preserve"> ihtimaline ilişkin belirlemeler</w:t>
      </w:r>
    </w:p>
    <w:p w:rsidR="009D662D" w:rsidRPr="00006558" w:rsidRDefault="009D662D" w:rsidP="009D662D">
      <w:pPr>
        <w:jc w:val="both"/>
      </w:pPr>
      <w:r w:rsidRPr="00006558">
        <w:t xml:space="preserve">(1) Bu raporun üçüncü bölümündeki değerlendirme çerçevesinde mevcut önlemin yürürlükten kaldırılması halinde </w:t>
      </w:r>
      <w:proofErr w:type="gramStart"/>
      <w:r w:rsidRPr="00006558">
        <w:t>dampinge</w:t>
      </w:r>
      <w:proofErr w:type="gramEnd"/>
      <w:r w:rsidRPr="00006558">
        <w:t xml:space="preserve"> konu olan soruşturma konusu ithalatın </w:t>
      </w:r>
      <w:r w:rsidR="00006960" w:rsidRPr="00006558">
        <w:t>yeniden ortaya çıkmasının muhtemel olduğu</w:t>
      </w:r>
      <w:r w:rsidR="00805A07" w:rsidRPr="00006558">
        <w:t>na kanaat getirilmiştir.</w:t>
      </w:r>
    </w:p>
    <w:p w:rsidR="009D662D" w:rsidRPr="00006558" w:rsidRDefault="009D662D" w:rsidP="009D662D">
      <w:pPr>
        <w:ind w:firstLine="708"/>
        <w:jc w:val="both"/>
      </w:pPr>
    </w:p>
    <w:p w:rsidR="000A7B8F" w:rsidRDefault="00DA4039" w:rsidP="00DA4039">
      <w:pPr>
        <w:jc w:val="both"/>
      </w:pPr>
      <w:r>
        <w:t xml:space="preserve">(2) </w:t>
      </w:r>
      <w:r w:rsidR="009D662D" w:rsidRPr="00006558">
        <w:t xml:space="preserve">Değerlendirmelerde bütünlük sağlamak amacıyla, meri önlemin yürürlükten kaldırılması halinde </w:t>
      </w:r>
      <w:r w:rsidR="00BC461F" w:rsidRPr="00006558">
        <w:t>önlem konusu ülkeler</w:t>
      </w:r>
      <w:r w:rsidR="009D662D" w:rsidRPr="00006558">
        <w:t xml:space="preserve"> menşeli ihracat kapasitesinin Türkiye piyasasına yönelme ihtimali incelenmiştir. </w:t>
      </w:r>
    </w:p>
    <w:p w:rsidR="000A7B8F" w:rsidRDefault="000A7B8F" w:rsidP="000A7B8F">
      <w:pPr>
        <w:pStyle w:val="ListeParagraf"/>
        <w:ind w:left="360"/>
        <w:jc w:val="both"/>
      </w:pPr>
    </w:p>
    <w:p w:rsidR="00A0476B" w:rsidRPr="00006558" w:rsidRDefault="00DA4039" w:rsidP="00DA4039">
      <w:pPr>
        <w:jc w:val="both"/>
      </w:pPr>
      <w:r>
        <w:t xml:space="preserve">(3) </w:t>
      </w:r>
      <w:r w:rsidR="00BC461F" w:rsidRPr="00006558">
        <w:t>İlk soruşturmad</w:t>
      </w:r>
      <w:r w:rsidR="00B35105" w:rsidRPr="00006558">
        <w:t xml:space="preserve">a tespit edilen </w:t>
      </w:r>
      <w:proofErr w:type="gramStart"/>
      <w:r w:rsidR="000A7B8F">
        <w:t>damping</w:t>
      </w:r>
      <w:proofErr w:type="gramEnd"/>
      <w:r w:rsidR="000A7B8F">
        <w:t xml:space="preserve"> marjlarının </w:t>
      </w:r>
      <w:r w:rsidR="000A7B8F" w:rsidRPr="00C15E39">
        <w:t>%6,8-28, arasında değişen</w:t>
      </w:r>
      <w:r w:rsidR="000A7B8F">
        <w:t xml:space="preserve"> önemli oranlarda</w:t>
      </w:r>
      <w:r w:rsidR="00A0476B" w:rsidRPr="00006558">
        <w:t xml:space="preserve"> olduğu göz önünde bulundurulduğunda söz konusu damping marjı seviyelerinin meri önlemin mevcut olmadığı piyasa koşullarında üretici/ihracatçı firmaların dampinge konu fiyatlarla soruşturma konusu ürünü Türkiye’ye ihraç etme eğilimini göstermesi bakımından önem arz ettiği düşünülmektedir. </w:t>
      </w:r>
    </w:p>
    <w:p w:rsidR="00B35105" w:rsidRPr="00006558" w:rsidRDefault="00B35105" w:rsidP="00922B44">
      <w:pPr>
        <w:jc w:val="both"/>
      </w:pPr>
    </w:p>
    <w:p w:rsidR="002C059B" w:rsidRPr="00C15E39" w:rsidRDefault="00DA4039" w:rsidP="002C059B">
      <w:pPr>
        <w:pStyle w:val="GvdeMetniGirintisi3"/>
        <w:ind w:left="0" w:firstLine="0"/>
      </w:pPr>
      <w:r>
        <w:t xml:space="preserve">(4) </w:t>
      </w:r>
      <w:r w:rsidR="007F0565">
        <w:t>ITC verilerine göre, d</w:t>
      </w:r>
      <w:r w:rsidR="002C059B" w:rsidRPr="00C15E39">
        <w:t xml:space="preserve">ünya </w:t>
      </w:r>
      <w:r w:rsidR="007F0565">
        <w:t xml:space="preserve">toplam ihracatı 2016 yılında </w:t>
      </w:r>
      <w:r w:rsidR="002C059B" w:rsidRPr="00C15E39">
        <w:t xml:space="preserve">miktar bazında 6 milyon </w:t>
      </w:r>
      <w:proofErr w:type="spellStart"/>
      <w:r w:rsidR="002C059B" w:rsidRPr="00C15E39">
        <w:t>ton</w:t>
      </w:r>
      <w:r w:rsidR="007F0565">
        <w:t>olarak</w:t>
      </w:r>
      <w:proofErr w:type="spellEnd"/>
      <w:r w:rsidR="007F0565">
        <w:t xml:space="preserve"> gerçekleşmiştir. Bu çerçevede, soruşturma konusu ülkelerin ihracat potansiyeli ve kabiliyeti değerlendirildiğinde, e</w:t>
      </w:r>
      <w:r w:rsidR="002C059B" w:rsidRPr="00C15E39">
        <w:t>n çok ihracat g</w:t>
      </w:r>
      <w:r w:rsidR="002C059B">
        <w:t xml:space="preserve">erçekleştiren ülke olan </w:t>
      </w:r>
      <w:proofErr w:type="spellStart"/>
      <w:r w:rsidR="002C059B" w:rsidRPr="00C15E39">
        <w:t>ÇHC’yi</w:t>
      </w:r>
      <w:proofErr w:type="spellEnd"/>
      <w:r w:rsidR="007F0565">
        <w:t xml:space="preserve"> Hindistan ve Tayvan’ın takip ettiği tespit edilmiştir</w:t>
      </w:r>
      <w:r w:rsidR="002C059B" w:rsidRPr="00C15E39">
        <w:t xml:space="preserve">. Dünya ihracat sıralamasında ikinci sırada yer alan Hindistan 2014 yılında 684 bin ton (802 milyon dolar) , 2015 yılında 660 bin ton (743 milyon dolar) , 2016 yılında ise 574 bin ton (714 milyon dolar) ihracat gerçekleştirirmiştir. Sıralamada üçüncü sırada yer alan Tayvan ise 2014-2016 yılları arasında sırayla 478 bin ton (320 milyon dolar) , 427 bin ton (277 milyon dolar), 435 bin ton (262 milyon dolar) ihracat yapmıştır. </w:t>
      </w:r>
    </w:p>
    <w:p w:rsidR="002C059B" w:rsidRPr="00C15E39" w:rsidRDefault="002C059B" w:rsidP="002C059B">
      <w:pPr>
        <w:pStyle w:val="GvdeMetniGirintisi3"/>
      </w:pPr>
    </w:p>
    <w:p w:rsidR="002C059B" w:rsidRDefault="002C059B" w:rsidP="002C059B">
      <w:pPr>
        <w:jc w:val="both"/>
      </w:pPr>
      <w:r>
        <w:t>(5</w:t>
      </w:r>
      <w:r w:rsidRPr="00C15E39">
        <w:t xml:space="preserve">) ITC verilerine göre 2014-2016 yıllarında soruşturma konusu ülkelerin soruşturma konusu üründe dünya ihracat pazarından aldıkları toplam pay </w:t>
      </w:r>
      <w:r>
        <w:t xml:space="preserve">miktar bazında </w:t>
      </w:r>
      <w:r w:rsidRPr="00C15E39">
        <w:t>%28 olarak gerçekleşmiştir. Buna göre, soruşturma konusu ülkelerin 2014 yılında 1,1 milyar ABD Doları olan toplam ihracatları, 2015 yılında 1 milyar ABD Doları, 2016 yılında ise 976 milyon ABD Doları olarak gerçekleşmiştir. İhracat miktar verilerine bakıldığında ise, soruşturma konusu ülkelerden gerçekleşen toplam ihracat miktarı 2014 yılında 1,1 milyon ton iken, 2015 ve 2016 yıllarında 1 milyon ton olarak gerçekleşmiştir. Ayrıca, 2016 yılı verilerine göre, soruşturma konusu ülkeler tarafından gerçekleştirilen miktar bazında toplam ihracatın dünya geneli içindeki payı ise  %17’dir.</w:t>
      </w:r>
    </w:p>
    <w:p w:rsidR="002C059B" w:rsidRDefault="002C059B" w:rsidP="00DA4039">
      <w:pPr>
        <w:jc w:val="both"/>
      </w:pPr>
    </w:p>
    <w:p w:rsidR="00DA4039" w:rsidRDefault="00DA4039" w:rsidP="00DA4039">
      <w:pPr>
        <w:jc w:val="both"/>
      </w:pPr>
      <w:r>
        <w:t>(</w:t>
      </w:r>
      <w:r w:rsidR="00D639B6">
        <w:t>6</w:t>
      </w:r>
      <w:r>
        <w:t>) Bunun dışında, PCI Dergisinin 2016 yılı raporuna göre Hindistan’ın 2016 yılında 6,1 milyon ton olan polyester polimer üretiminin 2020 yılında 8 milyon tona, 2026 yılında ise 11,6 milyon tona ulaşması beklenmektedir. Her ne kadar bu veri iplik haricindeki sektörleri de içeriyor olsa da bu üretim artışının iplik sektörünü de etkileyebileceği düşünülmektedir.</w:t>
      </w:r>
    </w:p>
    <w:p w:rsidR="00DA4039" w:rsidRDefault="00DA4039" w:rsidP="00DA4039">
      <w:pPr>
        <w:jc w:val="both"/>
      </w:pPr>
    </w:p>
    <w:p w:rsidR="00DA4039" w:rsidRDefault="00DA4039" w:rsidP="00DA4039">
      <w:pPr>
        <w:jc w:val="both"/>
      </w:pPr>
      <w:r>
        <w:t xml:space="preserve"> (</w:t>
      </w:r>
      <w:r w:rsidR="00D639B6">
        <w:t>7</w:t>
      </w:r>
      <w:r>
        <w:t xml:space="preserve">) Esas soruşturmada ve takip eden nihai gözden geçirme soruşturmalarında ithalatçı firmaların </w:t>
      </w:r>
      <w:proofErr w:type="gramStart"/>
      <w:r>
        <w:t>dampingli</w:t>
      </w:r>
      <w:proofErr w:type="gramEnd"/>
      <w:r>
        <w:t xml:space="preserve"> ithalatı tercih etmelerindeki en önemli faktörlerden birinin kendileri için </w:t>
      </w:r>
      <w:r>
        <w:lastRenderedPageBreak/>
        <w:t xml:space="preserve">rekabet avantajı sağlayan düşük fiyat olduğu tespit edilmiştir. Bu tespitin geçerliliğini sürdürdüğü değerlendirilmektedir. </w:t>
      </w:r>
    </w:p>
    <w:p w:rsidR="00DA4039" w:rsidRDefault="00DA4039" w:rsidP="00DA4039">
      <w:pPr>
        <w:jc w:val="both"/>
      </w:pPr>
    </w:p>
    <w:p w:rsidR="00DA4039" w:rsidRPr="00006558" w:rsidRDefault="00DA4039" w:rsidP="00DA4039">
      <w:pPr>
        <w:jc w:val="both"/>
      </w:pPr>
      <w:r>
        <w:t xml:space="preserve"> (</w:t>
      </w:r>
      <w:r w:rsidR="00D639B6">
        <w:t>8</w:t>
      </w:r>
      <w:r>
        <w:t xml:space="preserve">) Bu bölümde incelenen verilerin bir bütün olarak değerlendirilmesi neticesinde, meri önlemin yürürlükten kalkması halinde Hindistan ve Tayvan menşeli ihracatın Türkiye’ye yöneleceği ve bunun </w:t>
      </w:r>
      <w:proofErr w:type="gramStart"/>
      <w:r>
        <w:t>sonucunda  dampingin</w:t>
      </w:r>
      <w:proofErr w:type="gramEnd"/>
      <w:r>
        <w:t xml:space="preserve"> devam etmesinin veya yeniden meydana gelmesinin muhtemel olduğu değerlendirilmektedir. </w:t>
      </w:r>
    </w:p>
    <w:p w:rsidR="00BC461F" w:rsidRPr="00006558" w:rsidRDefault="00BC461F" w:rsidP="00BC461F">
      <w:pPr>
        <w:jc w:val="both"/>
      </w:pPr>
    </w:p>
    <w:p w:rsidR="009D662D" w:rsidRDefault="00DF4E77" w:rsidP="00F217D8">
      <w:pPr>
        <w:jc w:val="both"/>
        <w:rPr>
          <w:b/>
        </w:rPr>
      </w:pPr>
      <w:r w:rsidRPr="00006558">
        <w:rPr>
          <w:b/>
        </w:rPr>
        <w:t>5</w:t>
      </w:r>
      <w:r w:rsidR="009D662D" w:rsidRPr="00006558">
        <w:rPr>
          <w:b/>
        </w:rPr>
        <w:t xml:space="preserve">.3 Zararın devamı veya yeniden meydana gelebilme ihtimaline ilişkin belirlemeler </w:t>
      </w:r>
    </w:p>
    <w:p w:rsidR="00DA4039" w:rsidRPr="00C15E39" w:rsidRDefault="00DA4039" w:rsidP="00DA4039">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C15E39">
        <w:rPr>
          <w:color w:val="auto"/>
        </w:rPr>
        <w:t xml:space="preserve">1) Soruşturma konusu ülkelerden gerçekleşen ithalatın mutlak olarak arttığı, soruşturma konusu ülkelerin pazar payının yükseldiği tespit edilmiştir. Bu </w:t>
      </w:r>
      <w:proofErr w:type="gramStart"/>
      <w:r w:rsidRPr="00C15E39">
        <w:rPr>
          <w:color w:val="auto"/>
        </w:rPr>
        <w:t>çerçevede  2017</w:t>
      </w:r>
      <w:proofErr w:type="gramEnd"/>
      <w:r w:rsidRPr="00C15E39">
        <w:rPr>
          <w:color w:val="auto"/>
        </w:rPr>
        <w:t xml:space="preserve"> yılında 2016 yılına göre tekstil sektörü %2,5 civarında büyüme kaydetmiş olup, anılan dönemde tekstil ürünleri ihracatı  değer ve miktar  bazında %6 artarak  2,2 milyon tondan (9,4 milyar ABD Doları) 2,3 milyon tona (10 milyar ABD Doları) yükselmiştir. 2017-2018 yılı Nisan ayı verilerine göre ise te</w:t>
      </w:r>
      <w:r w:rsidR="007F0565">
        <w:rPr>
          <w:color w:val="auto"/>
        </w:rPr>
        <w:t>kstil ürünleri ihracatı miktar b</w:t>
      </w:r>
      <w:r w:rsidRPr="00C15E39">
        <w:rPr>
          <w:color w:val="auto"/>
        </w:rPr>
        <w:t xml:space="preserve">azında %3, değer bazında %10 oranında </w:t>
      </w:r>
      <w:proofErr w:type="gramStart"/>
      <w:r w:rsidRPr="00C15E39">
        <w:rPr>
          <w:color w:val="auto"/>
        </w:rPr>
        <w:t>artışla  775</w:t>
      </w:r>
      <w:proofErr w:type="gramEnd"/>
      <w:r w:rsidRPr="00C15E39">
        <w:rPr>
          <w:color w:val="auto"/>
        </w:rPr>
        <w:t xml:space="preserve"> bin tondan (3,2 milyon ABD Doları)  804 bin tona (3,5 ABD Doları) yükselmiştir. Tekstil sektöründe görülen büyüme ve ihracat artışının kumaş üretiminde kullanılan soruşturma konusu ürünün ithalatını artırıcı bir etkisinin bulunduğu değerlendirilmektedir.</w:t>
      </w:r>
    </w:p>
    <w:p w:rsidR="00DA4039" w:rsidRPr="00C15E39" w:rsidRDefault="00DA4039" w:rsidP="00DA4039">
      <w:pPr>
        <w:pStyle w:val="GvdeMetni"/>
        <w:widowControl w:val="0"/>
        <w:shd w:val="clear" w:color="auto" w:fill="auto"/>
        <w:tabs>
          <w:tab w:val="left" w:pos="990"/>
          <w:tab w:val="left" w:pos="1620"/>
          <w:tab w:val="left" w:pos="2268"/>
          <w:tab w:val="left" w:pos="2410"/>
        </w:tabs>
        <w:suppressAutoHyphens/>
        <w:autoSpaceDE w:val="0"/>
        <w:autoSpaceDN w:val="0"/>
        <w:ind w:firstLine="426"/>
        <w:rPr>
          <w:bCs/>
          <w:color w:val="auto"/>
        </w:rPr>
      </w:pPr>
    </w:p>
    <w:p w:rsidR="00DA4039" w:rsidRPr="00C15E39" w:rsidRDefault="00DA4039" w:rsidP="00DA4039">
      <w:pPr>
        <w:pStyle w:val="GvdeMetniGirintisi3"/>
        <w:ind w:left="0" w:firstLine="0"/>
      </w:pPr>
      <w:r w:rsidRPr="00C15E39">
        <w:t xml:space="preserve">(2) Tekstil sektörü büyürken ve buna bağlı olarak önlem konusu ipliklerde talep artışı olduğu ortamda, yerli üretim dalının önlem konusu üründe 2014-2016 yıllarını kapsayan dönemde miktar bazında üretim, yurtiçi satışlar ve yurtdışı satışlarının kademeli olarak azaldığı görülmüştür. 2016 yılında 2015 yılına göre karlılığın, dönem net kârının, </w:t>
      </w:r>
      <w:proofErr w:type="spellStart"/>
      <w:r w:rsidRPr="00C15E39">
        <w:t>özsermayenin</w:t>
      </w:r>
      <w:proofErr w:type="spellEnd"/>
      <w:r w:rsidRPr="00C15E39">
        <w:t xml:space="preserve"> ve net satış toplamındaki gerileme nedeniyle nakit akışının azaldığı, dönem sonu stoklarının yükseldiği, stok çevrim hızının </w:t>
      </w:r>
      <w:proofErr w:type="gramStart"/>
      <w:r w:rsidRPr="00C15E39">
        <w:t>ise  düşüş</w:t>
      </w:r>
      <w:proofErr w:type="gramEnd"/>
      <w:r w:rsidRPr="00C15E39">
        <w:t xml:space="preserve"> gösterdiği tespit edilmiştir.</w:t>
      </w:r>
    </w:p>
    <w:p w:rsidR="00DA4039" w:rsidRPr="00C15E39" w:rsidRDefault="00DA4039" w:rsidP="00DA4039">
      <w:pPr>
        <w:pStyle w:val="GvdeMetniGirintisi3"/>
        <w:ind w:left="0" w:firstLine="567"/>
      </w:pPr>
    </w:p>
    <w:p w:rsidR="00DA4039" w:rsidRPr="00C15E39" w:rsidRDefault="00DA4039" w:rsidP="00DA4039">
      <w:pPr>
        <w:pStyle w:val="GvdeMetniGirintisi3"/>
        <w:ind w:left="0" w:firstLine="0"/>
      </w:pPr>
      <w:r w:rsidRPr="00C15E39">
        <w:t xml:space="preserve">(3) Soruşturmaya konu ithalatın fiyat etkisi bakımından Hindistan menşeli ithalatın yerli üretim dalının fiyatları üzerinde kırılma ve baskıya neden olduğu tespit edilmiştir. </w:t>
      </w:r>
    </w:p>
    <w:p w:rsidR="00DA4039" w:rsidRPr="00C15E39" w:rsidRDefault="00DA4039" w:rsidP="00DA4039">
      <w:pPr>
        <w:pStyle w:val="GvdeMetniGirintisi3"/>
        <w:ind w:left="0" w:firstLine="567"/>
      </w:pPr>
    </w:p>
    <w:p w:rsidR="00DA4039" w:rsidRDefault="00DA4039" w:rsidP="00DA4039">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C15E39">
        <w:rPr>
          <w:color w:val="auto"/>
        </w:rPr>
        <w:t xml:space="preserve">(4) Bu bölümde incelenen verilerin bir bütün olarak değerlendirilmesi neticesinde, meri önlemin yürürlükten kalkması halinde zararın devam etmesinin veya yeniden meydana gelmesinin muhtemel olduğu değerlendirilmektedir. </w:t>
      </w:r>
    </w:p>
    <w:p w:rsidR="00DA4039" w:rsidRPr="00006558" w:rsidRDefault="00DA4039" w:rsidP="00F217D8">
      <w:pPr>
        <w:jc w:val="both"/>
        <w:rPr>
          <w:b/>
        </w:rPr>
      </w:pPr>
    </w:p>
    <w:p w:rsidR="00164FF4" w:rsidRDefault="00DF4E77" w:rsidP="008E4B08">
      <w:pPr>
        <w:jc w:val="both"/>
        <w:rPr>
          <w:b/>
          <w:caps/>
        </w:rPr>
      </w:pPr>
      <w:r w:rsidRPr="00006558">
        <w:rPr>
          <w:b/>
          <w:caps/>
        </w:rPr>
        <w:t>6</w:t>
      </w:r>
      <w:r w:rsidR="008E4B08" w:rsidRPr="00006558">
        <w:rPr>
          <w:b/>
          <w:caps/>
        </w:rPr>
        <w:t xml:space="preserve">. Genel </w:t>
      </w:r>
      <w:r w:rsidR="00164FF4" w:rsidRPr="00006558">
        <w:rPr>
          <w:b/>
          <w:caps/>
        </w:rPr>
        <w:t>Değerlendirme</w:t>
      </w:r>
      <w:r w:rsidR="008E4B08" w:rsidRPr="00006558">
        <w:rPr>
          <w:b/>
          <w:caps/>
        </w:rPr>
        <w:t xml:space="preserve"> ve Sonuç</w:t>
      </w:r>
    </w:p>
    <w:p w:rsidR="007F0565" w:rsidRPr="00006558" w:rsidRDefault="007F0565" w:rsidP="008E4B08">
      <w:pPr>
        <w:jc w:val="both"/>
        <w:rPr>
          <w:b/>
          <w:caps/>
        </w:rPr>
      </w:pPr>
    </w:p>
    <w:p w:rsidR="009D52FF" w:rsidRDefault="007F0565"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r w:rsidRPr="007F0565">
        <w:rPr>
          <w:color w:val="auto"/>
        </w:rPr>
        <w:t>(</w:t>
      </w:r>
      <w:r w:rsidR="00164FF4" w:rsidRPr="007F0565">
        <w:rPr>
          <w:color w:val="auto"/>
        </w:rPr>
        <w:t xml:space="preserve">1) </w:t>
      </w:r>
      <w:r w:rsidR="009D52FF" w:rsidRPr="007F0565">
        <w:rPr>
          <w:color w:val="auto"/>
        </w:rPr>
        <w:t xml:space="preserve">Bu çerçevede, soruşturma neticesinde ulaşılan tespitleri değerlendiren Kurul’un kararı ve </w:t>
      </w:r>
      <w:r w:rsidR="009E4EEC" w:rsidRPr="007F0565">
        <w:rPr>
          <w:color w:val="auto"/>
        </w:rPr>
        <w:t xml:space="preserve">Ticaret </w:t>
      </w:r>
      <w:r w:rsidR="009D52FF" w:rsidRPr="007F0565">
        <w:rPr>
          <w:color w:val="auto"/>
        </w:rPr>
        <w:t xml:space="preserve">Bakanının onayı ile </w:t>
      </w:r>
      <w:r w:rsidR="00B9675E" w:rsidRPr="00B9675E">
        <w:rPr>
          <w:color w:val="auto"/>
        </w:rPr>
        <w:t xml:space="preserve">26/6/2014 tarihli ve 29042 sayılı Resmî </w:t>
      </w:r>
      <w:proofErr w:type="spellStart"/>
      <w:r w:rsidR="00B9675E" w:rsidRPr="00B9675E">
        <w:rPr>
          <w:color w:val="auto"/>
        </w:rPr>
        <w:t>Gazete’de</w:t>
      </w:r>
      <w:proofErr w:type="spellEnd"/>
      <w:r w:rsidR="00B9675E" w:rsidRPr="00B9675E">
        <w:rPr>
          <w:color w:val="auto"/>
        </w:rPr>
        <w:t xml:space="preserve"> yayımlanan İthalatta Haksız Rekabetin Önlenmesine İlişkin Tebliğ (Tebliğ No: 2014/15) ve 2/11/2016 tarihli ve 29876 sayılı Resmi </w:t>
      </w:r>
      <w:proofErr w:type="spellStart"/>
      <w:r w:rsidR="00B9675E" w:rsidRPr="00B9675E">
        <w:rPr>
          <w:color w:val="auto"/>
        </w:rPr>
        <w:t>Gazete’de</w:t>
      </w:r>
      <w:proofErr w:type="spellEnd"/>
      <w:r w:rsidR="00B9675E" w:rsidRPr="00B9675E">
        <w:rPr>
          <w:color w:val="auto"/>
        </w:rPr>
        <w:t xml:space="preserve"> yayımlanan 2012/22 Sayılı Tebliğde Değişiklik Yapılmasına Dair Tebliğ ile değişik 27/11/2012 tarihli ve 28480 sayılı Resmî </w:t>
      </w:r>
      <w:proofErr w:type="spellStart"/>
      <w:r w:rsidR="00B9675E" w:rsidRPr="00B9675E">
        <w:rPr>
          <w:color w:val="auto"/>
        </w:rPr>
        <w:t>Gazete’de</w:t>
      </w:r>
      <w:proofErr w:type="spellEnd"/>
      <w:r w:rsidR="00B9675E" w:rsidRPr="00B9675E">
        <w:rPr>
          <w:color w:val="auto"/>
        </w:rPr>
        <w:t xml:space="preserve"> yayımlanan İthalatta Haksız Rekabetin Önlenmesine İlişkin Tebliğ (Tebliğ No: 2012/22) vasıtasıyla yürürlükte olan </w:t>
      </w:r>
      <w:proofErr w:type="gramStart"/>
      <w:r w:rsidR="00B9675E" w:rsidRPr="00B9675E">
        <w:rPr>
          <w:color w:val="auto"/>
        </w:rPr>
        <w:t>dampinge</w:t>
      </w:r>
      <w:proofErr w:type="gramEnd"/>
      <w:r w:rsidR="00B9675E" w:rsidRPr="00B9675E">
        <w:rPr>
          <w:color w:val="auto"/>
        </w:rPr>
        <w:t xml:space="preserve"> karşı önlemin tabloda gösterilen mevcut biçimiyle uygulanmaya devam edilmesine</w:t>
      </w:r>
      <w:r w:rsidR="00B9675E" w:rsidRPr="007F0565">
        <w:rPr>
          <w:color w:val="auto"/>
        </w:rPr>
        <w:t xml:space="preserve"> </w:t>
      </w:r>
      <w:r w:rsidR="009D52FF" w:rsidRPr="007F0565">
        <w:rPr>
          <w:color w:val="auto"/>
        </w:rPr>
        <w:t>karar verilmiştir.</w:t>
      </w:r>
      <w:r w:rsidR="009E4EEC" w:rsidRPr="007F0565">
        <w:rPr>
          <w:color w:val="auto"/>
        </w:rPr>
        <w:t xml:space="preserve"> </w:t>
      </w:r>
    </w:p>
    <w:p w:rsidR="00D17BE4" w:rsidRPr="007F0565" w:rsidRDefault="00D17BE4"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658B0" w:rsidRDefault="00D658B0"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17BE4" w:rsidRDefault="00D17BE4"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17BE4" w:rsidRDefault="00D17BE4"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17BE4" w:rsidRDefault="00D17BE4"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p>
    <w:p w:rsidR="00D17BE4" w:rsidRPr="007F0565" w:rsidRDefault="00D17BE4" w:rsidP="007F0565">
      <w:pPr>
        <w:pStyle w:val="GvdeMetni"/>
        <w:widowControl w:val="0"/>
        <w:shd w:val="clear" w:color="auto" w:fill="auto"/>
        <w:tabs>
          <w:tab w:val="left" w:pos="990"/>
          <w:tab w:val="left" w:pos="1620"/>
          <w:tab w:val="left" w:pos="2268"/>
          <w:tab w:val="left" w:pos="2410"/>
        </w:tabs>
        <w:suppressAutoHyphens/>
        <w:autoSpaceDE w:val="0"/>
        <w:autoSpaceDN w:val="0"/>
        <w:rPr>
          <w:color w:val="auto"/>
        </w:rPr>
      </w:pPr>
      <w:bookmarkStart w:id="0" w:name="_GoBack"/>
      <w:bookmarkEnd w:id="0"/>
    </w:p>
    <w:p w:rsidR="00D658B0" w:rsidRDefault="00D658B0" w:rsidP="00F217D8">
      <w:pPr>
        <w:tabs>
          <w:tab w:val="left" w:pos="566"/>
        </w:tabs>
        <w:spacing w:line="240" w:lineRule="exact"/>
        <w:jc w:val="both"/>
      </w:pPr>
    </w:p>
    <w:tbl>
      <w:tblPr>
        <w:tblW w:w="8794" w:type="dxa"/>
        <w:tblInd w:w="65" w:type="dxa"/>
        <w:tblCellMar>
          <w:left w:w="0" w:type="dxa"/>
          <w:right w:w="0" w:type="dxa"/>
        </w:tblCellMar>
        <w:tblLook w:val="04A0" w:firstRow="1" w:lastRow="0" w:firstColumn="1" w:lastColumn="0" w:noHBand="0" w:noVBand="1"/>
      </w:tblPr>
      <w:tblGrid>
        <w:gridCol w:w="968"/>
        <w:gridCol w:w="2425"/>
        <w:gridCol w:w="1417"/>
        <w:gridCol w:w="2566"/>
        <w:gridCol w:w="1418"/>
      </w:tblGrid>
      <w:tr w:rsidR="00E37DDD" w:rsidTr="00E37DDD">
        <w:trPr>
          <w:trHeight w:val="1030"/>
        </w:trPr>
        <w:tc>
          <w:tcPr>
            <w:tcW w:w="1222" w:type="dxa"/>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jc w:val="center"/>
            </w:pPr>
            <w:r>
              <w:rPr>
                <w:b/>
                <w:bCs/>
                <w:sz w:val="18"/>
                <w:szCs w:val="18"/>
              </w:rPr>
              <w:lastRenderedPageBreak/>
              <w:t>TP</w:t>
            </w:r>
          </w:p>
        </w:tc>
        <w:tc>
          <w:tcPr>
            <w:tcW w:w="1902"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jc w:val="center"/>
            </w:pPr>
            <w:r>
              <w:rPr>
                <w:b/>
                <w:bCs/>
                <w:sz w:val="18"/>
                <w:szCs w:val="18"/>
              </w:rPr>
              <w:t> Madde Tanımı</w:t>
            </w:r>
          </w:p>
        </w:tc>
        <w:tc>
          <w:tcPr>
            <w:tcW w:w="1417"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jc w:val="center"/>
            </w:pPr>
            <w:r>
              <w:rPr>
                <w:b/>
                <w:bCs/>
                <w:sz w:val="18"/>
                <w:szCs w:val="18"/>
              </w:rPr>
              <w:t>Menşe Ülke</w:t>
            </w:r>
          </w:p>
        </w:tc>
        <w:tc>
          <w:tcPr>
            <w:tcW w:w="2835"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jc w:val="center"/>
            </w:pPr>
            <w:r>
              <w:rPr>
                <w:b/>
                <w:bCs/>
                <w:sz w:val="18"/>
                <w:szCs w:val="18"/>
              </w:rPr>
              <w:t>Firmalar</w:t>
            </w:r>
          </w:p>
        </w:tc>
        <w:tc>
          <w:tcPr>
            <w:tcW w:w="1418" w:type="dxa"/>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jc w:val="center"/>
            </w:pPr>
            <w:r>
              <w:rPr>
                <w:b/>
                <w:bCs/>
                <w:sz w:val="18"/>
                <w:szCs w:val="18"/>
              </w:rPr>
              <w:t>Dampinge Karşı Vergi (CIF %)</w:t>
            </w:r>
          </w:p>
        </w:tc>
      </w:tr>
      <w:tr w:rsidR="00E37DDD" w:rsidTr="00E37DDD">
        <w:trPr>
          <w:trHeight w:val="257"/>
        </w:trPr>
        <w:tc>
          <w:tcPr>
            <w:tcW w:w="1222" w:type="dxa"/>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jc w:val="center"/>
            </w:pPr>
            <w:r>
              <w:rPr>
                <w:sz w:val="18"/>
                <w:szCs w:val="18"/>
              </w:rPr>
              <w:t>5402.33</w:t>
            </w:r>
          </w:p>
        </w:tc>
        <w:tc>
          <w:tcPr>
            <w:tcW w:w="1902" w:type="dxa"/>
            <w:vMerge w:val="restart"/>
            <w:tcBorders>
              <w:top w:val="nil"/>
              <w:left w:val="nil"/>
              <w:bottom w:val="single" w:sz="8" w:space="0" w:color="000000"/>
              <w:right w:val="single" w:sz="8" w:space="0" w:color="auto"/>
            </w:tcBorders>
            <w:tcMar>
              <w:top w:w="0" w:type="dxa"/>
              <w:left w:w="70" w:type="dxa"/>
              <w:bottom w:w="0" w:type="dxa"/>
              <w:right w:w="70" w:type="dxa"/>
            </w:tcMar>
            <w:vAlign w:val="center"/>
            <w:hideMark/>
          </w:tcPr>
          <w:p w:rsidR="00E37DDD" w:rsidRDefault="00E37DDD">
            <w:pPr>
              <w:spacing w:line="240" w:lineRule="atLeast"/>
              <w:jc w:val="center"/>
            </w:pPr>
            <w:proofErr w:type="spellStart"/>
            <w:r>
              <w:rPr>
                <w:rStyle w:val="spelle"/>
                <w:sz w:val="18"/>
                <w:szCs w:val="18"/>
              </w:rPr>
              <w:t>PoliesterlerdenTekstüre</w:t>
            </w:r>
            <w:proofErr w:type="spellEnd"/>
            <w:r>
              <w:rPr>
                <w:sz w:val="18"/>
                <w:szCs w:val="18"/>
              </w:rPr>
              <w:t> İplikler</w:t>
            </w:r>
          </w:p>
        </w:tc>
        <w:tc>
          <w:tcPr>
            <w:tcW w:w="1417"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E37DDD" w:rsidRDefault="00E37DDD">
            <w:pPr>
              <w:spacing w:line="240" w:lineRule="atLeast"/>
              <w:jc w:val="center"/>
            </w:pPr>
            <w:r>
              <w:rPr>
                <w:sz w:val="18"/>
                <w:szCs w:val="18"/>
              </w:rPr>
              <w:t>Hindistan</w:t>
            </w:r>
          </w:p>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Reliance</w:t>
            </w:r>
            <w:proofErr w:type="spellEnd"/>
            <w:r>
              <w:rPr>
                <w:sz w:val="18"/>
                <w:szCs w:val="18"/>
              </w:rPr>
              <w:t> </w:t>
            </w:r>
            <w:proofErr w:type="spellStart"/>
            <w:r>
              <w:rPr>
                <w:rStyle w:val="spelle"/>
                <w:sz w:val="18"/>
                <w:szCs w:val="18"/>
              </w:rPr>
              <w:t>Industries</w:t>
            </w:r>
            <w:proofErr w:type="spellEnd"/>
            <w:r>
              <w:rPr>
                <w:sz w:val="18"/>
                <w:szCs w:val="18"/>
              </w:rPr>
              <w:t> Ltd.</w:t>
            </w:r>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7,1</w:t>
            </w:r>
          </w:p>
        </w:tc>
      </w:tr>
      <w:tr w:rsidR="00E37DDD" w:rsidTr="00E37DDD">
        <w:trPr>
          <w:trHeight w:val="515"/>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r>
              <w:rPr>
                <w:sz w:val="18"/>
                <w:szCs w:val="18"/>
              </w:rPr>
              <w:t>Modern </w:t>
            </w:r>
            <w:proofErr w:type="spellStart"/>
            <w:r>
              <w:rPr>
                <w:rStyle w:val="spelle"/>
                <w:sz w:val="18"/>
                <w:szCs w:val="18"/>
              </w:rPr>
              <w:t>Petrofils</w:t>
            </w:r>
            <w:proofErr w:type="spellEnd"/>
            <w:r>
              <w:rPr>
                <w:sz w:val="18"/>
                <w:szCs w:val="18"/>
              </w:rPr>
              <w:t> –A </w:t>
            </w:r>
            <w:proofErr w:type="spellStart"/>
            <w:r>
              <w:rPr>
                <w:rStyle w:val="spelle"/>
                <w:sz w:val="18"/>
                <w:szCs w:val="18"/>
              </w:rPr>
              <w:t>Unit</w:t>
            </w:r>
            <w:proofErr w:type="spellEnd"/>
            <w:r>
              <w:rPr>
                <w:sz w:val="18"/>
                <w:szCs w:val="18"/>
              </w:rPr>
              <w:t> of Modern </w:t>
            </w:r>
            <w:proofErr w:type="spellStart"/>
            <w:r>
              <w:rPr>
                <w:rStyle w:val="spelle"/>
                <w:sz w:val="18"/>
                <w:szCs w:val="18"/>
              </w:rPr>
              <w:t>Syntex</w:t>
            </w:r>
            <w:proofErr w:type="spellEnd"/>
            <w:r>
              <w:rPr>
                <w:sz w:val="18"/>
                <w:szCs w:val="18"/>
              </w:rPr>
              <w:t> (I) Ltd.</w:t>
            </w:r>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14,1</w:t>
            </w:r>
          </w:p>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r>
              <w:rPr>
                <w:sz w:val="18"/>
                <w:szCs w:val="18"/>
              </w:rPr>
              <w:t>JBF </w:t>
            </w:r>
            <w:proofErr w:type="spellStart"/>
            <w:r>
              <w:rPr>
                <w:rStyle w:val="spelle"/>
                <w:sz w:val="18"/>
                <w:szCs w:val="18"/>
              </w:rPr>
              <w:t>Industries</w:t>
            </w:r>
            <w:proofErr w:type="spellEnd"/>
            <w:r>
              <w:rPr>
                <w:sz w:val="18"/>
                <w:szCs w:val="18"/>
              </w:rPr>
              <w:t> Ltd.</w:t>
            </w:r>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6,8</w:t>
            </w:r>
          </w:p>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Wellknown</w:t>
            </w:r>
            <w:proofErr w:type="spellEnd"/>
            <w:r>
              <w:rPr>
                <w:sz w:val="18"/>
                <w:szCs w:val="18"/>
              </w:rPr>
              <w:t> Polyester </w:t>
            </w:r>
            <w:r>
              <w:rPr>
                <w:rStyle w:val="spelle"/>
                <w:sz w:val="18"/>
                <w:szCs w:val="18"/>
              </w:rPr>
              <w:t>Limited</w:t>
            </w:r>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10,11</w:t>
            </w:r>
          </w:p>
        </w:tc>
      </w:tr>
      <w:tr w:rsidR="00E37DDD" w:rsidTr="00E37DDD">
        <w:trPr>
          <w:trHeight w:val="175"/>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Indo</w:t>
            </w:r>
            <w:proofErr w:type="spellEnd"/>
            <w:r>
              <w:rPr>
                <w:sz w:val="18"/>
                <w:szCs w:val="18"/>
              </w:rPr>
              <w:t> Rama </w:t>
            </w:r>
            <w:proofErr w:type="spellStart"/>
            <w:r>
              <w:rPr>
                <w:rStyle w:val="spelle"/>
                <w:sz w:val="18"/>
                <w:szCs w:val="18"/>
              </w:rPr>
              <w:t>Synthetics</w:t>
            </w:r>
            <w:proofErr w:type="spellEnd"/>
            <w:r>
              <w:rPr>
                <w:sz w:val="18"/>
                <w:szCs w:val="18"/>
              </w:rPr>
              <w:t> (I) Ltd.</w:t>
            </w:r>
          </w:p>
        </w:tc>
        <w:tc>
          <w:tcPr>
            <w:tcW w:w="1418"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E37DDD" w:rsidRDefault="00E37DDD">
            <w:pPr>
              <w:spacing w:line="240" w:lineRule="atLeast"/>
              <w:jc w:val="center"/>
            </w:pPr>
            <w:r>
              <w:rPr>
                <w:sz w:val="18"/>
                <w:szCs w:val="18"/>
              </w:rPr>
              <w:t>% 8,7</w:t>
            </w:r>
          </w:p>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C85FEE">
            <w:pPr>
              <w:spacing w:line="240" w:lineRule="atLeast"/>
            </w:pPr>
            <w:r w:rsidRPr="00C85FEE">
              <w:rPr>
                <w:rStyle w:val="spelle"/>
                <w:sz w:val="18"/>
                <w:szCs w:val="18"/>
              </w:rPr>
              <w:t>AYM</w:t>
            </w:r>
            <w:r w:rsidR="00E37DDD">
              <w:rPr>
                <w:sz w:val="18"/>
                <w:szCs w:val="18"/>
              </w:rPr>
              <w:t> </w:t>
            </w:r>
            <w:proofErr w:type="spellStart"/>
            <w:r w:rsidR="00E37DDD">
              <w:rPr>
                <w:rStyle w:val="spelle"/>
                <w:sz w:val="18"/>
                <w:szCs w:val="18"/>
              </w:rPr>
              <w:t>Syntex</w:t>
            </w:r>
            <w:proofErr w:type="spellEnd"/>
            <w:r w:rsidR="00E37DDD">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r>
              <w:rPr>
                <w:sz w:val="18"/>
                <w:szCs w:val="18"/>
              </w:rPr>
              <w:t>DCL </w:t>
            </w:r>
            <w:proofErr w:type="spellStart"/>
            <w:r>
              <w:rPr>
                <w:rStyle w:val="spelle"/>
                <w:sz w:val="18"/>
                <w:szCs w:val="18"/>
              </w:rPr>
              <w:t>Polyesters</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Rishab</w:t>
            </w:r>
            <w:proofErr w:type="spellEnd"/>
            <w:r>
              <w:rPr>
                <w:sz w:val="18"/>
                <w:szCs w:val="18"/>
              </w:rPr>
              <w:t> </w:t>
            </w:r>
            <w:r>
              <w:rPr>
                <w:rStyle w:val="spelle"/>
                <w:sz w:val="18"/>
                <w:szCs w:val="18"/>
              </w:rPr>
              <w:t>Special</w:t>
            </w:r>
            <w:r>
              <w:rPr>
                <w:sz w:val="18"/>
                <w:szCs w:val="18"/>
              </w:rPr>
              <w:t> </w:t>
            </w:r>
            <w:proofErr w:type="spellStart"/>
            <w:r>
              <w:rPr>
                <w:rStyle w:val="spelle"/>
                <w:sz w:val="18"/>
                <w:szCs w:val="18"/>
              </w:rPr>
              <w:t>Yarns</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Supertex</w:t>
            </w:r>
            <w:proofErr w:type="spellEnd"/>
            <w:r>
              <w:rPr>
                <w:sz w:val="18"/>
                <w:szCs w:val="18"/>
              </w:rPr>
              <w:t> </w:t>
            </w:r>
            <w:proofErr w:type="spellStart"/>
            <w:r>
              <w:rPr>
                <w:rStyle w:val="spelle"/>
                <w:sz w:val="18"/>
                <w:szCs w:val="18"/>
              </w:rPr>
              <w:t>Industries</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Rajasthan</w:t>
            </w:r>
            <w:proofErr w:type="spellEnd"/>
            <w:r>
              <w:rPr>
                <w:sz w:val="18"/>
                <w:szCs w:val="18"/>
              </w:rPr>
              <w:t> </w:t>
            </w:r>
            <w:proofErr w:type="spellStart"/>
            <w:r>
              <w:rPr>
                <w:rStyle w:val="spelle"/>
                <w:sz w:val="18"/>
                <w:szCs w:val="18"/>
              </w:rPr>
              <w:t>Polyesters</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Raymond</w:t>
            </w:r>
            <w:proofErr w:type="spellEnd"/>
            <w:r>
              <w:rPr>
                <w:sz w:val="18"/>
                <w:szCs w:val="18"/>
              </w:rPr>
              <w:t> </w:t>
            </w:r>
            <w:proofErr w:type="spellStart"/>
            <w:r>
              <w:rPr>
                <w:rStyle w:val="spelle"/>
                <w:sz w:val="18"/>
                <w:szCs w:val="18"/>
              </w:rPr>
              <w:t>Synthetics</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Akai</w:t>
            </w:r>
            <w:proofErr w:type="spellEnd"/>
            <w:r>
              <w:rPr>
                <w:sz w:val="18"/>
                <w:szCs w:val="18"/>
              </w:rPr>
              <w:t> </w:t>
            </w:r>
            <w:proofErr w:type="spellStart"/>
            <w:r>
              <w:rPr>
                <w:rStyle w:val="spelle"/>
                <w:sz w:val="18"/>
                <w:szCs w:val="18"/>
              </w:rPr>
              <w:t>Impex</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341"/>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Parasrampuria</w:t>
            </w:r>
            <w:proofErr w:type="spellEnd"/>
            <w:r>
              <w:rPr>
                <w:sz w:val="18"/>
                <w:szCs w:val="18"/>
              </w:rPr>
              <w:t> </w:t>
            </w:r>
            <w:proofErr w:type="spellStart"/>
            <w:r>
              <w:rPr>
                <w:rStyle w:val="spelle"/>
                <w:sz w:val="18"/>
                <w:szCs w:val="18"/>
              </w:rPr>
              <w:t>Industries</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Sarla</w:t>
            </w:r>
            <w:proofErr w:type="spellEnd"/>
            <w:r>
              <w:rPr>
                <w:sz w:val="18"/>
                <w:szCs w:val="18"/>
              </w:rPr>
              <w:t> Polyester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r>
              <w:rPr>
                <w:sz w:val="18"/>
                <w:szCs w:val="18"/>
              </w:rPr>
              <w:t>Diğerleri (Hindistan)</w:t>
            </w:r>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20,3</w:t>
            </w:r>
          </w:p>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1417"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E37DDD" w:rsidRDefault="00E37DDD">
            <w:pPr>
              <w:spacing w:line="240" w:lineRule="atLeast"/>
              <w:jc w:val="center"/>
            </w:pPr>
            <w:r>
              <w:rPr>
                <w:sz w:val="18"/>
                <w:szCs w:val="18"/>
              </w:rPr>
              <w:t>Çin </w:t>
            </w:r>
            <w:proofErr w:type="spellStart"/>
            <w:r>
              <w:rPr>
                <w:rStyle w:val="spelle"/>
                <w:sz w:val="18"/>
                <w:szCs w:val="18"/>
              </w:rPr>
              <w:t>Tayvanı</w:t>
            </w:r>
            <w:proofErr w:type="spellEnd"/>
          </w:p>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Lea</w:t>
            </w:r>
            <w:proofErr w:type="spellEnd"/>
            <w:r>
              <w:rPr>
                <w:sz w:val="18"/>
                <w:szCs w:val="18"/>
              </w:rPr>
              <w:t> </w:t>
            </w:r>
            <w:proofErr w:type="spellStart"/>
            <w:r>
              <w:rPr>
                <w:rStyle w:val="spelle"/>
                <w:sz w:val="18"/>
                <w:szCs w:val="18"/>
              </w:rPr>
              <w:t>Lea</w:t>
            </w:r>
            <w:proofErr w:type="spellEnd"/>
            <w:r>
              <w:rPr>
                <w:sz w:val="18"/>
                <w:szCs w:val="18"/>
              </w:rPr>
              <w:t> </w:t>
            </w:r>
            <w:r>
              <w:rPr>
                <w:rStyle w:val="spelle"/>
                <w:sz w:val="18"/>
                <w:szCs w:val="18"/>
              </w:rPr>
              <w:t>Enterprise</w:t>
            </w:r>
            <w:r>
              <w:rPr>
                <w:sz w:val="18"/>
                <w:szCs w:val="18"/>
              </w:rPr>
              <w:t> </w:t>
            </w:r>
            <w:proofErr w:type="spellStart"/>
            <w:proofErr w:type="gramStart"/>
            <w:r>
              <w:rPr>
                <w:rStyle w:val="grame"/>
                <w:sz w:val="18"/>
                <w:szCs w:val="18"/>
              </w:rPr>
              <w:t>Co.Ltd</w:t>
            </w:r>
            <w:proofErr w:type="spellEnd"/>
            <w:r>
              <w:rPr>
                <w:rStyle w:val="grame"/>
                <w:sz w:val="18"/>
                <w:szCs w:val="18"/>
              </w:rPr>
              <w:t>.</w:t>
            </w:r>
            <w:proofErr w:type="gramEnd"/>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9,9</w:t>
            </w:r>
          </w:p>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Yi</w:t>
            </w:r>
            <w:proofErr w:type="spellEnd"/>
            <w:r>
              <w:rPr>
                <w:sz w:val="18"/>
                <w:szCs w:val="18"/>
              </w:rPr>
              <w:t> </w:t>
            </w:r>
            <w:proofErr w:type="spellStart"/>
            <w:r>
              <w:rPr>
                <w:rStyle w:val="spelle"/>
                <w:sz w:val="18"/>
                <w:szCs w:val="18"/>
              </w:rPr>
              <w:t>Jinn</w:t>
            </w:r>
            <w:proofErr w:type="spellEnd"/>
            <w:r>
              <w:rPr>
                <w:sz w:val="18"/>
                <w:szCs w:val="18"/>
              </w:rPr>
              <w:t> </w:t>
            </w:r>
            <w:proofErr w:type="spellStart"/>
            <w:r>
              <w:rPr>
                <w:rStyle w:val="spelle"/>
                <w:sz w:val="18"/>
                <w:szCs w:val="18"/>
              </w:rPr>
              <w:t>Industrial</w:t>
            </w:r>
            <w:proofErr w:type="spellEnd"/>
            <w:r>
              <w:rPr>
                <w:sz w:val="18"/>
                <w:szCs w:val="18"/>
              </w:rPr>
              <w:t> </w:t>
            </w:r>
            <w:proofErr w:type="spellStart"/>
            <w:r>
              <w:rPr>
                <w:rStyle w:val="spelle"/>
                <w:sz w:val="18"/>
                <w:szCs w:val="18"/>
              </w:rPr>
              <w:t>Co</w:t>
            </w:r>
            <w:proofErr w:type="spellEnd"/>
            <w:r>
              <w:rPr>
                <w:sz w:val="18"/>
                <w:szCs w:val="18"/>
              </w:rPr>
              <w:t>. Ltd.</w:t>
            </w:r>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28,6</w:t>
            </w:r>
          </w:p>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r>
              <w:rPr>
                <w:sz w:val="18"/>
                <w:szCs w:val="18"/>
              </w:rPr>
              <w:t>Far </w:t>
            </w:r>
            <w:proofErr w:type="spellStart"/>
            <w:r>
              <w:rPr>
                <w:rStyle w:val="spelle"/>
                <w:sz w:val="18"/>
                <w:szCs w:val="18"/>
              </w:rPr>
              <w:t>Eastern</w:t>
            </w:r>
            <w:proofErr w:type="spellEnd"/>
            <w:r>
              <w:rPr>
                <w:sz w:val="18"/>
                <w:szCs w:val="18"/>
              </w:rPr>
              <w:t> </w:t>
            </w:r>
            <w:proofErr w:type="spellStart"/>
            <w:r>
              <w:rPr>
                <w:rStyle w:val="spelle"/>
                <w:sz w:val="18"/>
                <w:szCs w:val="18"/>
              </w:rPr>
              <w:t>Textile</w:t>
            </w:r>
            <w:proofErr w:type="spellEnd"/>
            <w:r>
              <w:rPr>
                <w:sz w:val="18"/>
                <w:szCs w:val="18"/>
              </w:rPr>
              <w:t> Ltd.</w:t>
            </w:r>
          </w:p>
        </w:tc>
        <w:tc>
          <w:tcPr>
            <w:tcW w:w="1418" w:type="dxa"/>
            <w:vMerge w:val="restart"/>
            <w:tcBorders>
              <w:top w:val="nil"/>
              <w:left w:val="nil"/>
              <w:bottom w:val="single" w:sz="8" w:space="0" w:color="auto"/>
              <w:right w:val="single" w:sz="8" w:space="0" w:color="auto"/>
            </w:tcBorders>
            <w:noWrap/>
            <w:tcMar>
              <w:top w:w="0" w:type="dxa"/>
              <w:left w:w="70" w:type="dxa"/>
              <w:bottom w:w="0" w:type="dxa"/>
              <w:right w:w="70" w:type="dxa"/>
            </w:tcMar>
            <w:vAlign w:val="center"/>
            <w:hideMark/>
          </w:tcPr>
          <w:p w:rsidR="00E37DDD" w:rsidRDefault="00E37DDD">
            <w:pPr>
              <w:spacing w:line="240" w:lineRule="atLeast"/>
              <w:jc w:val="center"/>
            </w:pPr>
            <w:r>
              <w:rPr>
                <w:sz w:val="18"/>
                <w:szCs w:val="18"/>
              </w:rPr>
              <w:t>% 18,9</w:t>
            </w:r>
          </w:p>
        </w:tc>
      </w:tr>
      <w:tr w:rsidR="00E37DDD" w:rsidTr="00E37DDD">
        <w:trPr>
          <w:trHeight w:val="341"/>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Chung</w:t>
            </w:r>
            <w:proofErr w:type="spellEnd"/>
            <w:r>
              <w:rPr>
                <w:sz w:val="18"/>
                <w:szCs w:val="18"/>
              </w:rPr>
              <w:t> </w:t>
            </w:r>
            <w:proofErr w:type="spellStart"/>
            <w:r>
              <w:rPr>
                <w:rStyle w:val="spelle"/>
                <w:sz w:val="18"/>
                <w:szCs w:val="18"/>
              </w:rPr>
              <w:t>Shing</w:t>
            </w:r>
            <w:proofErr w:type="spellEnd"/>
            <w:r>
              <w:rPr>
                <w:sz w:val="18"/>
                <w:szCs w:val="18"/>
              </w:rPr>
              <w:t> </w:t>
            </w:r>
            <w:proofErr w:type="spellStart"/>
            <w:r>
              <w:rPr>
                <w:rStyle w:val="spelle"/>
                <w:sz w:val="18"/>
                <w:szCs w:val="18"/>
              </w:rPr>
              <w:t>Textile</w:t>
            </w:r>
            <w:proofErr w:type="spellEnd"/>
            <w:r>
              <w:rPr>
                <w:sz w:val="18"/>
                <w:szCs w:val="18"/>
              </w:rPr>
              <w:t> </w:t>
            </w:r>
            <w:proofErr w:type="spellStart"/>
            <w:r>
              <w:rPr>
                <w:rStyle w:val="spelle"/>
                <w:sz w:val="18"/>
                <w:szCs w:val="18"/>
              </w:rPr>
              <w:t>Co</w:t>
            </w:r>
            <w:proofErr w:type="spellEnd"/>
            <w:r>
              <w:rPr>
                <w:sz w:val="18"/>
                <w:szCs w:val="18"/>
              </w:rPr>
              <w:t>. Ltd.</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Nan</w:t>
            </w:r>
            <w:proofErr w:type="spellEnd"/>
            <w:r>
              <w:rPr>
                <w:sz w:val="18"/>
                <w:szCs w:val="18"/>
              </w:rPr>
              <w:t> Ya </w:t>
            </w:r>
            <w:proofErr w:type="spellStart"/>
            <w:r>
              <w:rPr>
                <w:rStyle w:val="spelle"/>
                <w:sz w:val="18"/>
                <w:szCs w:val="18"/>
              </w:rPr>
              <w:t>Plastics</w:t>
            </w:r>
            <w:proofErr w:type="spellEnd"/>
            <w:r>
              <w:rPr>
                <w:sz w:val="18"/>
                <w:szCs w:val="18"/>
              </w:rPr>
              <w:t> </w:t>
            </w:r>
            <w:proofErr w:type="spellStart"/>
            <w:r>
              <w:rPr>
                <w:rStyle w:val="spelle"/>
                <w:sz w:val="18"/>
                <w:szCs w:val="18"/>
              </w:rPr>
              <w:t>Corp</w:t>
            </w:r>
            <w:proofErr w:type="spellEnd"/>
            <w:r>
              <w:rPr>
                <w:sz w:val="18"/>
                <w:szCs w:val="18"/>
              </w:rPr>
              <w:t>.</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329"/>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Zig</w:t>
            </w:r>
            <w:proofErr w:type="spellEnd"/>
            <w:r>
              <w:rPr>
                <w:sz w:val="18"/>
                <w:szCs w:val="18"/>
              </w:rPr>
              <w:t> </w:t>
            </w:r>
            <w:proofErr w:type="spellStart"/>
            <w:r>
              <w:rPr>
                <w:rStyle w:val="spelle"/>
                <w:sz w:val="18"/>
                <w:szCs w:val="18"/>
              </w:rPr>
              <w:t>Sheng</w:t>
            </w:r>
            <w:proofErr w:type="spellEnd"/>
            <w:r>
              <w:rPr>
                <w:sz w:val="18"/>
                <w:szCs w:val="18"/>
              </w:rPr>
              <w:t> </w:t>
            </w:r>
            <w:proofErr w:type="spellStart"/>
            <w:r>
              <w:rPr>
                <w:rStyle w:val="spelle"/>
                <w:sz w:val="18"/>
                <w:szCs w:val="18"/>
              </w:rPr>
              <w:t>Industrial</w:t>
            </w:r>
            <w:proofErr w:type="spellEnd"/>
            <w:r>
              <w:rPr>
                <w:sz w:val="18"/>
                <w:szCs w:val="18"/>
              </w:rPr>
              <w:t> </w:t>
            </w:r>
            <w:proofErr w:type="spellStart"/>
            <w:proofErr w:type="gramStart"/>
            <w:r>
              <w:rPr>
                <w:rStyle w:val="grame"/>
                <w:sz w:val="18"/>
                <w:szCs w:val="18"/>
              </w:rPr>
              <w:t>Co.Ltd</w:t>
            </w:r>
            <w:proofErr w:type="spellEnd"/>
            <w:r>
              <w:rPr>
                <w:rStyle w:val="grame"/>
                <w:sz w:val="18"/>
                <w:szCs w:val="18"/>
              </w:rPr>
              <w:t>.</w:t>
            </w:r>
            <w:proofErr w:type="gramEnd"/>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8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proofErr w:type="spellStart"/>
            <w:r>
              <w:rPr>
                <w:rStyle w:val="spelle"/>
                <w:sz w:val="18"/>
                <w:szCs w:val="18"/>
              </w:rPr>
              <w:t>The</w:t>
            </w:r>
            <w:proofErr w:type="spellEnd"/>
            <w:r>
              <w:rPr>
                <w:sz w:val="18"/>
                <w:szCs w:val="18"/>
              </w:rPr>
              <w:t> E-</w:t>
            </w:r>
            <w:proofErr w:type="spellStart"/>
            <w:r>
              <w:rPr>
                <w:rStyle w:val="spelle"/>
                <w:sz w:val="18"/>
                <w:szCs w:val="18"/>
              </w:rPr>
              <w:t>Hsin</w:t>
            </w:r>
            <w:proofErr w:type="spellEnd"/>
            <w:r>
              <w:rPr>
                <w:sz w:val="18"/>
                <w:szCs w:val="18"/>
              </w:rPr>
              <w:t> </w:t>
            </w:r>
            <w:r>
              <w:rPr>
                <w:rStyle w:val="spelle"/>
                <w:sz w:val="18"/>
                <w:szCs w:val="18"/>
              </w:rPr>
              <w:t>International</w:t>
            </w:r>
            <w:r>
              <w:rPr>
                <w:sz w:val="18"/>
                <w:szCs w:val="18"/>
              </w:rPr>
              <w:t> </w:t>
            </w:r>
            <w:proofErr w:type="spellStart"/>
            <w:r>
              <w:rPr>
                <w:rStyle w:val="spelle"/>
                <w:sz w:val="18"/>
                <w:szCs w:val="18"/>
              </w:rPr>
              <w:t>Corp</w:t>
            </w:r>
            <w:proofErr w:type="spellEnd"/>
            <w:r>
              <w:rPr>
                <w:sz w:val="18"/>
                <w:szCs w:val="18"/>
              </w:rPr>
              <w:t>.</w:t>
            </w:r>
          </w:p>
        </w:tc>
        <w:tc>
          <w:tcPr>
            <w:tcW w:w="0" w:type="auto"/>
            <w:vMerge/>
            <w:tcBorders>
              <w:top w:val="nil"/>
              <w:left w:val="nil"/>
              <w:bottom w:val="single" w:sz="8" w:space="0" w:color="auto"/>
              <w:right w:val="single" w:sz="8" w:space="0" w:color="auto"/>
            </w:tcBorders>
            <w:vAlign w:val="center"/>
            <w:hideMark/>
          </w:tcPr>
          <w:p w:rsidR="00E37DDD" w:rsidRDefault="00E37DDD"/>
        </w:tc>
      </w:tr>
      <w:tr w:rsidR="00E37DDD" w:rsidTr="00E37DDD">
        <w:trPr>
          <w:trHeight w:val="257"/>
        </w:trPr>
        <w:tc>
          <w:tcPr>
            <w:tcW w:w="0" w:type="auto"/>
            <w:vMerge/>
            <w:tcBorders>
              <w:top w:val="nil"/>
              <w:left w:val="single" w:sz="8" w:space="0" w:color="auto"/>
              <w:bottom w:val="single" w:sz="8" w:space="0" w:color="auto"/>
              <w:right w:val="single" w:sz="8" w:space="0" w:color="auto"/>
            </w:tcBorders>
            <w:vAlign w:val="center"/>
            <w:hideMark/>
          </w:tcPr>
          <w:p w:rsidR="00E37DDD" w:rsidRDefault="00E37DDD"/>
        </w:tc>
        <w:tc>
          <w:tcPr>
            <w:tcW w:w="0" w:type="auto"/>
            <w:vMerge/>
            <w:tcBorders>
              <w:top w:val="nil"/>
              <w:left w:val="nil"/>
              <w:bottom w:val="single" w:sz="8" w:space="0" w:color="000000"/>
              <w:right w:val="single" w:sz="8" w:space="0" w:color="auto"/>
            </w:tcBorders>
            <w:vAlign w:val="center"/>
            <w:hideMark/>
          </w:tcPr>
          <w:p w:rsidR="00E37DDD" w:rsidRDefault="00E37DDD"/>
        </w:tc>
        <w:tc>
          <w:tcPr>
            <w:tcW w:w="0" w:type="auto"/>
            <w:vMerge/>
            <w:tcBorders>
              <w:top w:val="nil"/>
              <w:left w:val="nil"/>
              <w:bottom w:val="single" w:sz="8" w:space="0" w:color="auto"/>
              <w:right w:val="single" w:sz="8" w:space="0" w:color="auto"/>
            </w:tcBorders>
            <w:vAlign w:val="center"/>
            <w:hideMark/>
          </w:tcPr>
          <w:p w:rsidR="00E37DDD" w:rsidRDefault="00E37DDD"/>
        </w:tc>
        <w:tc>
          <w:tcPr>
            <w:tcW w:w="2835" w:type="dxa"/>
            <w:tcBorders>
              <w:top w:val="nil"/>
              <w:left w:val="nil"/>
              <w:bottom w:val="single" w:sz="8" w:space="0" w:color="auto"/>
              <w:right w:val="single" w:sz="8" w:space="0" w:color="auto"/>
            </w:tcBorders>
            <w:tcMar>
              <w:top w:w="0" w:type="dxa"/>
              <w:left w:w="70" w:type="dxa"/>
              <w:bottom w:w="0" w:type="dxa"/>
              <w:right w:w="70" w:type="dxa"/>
            </w:tcMar>
            <w:vAlign w:val="center"/>
            <w:hideMark/>
          </w:tcPr>
          <w:p w:rsidR="00E37DDD" w:rsidRDefault="00E37DDD">
            <w:pPr>
              <w:spacing w:line="240" w:lineRule="atLeast"/>
            </w:pPr>
            <w:r>
              <w:rPr>
                <w:sz w:val="18"/>
                <w:szCs w:val="18"/>
              </w:rPr>
              <w:t>Diğerleri (Çin </w:t>
            </w:r>
            <w:proofErr w:type="spellStart"/>
            <w:r>
              <w:rPr>
                <w:rStyle w:val="spelle"/>
                <w:sz w:val="18"/>
                <w:szCs w:val="18"/>
              </w:rPr>
              <w:t>Tayvanı</w:t>
            </w:r>
            <w:proofErr w:type="spellEnd"/>
            <w:r>
              <w:rPr>
                <w:sz w:val="18"/>
                <w:szCs w:val="18"/>
              </w:rPr>
              <w:t>)</w:t>
            </w:r>
          </w:p>
        </w:tc>
        <w:tc>
          <w:tcPr>
            <w:tcW w:w="1418"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E37DDD" w:rsidRDefault="00E37DDD">
            <w:pPr>
              <w:spacing w:line="240" w:lineRule="atLeast"/>
              <w:jc w:val="center"/>
            </w:pPr>
            <w:r>
              <w:rPr>
                <w:sz w:val="18"/>
                <w:szCs w:val="18"/>
              </w:rPr>
              <w:t>% 28,6</w:t>
            </w:r>
          </w:p>
        </w:tc>
      </w:tr>
    </w:tbl>
    <w:p w:rsidR="003A59EB" w:rsidRPr="00006558" w:rsidRDefault="003A59EB" w:rsidP="00F217D8">
      <w:pPr>
        <w:tabs>
          <w:tab w:val="left" w:pos="566"/>
        </w:tabs>
        <w:spacing w:line="240" w:lineRule="exact"/>
        <w:jc w:val="both"/>
      </w:pPr>
    </w:p>
    <w:p w:rsidR="00F217D8" w:rsidRPr="00006558" w:rsidRDefault="00F217D8" w:rsidP="00F217D8">
      <w:pPr>
        <w:tabs>
          <w:tab w:val="left" w:pos="566"/>
        </w:tabs>
        <w:spacing w:line="240" w:lineRule="exact"/>
        <w:jc w:val="center"/>
      </w:pPr>
    </w:p>
    <w:p w:rsidR="00164FF4" w:rsidRPr="00006558" w:rsidRDefault="00164FF4" w:rsidP="00F217D8">
      <w:pPr>
        <w:jc w:val="both"/>
        <w:rPr>
          <w:bCs/>
        </w:rPr>
      </w:pPr>
    </w:p>
    <w:sectPr w:rsidR="00164FF4" w:rsidRPr="00006558" w:rsidSect="00057562">
      <w:headerReference w:type="first" r:id="rId8"/>
      <w:footerReference w:type="first" r:id="rId9"/>
      <w:pgSz w:w="11906" w:h="16838" w:code="9"/>
      <w:pgMar w:top="851" w:right="1418" w:bottom="1418" w:left="1418" w:header="851"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069" w:rsidRDefault="00203069">
      <w:r>
        <w:separator/>
      </w:r>
    </w:p>
  </w:endnote>
  <w:endnote w:type="continuationSeparator" w:id="0">
    <w:p w:rsidR="00203069" w:rsidRDefault="002030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rsidP="00BD4724">
    <w:pPr>
      <w:pStyle w:val="AltBilgi"/>
      <w:tabs>
        <w:tab w:val="clear" w:pos="4536"/>
        <w:tab w:val="clear" w:pos="9072"/>
        <w:tab w:val="left" w:pos="9529"/>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069" w:rsidRDefault="00203069">
      <w:r>
        <w:separator/>
      </w:r>
    </w:p>
  </w:footnote>
  <w:footnote w:type="continuationSeparator" w:id="0">
    <w:p w:rsidR="00203069" w:rsidRDefault="002030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0EB9" w:rsidRDefault="00400EB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B07F8"/>
    <w:multiLevelType w:val="hybridMultilevel"/>
    <w:tmpl w:val="21D2CD5A"/>
    <w:lvl w:ilvl="0" w:tplc="0F1AAFC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F520F7E"/>
    <w:multiLevelType w:val="multilevel"/>
    <w:tmpl w:val="14D0CD3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FF032D4"/>
    <w:multiLevelType w:val="multilevel"/>
    <w:tmpl w:val="154A03A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7A7A5F0C"/>
    <w:multiLevelType w:val="hybridMultilevel"/>
    <w:tmpl w:val="1652C73E"/>
    <w:lvl w:ilvl="0" w:tplc="F9387586">
      <w:start w:val="5"/>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isplayBackgroundShape/>
  <w:gutterAtTop/>
  <w:hideGrammaticalErrors/>
  <w:proofState w:spelling="clean" w:grammar="clean"/>
  <w:defaultTabStop w:val="357"/>
  <w:hyphenationZone w:val="425"/>
  <w:drawingGridHorizontalSpacing w:val="120"/>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01"/>
    <w:rsid w:val="00000ED5"/>
    <w:rsid w:val="00000FA3"/>
    <w:rsid w:val="00001490"/>
    <w:rsid w:val="000014DA"/>
    <w:rsid w:val="00002DAA"/>
    <w:rsid w:val="0000430C"/>
    <w:rsid w:val="0000641A"/>
    <w:rsid w:val="00006558"/>
    <w:rsid w:val="00006960"/>
    <w:rsid w:val="00006D5A"/>
    <w:rsid w:val="00006DAD"/>
    <w:rsid w:val="000128DC"/>
    <w:rsid w:val="0001506B"/>
    <w:rsid w:val="000157F2"/>
    <w:rsid w:val="0001582F"/>
    <w:rsid w:val="0001665D"/>
    <w:rsid w:val="000170E8"/>
    <w:rsid w:val="0001715A"/>
    <w:rsid w:val="000174E6"/>
    <w:rsid w:val="00017BAE"/>
    <w:rsid w:val="00017E31"/>
    <w:rsid w:val="000207DA"/>
    <w:rsid w:val="00021A58"/>
    <w:rsid w:val="00022BE4"/>
    <w:rsid w:val="00022FA6"/>
    <w:rsid w:val="00023BCC"/>
    <w:rsid w:val="0002593D"/>
    <w:rsid w:val="00026DA8"/>
    <w:rsid w:val="00030BAE"/>
    <w:rsid w:val="00031B8C"/>
    <w:rsid w:val="00031EF4"/>
    <w:rsid w:val="00032151"/>
    <w:rsid w:val="00032B72"/>
    <w:rsid w:val="00032D04"/>
    <w:rsid w:val="000335FA"/>
    <w:rsid w:val="000347DC"/>
    <w:rsid w:val="00034C6B"/>
    <w:rsid w:val="00036684"/>
    <w:rsid w:val="0003698B"/>
    <w:rsid w:val="0003701D"/>
    <w:rsid w:val="0003706C"/>
    <w:rsid w:val="000373A2"/>
    <w:rsid w:val="000379D3"/>
    <w:rsid w:val="00040079"/>
    <w:rsid w:val="00040B60"/>
    <w:rsid w:val="00040D20"/>
    <w:rsid w:val="000424D9"/>
    <w:rsid w:val="00042B13"/>
    <w:rsid w:val="00042B99"/>
    <w:rsid w:val="00043991"/>
    <w:rsid w:val="00043B65"/>
    <w:rsid w:val="000446CD"/>
    <w:rsid w:val="00045065"/>
    <w:rsid w:val="000460DF"/>
    <w:rsid w:val="00050A1E"/>
    <w:rsid w:val="00051130"/>
    <w:rsid w:val="000513CD"/>
    <w:rsid w:val="00051791"/>
    <w:rsid w:val="0005360C"/>
    <w:rsid w:val="00054177"/>
    <w:rsid w:val="00055C84"/>
    <w:rsid w:val="00055EEA"/>
    <w:rsid w:val="00057562"/>
    <w:rsid w:val="000579FB"/>
    <w:rsid w:val="000602BD"/>
    <w:rsid w:val="000617D3"/>
    <w:rsid w:val="00063E39"/>
    <w:rsid w:val="00064D77"/>
    <w:rsid w:val="00067354"/>
    <w:rsid w:val="00067D03"/>
    <w:rsid w:val="000711C0"/>
    <w:rsid w:val="000718D3"/>
    <w:rsid w:val="00071E18"/>
    <w:rsid w:val="00071EDF"/>
    <w:rsid w:val="00074808"/>
    <w:rsid w:val="000753C7"/>
    <w:rsid w:val="00075D14"/>
    <w:rsid w:val="0007770D"/>
    <w:rsid w:val="00077816"/>
    <w:rsid w:val="00077966"/>
    <w:rsid w:val="0008027C"/>
    <w:rsid w:val="000808EC"/>
    <w:rsid w:val="00081948"/>
    <w:rsid w:val="00083ABC"/>
    <w:rsid w:val="00083D4C"/>
    <w:rsid w:val="0008559E"/>
    <w:rsid w:val="000856D7"/>
    <w:rsid w:val="000865CB"/>
    <w:rsid w:val="00086F2F"/>
    <w:rsid w:val="0008759A"/>
    <w:rsid w:val="0008766D"/>
    <w:rsid w:val="00087A36"/>
    <w:rsid w:val="000924A1"/>
    <w:rsid w:val="000925EE"/>
    <w:rsid w:val="00092C3E"/>
    <w:rsid w:val="00093829"/>
    <w:rsid w:val="00094A4B"/>
    <w:rsid w:val="000954B2"/>
    <w:rsid w:val="000966C4"/>
    <w:rsid w:val="000A0655"/>
    <w:rsid w:val="000A0D6B"/>
    <w:rsid w:val="000A2DE8"/>
    <w:rsid w:val="000A3337"/>
    <w:rsid w:val="000A3490"/>
    <w:rsid w:val="000A45DA"/>
    <w:rsid w:val="000A6C13"/>
    <w:rsid w:val="000A758A"/>
    <w:rsid w:val="000A77B2"/>
    <w:rsid w:val="000A7B8F"/>
    <w:rsid w:val="000B01C9"/>
    <w:rsid w:val="000B06E4"/>
    <w:rsid w:val="000B0BBC"/>
    <w:rsid w:val="000B1757"/>
    <w:rsid w:val="000B1C87"/>
    <w:rsid w:val="000B28E5"/>
    <w:rsid w:val="000B3786"/>
    <w:rsid w:val="000B3CAE"/>
    <w:rsid w:val="000B44ED"/>
    <w:rsid w:val="000B5F0B"/>
    <w:rsid w:val="000B6EE9"/>
    <w:rsid w:val="000B7159"/>
    <w:rsid w:val="000B7BF2"/>
    <w:rsid w:val="000C0149"/>
    <w:rsid w:val="000C262C"/>
    <w:rsid w:val="000C37E7"/>
    <w:rsid w:val="000C62FC"/>
    <w:rsid w:val="000C6921"/>
    <w:rsid w:val="000D1400"/>
    <w:rsid w:val="000D206B"/>
    <w:rsid w:val="000D216F"/>
    <w:rsid w:val="000D25AE"/>
    <w:rsid w:val="000D32AF"/>
    <w:rsid w:val="000D45AA"/>
    <w:rsid w:val="000D6037"/>
    <w:rsid w:val="000D63DE"/>
    <w:rsid w:val="000D6EAA"/>
    <w:rsid w:val="000D72DD"/>
    <w:rsid w:val="000D76D7"/>
    <w:rsid w:val="000E3A0E"/>
    <w:rsid w:val="000E4B4F"/>
    <w:rsid w:val="000E5193"/>
    <w:rsid w:val="000E5D3C"/>
    <w:rsid w:val="000E734D"/>
    <w:rsid w:val="000E7D9A"/>
    <w:rsid w:val="000F1AEE"/>
    <w:rsid w:val="000F1C6A"/>
    <w:rsid w:val="000F30BD"/>
    <w:rsid w:val="000F3658"/>
    <w:rsid w:val="000F3BBA"/>
    <w:rsid w:val="000F6EC6"/>
    <w:rsid w:val="000F798A"/>
    <w:rsid w:val="000F7997"/>
    <w:rsid w:val="00100060"/>
    <w:rsid w:val="00101B68"/>
    <w:rsid w:val="00101DFD"/>
    <w:rsid w:val="00102A01"/>
    <w:rsid w:val="001046A3"/>
    <w:rsid w:val="001046DC"/>
    <w:rsid w:val="00104A8C"/>
    <w:rsid w:val="001057A7"/>
    <w:rsid w:val="0010591E"/>
    <w:rsid w:val="001102D8"/>
    <w:rsid w:val="00111A83"/>
    <w:rsid w:val="001126BA"/>
    <w:rsid w:val="00113929"/>
    <w:rsid w:val="001143DE"/>
    <w:rsid w:val="0011472A"/>
    <w:rsid w:val="001169A7"/>
    <w:rsid w:val="00117837"/>
    <w:rsid w:val="0012051F"/>
    <w:rsid w:val="00120898"/>
    <w:rsid w:val="00121476"/>
    <w:rsid w:val="001221BB"/>
    <w:rsid w:val="001228B9"/>
    <w:rsid w:val="00122920"/>
    <w:rsid w:val="00122AD9"/>
    <w:rsid w:val="00124096"/>
    <w:rsid w:val="00125664"/>
    <w:rsid w:val="001257B0"/>
    <w:rsid w:val="0012580B"/>
    <w:rsid w:val="00126BB6"/>
    <w:rsid w:val="001276CD"/>
    <w:rsid w:val="001302EC"/>
    <w:rsid w:val="00130326"/>
    <w:rsid w:val="001305C0"/>
    <w:rsid w:val="00130EB7"/>
    <w:rsid w:val="001322ED"/>
    <w:rsid w:val="00132417"/>
    <w:rsid w:val="00132658"/>
    <w:rsid w:val="0013499C"/>
    <w:rsid w:val="001351F8"/>
    <w:rsid w:val="00136A61"/>
    <w:rsid w:val="00141ABB"/>
    <w:rsid w:val="00141B3F"/>
    <w:rsid w:val="001421E5"/>
    <w:rsid w:val="001435F1"/>
    <w:rsid w:val="00143B15"/>
    <w:rsid w:val="00145955"/>
    <w:rsid w:val="0014600D"/>
    <w:rsid w:val="00146D32"/>
    <w:rsid w:val="00150555"/>
    <w:rsid w:val="00150AAC"/>
    <w:rsid w:val="00151803"/>
    <w:rsid w:val="00152172"/>
    <w:rsid w:val="001534CC"/>
    <w:rsid w:val="00153BC4"/>
    <w:rsid w:val="0015454D"/>
    <w:rsid w:val="00157AB1"/>
    <w:rsid w:val="00161548"/>
    <w:rsid w:val="00161E7C"/>
    <w:rsid w:val="00163C3E"/>
    <w:rsid w:val="0016461B"/>
    <w:rsid w:val="00164FC7"/>
    <w:rsid w:val="00164FF4"/>
    <w:rsid w:val="0016519E"/>
    <w:rsid w:val="001653EB"/>
    <w:rsid w:val="001659D5"/>
    <w:rsid w:val="00166437"/>
    <w:rsid w:val="00166EBF"/>
    <w:rsid w:val="00167798"/>
    <w:rsid w:val="0017061B"/>
    <w:rsid w:val="00171C39"/>
    <w:rsid w:val="0017241B"/>
    <w:rsid w:val="00174CD8"/>
    <w:rsid w:val="00175D49"/>
    <w:rsid w:val="00176946"/>
    <w:rsid w:val="00176FB0"/>
    <w:rsid w:val="00182973"/>
    <w:rsid w:val="00182A6C"/>
    <w:rsid w:val="0018478C"/>
    <w:rsid w:val="0018577F"/>
    <w:rsid w:val="00186471"/>
    <w:rsid w:val="00186A7A"/>
    <w:rsid w:val="001876C9"/>
    <w:rsid w:val="00187BFA"/>
    <w:rsid w:val="0019004B"/>
    <w:rsid w:val="0019009B"/>
    <w:rsid w:val="00190450"/>
    <w:rsid w:val="00190B78"/>
    <w:rsid w:val="00190DC4"/>
    <w:rsid w:val="00191736"/>
    <w:rsid w:val="0019405E"/>
    <w:rsid w:val="00194A98"/>
    <w:rsid w:val="00194C3D"/>
    <w:rsid w:val="001971B5"/>
    <w:rsid w:val="001972FE"/>
    <w:rsid w:val="001A4A53"/>
    <w:rsid w:val="001A5A2B"/>
    <w:rsid w:val="001A5A36"/>
    <w:rsid w:val="001A6768"/>
    <w:rsid w:val="001A76DD"/>
    <w:rsid w:val="001A7F5C"/>
    <w:rsid w:val="001B2701"/>
    <w:rsid w:val="001B36CE"/>
    <w:rsid w:val="001B3785"/>
    <w:rsid w:val="001B3B60"/>
    <w:rsid w:val="001B3FD2"/>
    <w:rsid w:val="001B4A6E"/>
    <w:rsid w:val="001B7396"/>
    <w:rsid w:val="001B75B1"/>
    <w:rsid w:val="001C07DA"/>
    <w:rsid w:val="001C07EE"/>
    <w:rsid w:val="001C1424"/>
    <w:rsid w:val="001C1EB0"/>
    <w:rsid w:val="001C242B"/>
    <w:rsid w:val="001C268B"/>
    <w:rsid w:val="001C5A83"/>
    <w:rsid w:val="001C5B7D"/>
    <w:rsid w:val="001C5CBC"/>
    <w:rsid w:val="001C7BB5"/>
    <w:rsid w:val="001D00FE"/>
    <w:rsid w:val="001D0F06"/>
    <w:rsid w:val="001D108C"/>
    <w:rsid w:val="001D1403"/>
    <w:rsid w:val="001D2435"/>
    <w:rsid w:val="001D2BF5"/>
    <w:rsid w:val="001D3669"/>
    <w:rsid w:val="001D72BF"/>
    <w:rsid w:val="001E07B4"/>
    <w:rsid w:val="001E2451"/>
    <w:rsid w:val="001E4E25"/>
    <w:rsid w:val="001E51ED"/>
    <w:rsid w:val="001E59D5"/>
    <w:rsid w:val="001E6882"/>
    <w:rsid w:val="001E7094"/>
    <w:rsid w:val="001E726D"/>
    <w:rsid w:val="001F0BB7"/>
    <w:rsid w:val="001F1111"/>
    <w:rsid w:val="001F2060"/>
    <w:rsid w:val="001F3D2D"/>
    <w:rsid w:val="001F45C4"/>
    <w:rsid w:val="001F4693"/>
    <w:rsid w:val="001F7E7D"/>
    <w:rsid w:val="00200B0F"/>
    <w:rsid w:val="0020167B"/>
    <w:rsid w:val="00203069"/>
    <w:rsid w:val="00203C91"/>
    <w:rsid w:val="0020432B"/>
    <w:rsid w:val="00204A0D"/>
    <w:rsid w:val="002051BE"/>
    <w:rsid w:val="00205EAB"/>
    <w:rsid w:val="00206F8B"/>
    <w:rsid w:val="002076CA"/>
    <w:rsid w:val="0021082B"/>
    <w:rsid w:val="00210F20"/>
    <w:rsid w:val="0021154A"/>
    <w:rsid w:val="002115F6"/>
    <w:rsid w:val="002125E2"/>
    <w:rsid w:val="00212EC7"/>
    <w:rsid w:val="002131B3"/>
    <w:rsid w:val="00213449"/>
    <w:rsid w:val="0021396F"/>
    <w:rsid w:val="00214FE8"/>
    <w:rsid w:val="00221315"/>
    <w:rsid w:val="002215A8"/>
    <w:rsid w:val="00221C80"/>
    <w:rsid w:val="00221EC2"/>
    <w:rsid w:val="00222BB2"/>
    <w:rsid w:val="002261D2"/>
    <w:rsid w:val="00226BCE"/>
    <w:rsid w:val="00226FB6"/>
    <w:rsid w:val="0022780C"/>
    <w:rsid w:val="002304D6"/>
    <w:rsid w:val="00231337"/>
    <w:rsid w:val="00233C7D"/>
    <w:rsid w:val="0023793B"/>
    <w:rsid w:val="00241ADA"/>
    <w:rsid w:val="00242673"/>
    <w:rsid w:val="00243666"/>
    <w:rsid w:val="002438AD"/>
    <w:rsid w:val="002446BD"/>
    <w:rsid w:val="002468C7"/>
    <w:rsid w:val="002509C9"/>
    <w:rsid w:val="0025114F"/>
    <w:rsid w:val="00251887"/>
    <w:rsid w:val="002526F8"/>
    <w:rsid w:val="0025290B"/>
    <w:rsid w:val="00256B12"/>
    <w:rsid w:val="0025723E"/>
    <w:rsid w:val="00257840"/>
    <w:rsid w:val="00261B91"/>
    <w:rsid w:val="00263201"/>
    <w:rsid w:val="002638A9"/>
    <w:rsid w:val="00263FFA"/>
    <w:rsid w:val="00264113"/>
    <w:rsid w:val="00264450"/>
    <w:rsid w:val="00266C33"/>
    <w:rsid w:val="0027429C"/>
    <w:rsid w:val="0027642A"/>
    <w:rsid w:val="00286163"/>
    <w:rsid w:val="002861CC"/>
    <w:rsid w:val="002868B7"/>
    <w:rsid w:val="002879D1"/>
    <w:rsid w:val="0029018C"/>
    <w:rsid w:val="00292667"/>
    <w:rsid w:val="00293B68"/>
    <w:rsid w:val="00295E5A"/>
    <w:rsid w:val="00295EA6"/>
    <w:rsid w:val="002964F1"/>
    <w:rsid w:val="002A0373"/>
    <w:rsid w:val="002A1DE4"/>
    <w:rsid w:val="002A3910"/>
    <w:rsid w:val="002A5D83"/>
    <w:rsid w:val="002A6B74"/>
    <w:rsid w:val="002A77E2"/>
    <w:rsid w:val="002B1794"/>
    <w:rsid w:val="002B22B0"/>
    <w:rsid w:val="002B3F5D"/>
    <w:rsid w:val="002B46A6"/>
    <w:rsid w:val="002B4CCF"/>
    <w:rsid w:val="002B6FA2"/>
    <w:rsid w:val="002B7CF8"/>
    <w:rsid w:val="002C059B"/>
    <w:rsid w:val="002C0625"/>
    <w:rsid w:val="002C0BF3"/>
    <w:rsid w:val="002C1B62"/>
    <w:rsid w:val="002C2924"/>
    <w:rsid w:val="002C3CC3"/>
    <w:rsid w:val="002C4451"/>
    <w:rsid w:val="002C609D"/>
    <w:rsid w:val="002C7256"/>
    <w:rsid w:val="002D15A9"/>
    <w:rsid w:val="002D2F0B"/>
    <w:rsid w:val="002D3479"/>
    <w:rsid w:val="002D35AA"/>
    <w:rsid w:val="002D503F"/>
    <w:rsid w:val="002D5B4C"/>
    <w:rsid w:val="002D7236"/>
    <w:rsid w:val="002E019D"/>
    <w:rsid w:val="002E0CCE"/>
    <w:rsid w:val="002E109D"/>
    <w:rsid w:val="002E1F68"/>
    <w:rsid w:val="002E2ACF"/>
    <w:rsid w:val="002E33A8"/>
    <w:rsid w:val="002E33F1"/>
    <w:rsid w:val="002E4C5A"/>
    <w:rsid w:val="002E54ED"/>
    <w:rsid w:val="002E7C9B"/>
    <w:rsid w:val="002F05C1"/>
    <w:rsid w:val="002F1132"/>
    <w:rsid w:val="002F370C"/>
    <w:rsid w:val="00300712"/>
    <w:rsid w:val="00302B56"/>
    <w:rsid w:val="00302C3D"/>
    <w:rsid w:val="00303F1A"/>
    <w:rsid w:val="0030414B"/>
    <w:rsid w:val="00305B2A"/>
    <w:rsid w:val="00305D50"/>
    <w:rsid w:val="003077EF"/>
    <w:rsid w:val="00311D0C"/>
    <w:rsid w:val="00315FB9"/>
    <w:rsid w:val="00317CF7"/>
    <w:rsid w:val="00320ABC"/>
    <w:rsid w:val="00320EB1"/>
    <w:rsid w:val="00321AAF"/>
    <w:rsid w:val="003220CB"/>
    <w:rsid w:val="0032265B"/>
    <w:rsid w:val="00322D81"/>
    <w:rsid w:val="0032311C"/>
    <w:rsid w:val="00323BB5"/>
    <w:rsid w:val="00323D68"/>
    <w:rsid w:val="00323D6B"/>
    <w:rsid w:val="00325507"/>
    <w:rsid w:val="00326E61"/>
    <w:rsid w:val="0033242A"/>
    <w:rsid w:val="003325D8"/>
    <w:rsid w:val="00334E1F"/>
    <w:rsid w:val="00334EDA"/>
    <w:rsid w:val="00336456"/>
    <w:rsid w:val="003402E3"/>
    <w:rsid w:val="00340E35"/>
    <w:rsid w:val="00340FAA"/>
    <w:rsid w:val="003418F0"/>
    <w:rsid w:val="00341C9F"/>
    <w:rsid w:val="00341CD9"/>
    <w:rsid w:val="00341D99"/>
    <w:rsid w:val="00341EBE"/>
    <w:rsid w:val="003422AF"/>
    <w:rsid w:val="0034299F"/>
    <w:rsid w:val="00342F0E"/>
    <w:rsid w:val="0034328B"/>
    <w:rsid w:val="003436B5"/>
    <w:rsid w:val="00343DBB"/>
    <w:rsid w:val="00344DA7"/>
    <w:rsid w:val="00345786"/>
    <w:rsid w:val="00347561"/>
    <w:rsid w:val="00347840"/>
    <w:rsid w:val="003510A3"/>
    <w:rsid w:val="003514D8"/>
    <w:rsid w:val="003516B3"/>
    <w:rsid w:val="00351DDC"/>
    <w:rsid w:val="00351FDA"/>
    <w:rsid w:val="00353184"/>
    <w:rsid w:val="00353B7E"/>
    <w:rsid w:val="00355886"/>
    <w:rsid w:val="0035752E"/>
    <w:rsid w:val="00360D7D"/>
    <w:rsid w:val="00361FF5"/>
    <w:rsid w:val="00363DE2"/>
    <w:rsid w:val="003642DA"/>
    <w:rsid w:val="00364A60"/>
    <w:rsid w:val="00365FF0"/>
    <w:rsid w:val="00366AC6"/>
    <w:rsid w:val="00367162"/>
    <w:rsid w:val="00370B1E"/>
    <w:rsid w:val="00371AD9"/>
    <w:rsid w:val="0037251B"/>
    <w:rsid w:val="00372D3B"/>
    <w:rsid w:val="00373F29"/>
    <w:rsid w:val="0037465B"/>
    <w:rsid w:val="00374A0D"/>
    <w:rsid w:val="00375AAE"/>
    <w:rsid w:val="0037617A"/>
    <w:rsid w:val="00376E8D"/>
    <w:rsid w:val="00380159"/>
    <w:rsid w:val="003803B2"/>
    <w:rsid w:val="00380A12"/>
    <w:rsid w:val="00381410"/>
    <w:rsid w:val="00381A01"/>
    <w:rsid w:val="0038237F"/>
    <w:rsid w:val="0038271E"/>
    <w:rsid w:val="00382B09"/>
    <w:rsid w:val="00384028"/>
    <w:rsid w:val="003840A3"/>
    <w:rsid w:val="00386027"/>
    <w:rsid w:val="0038614A"/>
    <w:rsid w:val="00386778"/>
    <w:rsid w:val="00391221"/>
    <w:rsid w:val="00392F90"/>
    <w:rsid w:val="0039361E"/>
    <w:rsid w:val="003938F0"/>
    <w:rsid w:val="00394AB0"/>
    <w:rsid w:val="003A078F"/>
    <w:rsid w:val="003A0B3D"/>
    <w:rsid w:val="003A1113"/>
    <w:rsid w:val="003A2778"/>
    <w:rsid w:val="003A28E3"/>
    <w:rsid w:val="003A2AA0"/>
    <w:rsid w:val="003A449C"/>
    <w:rsid w:val="003A4634"/>
    <w:rsid w:val="003A56C1"/>
    <w:rsid w:val="003A59EB"/>
    <w:rsid w:val="003A59FB"/>
    <w:rsid w:val="003B0554"/>
    <w:rsid w:val="003B0F76"/>
    <w:rsid w:val="003B1A87"/>
    <w:rsid w:val="003B1DBC"/>
    <w:rsid w:val="003B2000"/>
    <w:rsid w:val="003B2137"/>
    <w:rsid w:val="003B2D4C"/>
    <w:rsid w:val="003B426A"/>
    <w:rsid w:val="003B670C"/>
    <w:rsid w:val="003B7352"/>
    <w:rsid w:val="003C1369"/>
    <w:rsid w:val="003C188C"/>
    <w:rsid w:val="003C36CA"/>
    <w:rsid w:val="003C3861"/>
    <w:rsid w:val="003C457D"/>
    <w:rsid w:val="003C6689"/>
    <w:rsid w:val="003C6CB7"/>
    <w:rsid w:val="003C6F38"/>
    <w:rsid w:val="003C7B03"/>
    <w:rsid w:val="003D123F"/>
    <w:rsid w:val="003D2294"/>
    <w:rsid w:val="003D2AAC"/>
    <w:rsid w:val="003D3349"/>
    <w:rsid w:val="003D41F9"/>
    <w:rsid w:val="003D4467"/>
    <w:rsid w:val="003D4E5B"/>
    <w:rsid w:val="003D5AE8"/>
    <w:rsid w:val="003D5BF1"/>
    <w:rsid w:val="003D6D2B"/>
    <w:rsid w:val="003D6EBA"/>
    <w:rsid w:val="003D7E00"/>
    <w:rsid w:val="003D7F73"/>
    <w:rsid w:val="003E0D34"/>
    <w:rsid w:val="003E2402"/>
    <w:rsid w:val="003E6769"/>
    <w:rsid w:val="003E7EA4"/>
    <w:rsid w:val="003F0663"/>
    <w:rsid w:val="003F1387"/>
    <w:rsid w:val="003F1DAD"/>
    <w:rsid w:val="003F243B"/>
    <w:rsid w:val="003F2EB7"/>
    <w:rsid w:val="003F4461"/>
    <w:rsid w:val="003F48BF"/>
    <w:rsid w:val="003F6152"/>
    <w:rsid w:val="003F6487"/>
    <w:rsid w:val="003F6E8A"/>
    <w:rsid w:val="003F7FD6"/>
    <w:rsid w:val="00400290"/>
    <w:rsid w:val="00400EB9"/>
    <w:rsid w:val="00401693"/>
    <w:rsid w:val="00402840"/>
    <w:rsid w:val="00403829"/>
    <w:rsid w:val="00403B65"/>
    <w:rsid w:val="004065AB"/>
    <w:rsid w:val="00406B4A"/>
    <w:rsid w:val="004077B4"/>
    <w:rsid w:val="00411537"/>
    <w:rsid w:val="00412765"/>
    <w:rsid w:val="004141F9"/>
    <w:rsid w:val="00414AFA"/>
    <w:rsid w:val="00416FCE"/>
    <w:rsid w:val="00417613"/>
    <w:rsid w:val="00421D71"/>
    <w:rsid w:val="00422631"/>
    <w:rsid w:val="0042422B"/>
    <w:rsid w:val="004242C9"/>
    <w:rsid w:val="00424DD0"/>
    <w:rsid w:val="00430509"/>
    <w:rsid w:val="004310FE"/>
    <w:rsid w:val="00431C6F"/>
    <w:rsid w:val="00434246"/>
    <w:rsid w:val="004364CB"/>
    <w:rsid w:val="00436B0D"/>
    <w:rsid w:val="00436E97"/>
    <w:rsid w:val="004377F4"/>
    <w:rsid w:val="00437DA4"/>
    <w:rsid w:val="004405D6"/>
    <w:rsid w:val="00441FE9"/>
    <w:rsid w:val="004420D1"/>
    <w:rsid w:val="00443D77"/>
    <w:rsid w:val="00444F2D"/>
    <w:rsid w:val="00444F3F"/>
    <w:rsid w:val="00445ACE"/>
    <w:rsid w:val="00447F97"/>
    <w:rsid w:val="00450BC6"/>
    <w:rsid w:val="00450F40"/>
    <w:rsid w:val="00451237"/>
    <w:rsid w:val="00452A12"/>
    <w:rsid w:val="00452B73"/>
    <w:rsid w:val="00454F59"/>
    <w:rsid w:val="00456C74"/>
    <w:rsid w:val="00460CAE"/>
    <w:rsid w:val="00464771"/>
    <w:rsid w:val="004677BF"/>
    <w:rsid w:val="00467DFE"/>
    <w:rsid w:val="00470487"/>
    <w:rsid w:val="00470549"/>
    <w:rsid w:val="00470C16"/>
    <w:rsid w:val="00473C66"/>
    <w:rsid w:val="00473FAA"/>
    <w:rsid w:val="00474CB7"/>
    <w:rsid w:val="00475C80"/>
    <w:rsid w:val="00475EB4"/>
    <w:rsid w:val="0047649C"/>
    <w:rsid w:val="0047764E"/>
    <w:rsid w:val="00477A4F"/>
    <w:rsid w:val="00480EB7"/>
    <w:rsid w:val="00482487"/>
    <w:rsid w:val="0048279E"/>
    <w:rsid w:val="004828D0"/>
    <w:rsid w:val="0048576C"/>
    <w:rsid w:val="004862A4"/>
    <w:rsid w:val="00486E42"/>
    <w:rsid w:val="00490009"/>
    <w:rsid w:val="00490085"/>
    <w:rsid w:val="00491262"/>
    <w:rsid w:val="00491609"/>
    <w:rsid w:val="00491B15"/>
    <w:rsid w:val="004963B8"/>
    <w:rsid w:val="00497A2F"/>
    <w:rsid w:val="004A0AD4"/>
    <w:rsid w:val="004A2166"/>
    <w:rsid w:val="004A4A9B"/>
    <w:rsid w:val="004A51DC"/>
    <w:rsid w:val="004A6997"/>
    <w:rsid w:val="004A7348"/>
    <w:rsid w:val="004B1F70"/>
    <w:rsid w:val="004B296D"/>
    <w:rsid w:val="004B6771"/>
    <w:rsid w:val="004B74BB"/>
    <w:rsid w:val="004C1711"/>
    <w:rsid w:val="004C3938"/>
    <w:rsid w:val="004C50FF"/>
    <w:rsid w:val="004C5B4B"/>
    <w:rsid w:val="004D1081"/>
    <w:rsid w:val="004D1C54"/>
    <w:rsid w:val="004D2A07"/>
    <w:rsid w:val="004D3586"/>
    <w:rsid w:val="004D4701"/>
    <w:rsid w:val="004D4A27"/>
    <w:rsid w:val="004D5190"/>
    <w:rsid w:val="004E29A6"/>
    <w:rsid w:val="004E6BCF"/>
    <w:rsid w:val="004E6FBC"/>
    <w:rsid w:val="004E78AF"/>
    <w:rsid w:val="004F2FA0"/>
    <w:rsid w:val="004F39CA"/>
    <w:rsid w:val="004F5B74"/>
    <w:rsid w:val="004F69F9"/>
    <w:rsid w:val="004F6FFD"/>
    <w:rsid w:val="004F71A5"/>
    <w:rsid w:val="004F7F43"/>
    <w:rsid w:val="0050107D"/>
    <w:rsid w:val="0050122C"/>
    <w:rsid w:val="00502F79"/>
    <w:rsid w:val="0050348A"/>
    <w:rsid w:val="00503930"/>
    <w:rsid w:val="00504B7A"/>
    <w:rsid w:val="005056F1"/>
    <w:rsid w:val="005059A2"/>
    <w:rsid w:val="00507119"/>
    <w:rsid w:val="005118E1"/>
    <w:rsid w:val="0051200F"/>
    <w:rsid w:val="0051204A"/>
    <w:rsid w:val="0051207B"/>
    <w:rsid w:val="00512169"/>
    <w:rsid w:val="00512587"/>
    <w:rsid w:val="005134E1"/>
    <w:rsid w:val="00513726"/>
    <w:rsid w:val="00514730"/>
    <w:rsid w:val="00514E6C"/>
    <w:rsid w:val="00514FB8"/>
    <w:rsid w:val="00515925"/>
    <w:rsid w:val="0051655D"/>
    <w:rsid w:val="0051703B"/>
    <w:rsid w:val="00517CE7"/>
    <w:rsid w:val="00520952"/>
    <w:rsid w:val="00523809"/>
    <w:rsid w:val="00523C41"/>
    <w:rsid w:val="00524015"/>
    <w:rsid w:val="0052592A"/>
    <w:rsid w:val="00526EEC"/>
    <w:rsid w:val="0052764A"/>
    <w:rsid w:val="00527F26"/>
    <w:rsid w:val="00530A65"/>
    <w:rsid w:val="00530D50"/>
    <w:rsid w:val="005328DC"/>
    <w:rsid w:val="00534D98"/>
    <w:rsid w:val="005350A5"/>
    <w:rsid w:val="00535878"/>
    <w:rsid w:val="0053613C"/>
    <w:rsid w:val="005363C6"/>
    <w:rsid w:val="00542B51"/>
    <w:rsid w:val="00543A2D"/>
    <w:rsid w:val="00544075"/>
    <w:rsid w:val="0054491B"/>
    <w:rsid w:val="0054682C"/>
    <w:rsid w:val="005468E0"/>
    <w:rsid w:val="00547C8C"/>
    <w:rsid w:val="00550715"/>
    <w:rsid w:val="0055153D"/>
    <w:rsid w:val="00552261"/>
    <w:rsid w:val="00552378"/>
    <w:rsid w:val="00552690"/>
    <w:rsid w:val="00552E04"/>
    <w:rsid w:val="00553543"/>
    <w:rsid w:val="0055393D"/>
    <w:rsid w:val="00554FF8"/>
    <w:rsid w:val="0055544E"/>
    <w:rsid w:val="00555DC5"/>
    <w:rsid w:val="00556703"/>
    <w:rsid w:val="00557E8D"/>
    <w:rsid w:val="005605A7"/>
    <w:rsid w:val="00560EFB"/>
    <w:rsid w:val="005622F5"/>
    <w:rsid w:val="00564825"/>
    <w:rsid w:val="00564C75"/>
    <w:rsid w:val="005652E8"/>
    <w:rsid w:val="00565800"/>
    <w:rsid w:val="00566983"/>
    <w:rsid w:val="00566ED6"/>
    <w:rsid w:val="00567BA5"/>
    <w:rsid w:val="00570602"/>
    <w:rsid w:val="00570B9D"/>
    <w:rsid w:val="00570D83"/>
    <w:rsid w:val="005744E0"/>
    <w:rsid w:val="00574BAD"/>
    <w:rsid w:val="005752DB"/>
    <w:rsid w:val="00576BA1"/>
    <w:rsid w:val="00576BE1"/>
    <w:rsid w:val="00582197"/>
    <w:rsid w:val="0058262C"/>
    <w:rsid w:val="00582639"/>
    <w:rsid w:val="00582A31"/>
    <w:rsid w:val="00582C12"/>
    <w:rsid w:val="0058437F"/>
    <w:rsid w:val="00584AA5"/>
    <w:rsid w:val="0059117B"/>
    <w:rsid w:val="00591F81"/>
    <w:rsid w:val="005925AF"/>
    <w:rsid w:val="00596278"/>
    <w:rsid w:val="00596BDD"/>
    <w:rsid w:val="00597E25"/>
    <w:rsid w:val="005A0603"/>
    <w:rsid w:val="005A0D98"/>
    <w:rsid w:val="005A1308"/>
    <w:rsid w:val="005A2A7A"/>
    <w:rsid w:val="005A4028"/>
    <w:rsid w:val="005A6474"/>
    <w:rsid w:val="005A6781"/>
    <w:rsid w:val="005A6AF1"/>
    <w:rsid w:val="005A7681"/>
    <w:rsid w:val="005A7A64"/>
    <w:rsid w:val="005B0D70"/>
    <w:rsid w:val="005B2021"/>
    <w:rsid w:val="005B33CD"/>
    <w:rsid w:val="005B34C9"/>
    <w:rsid w:val="005B41D4"/>
    <w:rsid w:val="005B4EC2"/>
    <w:rsid w:val="005B5E39"/>
    <w:rsid w:val="005B5F39"/>
    <w:rsid w:val="005B7FB1"/>
    <w:rsid w:val="005C1FD9"/>
    <w:rsid w:val="005C3683"/>
    <w:rsid w:val="005C4476"/>
    <w:rsid w:val="005C4E57"/>
    <w:rsid w:val="005C57F6"/>
    <w:rsid w:val="005C7014"/>
    <w:rsid w:val="005C725C"/>
    <w:rsid w:val="005C72E8"/>
    <w:rsid w:val="005C7949"/>
    <w:rsid w:val="005C7E01"/>
    <w:rsid w:val="005D42D7"/>
    <w:rsid w:val="005D65D1"/>
    <w:rsid w:val="005D6AD0"/>
    <w:rsid w:val="005E0901"/>
    <w:rsid w:val="005E13FD"/>
    <w:rsid w:val="005E18A0"/>
    <w:rsid w:val="005E190D"/>
    <w:rsid w:val="005E2083"/>
    <w:rsid w:val="005E237D"/>
    <w:rsid w:val="005E2C18"/>
    <w:rsid w:val="005E39B2"/>
    <w:rsid w:val="005E48DB"/>
    <w:rsid w:val="005E4CA9"/>
    <w:rsid w:val="005E4D4D"/>
    <w:rsid w:val="005E4FC1"/>
    <w:rsid w:val="005E52AA"/>
    <w:rsid w:val="005E7940"/>
    <w:rsid w:val="005E7D00"/>
    <w:rsid w:val="005F099E"/>
    <w:rsid w:val="005F1621"/>
    <w:rsid w:val="005F4B0C"/>
    <w:rsid w:val="005F6A98"/>
    <w:rsid w:val="005F7339"/>
    <w:rsid w:val="005F7371"/>
    <w:rsid w:val="00601A50"/>
    <w:rsid w:val="0060240E"/>
    <w:rsid w:val="00602476"/>
    <w:rsid w:val="006037FA"/>
    <w:rsid w:val="00603F19"/>
    <w:rsid w:val="0060490D"/>
    <w:rsid w:val="0060741A"/>
    <w:rsid w:val="0060752E"/>
    <w:rsid w:val="00614004"/>
    <w:rsid w:val="0061586A"/>
    <w:rsid w:val="00616A47"/>
    <w:rsid w:val="006220A9"/>
    <w:rsid w:val="006222EA"/>
    <w:rsid w:val="00622858"/>
    <w:rsid w:val="00624467"/>
    <w:rsid w:val="00624DC2"/>
    <w:rsid w:val="00624E16"/>
    <w:rsid w:val="00624ED4"/>
    <w:rsid w:val="006259B7"/>
    <w:rsid w:val="006276B4"/>
    <w:rsid w:val="00630D05"/>
    <w:rsid w:val="0063102D"/>
    <w:rsid w:val="00632EEA"/>
    <w:rsid w:val="00634F2E"/>
    <w:rsid w:val="00643F95"/>
    <w:rsid w:val="0064421C"/>
    <w:rsid w:val="006464D9"/>
    <w:rsid w:val="00653CF5"/>
    <w:rsid w:val="00655F9E"/>
    <w:rsid w:val="00655FA8"/>
    <w:rsid w:val="006570A9"/>
    <w:rsid w:val="006570D6"/>
    <w:rsid w:val="00661FC3"/>
    <w:rsid w:val="0066283C"/>
    <w:rsid w:val="0066285A"/>
    <w:rsid w:val="00663C27"/>
    <w:rsid w:val="006640B7"/>
    <w:rsid w:val="006641AB"/>
    <w:rsid w:val="00664667"/>
    <w:rsid w:val="006662AF"/>
    <w:rsid w:val="00666427"/>
    <w:rsid w:val="006679CB"/>
    <w:rsid w:val="006702BD"/>
    <w:rsid w:val="00670D34"/>
    <w:rsid w:val="006713B0"/>
    <w:rsid w:val="006726E7"/>
    <w:rsid w:val="00672CA8"/>
    <w:rsid w:val="00673327"/>
    <w:rsid w:val="00673868"/>
    <w:rsid w:val="00674E20"/>
    <w:rsid w:val="00675054"/>
    <w:rsid w:val="006757F3"/>
    <w:rsid w:val="00675933"/>
    <w:rsid w:val="006763CD"/>
    <w:rsid w:val="006766FC"/>
    <w:rsid w:val="0068057E"/>
    <w:rsid w:val="00680A41"/>
    <w:rsid w:val="00681A46"/>
    <w:rsid w:val="00682547"/>
    <w:rsid w:val="006827D1"/>
    <w:rsid w:val="00682D8B"/>
    <w:rsid w:val="0068403A"/>
    <w:rsid w:val="0068559F"/>
    <w:rsid w:val="00685A02"/>
    <w:rsid w:val="00687B87"/>
    <w:rsid w:val="00690C3D"/>
    <w:rsid w:val="0069153F"/>
    <w:rsid w:val="00692500"/>
    <w:rsid w:val="00692C8B"/>
    <w:rsid w:val="0069373B"/>
    <w:rsid w:val="00693795"/>
    <w:rsid w:val="00693870"/>
    <w:rsid w:val="006943A8"/>
    <w:rsid w:val="00695421"/>
    <w:rsid w:val="00695657"/>
    <w:rsid w:val="00695813"/>
    <w:rsid w:val="006A2136"/>
    <w:rsid w:val="006A3446"/>
    <w:rsid w:val="006A43F4"/>
    <w:rsid w:val="006A44CD"/>
    <w:rsid w:val="006A5B0C"/>
    <w:rsid w:val="006B08CC"/>
    <w:rsid w:val="006B0982"/>
    <w:rsid w:val="006B2407"/>
    <w:rsid w:val="006B27D3"/>
    <w:rsid w:val="006B466B"/>
    <w:rsid w:val="006B59DA"/>
    <w:rsid w:val="006B6289"/>
    <w:rsid w:val="006B73D7"/>
    <w:rsid w:val="006C06A6"/>
    <w:rsid w:val="006C0967"/>
    <w:rsid w:val="006C0FE7"/>
    <w:rsid w:val="006C13E8"/>
    <w:rsid w:val="006C1A3C"/>
    <w:rsid w:val="006C1B3C"/>
    <w:rsid w:val="006C1D85"/>
    <w:rsid w:val="006C315B"/>
    <w:rsid w:val="006C3D3D"/>
    <w:rsid w:val="006C687C"/>
    <w:rsid w:val="006D1387"/>
    <w:rsid w:val="006D2E3C"/>
    <w:rsid w:val="006D34B8"/>
    <w:rsid w:val="006D44B1"/>
    <w:rsid w:val="006D55C7"/>
    <w:rsid w:val="006D655D"/>
    <w:rsid w:val="006D669C"/>
    <w:rsid w:val="006D6BFC"/>
    <w:rsid w:val="006D6FF3"/>
    <w:rsid w:val="006D7400"/>
    <w:rsid w:val="006D7C45"/>
    <w:rsid w:val="006D7D00"/>
    <w:rsid w:val="006E0424"/>
    <w:rsid w:val="006E084C"/>
    <w:rsid w:val="006E159A"/>
    <w:rsid w:val="006E17A3"/>
    <w:rsid w:val="006E2077"/>
    <w:rsid w:val="006E35A6"/>
    <w:rsid w:val="006E396F"/>
    <w:rsid w:val="006E4030"/>
    <w:rsid w:val="006E40CA"/>
    <w:rsid w:val="006E57AC"/>
    <w:rsid w:val="006E5E9C"/>
    <w:rsid w:val="006E641E"/>
    <w:rsid w:val="006E7748"/>
    <w:rsid w:val="006E774C"/>
    <w:rsid w:val="006F1B73"/>
    <w:rsid w:val="006F44EC"/>
    <w:rsid w:val="006F6334"/>
    <w:rsid w:val="006F6A8F"/>
    <w:rsid w:val="006F77A2"/>
    <w:rsid w:val="006F7BE5"/>
    <w:rsid w:val="007003FE"/>
    <w:rsid w:val="00700571"/>
    <w:rsid w:val="00700F1B"/>
    <w:rsid w:val="007011CB"/>
    <w:rsid w:val="00701654"/>
    <w:rsid w:val="00701AFB"/>
    <w:rsid w:val="00702063"/>
    <w:rsid w:val="00703EF6"/>
    <w:rsid w:val="007072B5"/>
    <w:rsid w:val="007077AF"/>
    <w:rsid w:val="00707A53"/>
    <w:rsid w:val="00710A10"/>
    <w:rsid w:val="00711912"/>
    <w:rsid w:val="00711FEA"/>
    <w:rsid w:val="0071478E"/>
    <w:rsid w:val="00714BAC"/>
    <w:rsid w:val="00714FF4"/>
    <w:rsid w:val="00716D34"/>
    <w:rsid w:val="0072086C"/>
    <w:rsid w:val="00720FC9"/>
    <w:rsid w:val="00724201"/>
    <w:rsid w:val="00726400"/>
    <w:rsid w:val="00731C6B"/>
    <w:rsid w:val="00731D63"/>
    <w:rsid w:val="0073375B"/>
    <w:rsid w:val="00733EDF"/>
    <w:rsid w:val="007344BF"/>
    <w:rsid w:val="00741189"/>
    <w:rsid w:val="00742AEF"/>
    <w:rsid w:val="0074307D"/>
    <w:rsid w:val="00744912"/>
    <w:rsid w:val="00744ACE"/>
    <w:rsid w:val="00744B35"/>
    <w:rsid w:val="007453A4"/>
    <w:rsid w:val="0074616F"/>
    <w:rsid w:val="0075072B"/>
    <w:rsid w:val="00752AF2"/>
    <w:rsid w:val="00753D02"/>
    <w:rsid w:val="00755C0A"/>
    <w:rsid w:val="007569D2"/>
    <w:rsid w:val="00757631"/>
    <w:rsid w:val="00760C90"/>
    <w:rsid w:val="00761574"/>
    <w:rsid w:val="00764DB8"/>
    <w:rsid w:val="0076504B"/>
    <w:rsid w:val="0076584F"/>
    <w:rsid w:val="007673FC"/>
    <w:rsid w:val="00770987"/>
    <w:rsid w:val="00770C64"/>
    <w:rsid w:val="00772AC0"/>
    <w:rsid w:val="00773DB9"/>
    <w:rsid w:val="007755DE"/>
    <w:rsid w:val="0077610C"/>
    <w:rsid w:val="00776B55"/>
    <w:rsid w:val="00776FDE"/>
    <w:rsid w:val="00777E30"/>
    <w:rsid w:val="00782364"/>
    <w:rsid w:val="00783FA5"/>
    <w:rsid w:val="007843C5"/>
    <w:rsid w:val="007849FB"/>
    <w:rsid w:val="00784CA0"/>
    <w:rsid w:val="00787D71"/>
    <w:rsid w:val="00791061"/>
    <w:rsid w:val="00791339"/>
    <w:rsid w:val="00791F7A"/>
    <w:rsid w:val="00793655"/>
    <w:rsid w:val="00793FB8"/>
    <w:rsid w:val="007947ED"/>
    <w:rsid w:val="00794D87"/>
    <w:rsid w:val="00795913"/>
    <w:rsid w:val="00795A2F"/>
    <w:rsid w:val="00795CD4"/>
    <w:rsid w:val="007A1AE8"/>
    <w:rsid w:val="007A1D35"/>
    <w:rsid w:val="007A2238"/>
    <w:rsid w:val="007A2EF6"/>
    <w:rsid w:val="007A489B"/>
    <w:rsid w:val="007A4E87"/>
    <w:rsid w:val="007A4F01"/>
    <w:rsid w:val="007A5847"/>
    <w:rsid w:val="007A5A89"/>
    <w:rsid w:val="007A7E8C"/>
    <w:rsid w:val="007B00C8"/>
    <w:rsid w:val="007B18E6"/>
    <w:rsid w:val="007B19FD"/>
    <w:rsid w:val="007B1A88"/>
    <w:rsid w:val="007B1ADE"/>
    <w:rsid w:val="007B1C69"/>
    <w:rsid w:val="007B1D68"/>
    <w:rsid w:val="007B292B"/>
    <w:rsid w:val="007B2BA0"/>
    <w:rsid w:val="007B5059"/>
    <w:rsid w:val="007B5D16"/>
    <w:rsid w:val="007B6C3E"/>
    <w:rsid w:val="007B7960"/>
    <w:rsid w:val="007C051F"/>
    <w:rsid w:val="007C1878"/>
    <w:rsid w:val="007C1F27"/>
    <w:rsid w:val="007C1FCE"/>
    <w:rsid w:val="007C2284"/>
    <w:rsid w:val="007C27DA"/>
    <w:rsid w:val="007C2D93"/>
    <w:rsid w:val="007C3556"/>
    <w:rsid w:val="007C3695"/>
    <w:rsid w:val="007C37A6"/>
    <w:rsid w:val="007C521A"/>
    <w:rsid w:val="007C73AF"/>
    <w:rsid w:val="007C765E"/>
    <w:rsid w:val="007D0BA9"/>
    <w:rsid w:val="007D196A"/>
    <w:rsid w:val="007D1A8D"/>
    <w:rsid w:val="007D2416"/>
    <w:rsid w:val="007D291F"/>
    <w:rsid w:val="007D2AE1"/>
    <w:rsid w:val="007D458B"/>
    <w:rsid w:val="007D4CBB"/>
    <w:rsid w:val="007D4E4C"/>
    <w:rsid w:val="007D50AB"/>
    <w:rsid w:val="007D51D2"/>
    <w:rsid w:val="007D6627"/>
    <w:rsid w:val="007D6B88"/>
    <w:rsid w:val="007D6DA0"/>
    <w:rsid w:val="007D7E56"/>
    <w:rsid w:val="007E00BD"/>
    <w:rsid w:val="007E05E8"/>
    <w:rsid w:val="007E06FC"/>
    <w:rsid w:val="007E0BD3"/>
    <w:rsid w:val="007E2FFF"/>
    <w:rsid w:val="007E635D"/>
    <w:rsid w:val="007E68E0"/>
    <w:rsid w:val="007E7ACB"/>
    <w:rsid w:val="007F0565"/>
    <w:rsid w:val="007F0A7E"/>
    <w:rsid w:val="007F0B6D"/>
    <w:rsid w:val="007F1315"/>
    <w:rsid w:val="007F1B41"/>
    <w:rsid w:val="007F586C"/>
    <w:rsid w:val="007F5BD7"/>
    <w:rsid w:val="007F5D51"/>
    <w:rsid w:val="007F69ED"/>
    <w:rsid w:val="007F7963"/>
    <w:rsid w:val="00800106"/>
    <w:rsid w:val="00800B4E"/>
    <w:rsid w:val="008012FE"/>
    <w:rsid w:val="008016DC"/>
    <w:rsid w:val="00801BE7"/>
    <w:rsid w:val="00801E55"/>
    <w:rsid w:val="00801EE2"/>
    <w:rsid w:val="00805758"/>
    <w:rsid w:val="00805A07"/>
    <w:rsid w:val="00807B52"/>
    <w:rsid w:val="00807D3B"/>
    <w:rsid w:val="00810519"/>
    <w:rsid w:val="0081086C"/>
    <w:rsid w:val="008145DE"/>
    <w:rsid w:val="00817172"/>
    <w:rsid w:val="008174F4"/>
    <w:rsid w:val="00820E7D"/>
    <w:rsid w:val="00821AFB"/>
    <w:rsid w:val="00823255"/>
    <w:rsid w:val="00823959"/>
    <w:rsid w:val="008240DF"/>
    <w:rsid w:val="0082479F"/>
    <w:rsid w:val="008251C8"/>
    <w:rsid w:val="00827055"/>
    <w:rsid w:val="0083040B"/>
    <w:rsid w:val="00831D09"/>
    <w:rsid w:val="0083277D"/>
    <w:rsid w:val="00832B1A"/>
    <w:rsid w:val="008342FA"/>
    <w:rsid w:val="008344A6"/>
    <w:rsid w:val="00834FC5"/>
    <w:rsid w:val="00840096"/>
    <w:rsid w:val="008403A6"/>
    <w:rsid w:val="0084042D"/>
    <w:rsid w:val="00842112"/>
    <w:rsid w:val="00842BBA"/>
    <w:rsid w:val="0084331E"/>
    <w:rsid w:val="00844431"/>
    <w:rsid w:val="008446EA"/>
    <w:rsid w:val="00846A3A"/>
    <w:rsid w:val="008476CF"/>
    <w:rsid w:val="00850680"/>
    <w:rsid w:val="008513A0"/>
    <w:rsid w:val="00851E47"/>
    <w:rsid w:val="00853EA4"/>
    <w:rsid w:val="0085405D"/>
    <w:rsid w:val="00854BFA"/>
    <w:rsid w:val="0085524E"/>
    <w:rsid w:val="008552E5"/>
    <w:rsid w:val="008564E0"/>
    <w:rsid w:val="008624AB"/>
    <w:rsid w:val="00862516"/>
    <w:rsid w:val="008634B0"/>
    <w:rsid w:val="0086437F"/>
    <w:rsid w:val="008649B9"/>
    <w:rsid w:val="00864E7C"/>
    <w:rsid w:val="008651F4"/>
    <w:rsid w:val="008655F5"/>
    <w:rsid w:val="0086563E"/>
    <w:rsid w:val="00866648"/>
    <w:rsid w:val="00867683"/>
    <w:rsid w:val="008705EB"/>
    <w:rsid w:val="00873BFE"/>
    <w:rsid w:val="00876200"/>
    <w:rsid w:val="00876874"/>
    <w:rsid w:val="008777BD"/>
    <w:rsid w:val="00880046"/>
    <w:rsid w:val="00880054"/>
    <w:rsid w:val="00880EAC"/>
    <w:rsid w:val="0088191F"/>
    <w:rsid w:val="0088253C"/>
    <w:rsid w:val="008826FA"/>
    <w:rsid w:val="0088291F"/>
    <w:rsid w:val="008835BA"/>
    <w:rsid w:val="00884940"/>
    <w:rsid w:val="00886CDD"/>
    <w:rsid w:val="00887FB9"/>
    <w:rsid w:val="008900C0"/>
    <w:rsid w:val="00893251"/>
    <w:rsid w:val="00897AE0"/>
    <w:rsid w:val="00897D2C"/>
    <w:rsid w:val="00897F4B"/>
    <w:rsid w:val="008A1839"/>
    <w:rsid w:val="008A19F1"/>
    <w:rsid w:val="008A3DD7"/>
    <w:rsid w:val="008A41EB"/>
    <w:rsid w:val="008A461B"/>
    <w:rsid w:val="008A4F57"/>
    <w:rsid w:val="008A5583"/>
    <w:rsid w:val="008A676A"/>
    <w:rsid w:val="008A6C75"/>
    <w:rsid w:val="008B0534"/>
    <w:rsid w:val="008B0A53"/>
    <w:rsid w:val="008B24ED"/>
    <w:rsid w:val="008B4365"/>
    <w:rsid w:val="008B5D66"/>
    <w:rsid w:val="008B7500"/>
    <w:rsid w:val="008B7A42"/>
    <w:rsid w:val="008B7AB9"/>
    <w:rsid w:val="008C0138"/>
    <w:rsid w:val="008C0561"/>
    <w:rsid w:val="008C19DB"/>
    <w:rsid w:val="008C1F03"/>
    <w:rsid w:val="008C307E"/>
    <w:rsid w:val="008C40B8"/>
    <w:rsid w:val="008C4BA4"/>
    <w:rsid w:val="008C62E5"/>
    <w:rsid w:val="008C7C5B"/>
    <w:rsid w:val="008C7F8B"/>
    <w:rsid w:val="008C7FFB"/>
    <w:rsid w:val="008D084A"/>
    <w:rsid w:val="008D3506"/>
    <w:rsid w:val="008D516B"/>
    <w:rsid w:val="008D5964"/>
    <w:rsid w:val="008D6240"/>
    <w:rsid w:val="008D62D3"/>
    <w:rsid w:val="008D6575"/>
    <w:rsid w:val="008E02BF"/>
    <w:rsid w:val="008E1203"/>
    <w:rsid w:val="008E174D"/>
    <w:rsid w:val="008E24B9"/>
    <w:rsid w:val="008E33BA"/>
    <w:rsid w:val="008E347C"/>
    <w:rsid w:val="008E34C4"/>
    <w:rsid w:val="008E3584"/>
    <w:rsid w:val="008E35C4"/>
    <w:rsid w:val="008E3662"/>
    <w:rsid w:val="008E37D3"/>
    <w:rsid w:val="008E3E75"/>
    <w:rsid w:val="008E4B08"/>
    <w:rsid w:val="008F018F"/>
    <w:rsid w:val="008F0CA1"/>
    <w:rsid w:val="008F263C"/>
    <w:rsid w:val="008F2EB2"/>
    <w:rsid w:val="008F4CDB"/>
    <w:rsid w:val="008F525C"/>
    <w:rsid w:val="008F6DE4"/>
    <w:rsid w:val="00900181"/>
    <w:rsid w:val="00900B6A"/>
    <w:rsid w:val="00904FBC"/>
    <w:rsid w:val="009062D0"/>
    <w:rsid w:val="00906585"/>
    <w:rsid w:val="009069DA"/>
    <w:rsid w:val="0091013A"/>
    <w:rsid w:val="0091021F"/>
    <w:rsid w:val="00911837"/>
    <w:rsid w:val="00911CA0"/>
    <w:rsid w:val="00911F62"/>
    <w:rsid w:val="00912C5B"/>
    <w:rsid w:val="00913183"/>
    <w:rsid w:val="00913B10"/>
    <w:rsid w:val="00913BFD"/>
    <w:rsid w:val="00914096"/>
    <w:rsid w:val="00914D60"/>
    <w:rsid w:val="0091593D"/>
    <w:rsid w:val="0091730E"/>
    <w:rsid w:val="00920A3D"/>
    <w:rsid w:val="009211D4"/>
    <w:rsid w:val="00921629"/>
    <w:rsid w:val="0092235F"/>
    <w:rsid w:val="00922B44"/>
    <w:rsid w:val="009243D3"/>
    <w:rsid w:val="009244D1"/>
    <w:rsid w:val="00924730"/>
    <w:rsid w:val="00927C60"/>
    <w:rsid w:val="009320A9"/>
    <w:rsid w:val="00934275"/>
    <w:rsid w:val="0093557C"/>
    <w:rsid w:val="00935849"/>
    <w:rsid w:val="0093716B"/>
    <w:rsid w:val="0094057B"/>
    <w:rsid w:val="009407EE"/>
    <w:rsid w:val="00940BFF"/>
    <w:rsid w:val="00941430"/>
    <w:rsid w:val="00941F51"/>
    <w:rsid w:val="0094272F"/>
    <w:rsid w:val="00944349"/>
    <w:rsid w:val="00944B01"/>
    <w:rsid w:val="00945ACE"/>
    <w:rsid w:val="00946D58"/>
    <w:rsid w:val="00947536"/>
    <w:rsid w:val="00950382"/>
    <w:rsid w:val="00951210"/>
    <w:rsid w:val="00952D42"/>
    <w:rsid w:val="00953310"/>
    <w:rsid w:val="00954560"/>
    <w:rsid w:val="00954D17"/>
    <w:rsid w:val="00955287"/>
    <w:rsid w:val="009573E9"/>
    <w:rsid w:val="00960113"/>
    <w:rsid w:val="009615D6"/>
    <w:rsid w:val="00962070"/>
    <w:rsid w:val="00962EEA"/>
    <w:rsid w:val="00962F7E"/>
    <w:rsid w:val="00963F75"/>
    <w:rsid w:val="009642D8"/>
    <w:rsid w:val="00964C4D"/>
    <w:rsid w:val="00964CA6"/>
    <w:rsid w:val="00964F3E"/>
    <w:rsid w:val="00965386"/>
    <w:rsid w:val="0096577F"/>
    <w:rsid w:val="00970896"/>
    <w:rsid w:val="009709AB"/>
    <w:rsid w:val="00970CA2"/>
    <w:rsid w:val="00971732"/>
    <w:rsid w:val="00971D29"/>
    <w:rsid w:val="00972EEA"/>
    <w:rsid w:val="009734DE"/>
    <w:rsid w:val="00974B7C"/>
    <w:rsid w:val="00975299"/>
    <w:rsid w:val="00975BF7"/>
    <w:rsid w:val="0097672A"/>
    <w:rsid w:val="009858BD"/>
    <w:rsid w:val="0099110F"/>
    <w:rsid w:val="009920BB"/>
    <w:rsid w:val="00992AA3"/>
    <w:rsid w:val="00995F14"/>
    <w:rsid w:val="0099603C"/>
    <w:rsid w:val="00997938"/>
    <w:rsid w:val="00997945"/>
    <w:rsid w:val="00997980"/>
    <w:rsid w:val="009A1355"/>
    <w:rsid w:val="009A2BF4"/>
    <w:rsid w:val="009A2D7C"/>
    <w:rsid w:val="009A38A6"/>
    <w:rsid w:val="009A3A0A"/>
    <w:rsid w:val="009A4102"/>
    <w:rsid w:val="009A51FA"/>
    <w:rsid w:val="009A61E5"/>
    <w:rsid w:val="009B119E"/>
    <w:rsid w:val="009B2C5F"/>
    <w:rsid w:val="009B2FAB"/>
    <w:rsid w:val="009B3F24"/>
    <w:rsid w:val="009B45B7"/>
    <w:rsid w:val="009B4C10"/>
    <w:rsid w:val="009B5D80"/>
    <w:rsid w:val="009B68C1"/>
    <w:rsid w:val="009B7452"/>
    <w:rsid w:val="009B7499"/>
    <w:rsid w:val="009C0980"/>
    <w:rsid w:val="009C3301"/>
    <w:rsid w:val="009C3394"/>
    <w:rsid w:val="009C37DF"/>
    <w:rsid w:val="009C3BDC"/>
    <w:rsid w:val="009C45E9"/>
    <w:rsid w:val="009C55F7"/>
    <w:rsid w:val="009D0389"/>
    <w:rsid w:val="009D047B"/>
    <w:rsid w:val="009D12DD"/>
    <w:rsid w:val="009D14D9"/>
    <w:rsid w:val="009D37E1"/>
    <w:rsid w:val="009D4EF2"/>
    <w:rsid w:val="009D50B5"/>
    <w:rsid w:val="009D52FF"/>
    <w:rsid w:val="009D585B"/>
    <w:rsid w:val="009D6181"/>
    <w:rsid w:val="009D662D"/>
    <w:rsid w:val="009D6BF4"/>
    <w:rsid w:val="009D7CD7"/>
    <w:rsid w:val="009E0A42"/>
    <w:rsid w:val="009E4EEC"/>
    <w:rsid w:val="009E52E0"/>
    <w:rsid w:val="009E797B"/>
    <w:rsid w:val="009F484B"/>
    <w:rsid w:val="009F585D"/>
    <w:rsid w:val="009F596D"/>
    <w:rsid w:val="009F7DF1"/>
    <w:rsid w:val="00A002C7"/>
    <w:rsid w:val="00A01EF1"/>
    <w:rsid w:val="00A0382C"/>
    <w:rsid w:val="00A03F68"/>
    <w:rsid w:val="00A03F85"/>
    <w:rsid w:val="00A0476B"/>
    <w:rsid w:val="00A04ABA"/>
    <w:rsid w:val="00A055BB"/>
    <w:rsid w:val="00A05B4B"/>
    <w:rsid w:val="00A1002B"/>
    <w:rsid w:val="00A10F81"/>
    <w:rsid w:val="00A1153A"/>
    <w:rsid w:val="00A12EEE"/>
    <w:rsid w:val="00A13428"/>
    <w:rsid w:val="00A14ACD"/>
    <w:rsid w:val="00A15701"/>
    <w:rsid w:val="00A165D1"/>
    <w:rsid w:val="00A174A3"/>
    <w:rsid w:val="00A222F0"/>
    <w:rsid w:val="00A2231C"/>
    <w:rsid w:val="00A2424D"/>
    <w:rsid w:val="00A262DC"/>
    <w:rsid w:val="00A266F4"/>
    <w:rsid w:val="00A2714C"/>
    <w:rsid w:val="00A27539"/>
    <w:rsid w:val="00A27F4C"/>
    <w:rsid w:val="00A30DDF"/>
    <w:rsid w:val="00A3232A"/>
    <w:rsid w:val="00A33EFA"/>
    <w:rsid w:val="00A33FC3"/>
    <w:rsid w:val="00A343EA"/>
    <w:rsid w:val="00A34A8A"/>
    <w:rsid w:val="00A36B7E"/>
    <w:rsid w:val="00A40398"/>
    <w:rsid w:val="00A40435"/>
    <w:rsid w:val="00A40F40"/>
    <w:rsid w:val="00A42E64"/>
    <w:rsid w:val="00A438FA"/>
    <w:rsid w:val="00A43D09"/>
    <w:rsid w:val="00A43D23"/>
    <w:rsid w:val="00A43F5A"/>
    <w:rsid w:val="00A44518"/>
    <w:rsid w:val="00A448A7"/>
    <w:rsid w:val="00A45DA6"/>
    <w:rsid w:val="00A47801"/>
    <w:rsid w:val="00A478C3"/>
    <w:rsid w:val="00A51ABB"/>
    <w:rsid w:val="00A524A2"/>
    <w:rsid w:val="00A5420E"/>
    <w:rsid w:val="00A552BF"/>
    <w:rsid w:val="00A56758"/>
    <w:rsid w:val="00A57C5B"/>
    <w:rsid w:val="00A61B44"/>
    <w:rsid w:val="00A61D22"/>
    <w:rsid w:val="00A6256A"/>
    <w:rsid w:val="00A62901"/>
    <w:rsid w:val="00A638D3"/>
    <w:rsid w:val="00A638DE"/>
    <w:rsid w:val="00A65EC8"/>
    <w:rsid w:val="00A660B7"/>
    <w:rsid w:val="00A67737"/>
    <w:rsid w:val="00A6780F"/>
    <w:rsid w:val="00A738FF"/>
    <w:rsid w:val="00A746AF"/>
    <w:rsid w:val="00A75A11"/>
    <w:rsid w:val="00A76298"/>
    <w:rsid w:val="00A762A9"/>
    <w:rsid w:val="00A778DA"/>
    <w:rsid w:val="00A77D33"/>
    <w:rsid w:val="00A77DBD"/>
    <w:rsid w:val="00A80FC6"/>
    <w:rsid w:val="00A81F0B"/>
    <w:rsid w:val="00A83D3D"/>
    <w:rsid w:val="00A84146"/>
    <w:rsid w:val="00A842BB"/>
    <w:rsid w:val="00A84324"/>
    <w:rsid w:val="00A8619C"/>
    <w:rsid w:val="00A8695A"/>
    <w:rsid w:val="00A87368"/>
    <w:rsid w:val="00A90138"/>
    <w:rsid w:val="00A90B66"/>
    <w:rsid w:val="00A90D0C"/>
    <w:rsid w:val="00A91960"/>
    <w:rsid w:val="00A91C1D"/>
    <w:rsid w:val="00A91D5B"/>
    <w:rsid w:val="00A945EB"/>
    <w:rsid w:val="00A9491B"/>
    <w:rsid w:val="00A9536C"/>
    <w:rsid w:val="00A96941"/>
    <w:rsid w:val="00A96A15"/>
    <w:rsid w:val="00A97583"/>
    <w:rsid w:val="00A977FB"/>
    <w:rsid w:val="00A978A7"/>
    <w:rsid w:val="00A97BC9"/>
    <w:rsid w:val="00AA1758"/>
    <w:rsid w:val="00AA1D23"/>
    <w:rsid w:val="00AA3819"/>
    <w:rsid w:val="00AA4062"/>
    <w:rsid w:val="00AA4213"/>
    <w:rsid w:val="00AA45D0"/>
    <w:rsid w:val="00AA49B2"/>
    <w:rsid w:val="00AA5B00"/>
    <w:rsid w:val="00AA6AB0"/>
    <w:rsid w:val="00AA7E09"/>
    <w:rsid w:val="00AB0EB3"/>
    <w:rsid w:val="00AB0FD1"/>
    <w:rsid w:val="00AB1D5A"/>
    <w:rsid w:val="00AB4BE9"/>
    <w:rsid w:val="00AB583A"/>
    <w:rsid w:val="00AB597F"/>
    <w:rsid w:val="00AB72BF"/>
    <w:rsid w:val="00AC06A7"/>
    <w:rsid w:val="00AC159C"/>
    <w:rsid w:val="00AC1774"/>
    <w:rsid w:val="00AC2156"/>
    <w:rsid w:val="00AC3A2A"/>
    <w:rsid w:val="00AC5E05"/>
    <w:rsid w:val="00AC6A27"/>
    <w:rsid w:val="00AD1284"/>
    <w:rsid w:val="00AD1D4F"/>
    <w:rsid w:val="00AD1F9B"/>
    <w:rsid w:val="00AD3AAB"/>
    <w:rsid w:val="00AD3C96"/>
    <w:rsid w:val="00AD5959"/>
    <w:rsid w:val="00AD6FA8"/>
    <w:rsid w:val="00AD700E"/>
    <w:rsid w:val="00AD75A0"/>
    <w:rsid w:val="00AE1D2F"/>
    <w:rsid w:val="00AE29AD"/>
    <w:rsid w:val="00AE3643"/>
    <w:rsid w:val="00AE383E"/>
    <w:rsid w:val="00AE3D9B"/>
    <w:rsid w:val="00AE513E"/>
    <w:rsid w:val="00AE567E"/>
    <w:rsid w:val="00AE582D"/>
    <w:rsid w:val="00AF00DD"/>
    <w:rsid w:val="00AF01D5"/>
    <w:rsid w:val="00AF2BBE"/>
    <w:rsid w:val="00AF35C9"/>
    <w:rsid w:val="00AF3FDA"/>
    <w:rsid w:val="00AF50BF"/>
    <w:rsid w:val="00AF56AA"/>
    <w:rsid w:val="00AF6C2A"/>
    <w:rsid w:val="00AF6F23"/>
    <w:rsid w:val="00B00257"/>
    <w:rsid w:val="00B00A03"/>
    <w:rsid w:val="00B01BE3"/>
    <w:rsid w:val="00B058F2"/>
    <w:rsid w:val="00B104D6"/>
    <w:rsid w:val="00B10F8F"/>
    <w:rsid w:val="00B1183C"/>
    <w:rsid w:val="00B1186F"/>
    <w:rsid w:val="00B120FA"/>
    <w:rsid w:val="00B12464"/>
    <w:rsid w:val="00B12690"/>
    <w:rsid w:val="00B128DF"/>
    <w:rsid w:val="00B12D91"/>
    <w:rsid w:val="00B1596D"/>
    <w:rsid w:val="00B15B07"/>
    <w:rsid w:val="00B1627F"/>
    <w:rsid w:val="00B162D3"/>
    <w:rsid w:val="00B16DA4"/>
    <w:rsid w:val="00B17FA4"/>
    <w:rsid w:val="00B20C66"/>
    <w:rsid w:val="00B21136"/>
    <w:rsid w:val="00B2270F"/>
    <w:rsid w:val="00B24617"/>
    <w:rsid w:val="00B27565"/>
    <w:rsid w:val="00B31329"/>
    <w:rsid w:val="00B32D0F"/>
    <w:rsid w:val="00B33D6D"/>
    <w:rsid w:val="00B35105"/>
    <w:rsid w:val="00B35408"/>
    <w:rsid w:val="00B367A9"/>
    <w:rsid w:val="00B40567"/>
    <w:rsid w:val="00B40A02"/>
    <w:rsid w:val="00B40D10"/>
    <w:rsid w:val="00B41092"/>
    <w:rsid w:val="00B416C5"/>
    <w:rsid w:val="00B41D90"/>
    <w:rsid w:val="00B41ED3"/>
    <w:rsid w:val="00B42814"/>
    <w:rsid w:val="00B44821"/>
    <w:rsid w:val="00B44DD5"/>
    <w:rsid w:val="00B450AC"/>
    <w:rsid w:val="00B45C41"/>
    <w:rsid w:val="00B46790"/>
    <w:rsid w:val="00B50018"/>
    <w:rsid w:val="00B50332"/>
    <w:rsid w:val="00B52663"/>
    <w:rsid w:val="00B529C2"/>
    <w:rsid w:val="00B536FE"/>
    <w:rsid w:val="00B53A5F"/>
    <w:rsid w:val="00B552CE"/>
    <w:rsid w:val="00B55567"/>
    <w:rsid w:val="00B55D39"/>
    <w:rsid w:val="00B560E7"/>
    <w:rsid w:val="00B561DE"/>
    <w:rsid w:val="00B624D0"/>
    <w:rsid w:val="00B631BF"/>
    <w:rsid w:val="00B63D54"/>
    <w:rsid w:val="00B63F74"/>
    <w:rsid w:val="00B6590D"/>
    <w:rsid w:val="00B66DC6"/>
    <w:rsid w:val="00B66EB7"/>
    <w:rsid w:val="00B67013"/>
    <w:rsid w:val="00B6775E"/>
    <w:rsid w:val="00B67AC7"/>
    <w:rsid w:val="00B7042D"/>
    <w:rsid w:val="00B70F74"/>
    <w:rsid w:val="00B70F96"/>
    <w:rsid w:val="00B73BA3"/>
    <w:rsid w:val="00B761FE"/>
    <w:rsid w:val="00B7661B"/>
    <w:rsid w:val="00B771C5"/>
    <w:rsid w:val="00B77CC5"/>
    <w:rsid w:val="00B77F36"/>
    <w:rsid w:val="00B81E55"/>
    <w:rsid w:val="00B82477"/>
    <w:rsid w:val="00B825FA"/>
    <w:rsid w:val="00B82D95"/>
    <w:rsid w:val="00B83F9F"/>
    <w:rsid w:val="00B84303"/>
    <w:rsid w:val="00B847D6"/>
    <w:rsid w:val="00B85B60"/>
    <w:rsid w:val="00B87FB8"/>
    <w:rsid w:val="00B929D1"/>
    <w:rsid w:val="00B93FDF"/>
    <w:rsid w:val="00B94A68"/>
    <w:rsid w:val="00B94AFE"/>
    <w:rsid w:val="00B94D26"/>
    <w:rsid w:val="00B94EA9"/>
    <w:rsid w:val="00B9556A"/>
    <w:rsid w:val="00B95D76"/>
    <w:rsid w:val="00B95FB7"/>
    <w:rsid w:val="00B9675E"/>
    <w:rsid w:val="00B96F1A"/>
    <w:rsid w:val="00B97CC6"/>
    <w:rsid w:val="00BA0B41"/>
    <w:rsid w:val="00BA0B9C"/>
    <w:rsid w:val="00BA17B4"/>
    <w:rsid w:val="00BA2D4E"/>
    <w:rsid w:val="00BA3B82"/>
    <w:rsid w:val="00BA3FBE"/>
    <w:rsid w:val="00BA4E61"/>
    <w:rsid w:val="00BA52FD"/>
    <w:rsid w:val="00BA7845"/>
    <w:rsid w:val="00BA7BFD"/>
    <w:rsid w:val="00BB2BE9"/>
    <w:rsid w:val="00BB4D1A"/>
    <w:rsid w:val="00BB5842"/>
    <w:rsid w:val="00BB5B33"/>
    <w:rsid w:val="00BB6903"/>
    <w:rsid w:val="00BB72F8"/>
    <w:rsid w:val="00BB76BB"/>
    <w:rsid w:val="00BC0541"/>
    <w:rsid w:val="00BC1B87"/>
    <w:rsid w:val="00BC2856"/>
    <w:rsid w:val="00BC2FBF"/>
    <w:rsid w:val="00BC3241"/>
    <w:rsid w:val="00BC4062"/>
    <w:rsid w:val="00BC4581"/>
    <w:rsid w:val="00BC461F"/>
    <w:rsid w:val="00BC52A7"/>
    <w:rsid w:val="00BC54B0"/>
    <w:rsid w:val="00BC564B"/>
    <w:rsid w:val="00BC5F9C"/>
    <w:rsid w:val="00BC5FC2"/>
    <w:rsid w:val="00BD0A35"/>
    <w:rsid w:val="00BD1544"/>
    <w:rsid w:val="00BD1B4C"/>
    <w:rsid w:val="00BD3213"/>
    <w:rsid w:val="00BD4724"/>
    <w:rsid w:val="00BD53F4"/>
    <w:rsid w:val="00BD648D"/>
    <w:rsid w:val="00BD7AE7"/>
    <w:rsid w:val="00BD7F9A"/>
    <w:rsid w:val="00BE0969"/>
    <w:rsid w:val="00BE0E87"/>
    <w:rsid w:val="00BE15F6"/>
    <w:rsid w:val="00BE1E66"/>
    <w:rsid w:val="00BE1E90"/>
    <w:rsid w:val="00BE2324"/>
    <w:rsid w:val="00BE2844"/>
    <w:rsid w:val="00BE2884"/>
    <w:rsid w:val="00BE29C4"/>
    <w:rsid w:val="00BE408A"/>
    <w:rsid w:val="00BE76E2"/>
    <w:rsid w:val="00BF17A4"/>
    <w:rsid w:val="00BF1D2D"/>
    <w:rsid w:val="00BF3C12"/>
    <w:rsid w:val="00BF5772"/>
    <w:rsid w:val="00BF794C"/>
    <w:rsid w:val="00C01289"/>
    <w:rsid w:val="00C02AB8"/>
    <w:rsid w:val="00C04CE6"/>
    <w:rsid w:val="00C04FF9"/>
    <w:rsid w:val="00C05CAA"/>
    <w:rsid w:val="00C0671C"/>
    <w:rsid w:val="00C07C66"/>
    <w:rsid w:val="00C108D2"/>
    <w:rsid w:val="00C117B4"/>
    <w:rsid w:val="00C11952"/>
    <w:rsid w:val="00C11C24"/>
    <w:rsid w:val="00C12E00"/>
    <w:rsid w:val="00C13745"/>
    <w:rsid w:val="00C13F22"/>
    <w:rsid w:val="00C16A7B"/>
    <w:rsid w:val="00C20AC9"/>
    <w:rsid w:val="00C22BAD"/>
    <w:rsid w:val="00C23CFE"/>
    <w:rsid w:val="00C24FEF"/>
    <w:rsid w:val="00C25337"/>
    <w:rsid w:val="00C25D0B"/>
    <w:rsid w:val="00C2640E"/>
    <w:rsid w:val="00C26653"/>
    <w:rsid w:val="00C31155"/>
    <w:rsid w:val="00C31374"/>
    <w:rsid w:val="00C322C1"/>
    <w:rsid w:val="00C34BA1"/>
    <w:rsid w:val="00C35531"/>
    <w:rsid w:val="00C35715"/>
    <w:rsid w:val="00C35A5B"/>
    <w:rsid w:val="00C36623"/>
    <w:rsid w:val="00C37BAD"/>
    <w:rsid w:val="00C43C1E"/>
    <w:rsid w:val="00C43F8D"/>
    <w:rsid w:val="00C47614"/>
    <w:rsid w:val="00C479F8"/>
    <w:rsid w:val="00C50A4B"/>
    <w:rsid w:val="00C518EF"/>
    <w:rsid w:val="00C51CAA"/>
    <w:rsid w:val="00C526E6"/>
    <w:rsid w:val="00C529E7"/>
    <w:rsid w:val="00C52DC7"/>
    <w:rsid w:val="00C55209"/>
    <w:rsid w:val="00C561F1"/>
    <w:rsid w:val="00C6030E"/>
    <w:rsid w:val="00C61B53"/>
    <w:rsid w:val="00C62400"/>
    <w:rsid w:val="00C62778"/>
    <w:rsid w:val="00C62F3E"/>
    <w:rsid w:val="00C63855"/>
    <w:rsid w:val="00C645B4"/>
    <w:rsid w:val="00C65445"/>
    <w:rsid w:val="00C65970"/>
    <w:rsid w:val="00C669C7"/>
    <w:rsid w:val="00C672A2"/>
    <w:rsid w:val="00C673A7"/>
    <w:rsid w:val="00C67EFA"/>
    <w:rsid w:val="00C707F7"/>
    <w:rsid w:val="00C70B54"/>
    <w:rsid w:val="00C715BA"/>
    <w:rsid w:val="00C728C1"/>
    <w:rsid w:val="00C72BC2"/>
    <w:rsid w:val="00C73B66"/>
    <w:rsid w:val="00C742B5"/>
    <w:rsid w:val="00C74518"/>
    <w:rsid w:val="00C75BE3"/>
    <w:rsid w:val="00C803ED"/>
    <w:rsid w:val="00C80E84"/>
    <w:rsid w:val="00C81288"/>
    <w:rsid w:val="00C82134"/>
    <w:rsid w:val="00C8267D"/>
    <w:rsid w:val="00C8491C"/>
    <w:rsid w:val="00C85FEE"/>
    <w:rsid w:val="00C92166"/>
    <w:rsid w:val="00C922F6"/>
    <w:rsid w:val="00C96370"/>
    <w:rsid w:val="00C96396"/>
    <w:rsid w:val="00C964BE"/>
    <w:rsid w:val="00C96E66"/>
    <w:rsid w:val="00CA05D3"/>
    <w:rsid w:val="00CA1BD0"/>
    <w:rsid w:val="00CA40EB"/>
    <w:rsid w:val="00CA5AC5"/>
    <w:rsid w:val="00CA600E"/>
    <w:rsid w:val="00CA6D49"/>
    <w:rsid w:val="00CA7880"/>
    <w:rsid w:val="00CB1A5F"/>
    <w:rsid w:val="00CB2309"/>
    <w:rsid w:val="00CB26BF"/>
    <w:rsid w:val="00CB322A"/>
    <w:rsid w:val="00CB3BDF"/>
    <w:rsid w:val="00CB3E80"/>
    <w:rsid w:val="00CB530F"/>
    <w:rsid w:val="00CB7438"/>
    <w:rsid w:val="00CC03C0"/>
    <w:rsid w:val="00CC08A5"/>
    <w:rsid w:val="00CC118F"/>
    <w:rsid w:val="00CC11EF"/>
    <w:rsid w:val="00CC1893"/>
    <w:rsid w:val="00CC2392"/>
    <w:rsid w:val="00CC2A7E"/>
    <w:rsid w:val="00CC2DB3"/>
    <w:rsid w:val="00CC3517"/>
    <w:rsid w:val="00CC36D2"/>
    <w:rsid w:val="00CC50D4"/>
    <w:rsid w:val="00CC6878"/>
    <w:rsid w:val="00CD04CF"/>
    <w:rsid w:val="00CD1032"/>
    <w:rsid w:val="00CD1093"/>
    <w:rsid w:val="00CD1202"/>
    <w:rsid w:val="00CD13C8"/>
    <w:rsid w:val="00CD1B38"/>
    <w:rsid w:val="00CD2514"/>
    <w:rsid w:val="00CD2977"/>
    <w:rsid w:val="00CD2CC4"/>
    <w:rsid w:val="00CD2F88"/>
    <w:rsid w:val="00CD404E"/>
    <w:rsid w:val="00CD4B88"/>
    <w:rsid w:val="00CD596F"/>
    <w:rsid w:val="00CD5ED3"/>
    <w:rsid w:val="00CD721C"/>
    <w:rsid w:val="00CE0B64"/>
    <w:rsid w:val="00CE0F12"/>
    <w:rsid w:val="00CE1468"/>
    <w:rsid w:val="00CE1D22"/>
    <w:rsid w:val="00CE4017"/>
    <w:rsid w:val="00CE67C3"/>
    <w:rsid w:val="00CE6996"/>
    <w:rsid w:val="00CE6CB4"/>
    <w:rsid w:val="00CF034D"/>
    <w:rsid w:val="00CF0C77"/>
    <w:rsid w:val="00CF13EB"/>
    <w:rsid w:val="00CF1461"/>
    <w:rsid w:val="00CF1545"/>
    <w:rsid w:val="00CF1A36"/>
    <w:rsid w:val="00CF3832"/>
    <w:rsid w:val="00CF4600"/>
    <w:rsid w:val="00CF5749"/>
    <w:rsid w:val="00CF5CDA"/>
    <w:rsid w:val="00CF621F"/>
    <w:rsid w:val="00CF70E6"/>
    <w:rsid w:val="00D00D9D"/>
    <w:rsid w:val="00D014A5"/>
    <w:rsid w:val="00D0157F"/>
    <w:rsid w:val="00D01848"/>
    <w:rsid w:val="00D01D95"/>
    <w:rsid w:val="00D03409"/>
    <w:rsid w:val="00D035C5"/>
    <w:rsid w:val="00D0373E"/>
    <w:rsid w:val="00D03C6B"/>
    <w:rsid w:val="00D03F3B"/>
    <w:rsid w:val="00D04A60"/>
    <w:rsid w:val="00D05201"/>
    <w:rsid w:val="00D06EB3"/>
    <w:rsid w:val="00D07ADB"/>
    <w:rsid w:val="00D07E40"/>
    <w:rsid w:val="00D10810"/>
    <w:rsid w:val="00D10EA8"/>
    <w:rsid w:val="00D116C9"/>
    <w:rsid w:val="00D11B09"/>
    <w:rsid w:val="00D144E8"/>
    <w:rsid w:val="00D1572D"/>
    <w:rsid w:val="00D159E7"/>
    <w:rsid w:val="00D174D5"/>
    <w:rsid w:val="00D17BE4"/>
    <w:rsid w:val="00D17BEA"/>
    <w:rsid w:val="00D20746"/>
    <w:rsid w:val="00D211C2"/>
    <w:rsid w:val="00D21C30"/>
    <w:rsid w:val="00D2243D"/>
    <w:rsid w:val="00D2269E"/>
    <w:rsid w:val="00D229CA"/>
    <w:rsid w:val="00D22EAC"/>
    <w:rsid w:val="00D24C12"/>
    <w:rsid w:val="00D24EEE"/>
    <w:rsid w:val="00D25C9C"/>
    <w:rsid w:val="00D265EF"/>
    <w:rsid w:val="00D3052C"/>
    <w:rsid w:val="00D311F0"/>
    <w:rsid w:val="00D31FCC"/>
    <w:rsid w:val="00D32963"/>
    <w:rsid w:val="00D331D2"/>
    <w:rsid w:val="00D34DE9"/>
    <w:rsid w:val="00D36166"/>
    <w:rsid w:val="00D369F9"/>
    <w:rsid w:val="00D37BFA"/>
    <w:rsid w:val="00D37D90"/>
    <w:rsid w:val="00D40A66"/>
    <w:rsid w:val="00D412D5"/>
    <w:rsid w:val="00D41ECC"/>
    <w:rsid w:val="00D42BAF"/>
    <w:rsid w:val="00D44318"/>
    <w:rsid w:val="00D44950"/>
    <w:rsid w:val="00D44DAA"/>
    <w:rsid w:val="00D46396"/>
    <w:rsid w:val="00D47061"/>
    <w:rsid w:val="00D479CB"/>
    <w:rsid w:val="00D50B4F"/>
    <w:rsid w:val="00D50DCE"/>
    <w:rsid w:val="00D50E0C"/>
    <w:rsid w:val="00D513D4"/>
    <w:rsid w:val="00D51647"/>
    <w:rsid w:val="00D51888"/>
    <w:rsid w:val="00D51A58"/>
    <w:rsid w:val="00D5301D"/>
    <w:rsid w:val="00D54115"/>
    <w:rsid w:val="00D54980"/>
    <w:rsid w:val="00D54BD3"/>
    <w:rsid w:val="00D55A66"/>
    <w:rsid w:val="00D55B50"/>
    <w:rsid w:val="00D56A70"/>
    <w:rsid w:val="00D56DD1"/>
    <w:rsid w:val="00D5746A"/>
    <w:rsid w:val="00D607A5"/>
    <w:rsid w:val="00D60DF8"/>
    <w:rsid w:val="00D611EB"/>
    <w:rsid w:val="00D612E6"/>
    <w:rsid w:val="00D639B6"/>
    <w:rsid w:val="00D63E61"/>
    <w:rsid w:val="00D64470"/>
    <w:rsid w:val="00D64BD4"/>
    <w:rsid w:val="00D658B0"/>
    <w:rsid w:val="00D65DE2"/>
    <w:rsid w:val="00D66EA5"/>
    <w:rsid w:val="00D67735"/>
    <w:rsid w:val="00D7084D"/>
    <w:rsid w:val="00D70AE3"/>
    <w:rsid w:val="00D74033"/>
    <w:rsid w:val="00D74CCB"/>
    <w:rsid w:val="00D75D2D"/>
    <w:rsid w:val="00D767F3"/>
    <w:rsid w:val="00D77C71"/>
    <w:rsid w:val="00D80130"/>
    <w:rsid w:val="00D8224C"/>
    <w:rsid w:val="00D82532"/>
    <w:rsid w:val="00D82B06"/>
    <w:rsid w:val="00D839A7"/>
    <w:rsid w:val="00D861AA"/>
    <w:rsid w:val="00D87E3E"/>
    <w:rsid w:val="00D9355A"/>
    <w:rsid w:val="00D9391F"/>
    <w:rsid w:val="00D95E3C"/>
    <w:rsid w:val="00D96C0E"/>
    <w:rsid w:val="00D971E3"/>
    <w:rsid w:val="00D97682"/>
    <w:rsid w:val="00DA029A"/>
    <w:rsid w:val="00DA266E"/>
    <w:rsid w:val="00DA3797"/>
    <w:rsid w:val="00DA4039"/>
    <w:rsid w:val="00DA4BF2"/>
    <w:rsid w:val="00DA52D7"/>
    <w:rsid w:val="00DA58C6"/>
    <w:rsid w:val="00DA6DCE"/>
    <w:rsid w:val="00DB07F6"/>
    <w:rsid w:val="00DB0EC8"/>
    <w:rsid w:val="00DB1653"/>
    <w:rsid w:val="00DB330F"/>
    <w:rsid w:val="00DB3BA9"/>
    <w:rsid w:val="00DB4A04"/>
    <w:rsid w:val="00DB54E2"/>
    <w:rsid w:val="00DB5782"/>
    <w:rsid w:val="00DB684A"/>
    <w:rsid w:val="00DB718F"/>
    <w:rsid w:val="00DB72AC"/>
    <w:rsid w:val="00DB72BC"/>
    <w:rsid w:val="00DB7C77"/>
    <w:rsid w:val="00DB7EA8"/>
    <w:rsid w:val="00DC292A"/>
    <w:rsid w:val="00DC2A1F"/>
    <w:rsid w:val="00DC4AB7"/>
    <w:rsid w:val="00DC5C02"/>
    <w:rsid w:val="00DC6A40"/>
    <w:rsid w:val="00DC7A39"/>
    <w:rsid w:val="00DD3203"/>
    <w:rsid w:val="00DD3BE0"/>
    <w:rsid w:val="00DD4125"/>
    <w:rsid w:val="00DD4946"/>
    <w:rsid w:val="00DD4D21"/>
    <w:rsid w:val="00DD5B8B"/>
    <w:rsid w:val="00DD5C52"/>
    <w:rsid w:val="00DD5C70"/>
    <w:rsid w:val="00DD61EC"/>
    <w:rsid w:val="00DD6567"/>
    <w:rsid w:val="00DD7000"/>
    <w:rsid w:val="00DD734C"/>
    <w:rsid w:val="00DD78FA"/>
    <w:rsid w:val="00DD7BE9"/>
    <w:rsid w:val="00DE0154"/>
    <w:rsid w:val="00DE14D4"/>
    <w:rsid w:val="00DE18F8"/>
    <w:rsid w:val="00DE4EB6"/>
    <w:rsid w:val="00DE5879"/>
    <w:rsid w:val="00DE6EC9"/>
    <w:rsid w:val="00DF0A94"/>
    <w:rsid w:val="00DF1A09"/>
    <w:rsid w:val="00DF4E77"/>
    <w:rsid w:val="00DF4EA6"/>
    <w:rsid w:val="00DF5F9A"/>
    <w:rsid w:val="00DF6534"/>
    <w:rsid w:val="00DF67CA"/>
    <w:rsid w:val="00DF67DA"/>
    <w:rsid w:val="00E00254"/>
    <w:rsid w:val="00E006FE"/>
    <w:rsid w:val="00E00FBD"/>
    <w:rsid w:val="00E0139A"/>
    <w:rsid w:val="00E0173A"/>
    <w:rsid w:val="00E022A6"/>
    <w:rsid w:val="00E02ACC"/>
    <w:rsid w:val="00E04B4F"/>
    <w:rsid w:val="00E05536"/>
    <w:rsid w:val="00E05BBC"/>
    <w:rsid w:val="00E1300D"/>
    <w:rsid w:val="00E13A91"/>
    <w:rsid w:val="00E164A0"/>
    <w:rsid w:val="00E1689F"/>
    <w:rsid w:val="00E174F9"/>
    <w:rsid w:val="00E179B4"/>
    <w:rsid w:val="00E17FE8"/>
    <w:rsid w:val="00E202C4"/>
    <w:rsid w:val="00E21665"/>
    <w:rsid w:val="00E21D8C"/>
    <w:rsid w:val="00E235EF"/>
    <w:rsid w:val="00E23AB2"/>
    <w:rsid w:val="00E24458"/>
    <w:rsid w:val="00E24B23"/>
    <w:rsid w:val="00E27C2F"/>
    <w:rsid w:val="00E30BAC"/>
    <w:rsid w:val="00E30C99"/>
    <w:rsid w:val="00E3153E"/>
    <w:rsid w:val="00E3235F"/>
    <w:rsid w:val="00E326A8"/>
    <w:rsid w:val="00E326EF"/>
    <w:rsid w:val="00E32854"/>
    <w:rsid w:val="00E32D08"/>
    <w:rsid w:val="00E33A6D"/>
    <w:rsid w:val="00E359B8"/>
    <w:rsid w:val="00E36DB0"/>
    <w:rsid w:val="00E36E2A"/>
    <w:rsid w:val="00E37661"/>
    <w:rsid w:val="00E37DDD"/>
    <w:rsid w:val="00E400C1"/>
    <w:rsid w:val="00E4066D"/>
    <w:rsid w:val="00E424F8"/>
    <w:rsid w:val="00E433A8"/>
    <w:rsid w:val="00E44373"/>
    <w:rsid w:val="00E50629"/>
    <w:rsid w:val="00E5091A"/>
    <w:rsid w:val="00E514BF"/>
    <w:rsid w:val="00E5388D"/>
    <w:rsid w:val="00E53D7F"/>
    <w:rsid w:val="00E5779A"/>
    <w:rsid w:val="00E61993"/>
    <w:rsid w:val="00E61C2C"/>
    <w:rsid w:val="00E6219B"/>
    <w:rsid w:val="00E63DA5"/>
    <w:rsid w:val="00E64D6F"/>
    <w:rsid w:val="00E663C6"/>
    <w:rsid w:val="00E71D61"/>
    <w:rsid w:val="00E71E0F"/>
    <w:rsid w:val="00E7400B"/>
    <w:rsid w:val="00E742F9"/>
    <w:rsid w:val="00E74EED"/>
    <w:rsid w:val="00E757EF"/>
    <w:rsid w:val="00E76DA2"/>
    <w:rsid w:val="00E7708E"/>
    <w:rsid w:val="00E807C8"/>
    <w:rsid w:val="00E81C92"/>
    <w:rsid w:val="00E81D38"/>
    <w:rsid w:val="00E85955"/>
    <w:rsid w:val="00E86734"/>
    <w:rsid w:val="00E87BC0"/>
    <w:rsid w:val="00E87E64"/>
    <w:rsid w:val="00E91080"/>
    <w:rsid w:val="00E911AA"/>
    <w:rsid w:val="00E912B0"/>
    <w:rsid w:val="00E915BE"/>
    <w:rsid w:val="00E9395D"/>
    <w:rsid w:val="00E93C14"/>
    <w:rsid w:val="00E9441B"/>
    <w:rsid w:val="00E97CA1"/>
    <w:rsid w:val="00EA015C"/>
    <w:rsid w:val="00EA01BA"/>
    <w:rsid w:val="00EA0885"/>
    <w:rsid w:val="00EA1000"/>
    <w:rsid w:val="00EA29D7"/>
    <w:rsid w:val="00EA2EB6"/>
    <w:rsid w:val="00EA38D5"/>
    <w:rsid w:val="00EA3997"/>
    <w:rsid w:val="00EA55A8"/>
    <w:rsid w:val="00EB0673"/>
    <w:rsid w:val="00EB1CA4"/>
    <w:rsid w:val="00EB26D5"/>
    <w:rsid w:val="00EB2A6C"/>
    <w:rsid w:val="00EB2AAB"/>
    <w:rsid w:val="00EB2D23"/>
    <w:rsid w:val="00EB3C25"/>
    <w:rsid w:val="00EB5423"/>
    <w:rsid w:val="00EB5FC9"/>
    <w:rsid w:val="00EB63D0"/>
    <w:rsid w:val="00EB6C3C"/>
    <w:rsid w:val="00EB71EA"/>
    <w:rsid w:val="00EC172B"/>
    <w:rsid w:val="00EC3B6D"/>
    <w:rsid w:val="00EC3FF1"/>
    <w:rsid w:val="00EC44A5"/>
    <w:rsid w:val="00EC50F8"/>
    <w:rsid w:val="00EC5DC7"/>
    <w:rsid w:val="00EC716B"/>
    <w:rsid w:val="00EC7CE5"/>
    <w:rsid w:val="00ED1F2F"/>
    <w:rsid w:val="00ED3CFC"/>
    <w:rsid w:val="00ED3E4A"/>
    <w:rsid w:val="00ED51F2"/>
    <w:rsid w:val="00ED5594"/>
    <w:rsid w:val="00ED61B1"/>
    <w:rsid w:val="00ED6421"/>
    <w:rsid w:val="00ED6532"/>
    <w:rsid w:val="00ED72F3"/>
    <w:rsid w:val="00EE0030"/>
    <w:rsid w:val="00EE08D6"/>
    <w:rsid w:val="00EE0B63"/>
    <w:rsid w:val="00EE0E33"/>
    <w:rsid w:val="00EE33AA"/>
    <w:rsid w:val="00EE40DE"/>
    <w:rsid w:val="00EE4D91"/>
    <w:rsid w:val="00EE5CA1"/>
    <w:rsid w:val="00EE6644"/>
    <w:rsid w:val="00EE6C2C"/>
    <w:rsid w:val="00EE748C"/>
    <w:rsid w:val="00EE76CE"/>
    <w:rsid w:val="00EF0C38"/>
    <w:rsid w:val="00EF2DED"/>
    <w:rsid w:val="00EF433F"/>
    <w:rsid w:val="00EF7C96"/>
    <w:rsid w:val="00F01348"/>
    <w:rsid w:val="00F01CDC"/>
    <w:rsid w:val="00F022AE"/>
    <w:rsid w:val="00F028A9"/>
    <w:rsid w:val="00F038D4"/>
    <w:rsid w:val="00F0413D"/>
    <w:rsid w:val="00F04E2A"/>
    <w:rsid w:val="00F05246"/>
    <w:rsid w:val="00F07154"/>
    <w:rsid w:val="00F07920"/>
    <w:rsid w:val="00F1000F"/>
    <w:rsid w:val="00F114C7"/>
    <w:rsid w:val="00F11946"/>
    <w:rsid w:val="00F11A86"/>
    <w:rsid w:val="00F12AA7"/>
    <w:rsid w:val="00F12CBF"/>
    <w:rsid w:val="00F14A1A"/>
    <w:rsid w:val="00F1790A"/>
    <w:rsid w:val="00F17A74"/>
    <w:rsid w:val="00F21123"/>
    <w:rsid w:val="00F211D3"/>
    <w:rsid w:val="00F217D8"/>
    <w:rsid w:val="00F2194A"/>
    <w:rsid w:val="00F220A7"/>
    <w:rsid w:val="00F2223B"/>
    <w:rsid w:val="00F22864"/>
    <w:rsid w:val="00F2289B"/>
    <w:rsid w:val="00F228CB"/>
    <w:rsid w:val="00F229E0"/>
    <w:rsid w:val="00F2504A"/>
    <w:rsid w:val="00F25072"/>
    <w:rsid w:val="00F255D4"/>
    <w:rsid w:val="00F25CFB"/>
    <w:rsid w:val="00F27113"/>
    <w:rsid w:val="00F27847"/>
    <w:rsid w:val="00F302F6"/>
    <w:rsid w:val="00F318D3"/>
    <w:rsid w:val="00F3228E"/>
    <w:rsid w:val="00F3276A"/>
    <w:rsid w:val="00F32DDF"/>
    <w:rsid w:val="00F34931"/>
    <w:rsid w:val="00F34B7B"/>
    <w:rsid w:val="00F35D79"/>
    <w:rsid w:val="00F367B6"/>
    <w:rsid w:val="00F368DE"/>
    <w:rsid w:val="00F40445"/>
    <w:rsid w:val="00F40C18"/>
    <w:rsid w:val="00F42150"/>
    <w:rsid w:val="00F4271A"/>
    <w:rsid w:val="00F44500"/>
    <w:rsid w:val="00F4513A"/>
    <w:rsid w:val="00F46B76"/>
    <w:rsid w:val="00F46DD5"/>
    <w:rsid w:val="00F50AA0"/>
    <w:rsid w:val="00F529EC"/>
    <w:rsid w:val="00F53F8F"/>
    <w:rsid w:val="00F54D57"/>
    <w:rsid w:val="00F570E2"/>
    <w:rsid w:val="00F57A0B"/>
    <w:rsid w:val="00F6074A"/>
    <w:rsid w:val="00F60DBA"/>
    <w:rsid w:val="00F610F1"/>
    <w:rsid w:val="00F62758"/>
    <w:rsid w:val="00F62FE6"/>
    <w:rsid w:val="00F631F5"/>
    <w:rsid w:val="00F6561E"/>
    <w:rsid w:val="00F6697A"/>
    <w:rsid w:val="00F7034F"/>
    <w:rsid w:val="00F703EF"/>
    <w:rsid w:val="00F723F0"/>
    <w:rsid w:val="00F73432"/>
    <w:rsid w:val="00F73C6A"/>
    <w:rsid w:val="00F7470E"/>
    <w:rsid w:val="00F74DB8"/>
    <w:rsid w:val="00F74F58"/>
    <w:rsid w:val="00F75263"/>
    <w:rsid w:val="00F76B63"/>
    <w:rsid w:val="00F80B24"/>
    <w:rsid w:val="00F82837"/>
    <w:rsid w:val="00F82E54"/>
    <w:rsid w:val="00F8561D"/>
    <w:rsid w:val="00F85C0F"/>
    <w:rsid w:val="00F87304"/>
    <w:rsid w:val="00F87B38"/>
    <w:rsid w:val="00F90061"/>
    <w:rsid w:val="00F9098A"/>
    <w:rsid w:val="00F91459"/>
    <w:rsid w:val="00F93513"/>
    <w:rsid w:val="00F938B0"/>
    <w:rsid w:val="00F94679"/>
    <w:rsid w:val="00F94DBA"/>
    <w:rsid w:val="00F9509E"/>
    <w:rsid w:val="00F950B6"/>
    <w:rsid w:val="00F95439"/>
    <w:rsid w:val="00F97D3D"/>
    <w:rsid w:val="00FA0117"/>
    <w:rsid w:val="00FA0796"/>
    <w:rsid w:val="00FA15C4"/>
    <w:rsid w:val="00FA4421"/>
    <w:rsid w:val="00FA527F"/>
    <w:rsid w:val="00FA56A8"/>
    <w:rsid w:val="00FA6706"/>
    <w:rsid w:val="00FA6ABB"/>
    <w:rsid w:val="00FA6D31"/>
    <w:rsid w:val="00FA7E87"/>
    <w:rsid w:val="00FB0400"/>
    <w:rsid w:val="00FB0AB4"/>
    <w:rsid w:val="00FB0B62"/>
    <w:rsid w:val="00FB0C9E"/>
    <w:rsid w:val="00FB2010"/>
    <w:rsid w:val="00FB2628"/>
    <w:rsid w:val="00FB524B"/>
    <w:rsid w:val="00FB5CCF"/>
    <w:rsid w:val="00FB6735"/>
    <w:rsid w:val="00FB6EE5"/>
    <w:rsid w:val="00FB721D"/>
    <w:rsid w:val="00FB7DD7"/>
    <w:rsid w:val="00FC0BE6"/>
    <w:rsid w:val="00FC16C0"/>
    <w:rsid w:val="00FC2D8B"/>
    <w:rsid w:val="00FC3559"/>
    <w:rsid w:val="00FC4645"/>
    <w:rsid w:val="00FC4B81"/>
    <w:rsid w:val="00FC4C74"/>
    <w:rsid w:val="00FD0829"/>
    <w:rsid w:val="00FD1592"/>
    <w:rsid w:val="00FD16A6"/>
    <w:rsid w:val="00FD1D49"/>
    <w:rsid w:val="00FD2D3A"/>
    <w:rsid w:val="00FD2DB0"/>
    <w:rsid w:val="00FD2ED8"/>
    <w:rsid w:val="00FD3F80"/>
    <w:rsid w:val="00FD4808"/>
    <w:rsid w:val="00FD7300"/>
    <w:rsid w:val="00FD740C"/>
    <w:rsid w:val="00FE03D3"/>
    <w:rsid w:val="00FE1C14"/>
    <w:rsid w:val="00FE4910"/>
    <w:rsid w:val="00FE5214"/>
    <w:rsid w:val="00FE62BC"/>
    <w:rsid w:val="00FF2B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2716E41"/>
  <w15:docId w15:val="{8F0534F4-4F3B-4329-961D-626598EE6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0D6B"/>
    <w:rPr>
      <w:sz w:val="24"/>
      <w:szCs w:val="24"/>
    </w:rPr>
  </w:style>
  <w:style w:type="paragraph" w:styleId="Balk1">
    <w:name w:val="heading 1"/>
    <w:basedOn w:val="Normal"/>
    <w:next w:val="Normal"/>
    <w:link w:val="Balk1Char"/>
    <w:qFormat/>
    <w:pPr>
      <w:keepNext/>
      <w:jc w:val="center"/>
      <w:outlineLvl w:val="0"/>
    </w:pPr>
    <w:rPr>
      <w:rFonts w:ascii="Arial" w:hAnsi="Arial" w:cs="Arial"/>
      <w:b/>
      <w:bCs/>
      <w:sz w:val="20"/>
      <w:szCs w:val="20"/>
    </w:rPr>
  </w:style>
  <w:style w:type="paragraph" w:styleId="Balk2">
    <w:name w:val="heading 2"/>
    <w:basedOn w:val="Normal"/>
    <w:next w:val="Normal"/>
    <w:link w:val="Balk2Char"/>
    <w:qFormat/>
    <w:pPr>
      <w:keepNext/>
      <w:pBdr>
        <w:top w:val="double" w:sz="4" w:space="1" w:color="auto"/>
        <w:left w:val="double" w:sz="4" w:space="4" w:color="auto"/>
        <w:bottom w:val="double" w:sz="4" w:space="1" w:color="auto"/>
        <w:right w:val="double" w:sz="4" w:space="4" w:color="auto"/>
      </w:pBdr>
      <w:jc w:val="center"/>
      <w:outlineLvl w:val="1"/>
    </w:pPr>
    <w:rPr>
      <w:rFonts w:ascii="Garamond" w:hAnsi="Garamond"/>
      <w:b/>
      <w:sz w:val="32"/>
      <w:szCs w:val="20"/>
    </w:rPr>
  </w:style>
  <w:style w:type="paragraph" w:styleId="Balk3">
    <w:name w:val="heading 3"/>
    <w:basedOn w:val="Normal"/>
    <w:next w:val="Normal"/>
    <w:qFormat/>
    <w:pPr>
      <w:keepNext/>
      <w:jc w:val="both"/>
      <w:outlineLvl w:val="2"/>
    </w:pPr>
    <w:rPr>
      <w:b/>
      <w:bCs/>
      <w:sz w:val="20"/>
    </w:rPr>
  </w:style>
  <w:style w:type="paragraph" w:styleId="Balk4">
    <w:name w:val="heading 4"/>
    <w:basedOn w:val="Normal"/>
    <w:next w:val="Normal"/>
    <w:qFormat/>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rPr>
  </w:style>
  <w:style w:type="paragraph" w:styleId="Balk6">
    <w:name w:val="heading 6"/>
    <w:basedOn w:val="Normal"/>
    <w:next w:val="Normal"/>
    <w:link w:val="Balk6Char"/>
    <w:qFormat/>
    <w:rsid w:val="00A75A11"/>
    <w:pPr>
      <w:spacing w:before="240" w:after="60"/>
      <w:outlineLvl w:val="5"/>
    </w:pPr>
    <w:rPr>
      <w:b/>
      <w:bCs/>
      <w:sz w:val="22"/>
      <w:szCs w:val="22"/>
    </w:rPr>
  </w:style>
  <w:style w:type="paragraph" w:styleId="Balk7">
    <w:name w:val="heading 7"/>
    <w:basedOn w:val="Normal"/>
    <w:next w:val="Normal"/>
    <w:link w:val="Balk7Char"/>
    <w:qFormat/>
    <w:rsid w:val="00A75A11"/>
    <w:pPr>
      <w:spacing w:before="240" w:after="60"/>
      <w:outlineLvl w:val="6"/>
    </w:pPr>
  </w:style>
  <w:style w:type="paragraph" w:styleId="Balk9">
    <w:name w:val="heading 9"/>
    <w:basedOn w:val="Normal"/>
    <w:next w:val="Normal"/>
    <w:qFormat/>
    <w:rsid w:val="00680A41"/>
    <w:pPr>
      <w:spacing w:before="240" w:after="60"/>
      <w:outlineLvl w:val="8"/>
    </w:pPr>
    <w:rPr>
      <w:rFonts w:ascii="Arial" w:hAnsi="Arial" w:cs="Arial"/>
      <w:sz w:val="22"/>
      <w:szCs w:val="2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semiHidden/>
    <w:rPr>
      <w:color w:val="0000FF"/>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lang w:val="en-US"/>
    </w:rPr>
  </w:style>
  <w:style w:type="character" w:styleId="zlenenKpr">
    <w:name w:val="FollowedHyperlink"/>
    <w:semiHidden/>
    <w:rPr>
      <w:color w:val="800080"/>
      <w:u w:val="single"/>
    </w:rPr>
  </w:style>
  <w:style w:type="paragraph" w:styleId="GvdeMetniGirintisi">
    <w:name w:val="Body Text Indent"/>
    <w:basedOn w:val="Normal"/>
    <w:semiHidden/>
    <w:pPr>
      <w:ind w:left="1800" w:hanging="360"/>
    </w:pPr>
  </w:style>
  <w:style w:type="paragraph" w:styleId="GvdeMetniGirintisi2">
    <w:name w:val="Body Text Indent 2"/>
    <w:basedOn w:val="Normal"/>
    <w:pPr>
      <w:ind w:left="360"/>
      <w:jc w:val="both"/>
    </w:pPr>
  </w:style>
  <w:style w:type="paragraph" w:styleId="GvdeMetniGirintisi3">
    <w:name w:val="Body Text Indent 3"/>
    <w:basedOn w:val="Normal"/>
    <w:link w:val="GvdeMetniGirintisi3Char"/>
    <w:semiHidden/>
    <w:pPr>
      <w:ind w:left="360" w:firstLine="360"/>
      <w:jc w:val="both"/>
    </w:p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5">
    <w:name w:val="xl25"/>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7">
    <w:name w:val="xl2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rPr>
  </w:style>
  <w:style w:type="paragraph" w:customStyle="1" w:styleId="xl29">
    <w:name w:val="xl2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rPr>
  </w:style>
  <w:style w:type="paragraph" w:styleId="GvdeMetni">
    <w:name w:val="Body Text"/>
    <w:basedOn w:val="Normal"/>
    <w:link w:val="GvdeMetniChar"/>
    <w:pPr>
      <w:shd w:val="clear" w:color="auto" w:fill="FFFFFF"/>
      <w:jc w:val="both"/>
    </w:pPr>
    <w:rPr>
      <w:color w:val="FF0000"/>
    </w:rPr>
  </w:style>
  <w:style w:type="paragraph" w:styleId="stBilgi">
    <w:name w:val="header"/>
    <w:basedOn w:val="Normal"/>
    <w:link w:val="stBilgiChar"/>
    <w:uiPriority w:val="99"/>
    <w:pPr>
      <w:tabs>
        <w:tab w:val="center" w:pos="4536"/>
        <w:tab w:val="right" w:pos="9072"/>
      </w:tabs>
    </w:pPr>
    <w:rPr>
      <w:lang w:val="x-none"/>
    </w:rPr>
  </w:style>
  <w:style w:type="paragraph" w:styleId="AltBilgi">
    <w:name w:val="footer"/>
    <w:basedOn w:val="Normal"/>
    <w:link w:val="AltBilgiChar"/>
    <w:uiPriority w:val="99"/>
    <w:pPr>
      <w:tabs>
        <w:tab w:val="center" w:pos="4536"/>
        <w:tab w:val="right" w:pos="9072"/>
      </w:tabs>
    </w:pPr>
  </w:style>
  <w:style w:type="character" w:styleId="SayfaNumaras">
    <w:name w:val="page number"/>
    <w:basedOn w:val="VarsaylanParagrafYazTipi"/>
  </w:style>
  <w:style w:type="paragraph" w:styleId="DipnotMetni">
    <w:name w:val="footnote text"/>
    <w:basedOn w:val="Normal"/>
    <w:link w:val="DipnotMetniChar"/>
    <w:semiHidden/>
    <w:rPr>
      <w:sz w:val="20"/>
      <w:szCs w:val="20"/>
    </w:rPr>
  </w:style>
  <w:style w:type="paragraph" w:customStyle="1" w:styleId="xl22">
    <w:name w:val="xl22"/>
    <w:basedOn w:val="Normal"/>
    <w:pPr>
      <w:pBdr>
        <w:left w:val="single" w:sz="4" w:space="0" w:color="auto"/>
        <w:bottom w:val="single" w:sz="4" w:space="0" w:color="auto"/>
        <w:right w:val="single" w:sz="4" w:space="0" w:color="auto"/>
      </w:pBdr>
      <w:spacing w:before="100" w:beforeAutospacing="1" w:after="100" w:afterAutospacing="1"/>
    </w:pPr>
    <w:rPr>
      <w:lang w:val="en-US"/>
    </w:rPr>
  </w:style>
  <w:style w:type="paragraph" w:customStyle="1" w:styleId="xl23">
    <w:name w:val="xl23"/>
    <w:basedOn w:val="Normal"/>
    <w:pPr>
      <w:pBdr>
        <w:bottom w:val="single" w:sz="4" w:space="0" w:color="auto"/>
        <w:right w:val="single" w:sz="4" w:space="0" w:color="auto"/>
      </w:pBdr>
      <w:spacing w:before="100" w:beforeAutospacing="1" w:after="100" w:afterAutospacing="1"/>
      <w:jc w:val="both"/>
    </w:pPr>
    <w:rPr>
      <w:lang w:val="en-US"/>
    </w:rPr>
  </w:style>
  <w:style w:type="paragraph" w:styleId="GvdeMetni2">
    <w:name w:val="Body Text 2"/>
    <w:basedOn w:val="Normal"/>
    <w:link w:val="GvdeMetni2Char"/>
    <w:pPr>
      <w:spacing w:after="120" w:line="480" w:lineRule="auto"/>
    </w:pPr>
    <w:rPr>
      <w:lang w:val="x-none"/>
    </w:rPr>
  </w:style>
  <w:style w:type="paragraph" w:styleId="BalonMetni">
    <w:name w:val="Balloon Text"/>
    <w:basedOn w:val="Normal"/>
    <w:link w:val="BalonMetniChar"/>
    <w:uiPriority w:val="99"/>
    <w:semiHidden/>
    <w:rPr>
      <w:rFonts w:ascii="Tahoma" w:hAnsi="Tahoma" w:cs="Tahoma"/>
      <w:sz w:val="16"/>
      <w:szCs w:val="16"/>
    </w:rPr>
  </w:style>
  <w:style w:type="character" w:customStyle="1" w:styleId="a">
    <w:name w:val="a"/>
    <w:basedOn w:val="VarsaylanParagrafYazTipi"/>
  </w:style>
  <w:style w:type="paragraph" w:styleId="GvdeMetni3">
    <w:name w:val="Body Text 3"/>
    <w:basedOn w:val="Normal"/>
    <w:link w:val="GvdeMetni3Char"/>
    <w:pPr>
      <w:spacing w:after="120"/>
    </w:pPr>
    <w:rPr>
      <w:sz w:val="16"/>
      <w:szCs w:val="16"/>
    </w:rPr>
  </w:style>
  <w:style w:type="character" w:styleId="DipnotBavurusu">
    <w:name w:val="footnote reference"/>
    <w:semiHidden/>
    <w:rPr>
      <w:vertAlign w:val="superscript"/>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xl30">
    <w:name w:val="xl30"/>
    <w:basedOn w:val="Normal"/>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style>
  <w:style w:type="paragraph" w:customStyle="1" w:styleId="Default">
    <w:name w:val="Default"/>
    <w:rsid w:val="00D07ADB"/>
    <w:pPr>
      <w:autoSpaceDE w:val="0"/>
      <w:autoSpaceDN w:val="0"/>
      <w:adjustRightInd w:val="0"/>
    </w:pPr>
    <w:rPr>
      <w:color w:val="000000"/>
      <w:sz w:val="24"/>
      <w:szCs w:val="24"/>
    </w:rPr>
  </w:style>
  <w:style w:type="table" w:styleId="TabloKlavuzu">
    <w:name w:val="Table Grid"/>
    <w:basedOn w:val="NormalTablo"/>
    <w:rsid w:val="00AB0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B76BB"/>
    <w:pPr>
      <w:ind w:left="708"/>
    </w:pPr>
  </w:style>
  <w:style w:type="paragraph" w:styleId="KonuBal">
    <w:name w:val="Title"/>
    <w:basedOn w:val="Normal"/>
    <w:link w:val="KonuBalChar"/>
    <w:qFormat/>
    <w:rsid w:val="00866648"/>
    <w:pPr>
      <w:spacing w:line="240" w:lineRule="atLeast"/>
      <w:jc w:val="center"/>
    </w:pPr>
    <w:rPr>
      <w:b/>
      <w:sz w:val="32"/>
      <w:szCs w:val="20"/>
      <w:lang w:val="en-AU" w:eastAsia="x-none"/>
    </w:rPr>
  </w:style>
  <w:style w:type="character" w:customStyle="1" w:styleId="KonuBalChar">
    <w:name w:val="Konu Başlığı Char"/>
    <w:link w:val="KonuBal"/>
    <w:rsid w:val="00866648"/>
    <w:rPr>
      <w:b/>
      <w:sz w:val="32"/>
      <w:lang w:val="en-AU"/>
    </w:rPr>
  </w:style>
  <w:style w:type="character" w:styleId="Gl">
    <w:name w:val="Strong"/>
    <w:qFormat/>
    <w:rsid w:val="00782364"/>
    <w:rPr>
      <w:b/>
      <w:bCs/>
    </w:rPr>
  </w:style>
  <w:style w:type="character" w:styleId="Vurgu">
    <w:name w:val="Emphasis"/>
    <w:qFormat/>
    <w:rsid w:val="00680A41"/>
    <w:rPr>
      <w:b/>
      <w:bCs/>
      <w:i w:val="0"/>
      <w:iCs w:val="0"/>
    </w:rPr>
  </w:style>
  <w:style w:type="character" w:customStyle="1" w:styleId="apple-style-span">
    <w:name w:val="apple-style-span"/>
    <w:rsid w:val="00BB4D1A"/>
    <w:rPr>
      <w:rFonts w:cs="Times New Roman"/>
    </w:rPr>
  </w:style>
  <w:style w:type="character" w:customStyle="1" w:styleId="GvdeMetni2Char">
    <w:name w:val="Gövde Metni 2 Char"/>
    <w:link w:val="GvdeMetni2"/>
    <w:rsid w:val="009615D6"/>
    <w:rPr>
      <w:sz w:val="24"/>
      <w:szCs w:val="24"/>
      <w:lang w:eastAsia="en-US"/>
    </w:rPr>
  </w:style>
  <w:style w:type="character" w:customStyle="1" w:styleId="stBilgiChar">
    <w:name w:val="Üst Bilgi Char"/>
    <w:link w:val="stBilgi"/>
    <w:uiPriority w:val="99"/>
    <w:rsid w:val="001D3669"/>
    <w:rPr>
      <w:sz w:val="24"/>
      <w:szCs w:val="24"/>
      <w:lang w:eastAsia="en-US"/>
    </w:rPr>
  </w:style>
  <w:style w:type="character" w:customStyle="1" w:styleId="Balk6Char">
    <w:name w:val="Başlık 6 Char"/>
    <w:link w:val="Balk6"/>
    <w:rsid w:val="00A75A11"/>
    <w:rPr>
      <w:b/>
      <w:bCs/>
      <w:sz w:val="22"/>
      <w:szCs w:val="22"/>
    </w:rPr>
  </w:style>
  <w:style w:type="character" w:customStyle="1" w:styleId="Balk7Char">
    <w:name w:val="Başlık 7 Char"/>
    <w:link w:val="Balk7"/>
    <w:rsid w:val="00A75A11"/>
    <w:rPr>
      <w:sz w:val="24"/>
      <w:szCs w:val="24"/>
    </w:rPr>
  </w:style>
  <w:style w:type="character" w:customStyle="1" w:styleId="AltBilgiChar">
    <w:name w:val="Alt Bilgi Char"/>
    <w:link w:val="AltBilgi"/>
    <w:uiPriority w:val="99"/>
    <w:rsid w:val="007C1878"/>
    <w:rPr>
      <w:sz w:val="24"/>
      <w:szCs w:val="24"/>
    </w:rPr>
  </w:style>
  <w:style w:type="paragraph" w:styleId="ResimYazs">
    <w:name w:val="caption"/>
    <w:basedOn w:val="Normal"/>
    <w:next w:val="Normal"/>
    <w:uiPriority w:val="35"/>
    <w:unhideWhenUsed/>
    <w:qFormat/>
    <w:rsid w:val="00D56A70"/>
    <w:rPr>
      <w:b/>
      <w:bCs/>
      <w:sz w:val="20"/>
      <w:szCs w:val="20"/>
    </w:rPr>
  </w:style>
  <w:style w:type="character" w:customStyle="1" w:styleId="GvdeMetniChar">
    <w:name w:val="Gövde Metni Char"/>
    <w:basedOn w:val="VarsaylanParagrafYazTipi"/>
    <w:link w:val="GvdeMetni"/>
    <w:rsid w:val="00731D63"/>
    <w:rPr>
      <w:color w:val="FF0000"/>
      <w:sz w:val="24"/>
      <w:szCs w:val="24"/>
      <w:shd w:val="clear" w:color="auto" w:fill="FFFFFF"/>
    </w:rPr>
  </w:style>
  <w:style w:type="character" w:customStyle="1" w:styleId="Balk1Char">
    <w:name w:val="Başlık 1 Char"/>
    <w:basedOn w:val="VarsaylanParagrafYazTipi"/>
    <w:link w:val="Balk1"/>
    <w:rsid w:val="006E084C"/>
    <w:rPr>
      <w:rFonts w:ascii="Arial" w:hAnsi="Arial" w:cs="Arial"/>
      <w:b/>
      <w:bCs/>
    </w:rPr>
  </w:style>
  <w:style w:type="character" w:customStyle="1" w:styleId="Balk2Char">
    <w:name w:val="Başlık 2 Char"/>
    <w:link w:val="Balk2"/>
    <w:rsid w:val="003B426A"/>
    <w:rPr>
      <w:rFonts w:ascii="Garamond" w:hAnsi="Garamond"/>
      <w:b/>
      <w:sz w:val="32"/>
    </w:rPr>
  </w:style>
  <w:style w:type="character" w:customStyle="1" w:styleId="GvdeMetni3Char">
    <w:name w:val="Gövde Metni 3 Char"/>
    <w:link w:val="GvdeMetni3"/>
    <w:rsid w:val="00D60DF8"/>
    <w:rPr>
      <w:sz w:val="16"/>
      <w:szCs w:val="16"/>
    </w:rPr>
  </w:style>
  <w:style w:type="character" w:customStyle="1" w:styleId="DipnotMetniChar">
    <w:name w:val="Dipnot Metni Char"/>
    <w:basedOn w:val="VarsaylanParagrafYazTipi"/>
    <w:link w:val="DipnotMetni"/>
    <w:semiHidden/>
    <w:rsid w:val="00161E7C"/>
  </w:style>
  <w:style w:type="character" w:customStyle="1" w:styleId="BalonMetniChar">
    <w:name w:val="Balon Metni Char"/>
    <w:basedOn w:val="VarsaylanParagrafYazTipi"/>
    <w:link w:val="BalonMetni"/>
    <w:uiPriority w:val="99"/>
    <w:semiHidden/>
    <w:rsid w:val="00161E7C"/>
    <w:rPr>
      <w:rFonts w:ascii="Tahoma" w:hAnsi="Tahoma" w:cs="Tahoma"/>
      <w:sz w:val="16"/>
      <w:szCs w:val="16"/>
    </w:rPr>
  </w:style>
  <w:style w:type="paragraph" w:customStyle="1" w:styleId="default0">
    <w:name w:val="default"/>
    <w:basedOn w:val="Normal"/>
    <w:rsid w:val="00B1186F"/>
    <w:pPr>
      <w:spacing w:before="100" w:beforeAutospacing="1" w:after="100" w:afterAutospacing="1"/>
    </w:pPr>
  </w:style>
  <w:style w:type="character" w:customStyle="1" w:styleId="spelle">
    <w:name w:val="spelle"/>
    <w:basedOn w:val="VarsaylanParagrafYazTipi"/>
    <w:rsid w:val="00B1186F"/>
  </w:style>
  <w:style w:type="character" w:customStyle="1" w:styleId="GvdeMetniGirintisi3Char">
    <w:name w:val="Gövde Metni Girintisi 3 Char"/>
    <w:basedOn w:val="VarsaylanParagrafYazTipi"/>
    <w:link w:val="GvdeMetniGirintisi3"/>
    <w:semiHidden/>
    <w:rsid w:val="00130EB7"/>
    <w:rPr>
      <w:sz w:val="24"/>
      <w:szCs w:val="24"/>
    </w:rPr>
  </w:style>
  <w:style w:type="character" w:customStyle="1" w:styleId="grame">
    <w:name w:val="grame"/>
    <w:basedOn w:val="VarsaylanParagrafYazTipi"/>
    <w:rsid w:val="00E37D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2790">
      <w:bodyDiv w:val="1"/>
      <w:marLeft w:val="0"/>
      <w:marRight w:val="0"/>
      <w:marTop w:val="45"/>
      <w:marBottom w:val="45"/>
      <w:divBdr>
        <w:top w:val="none" w:sz="0" w:space="0" w:color="auto"/>
        <w:left w:val="none" w:sz="0" w:space="0" w:color="auto"/>
        <w:bottom w:val="none" w:sz="0" w:space="0" w:color="auto"/>
        <w:right w:val="none" w:sz="0" w:space="0" w:color="auto"/>
      </w:divBdr>
      <w:divsChild>
        <w:div w:id="1942371469">
          <w:marLeft w:val="0"/>
          <w:marRight w:val="0"/>
          <w:marTop w:val="0"/>
          <w:marBottom w:val="0"/>
          <w:divBdr>
            <w:top w:val="none" w:sz="0" w:space="0" w:color="auto"/>
            <w:left w:val="none" w:sz="0" w:space="0" w:color="auto"/>
            <w:bottom w:val="none" w:sz="0" w:space="0" w:color="auto"/>
            <w:right w:val="none" w:sz="0" w:space="0" w:color="auto"/>
          </w:divBdr>
          <w:divsChild>
            <w:div w:id="1605382390">
              <w:marLeft w:val="0"/>
              <w:marRight w:val="0"/>
              <w:marTop w:val="0"/>
              <w:marBottom w:val="0"/>
              <w:divBdr>
                <w:top w:val="none" w:sz="0" w:space="0" w:color="auto"/>
                <w:left w:val="none" w:sz="0" w:space="0" w:color="auto"/>
                <w:bottom w:val="none" w:sz="0" w:space="0" w:color="auto"/>
                <w:right w:val="none" w:sz="0" w:space="0" w:color="auto"/>
              </w:divBdr>
              <w:divsChild>
                <w:div w:id="2039156953">
                  <w:marLeft w:val="2385"/>
                  <w:marRight w:val="3960"/>
                  <w:marTop w:val="0"/>
                  <w:marBottom w:val="0"/>
                  <w:divBdr>
                    <w:top w:val="none" w:sz="0" w:space="0" w:color="auto"/>
                    <w:left w:val="single" w:sz="6" w:space="0" w:color="D3E1F9"/>
                    <w:bottom w:val="none" w:sz="0" w:space="0" w:color="auto"/>
                    <w:right w:val="none" w:sz="0" w:space="0" w:color="auto"/>
                  </w:divBdr>
                  <w:divsChild>
                    <w:div w:id="606038840">
                      <w:marLeft w:val="0"/>
                      <w:marRight w:val="0"/>
                      <w:marTop w:val="0"/>
                      <w:marBottom w:val="0"/>
                      <w:divBdr>
                        <w:top w:val="none" w:sz="0" w:space="0" w:color="auto"/>
                        <w:left w:val="none" w:sz="0" w:space="0" w:color="auto"/>
                        <w:bottom w:val="none" w:sz="0" w:space="0" w:color="auto"/>
                        <w:right w:val="none" w:sz="0" w:space="0" w:color="auto"/>
                      </w:divBdr>
                      <w:divsChild>
                        <w:div w:id="17007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928884">
      <w:bodyDiv w:val="1"/>
      <w:marLeft w:val="0"/>
      <w:marRight w:val="0"/>
      <w:marTop w:val="0"/>
      <w:marBottom w:val="0"/>
      <w:divBdr>
        <w:top w:val="none" w:sz="0" w:space="0" w:color="auto"/>
        <w:left w:val="none" w:sz="0" w:space="0" w:color="auto"/>
        <w:bottom w:val="none" w:sz="0" w:space="0" w:color="auto"/>
        <w:right w:val="none" w:sz="0" w:space="0" w:color="auto"/>
      </w:divBdr>
    </w:div>
    <w:div w:id="34432577">
      <w:bodyDiv w:val="1"/>
      <w:marLeft w:val="0"/>
      <w:marRight w:val="0"/>
      <w:marTop w:val="0"/>
      <w:marBottom w:val="0"/>
      <w:divBdr>
        <w:top w:val="none" w:sz="0" w:space="0" w:color="auto"/>
        <w:left w:val="none" w:sz="0" w:space="0" w:color="auto"/>
        <w:bottom w:val="none" w:sz="0" w:space="0" w:color="auto"/>
        <w:right w:val="none" w:sz="0" w:space="0" w:color="auto"/>
      </w:divBdr>
    </w:div>
    <w:div w:id="43063326">
      <w:bodyDiv w:val="1"/>
      <w:marLeft w:val="0"/>
      <w:marRight w:val="0"/>
      <w:marTop w:val="0"/>
      <w:marBottom w:val="0"/>
      <w:divBdr>
        <w:top w:val="none" w:sz="0" w:space="0" w:color="auto"/>
        <w:left w:val="none" w:sz="0" w:space="0" w:color="auto"/>
        <w:bottom w:val="none" w:sz="0" w:space="0" w:color="auto"/>
        <w:right w:val="none" w:sz="0" w:space="0" w:color="auto"/>
      </w:divBdr>
    </w:div>
    <w:div w:id="55667557">
      <w:bodyDiv w:val="1"/>
      <w:marLeft w:val="0"/>
      <w:marRight w:val="0"/>
      <w:marTop w:val="0"/>
      <w:marBottom w:val="0"/>
      <w:divBdr>
        <w:top w:val="none" w:sz="0" w:space="0" w:color="auto"/>
        <w:left w:val="none" w:sz="0" w:space="0" w:color="auto"/>
        <w:bottom w:val="none" w:sz="0" w:space="0" w:color="auto"/>
        <w:right w:val="none" w:sz="0" w:space="0" w:color="auto"/>
      </w:divBdr>
    </w:div>
    <w:div w:id="74207763">
      <w:bodyDiv w:val="1"/>
      <w:marLeft w:val="0"/>
      <w:marRight w:val="0"/>
      <w:marTop w:val="0"/>
      <w:marBottom w:val="0"/>
      <w:divBdr>
        <w:top w:val="none" w:sz="0" w:space="0" w:color="auto"/>
        <w:left w:val="none" w:sz="0" w:space="0" w:color="auto"/>
        <w:bottom w:val="none" w:sz="0" w:space="0" w:color="auto"/>
        <w:right w:val="none" w:sz="0" w:space="0" w:color="auto"/>
      </w:divBdr>
    </w:div>
    <w:div w:id="152454575">
      <w:bodyDiv w:val="1"/>
      <w:marLeft w:val="0"/>
      <w:marRight w:val="0"/>
      <w:marTop w:val="0"/>
      <w:marBottom w:val="0"/>
      <w:divBdr>
        <w:top w:val="none" w:sz="0" w:space="0" w:color="auto"/>
        <w:left w:val="none" w:sz="0" w:space="0" w:color="auto"/>
        <w:bottom w:val="none" w:sz="0" w:space="0" w:color="auto"/>
        <w:right w:val="none" w:sz="0" w:space="0" w:color="auto"/>
      </w:divBdr>
    </w:div>
    <w:div w:id="177473880">
      <w:bodyDiv w:val="1"/>
      <w:marLeft w:val="0"/>
      <w:marRight w:val="0"/>
      <w:marTop w:val="0"/>
      <w:marBottom w:val="0"/>
      <w:divBdr>
        <w:top w:val="none" w:sz="0" w:space="0" w:color="auto"/>
        <w:left w:val="none" w:sz="0" w:space="0" w:color="auto"/>
        <w:bottom w:val="none" w:sz="0" w:space="0" w:color="auto"/>
        <w:right w:val="none" w:sz="0" w:space="0" w:color="auto"/>
      </w:divBdr>
    </w:div>
    <w:div w:id="188111629">
      <w:bodyDiv w:val="1"/>
      <w:marLeft w:val="0"/>
      <w:marRight w:val="0"/>
      <w:marTop w:val="0"/>
      <w:marBottom w:val="0"/>
      <w:divBdr>
        <w:top w:val="none" w:sz="0" w:space="0" w:color="auto"/>
        <w:left w:val="none" w:sz="0" w:space="0" w:color="auto"/>
        <w:bottom w:val="none" w:sz="0" w:space="0" w:color="auto"/>
        <w:right w:val="none" w:sz="0" w:space="0" w:color="auto"/>
      </w:divBdr>
    </w:div>
    <w:div w:id="219750062">
      <w:bodyDiv w:val="1"/>
      <w:marLeft w:val="0"/>
      <w:marRight w:val="0"/>
      <w:marTop w:val="0"/>
      <w:marBottom w:val="0"/>
      <w:divBdr>
        <w:top w:val="none" w:sz="0" w:space="0" w:color="auto"/>
        <w:left w:val="none" w:sz="0" w:space="0" w:color="auto"/>
        <w:bottom w:val="none" w:sz="0" w:space="0" w:color="auto"/>
        <w:right w:val="none" w:sz="0" w:space="0" w:color="auto"/>
      </w:divBdr>
    </w:div>
    <w:div w:id="223496201">
      <w:bodyDiv w:val="1"/>
      <w:marLeft w:val="0"/>
      <w:marRight w:val="0"/>
      <w:marTop w:val="0"/>
      <w:marBottom w:val="0"/>
      <w:divBdr>
        <w:top w:val="none" w:sz="0" w:space="0" w:color="auto"/>
        <w:left w:val="none" w:sz="0" w:space="0" w:color="auto"/>
        <w:bottom w:val="none" w:sz="0" w:space="0" w:color="auto"/>
        <w:right w:val="none" w:sz="0" w:space="0" w:color="auto"/>
      </w:divBdr>
    </w:div>
    <w:div w:id="230385768">
      <w:bodyDiv w:val="1"/>
      <w:marLeft w:val="0"/>
      <w:marRight w:val="0"/>
      <w:marTop w:val="0"/>
      <w:marBottom w:val="0"/>
      <w:divBdr>
        <w:top w:val="none" w:sz="0" w:space="0" w:color="auto"/>
        <w:left w:val="none" w:sz="0" w:space="0" w:color="auto"/>
        <w:bottom w:val="none" w:sz="0" w:space="0" w:color="auto"/>
        <w:right w:val="none" w:sz="0" w:space="0" w:color="auto"/>
      </w:divBdr>
    </w:div>
    <w:div w:id="240061688">
      <w:bodyDiv w:val="1"/>
      <w:marLeft w:val="0"/>
      <w:marRight w:val="0"/>
      <w:marTop w:val="0"/>
      <w:marBottom w:val="0"/>
      <w:divBdr>
        <w:top w:val="none" w:sz="0" w:space="0" w:color="auto"/>
        <w:left w:val="none" w:sz="0" w:space="0" w:color="auto"/>
        <w:bottom w:val="none" w:sz="0" w:space="0" w:color="auto"/>
        <w:right w:val="none" w:sz="0" w:space="0" w:color="auto"/>
      </w:divBdr>
    </w:div>
    <w:div w:id="284388679">
      <w:bodyDiv w:val="1"/>
      <w:marLeft w:val="0"/>
      <w:marRight w:val="0"/>
      <w:marTop w:val="0"/>
      <w:marBottom w:val="0"/>
      <w:divBdr>
        <w:top w:val="none" w:sz="0" w:space="0" w:color="auto"/>
        <w:left w:val="none" w:sz="0" w:space="0" w:color="auto"/>
        <w:bottom w:val="none" w:sz="0" w:space="0" w:color="auto"/>
        <w:right w:val="none" w:sz="0" w:space="0" w:color="auto"/>
      </w:divBdr>
    </w:div>
    <w:div w:id="290938090">
      <w:bodyDiv w:val="1"/>
      <w:marLeft w:val="0"/>
      <w:marRight w:val="0"/>
      <w:marTop w:val="0"/>
      <w:marBottom w:val="0"/>
      <w:divBdr>
        <w:top w:val="none" w:sz="0" w:space="0" w:color="auto"/>
        <w:left w:val="none" w:sz="0" w:space="0" w:color="auto"/>
        <w:bottom w:val="none" w:sz="0" w:space="0" w:color="auto"/>
        <w:right w:val="none" w:sz="0" w:space="0" w:color="auto"/>
      </w:divBdr>
    </w:div>
    <w:div w:id="301887904">
      <w:bodyDiv w:val="1"/>
      <w:marLeft w:val="0"/>
      <w:marRight w:val="0"/>
      <w:marTop w:val="0"/>
      <w:marBottom w:val="0"/>
      <w:divBdr>
        <w:top w:val="none" w:sz="0" w:space="0" w:color="auto"/>
        <w:left w:val="none" w:sz="0" w:space="0" w:color="auto"/>
        <w:bottom w:val="none" w:sz="0" w:space="0" w:color="auto"/>
        <w:right w:val="none" w:sz="0" w:space="0" w:color="auto"/>
      </w:divBdr>
    </w:div>
    <w:div w:id="331377062">
      <w:bodyDiv w:val="1"/>
      <w:marLeft w:val="0"/>
      <w:marRight w:val="0"/>
      <w:marTop w:val="45"/>
      <w:marBottom w:val="45"/>
      <w:divBdr>
        <w:top w:val="none" w:sz="0" w:space="0" w:color="auto"/>
        <w:left w:val="none" w:sz="0" w:space="0" w:color="auto"/>
        <w:bottom w:val="none" w:sz="0" w:space="0" w:color="auto"/>
        <w:right w:val="none" w:sz="0" w:space="0" w:color="auto"/>
      </w:divBdr>
      <w:divsChild>
        <w:div w:id="1234660427">
          <w:marLeft w:val="0"/>
          <w:marRight w:val="0"/>
          <w:marTop w:val="0"/>
          <w:marBottom w:val="0"/>
          <w:divBdr>
            <w:top w:val="none" w:sz="0" w:space="0" w:color="auto"/>
            <w:left w:val="none" w:sz="0" w:space="0" w:color="auto"/>
            <w:bottom w:val="none" w:sz="0" w:space="0" w:color="auto"/>
            <w:right w:val="none" w:sz="0" w:space="0" w:color="auto"/>
          </w:divBdr>
          <w:divsChild>
            <w:div w:id="1528522421">
              <w:marLeft w:val="0"/>
              <w:marRight w:val="0"/>
              <w:marTop w:val="0"/>
              <w:marBottom w:val="0"/>
              <w:divBdr>
                <w:top w:val="none" w:sz="0" w:space="0" w:color="auto"/>
                <w:left w:val="none" w:sz="0" w:space="0" w:color="auto"/>
                <w:bottom w:val="none" w:sz="0" w:space="0" w:color="auto"/>
                <w:right w:val="none" w:sz="0" w:space="0" w:color="auto"/>
              </w:divBdr>
              <w:divsChild>
                <w:div w:id="1828134586">
                  <w:marLeft w:val="2385"/>
                  <w:marRight w:val="3960"/>
                  <w:marTop w:val="0"/>
                  <w:marBottom w:val="0"/>
                  <w:divBdr>
                    <w:top w:val="none" w:sz="0" w:space="0" w:color="auto"/>
                    <w:left w:val="single" w:sz="6" w:space="0" w:color="D3E1F9"/>
                    <w:bottom w:val="none" w:sz="0" w:space="0" w:color="auto"/>
                    <w:right w:val="none" w:sz="0" w:space="0" w:color="auto"/>
                  </w:divBdr>
                  <w:divsChild>
                    <w:div w:id="71634097">
                      <w:marLeft w:val="0"/>
                      <w:marRight w:val="0"/>
                      <w:marTop w:val="0"/>
                      <w:marBottom w:val="0"/>
                      <w:divBdr>
                        <w:top w:val="none" w:sz="0" w:space="0" w:color="auto"/>
                        <w:left w:val="none" w:sz="0" w:space="0" w:color="auto"/>
                        <w:bottom w:val="none" w:sz="0" w:space="0" w:color="auto"/>
                        <w:right w:val="none" w:sz="0" w:space="0" w:color="auto"/>
                      </w:divBdr>
                      <w:divsChild>
                        <w:div w:id="191608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428669">
      <w:bodyDiv w:val="1"/>
      <w:marLeft w:val="0"/>
      <w:marRight w:val="0"/>
      <w:marTop w:val="0"/>
      <w:marBottom w:val="0"/>
      <w:divBdr>
        <w:top w:val="none" w:sz="0" w:space="0" w:color="auto"/>
        <w:left w:val="none" w:sz="0" w:space="0" w:color="auto"/>
        <w:bottom w:val="none" w:sz="0" w:space="0" w:color="auto"/>
        <w:right w:val="none" w:sz="0" w:space="0" w:color="auto"/>
      </w:divBdr>
    </w:div>
    <w:div w:id="398942959">
      <w:bodyDiv w:val="1"/>
      <w:marLeft w:val="0"/>
      <w:marRight w:val="0"/>
      <w:marTop w:val="0"/>
      <w:marBottom w:val="0"/>
      <w:divBdr>
        <w:top w:val="none" w:sz="0" w:space="0" w:color="auto"/>
        <w:left w:val="none" w:sz="0" w:space="0" w:color="auto"/>
        <w:bottom w:val="none" w:sz="0" w:space="0" w:color="auto"/>
        <w:right w:val="none" w:sz="0" w:space="0" w:color="auto"/>
      </w:divBdr>
    </w:div>
    <w:div w:id="401682824">
      <w:bodyDiv w:val="1"/>
      <w:marLeft w:val="0"/>
      <w:marRight w:val="0"/>
      <w:marTop w:val="0"/>
      <w:marBottom w:val="0"/>
      <w:divBdr>
        <w:top w:val="none" w:sz="0" w:space="0" w:color="auto"/>
        <w:left w:val="none" w:sz="0" w:space="0" w:color="auto"/>
        <w:bottom w:val="none" w:sz="0" w:space="0" w:color="auto"/>
        <w:right w:val="none" w:sz="0" w:space="0" w:color="auto"/>
      </w:divBdr>
    </w:div>
    <w:div w:id="414016794">
      <w:bodyDiv w:val="1"/>
      <w:marLeft w:val="0"/>
      <w:marRight w:val="0"/>
      <w:marTop w:val="0"/>
      <w:marBottom w:val="0"/>
      <w:divBdr>
        <w:top w:val="none" w:sz="0" w:space="0" w:color="auto"/>
        <w:left w:val="none" w:sz="0" w:space="0" w:color="auto"/>
        <w:bottom w:val="none" w:sz="0" w:space="0" w:color="auto"/>
        <w:right w:val="none" w:sz="0" w:space="0" w:color="auto"/>
      </w:divBdr>
      <w:divsChild>
        <w:div w:id="708458187">
          <w:marLeft w:val="0"/>
          <w:marRight w:val="0"/>
          <w:marTop w:val="0"/>
          <w:marBottom w:val="0"/>
          <w:divBdr>
            <w:top w:val="none" w:sz="0" w:space="0" w:color="auto"/>
            <w:left w:val="none" w:sz="0" w:space="0" w:color="auto"/>
            <w:bottom w:val="none" w:sz="0" w:space="0" w:color="auto"/>
            <w:right w:val="none" w:sz="0" w:space="0" w:color="auto"/>
          </w:divBdr>
          <w:divsChild>
            <w:div w:id="800464439">
              <w:marLeft w:val="0"/>
              <w:marRight w:val="0"/>
              <w:marTop w:val="33"/>
              <w:marBottom w:val="0"/>
              <w:divBdr>
                <w:top w:val="single" w:sz="2" w:space="0" w:color="596380"/>
                <w:left w:val="single" w:sz="2" w:space="0" w:color="596380"/>
                <w:bottom w:val="single" w:sz="2" w:space="0" w:color="596380"/>
                <w:right w:val="single" w:sz="2" w:space="0" w:color="596380"/>
              </w:divBdr>
              <w:divsChild>
                <w:div w:id="2014985568">
                  <w:marLeft w:val="0"/>
                  <w:marRight w:val="0"/>
                  <w:marTop w:val="0"/>
                  <w:marBottom w:val="0"/>
                  <w:divBdr>
                    <w:top w:val="none" w:sz="0" w:space="0" w:color="auto"/>
                    <w:left w:val="none" w:sz="0" w:space="0" w:color="auto"/>
                    <w:bottom w:val="none" w:sz="0" w:space="0" w:color="auto"/>
                    <w:right w:val="none" w:sz="0" w:space="0" w:color="auto"/>
                  </w:divBdr>
                  <w:divsChild>
                    <w:div w:id="1719696052">
                      <w:marLeft w:val="0"/>
                      <w:marRight w:val="0"/>
                      <w:marTop w:val="0"/>
                      <w:marBottom w:val="0"/>
                      <w:divBdr>
                        <w:top w:val="none" w:sz="0" w:space="0" w:color="auto"/>
                        <w:left w:val="none" w:sz="0" w:space="0" w:color="auto"/>
                        <w:bottom w:val="none" w:sz="0" w:space="0" w:color="auto"/>
                        <w:right w:val="none" w:sz="0" w:space="0" w:color="auto"/>
                      </w:divBdr>
                      <w:divsChild>
                        <w:div w:id="643193405">
                          <w:marLeft w:val="0"/>
                          <w:marRight w:val="0"/>
                          <w:marTop w:val="0"/>
                          <w:marBottom w:val="0"/>
                          <w:divBdr>
                            <w:top w:val="none" w:sz="0" w:space="0" w:color="auto"/>
                            <w:left w:val="none" w:sz="0" w:space="0" w:color="auto"/>
                            <w:bottom w:val="none" w:sz="0" w:space="0" w:color="auto"/>
                            <w:right w:val="none" w:sz="0" w:space="0" w:color="auto"/>
                          </w:divBdr>
                          <w:divsChild>
                            <w:div w:id="2005743220">
                              <w:marLeft w:val="0"/>
                              <w:marRight w:val="0"/>
                              <w:marTop w:val="0"/>
                              <w:marBottom w:val="0"/>
                              <w:divBdr>
                                <w:top w:val="none" w:sz="0" w:space="0" w:color="auto"/>
                                <w:left w:val="none" w:sz="0" w:space="0" w:color="auto"/>
                                <w:bottom w:val="none" w:sz="0" w:space="0" w:color="auto"/>
                                <w:right w:val="none" w:sz="0" w:space="0" w:color="auto"/>
                              </w:divBdr>
                              <w:divsChild>
                                <w:div w:id="727194786">
                                  <w:marLeft w:val="55"/>
                                  <w:marRight w:val="55"/>
                                  <w:marTop w:val="55"/>
                                  <w:marBottom w:val="55"/>
                                  <w:divBdr>
                                    <w:top w:val="none" w:sz="0" w:space="0" w:color="auto"/>
                                    <w:left w:val="none" w:sz="0" w:space="0" w:color="auto"/>
                                    <w:bottom w:val="none" w:sz="0" w:space="0" w:color="auto"/>
                                    <w:right w:val="none" w:sz="0" w:space="0" w:color="auto"/>
                                  </w:divBdr>
                                  <w:divsChild>
                                    <w:div w:id="48779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697782">
      <w:bodyDiv w:val="1"/>
      <w:marLeft w:val="0"/>
      <w:marRight w:val="0"/>
      <w:marTop w:val="0"/>
      <w:marBottom w:val="0"/>
      <w:divBdr>
        <w:top w:val="none" w:sz="0" w:space="0" w:color="auto"/>
        <w:left w:val="none" w:sz="0" w:space="0" w:color="auto"/>
        <w:bottom w:val="none" w:sz="0" w:space="0" w:color="auto"/>
        <w:right w:val="none" w:sz="0" w:space="0" w:color="auto"/>
      </w:divBdr>
    </w:div>
    <w:div w:id="429934477">
      <w:bodyDiv w:val="1"/>
      <w:marLeft w:val="0"/>
      <w:marRight w:val="0"/>
      <w:marTop w:val="0"/>
      <w:marBottom w:val="0"/>
      <w:divBdr>
        <w:top w:val="none" w:sz="0" w:space="0" w:color="auto"/>
        <w:left w:val="none" w:sz="0" w:space="0" w:color="auto"/>
        <w:bottom w:val="none" w:sz="0" w:space="0" w:color="auto"/>
        <w:right w:val="none" w:sz="0" w:space="0" w:color="auto"/>
      </w:divBdr>
    </w:div>
    <w:div w:id="455761419">
      <w:bodyDiv w:val="1"/>
      <w:marLeft w:val="0"/>
      <w:marRight w:val="0"/>
      <w:marTop w:val="0"/>
      <w:marBottom w:val="0"/>
      <w:divBdr>
        <w:top w:val="none" w:sz="0" w:space="0" w:color="auto"/>
        <w:left w:val="none" w:sz="0" w:space="0" w:color="auto"/>
        <w:bottom w:val="none" w:sz="0" w:space="0" w:color="auto"/>
        <w:right w:val="none" w:sz="0" w:space="0" w:color="auto"/>
      </w:divBdr>
    </w:div>
    <w:div w:id="459081145">
      <w:bodyDiv w:val="1"/>
      <w:marLeft w:val="0"/>
      <w:marRight w:val="0"/>
      <w:marTop w:val="0"/>
      <w:marBottom w:val="0"/>
      <w:divBdr>
        <w:top w:val="none" w:sz="0" w:space="0" w:color="auto"/>
        <w:left w:val="none" w:sz="0" w:space="0" w:color="auto"/>
        <w:bottom w:val="none" w:sz="0" w:space="0" w:color="auto"/>
        <w:right w:val="none" w:sz="0" w:space="0" w:color="auto"/>
      </w:divBdr>
    </w:div>
    <w:div w:id="494341178">
      <w:bodyDiv w:val="1"/>
      <w:marLeft w:val="0"/>
      <w:marRight w:val="0"/>
      <w:marTop w:val="0"/>
      <w:marBottom w:val="0"/>
      <w:divBdr>
        <w:top w:val="none" w:sz="0" w:space="0" w:color="auto"/>
        <w:left w:val="none" w:sz="0" w:space="0" w:color="auto"/>
        <w:bottom w:val="none" w:sz="0" w:space="0" w:color="auto"/>
        <w:right w:val="none" w:sz="0" w:space="0" w:color="auto"/>
      </w:divBdr>
    </w:div>
    <w:div w:id="514031238">
      <w:bodyDiv w:val="1"/>
      <w:marLeft w:val="0"/>
      <w:marRight w:val="0"/>
      <w:marTop w:val="0"/>
      <w:marBottom w:val="0"/>
      <w:divBdr>
        <w:top w:val="none" w:sz="0" w:space="0" w:color="auto"/>
        <w:left w:val="none" w:sz="0" w:space="0" w:color="auto"/>
        <w:bottom w:val="none" w:sz="0" w:space="0" w:color="auto"/>
        <w:right w:val="none" w:sz="0" w:space="0" w:color="auto"/>
      </w:divBdr>
    </w:div>
    <w:div w:id="529614231">
      <w:bodyDiv w:val="1"/>
      <w:marLeft w:val="0"/>
      <w:marRight w:val="0"/>
      <w:marTop w:val="0"/>
      <w:marBottom w:val="0"/>
      <w:divBdr>
        <w:top w:val="none" w:sz="0" w:space="0" w:color="auto"/>
        <w:left w:val="none" w:sz="0" w:space="0" w:color="auto"/>
        <w:bottom w:val="none" w:sz="0" w:space="0" w:color="auto"/>
        <w:right w:val="none" w:sz="0" w:space="0" w:color="auto"/>
      </w:divBdr>
    </w:div>
    <w:div w:id="530267629">
      <w:bodyDiv w:val="1"/>
      <w:marLeft w:val="0"/>
      <w:marRight w:val="0"/>
      <w:marTop w:val="0"/>
      <w:marBottom w:val="0"/>
      <w:divBdr>
        <w:top w:val="none" w:sz="0" w:space="0" w:color="auto"/>
        <w:left w:val="none" w:sz="0" w:space="0" w:color="auto"/>
        <w:bottom w:val="none" w:sz="0" w:space="0" w:color="auto"/>
        <w:right w:val="none" w:sz="0" w:space="0" w:color="auto"/>
      </w:divBdr>
    </w:div>
    <w:div w:id="534660672">
      <w:bodyDiv w:val="1"/>
      <w:marLeft w:val="0"/>
      <w:marRight w:val="0"/>
      <w:marTop w:val="0"/>
      <w:marBottom w:val="0"/>
      <w:divBdr>
        <w:top w:val="none" w:sz="0" w:space="0" w:color="auto"/>
        <w:left w:val="none" w:sz="0" w:space="0" w:color="auto"/>
        <w:bottom w:val="none" w:sz="0" w:space="0" w:color="auto"/>
        <w:right w:val="none" w:sz="0" w:space="0" w:color="auto"/>
      </w:divBdr>
    </w:div>
    <w:div w:id="536938640">
      <w:bodyDiv w:val="1"/>
      <w:marLeft w:val="0"/>
      <w:marRight w:val="0"/>
      <w:marTop w:val="0"/>
      <w:marBottom w:val="0"/>
      <w:divBdr>
        <w:top w:val="none" w:sz="0" w:space="0" w:color="auto"/>
        <w:left w:val="none" w:sz="0" w:space="0" w:color="auto"/>
        <w:bottom w:val="none" w:sz="0" w:space="0" w:color="auto"/>
        <w:right w:val="none" w:sz="0" w:space="0" w:color="auto"/>
      </w:divBdr>
    </w:div>
    <w:div w:id="563374885">
      <w:bodyDiv w:val="1"/>
      <w:marLeft w:val="0"/>
      <w:marRight w:val="0"/>
      <w:marTop w:val="0"/>
      <w:marBottom w:val="0"/>
      <w:divBdr>
        <w:top w:val="none" w:sz="0" w:space="0" w:color="auto"/>
        <w:left w:val="none" w:sz="0" w:space="0" w:color="auto"/>
        <w:bottom w:val="none" w:sz="0" w:space="0" w:color="auto"/>
        <w:right w:val="none" w:sz="0" w:space="0" w:color="auto"/>
      </w:divBdr>
    </w:div>
    <w:div w:id="580331081">
      <w:bodyDiv w:val="1"/>
      <w:marLeft w:val="0"/>
      <w:marRight w:val="0"/>
      <w:marTop w:val="0"/>
      <w:marBottom w:val="0"/>
      <w:divBdr>
        <w:top w:val="none" w:sz="0" w:space="0" w:color="auto"/>
        <w:left w:val="none" w:sz="0" w:space="0" w:color="auto"/>
        <w:bottom w:val="none" w:sz="0" w:space="0" w:color="auto"/>
        <w:right w:val="none" w:sz="0" w:space="0" w:color="auto"/>
      </w:divBdr>
    </w:div>
    <w:div w:id="613053636">
      <w:bodyDiv w:val="1"/>
      <w:marLeft w:val="0"/>
      <w:marRight w:val="0"/>
      <w:marTop w:val="0"/>
      <w:marBottom w:val="0"/>
      <w:divBdr>
        <w:top w:val="none" w:sz="0" w:space="0" w:color="auto"/>
        <w:left w:val="none" w:sz="0" w:space="0" w:color="auto"/>
        <w:bottom w:val="none" w:sz="0" w:space="0" w:color="auto"/>
        <w:right w:val="none" w:sz="0" w:space="0" w:color="auto"/>
      </w:divBdr>
    </w:div>
    <w:div w:id="626737903">
      <w:bodyDiv w:val="1"/>
      <w:marLeft w:val="0"/>
      <w:marRight w:val="0"/>
      <w:marTop w:val="0"/>
      <w:marBottom w:val="0"/>
      <w:divBdr>
        <w:top w:val="none" w:sz="0" w:space="0" w:color="auto"/>
        <w:left w:val="none" w:sz="0" w:space="0" w:color="auto"/>
        <w:bottom w:val="none" w:sz="0" w:space="0" w:color="auto"/>
        <w:right w:val="none" w:sz="0" w:space="0" w:color="auto"/>
      </w:divBdr>
    </w:div>
    <w:div w:id="628171307">
      <w:bodyDiv w:val="1"/>
      <w:marLeft w:val="0"/>
      <w:marRight w:val="0"/>
      <w:marTop w:val="0"/>
      <w:marBottom w:val="0"/>
      <w:divBdr>
        <w:top w:val="none" w:sz="0" w:space="0" w:color="auto"/>
        <w:left w:val="none" w:sz="0" w:space="0" w:color="auto"/>
        <w:bottom w:val="none" w:sz="0" w:space="0" w:color="auto"/>
        <w:right w:val="none" w:sz="0" w:space="0" w:color="auto"/>
      </w:divBdr>
    </w:div>
    <w:div w:id="641614608">
      <w:bodyDiv w:val="1"/>
      <w:marLeft w:val="0"/>
      <w:marRight w:val="0"/>
      <w:marTop w:val="0"/>
      <w:marBottom w:val="0"/>
      <w:divBdr>
        <w:top w:val="none" w:sz="0" w:space="0" w:color="auto"/>
        <w:left w:val="none" w:sz="0" w:space="0" w:color="auto"/>
        <w:bottom w:val="none" w:sz="0" w:space="0" w:color="auto"/>
        <w:right w:val="none" w:sz="0" w:space="0" w:color="auto"/>
      </w:divBdr>
    </w:div>
    <w:div w:id="645477552">
      <w:bodyDiv w:val="1"/>
      <w:marLeft w:val="0"/>
      <w:marRight w:val="0"/>
      <w:marTop w:val="0"/>
      <w:marBottom w:val="0"/>
      <w:divBdr>
        <w:top w:val="none" w:sz="0" w:space="0" w:color="auto"/>
        <w:left w:val="none" w:sz="0" w:space="0" w:color="auto"/>
        <w:bottom w:val="none" w:sz="0" w:space="0" w:color="auto"/>
        <w:right w:val="none" w:sz="0" w:space="0" w:color="auto"/>
      </w:divBdr>
    </w:div>
    <w:div w:id="657268292">
      <w:bodyDiv w:val="1"/>
      <w:marLeft w:val="0"/>
      <w:marRight w:val="0"/>
      <w:marTop w:val="0"/>
      <w:marBottom w:val="0"/>
      <w:divBdr>
        <w:top w:val="none" w:sz="0" w:space="0" w:color="auto"/>
        <w:left w:val="none" w:sz="0" w:space="0" w:color="auto"/>
        <w:bottom w:val="none" w:sz="0" w:space="0" w:color="auto"/>
        <w:right w:val="none" w:sz="0" w:space="0" w:color="auto"/>
      </w:divBdr>
    </w:div>
    <w:div w:id="675691294">
      <w:bodyDiv w:val="1"/>
      <w:marLeft w:val="0"/>
      <w:marRight w:val="0"/>
      <w:marTop w:val="45"/>
      <w:marBottom w:val="45"/>
      <w:divBdr>
        <w:top w:val="none" w:sz="0" w:space="0" w:color="auto"/>
        <w:left w:val="none" w:sz="0" w:space="0" w:color="auto"/>
        <w:bottom w:val="none" w:sz="0" w:space="0" w:color="auto"/>
        <w:right w:val="none" w:sz="0" w:space="0" w:color="auto"/>
      </w:divBdr>
      <w:divsChild>
        <w:div w:id="1347947739">
          <w:marLeft w:val="0"/>
          <w:marRight w:val="0"/>
          <w:marTop w:val="0"/>
          <w:marBottom w:val="0"/>
          <w:divBdr>
            <w:top w:val="none" w:sz="0" w:space="0" w:color="auto"/>
            <w:left w:val="none" w:sz="0" w:space="0" w:color="auto"/>
            <w:bottom w:val="none" w:sz="0" w:space="0" w:color="auto"/>
            <w:right w:val="none" w:sz="0" w:space="0" w:color="auto"/>
          </w:divBdr>
          <w:divsChild>
            <w:div w:id="1979262644">
              <w:marLeft w:val="0"/>
              <w:marRight w:val="0"/>
              <w:marTop w:val="0"/>
              <w:marBottom w:val="0"/>
              <w:divBdr>
                <w:top w:val="none" w:sz="0" w:space="0" w:color="auto"/>
                <w:left w:val="none" w:sz="0" w:space="0" w:color="auto"/>
                <w:bottom w:val="none" w:sz="0" w:space="0" w:color="auto"/>
                <w:right w:val="none" w:sz="0" w:space="0" w:color="auto"/>
              </w:divBdr>
              <w:divsChild>
                <w:div w:id="693504948">
                  <w:marLeft w:val="2385"/>
                  <w:marRight w:val="3960"/>
                  <w:marTop w:val="0"/>
                  <w:marBottom w:val="0"/>
                  <w:divBdr>
                    <w:top w:val="none" w:sz="0" w:space="0" w:color="auto"/>
                    <w:left w:val="single" w:sz="6" w:space="0" w:color="D3E1F9"/>
                    <w:bottom w:val="none" w:sz="0" w:space="0" w:color="auto"/>
                    <w:right w:val="none" w:sz="0" w:space="0" w:color="auto"/>
                  </w:divBdr>
                  <w:divsChild>
                    <w:div w:id="678701220">
                      <w:marLeft w:val="0"/>
                      <w:marRight w:val="0"/>
                      <w:marTop w:val="0"/>
                      <w:marBottom w:val="0"/>
                      <w:divBdr>
                        <w:top w:val="none" w:sz="0" w:space="0" w:color="auto"/>
                        <w:left w:val="none" w:sz="0" w:space="0" w:color="auto"/>
                        <w:bottom w:val="none" w:sz="0" w:space="0" w:color="auto"/>
                        <w:right w:val="none" w:sz="0" w:space="0" w:color="auto"/>
                      </w:divBdr>
                      <w:divsChild>
                        <w:div w:id="1529757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557607">
      <w:bodyDiv w:val="1"/>
      <w:marLeft w:val="0"/>
      <w:marRight w:val="0"/>
      <w:marTop w:val="0"/>
      <w:marBottom w:val="0"/>
      <w:divBdr>
        <w:top w:val="none" w:sz="0" w:space="0" w:color="auto"/>
        <w:left w:val="none" w:sz="0" w:space="0" w:color="auto"/>
        <w:bottom w:val="none" w:sz="0" w:space="0" w:color="auto"/>
        <w:right w:val="none" w:sz="0" w:space="0" w:color="auto"/>
      </w:divBdr>
    </w:div>
    <w:div w:id="732316477">
      <w:bodyDiv w:val="1"/>
      <w:marLeft w:val="0"/>
      <w:marRight w:val="0"/>
      <w:marTop w:val="0"/>
      <w:marBottom w:val="0"/>
      <w:divBdr>
        <w:top w:val="none" w:sz="0" w:space="0" w:color="auto"/>
        <w:left w:val="none" w:sz="0" w:space="0" w:color="auto"/>
        <w:bottom w:val="none" w:sz="0" w:space="0" w:color="auto"/>
        <w:right w:val="none" w:sz="0" w:space="0" w:color="auto"/>
      </w:divBdr>
    </w:div>
    <w:div w:id="746462423">
      <w:bodyDiv w:val="1"/>
      <w:marLeft w:val="0"/>
      <w:marRight w:val="0"/>
      <w:marTop w:val="0"/>
      <w:marBottom w:val="0"/>
      <w:divBdr>
        <w:top w:val="none" w:sz="0" w:space="0" w:color="auto"/>
        <w:left w:val="none" w:sz="0" w:space="0" w:color="auto"/>
        <w:bottom w:val="none" w:sz="0" w:space="0" w:color="auto"/>
        <w:right w:val="none" w:sz="0" w:space="0" w:color="auto"/>
      </w:divBdr>
    </w:div>
    <w:div w:id="760446206">
      <w:bodyDiv w:val="1"/>
      <w:marLeft w:val="0"/>
      <w:marRight w:val="0"/>
      <w:marTop w:val="0"/>
      <w:marBottom w:val="0"/>
      <w:divBdr>
        <w:top w:val="none" w:sz="0" w:space="0" w:color="auto"/>
        <w:left w:val="none" w:sz="0" w:space="0" w:color="auto"/>
        <w:bottom w:val="none" w:sz="0" w:space="0" w:color="auto"/>
        <w:right w:val="none" w:sz="0" w:space="0" w:color="auto"/>
      </w:divBdr>
    </w:div>
    <w:div w:id="793865506">
      <w:bodyDiv w:val="1"/>
      <w:marLeft w:val="0"/>
      <w:marRight w:val="0"/>
      <w:marTop w:val="0"/>
      <w:marBottom w:val="0"/>
      <w:divBdr>
        <w:top w:val="none" w:sz="0" w:space="0" w:color="auto"/>
        <w:left w:val="none" w:sz="0" w:space="0" w:color="auto"/>
        <w:bottom w:val="none" w:sz="0" w:space="0" w:color="auto"/>
        <w:right w:val="none" w:sz="0" w:space="0" w:color="auto"/>
      </w:divBdr>
    </w:div>
    <w:div w:id="815536614">
      <w:bodyDiv w:val="1"/>
      <w:marLeft w:val="0"/>
      <w:marRight w:val="0"/>
      <w:marTop w:val="0"/>
      <w:marBottom w:val="0"/>
      <w:divBdr>
        <w:top w:val="none" w:sz="0" w:space="0" w:color="auto"/>
        <w:left w:val="none" w:sz="0" w:space="0" w:color="auto"/>
        <w:bottom w:val="none" w:sz="0" w:space="0" w:color="auto"/>
        <w:right w:val="none" w:sz="0" w:space="0" w:color="auto"/>
      </w:divBdr>
    </w:div>
    <w:div w:id="827750072">
      <w:bodyDiv w:val="1"/>
      <w:marLeft w:val="0"/>
      <w:marRight w:val="0"/>
      <w:marTop w:val="0"/>
      <w:marBottom w:val="0"/>
      <w:divBdr>
        <w:top w:val="none" w:sz="0" w:space="0" w:color="auto"/>
        <w:left w:val="none" w:sz="0" w:space="0" w:color="auto"/>
        <w:bottom w:val="none" w:sz="0" w:space="0" w:color="auto"/>
        <w:right w:val="none" w:sz="0" w:space="0" w:color="auto"/>
      </w:divBdr>
    </w:div>
    <w:div w:id="850995562">
      <w:bodyDiv w:val="1"/>
      <w:marLeft w:val="0"/>
      <w:marRight w:val="0"/>
      <w:marTop w:val="0"/>
      <w:marBottom w:val="0"/>
      <w:divBdr>
        <w:top w:val="none" w:sz="0" w:space="0" w:color="auto"/>
        <w:left w:val="none" w:sz="0" w:space="0" w:color="auto"/>
        <w:bottom w:val="none" w:sz="0" w:space="0" w:color="auto"/>
        <w:right w:val="none" w:sz="0" w:space="0" w:color="auto"/>
      </w:divBdr>
    </w:div>
    <w:div w:id="866721998">
      <w:bodyDiv w:val="1"/>
      <w:marLeft w:val="0"/>
      <w:marRight w:val="0"/>
      <w:marTop w:val="0"/>
      <w:marBottom w:val="0"/>
      <w:divBdr>
        <w:top w:val="none" w:sz="0" w:space="0" w:color="auto"/>
        <w:left w:val="none" w:sz="0" w:space="0" w:color="auto"/>
        <w:bottom w:val="none" w:sz="0" w:space="0" w:color="auto"/>
        <w:right w:val="none" w:sz="0" w:space="0" w:color="auto"/>
      </w:divBdr>
    </w:div>
    <w:div w:id="869269961">
      <w:bodyDiv w:val="1"/>
      <w:marLeft w:val="0"/>
      <w:marRight w:val="0"/>
      <w:marTop w:val="0"/>
      <w:marBottom w:val="0"/>
      <w:divBdr>
        <w:top w:val="none" w:sz="0" w:space="0" w:color="auto"/>
        <w:left w:val="none" w:sz="0" w:space="0" w:color="auto"/>
        <w:bottom w:val="none" w:sz="0" w:space="0" w:color="auto"/>
        <w:right w:val="none" w:sz="0" w:space="0" w:color="auto"/>
      </w:divBdr>
    </w:div>
    <w:div w:id="878130089">
      <w:bodyDiv w:val="1"/>
      <w:marLeft w:val="0"/>
      <w:marRight w:val="0"/>
      <w:marTop w:val="0"/>
      <w:marBottom w:val="0"/>
      <w:divBdr>
        <w:top w:val="none" w:sz="0" w:space="0" w:color="auto"/>
        <w:left w:val="none" w:sz="0" w:space="0" w:color="auto"/>
        <w:bottom w:val="none" w:sz="0" w:space="0" w:color="auto"/>
        <w:right w:val="none" w:sz="0" w:space="0" w:color="auto"/>
      </w:divBdr>
    </w:div>
    <w:div w:id="889463427">
      <w:bodyDiv w:val="1"/>
      <w:marLeft w:val="0"/>
      <w:marRight w:val="0"/>
      <w:marTop w:val="0"/>
      <w:marBottom w:val="0"/>
      <w:divBdr>
        <w:top w:val="none" w:sz="0" w:space="0" w:color="auto"/>
        <w:left w:val="none" w:sz="0" w:space="0" w:color="auto"/>
        <w:bottom w:val="none" w:sz="0" w:space="0" w:color="auto"/>
        <w:right w:val="none" w:sz="0" w:space="0" w:color="auto"/>
      </w:divBdr>
    </w:div>
    <w:div w:id="898633932">
      <w:bodyDiv w:val="1"/>
      <w:marLeft w:val="0"/>
      <w:marRight w:val="0"/>
      <w:marTop w:val="0"/>
      <w:marBottom w:val="0"/>
      <w:divBdr>
        <w:top w:val="none" w:sz="0" w:space="0" w:color="auto"/>
        <w:left w:val="none" w:sz="0" w:space="0" w:color="auto"/>
        <w:bottom w:val="none" w:sz="0" w:space="0" w:color="auto"/>
        <w:right w:val="none" w:sz="0" w:space="0" w:color="auto"/>
      </w:divBdr>
    </w:div>
    <w:div w:id="906692712">
      <w:bodyDiv w:val="1"/>
      <w:marLeft w:val="0"/>
      <w:marRight w:val="0"/>
      <w:marTop w:val="0"/>
      <w:marBottom w:val="0"/>
      <w:divBdr>
        <w:top w:val="none" w:sz="0" w:space="0" w:color="auto"/>
        <w:left w:val="none" w:sz="0" w:space="0" w:color="auto"/>
        <w:bottom w:val="none" w:sz="0" w:space="0" w:color="auto"/>
        <w:right w:val="none" w:sz="0" w:space="0" w:color="auto"/>
      </w:divBdr>
    </w:div>
    <w:div w:id="927275053">
      <w:bodyDiv w:val="1"/>
      <w:marLeft w:val="0"/>
      <w:marRight w:val="0"/>
      <w:marTop w:val="0"/>
      <w:marBottom w:val="0"/>
      <w:divBdr>
        <w:top w:val="none" w:sz="0" w:space="0" w:color="auto"/>
        <w:left w:val="none" w:sz="0" w:space="0" w:color="auto"/>
        <w:bottom w:val="none" w:sz="0" w:space="0" w:color="auto"/>
        <w:right w:val="none" w:sz="0" w:space="0" w:color="auto"/>
      </w:divBdr>
    </w:div>
    <w:div w:id="937757352">
      <w:bodyDiv w:val="1"/>
      <w:marLeft w:val="0"/>
      <w:marRight w:val="0"/>
      <w:marTop w:val="0"/>
      <w:marBottom w:val="0"/>
      <w:divBdr>
        <w:top w:val="none" w:sz="0" w:space="0" w:color="auto"/>
        <w:left w:val="none" w:sz="0" w:space="0" w:color="auto"/>
        <w:bottom w:val="none" w:sz="0" w:space="0" w:color="auto"/>
        <w:right w:val="none" w:sz="0" w:space="0" w:color="auto"/>
      </w:divBdr>
      <w:divsChild>
        <w:div w:id="2089769201">
          <w:marLeft w:val="0"/>
          <w:marRight w:val="0"/>
          <w:marTop w:val="100"/>
          <w:marBottom w:val="100"/>
          <w:divBdr>
            <w:top w:val="none" w:sz="0" w:space="0" w:color="auto"/>
            <w:left w:val="none" w:sz="0" w:space="0" w:color="auto"/>
            <w:bottom w:val="none" w:sz="0" w:space="0" w:color="auto"/>
            <w:right w:val="none" w:sz="0" w:space="0" w:color="auto"/>
          </w:divBdr>
          <w:divsChild>
            <w:div w:id="772214855">
              <w:marLeft w:val="0"/>
              <w:marRight w:val="0"/>
              <w:marTop w:val="0"/>
              <w:marBottom w:val="0"/>
              <w:divBdr>
                <w:top w:val="none" w:sz="0" w:space="0" w:color="auto"/>
                <w:left w:val="none" w:sz="0" w:space="0" w:color="auto"/>
                <w:bottom w:val="none" w:sz="0" w:space="0" w:color="auto"/>
                <w:right w:val="none" w:sz="0" w:space="0" w:color="auto"/>
              </w:divBdr>
              <w:divsChild>
                <w:div w:id="63965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472926">
      <w:bodyDiv w:val="1"/>
      <w:marLeft w:val="0"/>
      <w:marRight w:val="0"/>
      <w:marTop w:val="0"/>
      <w:marBottom w:val="0"/>
      <w:divBdr>
        <w:top w:val="none" w:sz="0" w:space="0" w:color="auto"/>
        <w:left w:val="none" w:sz="0" w:space="0" w:color="auto"/>
        <w:bottom w:val="none" w:sz="0" w:space="0" w:color="auto"/>
        <w:right w:val="none" w:sz="0" w:space="0" w:color="auto"/>
      </w:divBdr>
    </w:div>
    <w:div w:id="997920597">
      <w:bodyDiv w:val="1"/>
      <w:marLeft w:val="0"/>
      <w:marRight w:val="0"/>
      <w:marTop w:val="0"/>
      <w:marBottom w:val="0"/>
      <w:divBdr>
        <w:top w:val="none" w:sz="0" w:space="0" w:color="auto"/>
        <w:left w:val="none" w:sz="0" w:space="0" w:color="auto"/>
        <w:bottom w:val="none" w:sz="0" w:space="0" w:color="auto"/>
        <w:right w:val="none" w:sz="0" w:space="0" w:color="auto"/>
      </w:divBdr>
    </w:div>
    <w:div w:id="998533943">
      <w:bodyDiv w:val="1"/>
      <w:marLeft w:val="0"/>
      <w:marRight w:val="0"/>
      <w:marTop w:val="0"/>
      <w:marBottom w:val="0"/>
      <w:divBdr>
        <w:top w:val="none" w:sz="0" w:space="0" w:color="auto"/>
        <w:left w:val="none" w:sz="0" w:space="0" w:color="auto"/>
        <w:bottom w:val="none" w:sz="0" w:space="0" w:color="auto"/>
        <w:right w:val="none" w:sz="0" w:space="0" w:color="auto"/>
      </w:divBdr>
    </w:div>
    <w:div w:id="1000812390">
      <w:bodyDiv w:val="1"/>
      <w:marLeft w:val="0"/>
      <w:marRight w:val="0"/>
      <w:marTop w:val="0"/>
      <w:marBottom w:val="0"/>
      <w:divBdr>
        <w:top w:val="none" w:sz="0" w:space="0" w:color="auto"/>
        <w:left w:val="none" w:sz="0" w:space="0" w:color="auto"/>
        <w:bottom w:val="none" w:sz="0" w:space="0" w:color="auto"/>
        <w:right w:val="none" w:sz="0" w:space="0" w:color="auto"/>
      </w:divBdr>
    </w:div>
    <w:div w:id="1007244348">
      <w:bodyDiv w:val="1"/>
      <w:marLeft w:val="0"/>
      <w:marRight w:val="0"/>
      <w:marTop w:val="0"/>
      <w:marBottom w:val="0"/>
      <w:divBdr>
        <w:top w:val="none" w:sz="0" w:space="0" w:color="auto"/>
        <w:left w:val="none" w:sz="0" w:space="0" w:color="auto"/>
        <w:bottom w:val="none" w:sz="0" w:space="0" w:color="auto"/>
        <w:right w:val="none" w:sz="0" w:space="0" w:color="auto"/>
      </w:divBdr>
    </w:div>
    <w:div w:id="1071080628">
      <w:bodyDiv w:val="1"/>
      <w:marLeft w:val="0"/>
      <w:marRight w:val="0"/>
      <w:marTop w:val="0"/>
      <w:marBottom w:val="0"/>
      <w:divBdr>
        <w:top w:val="none" w:sz="0" w:space="0" w:color="auto"/>
        <w:left w:val="none" w:sz="0" w:space="0" w:color="auto"/>
        <w:bottom w:val="none" w:sz="0" w:space="0" w:color="auto"/>
        <w:right w:val="none" w:sz="0" w:space="0" w:color="auto"/>
      </w:divBdr>
    </w:div>
    <w:div w:id="1096242730">
      <w:bodyDiv w:val="1"/>
      <w:marLeft w:val="0"/>
      <w:marRight w:val="0"/>
      <w:marTop w:val="0"/>
      <w:marBottom w:val="0"/>
      <w:divBdr>
        <w:top w:val="none" w:sz="0" w:space="0" w:color="auto"/>
        <w:left w:val="none" w:sz="0" w:space="0" w:color="auto"/>
        <w:bottom w:val="none" w:sz="0" w:space="0" w:color="auto"/>
        <w:right w:val="none" w:sz="0" w:space="0" w:color="auto"/>
      </w:divBdr>
    </w:div>
    <w:div w:id="1124468826">
      <w:bodyDiv w:val="1"/>
      <w:marLeft w:val="0"/>
      <w:marRight w:val="0"/>
      <w:marTop w:val="0"/>
      <w:marBottom w:val="0"/>
      <w:divBdr>
        <w:top w:val="none" w:sz="0" w:space="0" w:color="auto"/>
        <w:left w:val="none" w:sz="0" w:space="0" w:color="auto"/>
        <w:bottom w:val="none" w:sz="0" w:space="0" w:color="auto"/>
        <w:right w:val="none" w:sz="0" w:space="0" w:color="auto"/>
      </w:divBdr>
    </w:div>
    <w:div w:id="1158501103">
      <w:bodyDiv w:val="1"/>
      <w:marLeft w:val="0"/>
      <w:marRight w:val="0"/>
      <w:marTop w:val="0"/>
      <w:marBottom w:val="0"/>
      <w:divBdr>
        <w:top w:val="none" w:sz="0" w:space="0" w:color="auto"/>
        <w:left w:val="none" w:sz="0" w:space="0" w:color="auto"/>
        <w:bottom w:val="none" w:sz="0" w:space="0" w:color="auto"/>
        <w:right w:val="none" w:sz="0" w:space="0" w:color="auto"/>
      </w:divBdr>
    </w:div>
    <w:div w:id="1202984063">
      <w:bodyDiv w:val="1"/>
      <w:marLeft w:val="0"/>
      <w:marRight w:val="0"/>
      <w:marTop w:val="0"/>
      <w:marBottom w:val="0"/>
      <w:divBdr>
        <w:top w:val="none" w:sz="0" w:space="0" w:color="auto"/>
        <w:left w:val="none" w:sz="0" w:space="0" w:color="auto"/>
        <w:bottom w:val="none" w:sz="0" w:space="0" w:color="auto"/>
        <w:right w:val="none" w:sz="0" w:space="0" w:color="auto"/>
      </w:divBdr>
    </w:div>
    <w:div w:id="1206139090">
      <w:bodyDiv w:val="1"/>
      <w:marLeft w:val="0"/>
      <w:marRight w:val="0"/>
      <w:marTop w:val="0"/>
      <w:marBottom w:val="0"/>
      <w:divBdr>
        <w:top w:val="none" w:sz="0" w:space="0" w:color="auto"/>
        <w:left w:val="none" w:sz="0" w:space="0" w:color="auto"/>
        <w:bottom w:val="none" w:sz="0" w:space="0" w:color="auto"/>
        <w:right w:val="none" w:sz="0" w:space="0" w:color="auto"/>
      </w:divBdr>
    </w:div>
    <w:div w:id="1206405687">
      <w:bodyDiv w:val="1"/>
      <w:marLeft w:val="0"/>
      <w:marRight w:val="0"/>
      <w:marTop w:val="0"/>
      <w:marBottom w:val="0"/>
      <w:divBdr>
        <w:top w:val="none" w:sz="0" w:space="0" w:color="auto"/>
        <w:left w:val="none" w:sz="0" w:space="0" w:color="auto"/>
        <w:bottom w:val="none" w:sz="0" w:space="0" w:color="auto"/>
        <w:right w:val="none" w:sz="0" w:space="0" w:color="auto"/>
      </w:divBdr>
    </w:div>
    <w:div w:id="1221480457">
      <w:bodyDiv w:val="1"/>
      <w:marLeft w:val="0"/>
      <w:marRight w:val="0"/>
      <w:marTop w:val="0"/>
      <w:marBottom w:val="0"/>
      <w:divBdr>
        <w:top w:val="none" w:sz="0" w:space="0" w:color="auto"/>
        <w:left w:val="none" w:sz="0" w:space="0" w:color="auto"/>
        <w:bottom w:val="none" w:sz="0" w:space="0" w:color="auto"/>
        <w:right w:val="none" w:sz="0" w:space="0" w:color="auto"/>
      </w:divBdr>
    </w:div>
    <w:div w:id="1227649669">
      <w:bodyDiv w:val="1"/>
      <w:marLeft w:val="0"/>
      <w:marRight w:val="0"/>
      <w:marTop w:val="0"/>
      <w:marBottom w:val="0"/>
      <w:divBdr>
        <w:top w:val="none" w:sz="0" w:space="0" w:color="auto"/>
        <w:left w:val="none" w:sz="0" w:space="0" w:color="auto"/>
        <w:bottom w:val="none" w:sz="0" w:space="0" w:color="auto"/>
        <w:right w:val="none" w:sz="0" w:space="0" w:color="auto"/>
      </w:divBdr>
    </w:div>
    <w:div w:id="1231380481">
      <w:bodyDiv w:val="1"/>
      <w:marLeft w:val="0"/>
      <w:marRight w:val="0"/>
      <w:marTop w:val="0"/>
      <w:marBottom w:val="0"/>
      <w:divBdr>
        <w:top w:val="none" w:sz="0" w:space="0" w:color="auto"/>
        <w:left w:val="none" w:sz="0" w:space="0" w:color="auto"/>
        <w:bottom w:val="none" w:sz="0" w:space="0" w:color="auto"/>
        <w:right w:val="none" w:sz="0" w:space="0" w:color="auto"/>
      </w:divBdr>
    </w:div>
    <w:div w:id="1237202982">
      <w:bodyDiv w:val="1"/>
      <w:marLeft w:val="0"/>
      <w:marRight w:val="0"/>
      <w:marTop w:val="0"/>
      <w:marBottom w:val="0"/>
      <w:divBdr>
        <w:top w:val="none" w:sz="0" w:space="0" w:color="auto"/>
        <w:left w:val="none" w:sz="0" w:space="0" w:color="auto"/>
        <w:bottom w:val="none" w:sz="0" w:space="0" w:color="auto"/>
        <w:right w:val="none" w:sz="0" w:space="0" w:color="auto"/>
      </w:divBdr>
    </w:div>
    <w:div w:id="1237544802">
      <w:bodyDiv w:val="1"/>
      <w:marLeft w:val="0"/>
      <w:marRight w:val="0"/>
      <w:marTop w:val="0"/>
      <w:marBottom w:val="0"/>
      <w:divBdr>
        <w:top w:val="none" w:sz="0" w:space="0" w:color="auto"/>
        <w:left w:val="none" w:sz="0" w:space="0" w:color="auto"/>
        <w:bottom w:val="none" w:sz="0" w:space="0" w:color="auto"/>
        <w:right w:val="none" w:sz="0" w:space="0" w:color="auto"/>
      </w:divBdr>
    </w:div>
    <w:div w:id="1245341833">
      <w:bodyDiv w:val="1"/>
      <w:marLeft w:val="0"/>
      <w:marRight w:val="0"/>
      <w:marTop w:val="0"/>
      <w:marBottom w:val="0"/>
      <w:divBdr>
        <w:top w:val="none" w:sz="0" w:space="0" w:color="auto"/>
        <w:left w:val="none" w:sz="0" w:space="0" w:color="auto"/>
        <w:bottom w:val="none" w:sz="0" w:space="0" w:color="auto"/>
        <w:right w:val="none" w:sz="0" w:space="0" w:color="auto"/>
      </w:divBdr>
    </w:div>
    <w:div w:id="1249268261">
      <w:bodyDiv w:val="1"/>
      <w:marLeft w:val="0"/>
      <w:marRight w:val="0"/>
      <w:marTop w:val="0"/>
      <w:marBottom w:val="0"/>
      <w:divBdr>
        <w:top w:val="none" w:sz="0" w:space="0" w:color="auto"/>
        <w:left w:val="none" w:sz="0" w:space="0" w:color="auto"/>
        <w:bottom w:val="none" w:sz="0" w:space="0" w:color="auto"/>
        <w:right w:val="none" w:sz="0" w:space="0" w:color="auto"/>
      </w:divBdr>
    </w:div>
    <w:div w:id="1258753217">
      <w:bodyDiv w:val="1"/>
      <w:marLeft w:val="0"/>
      <w:marRight w:val="0"/>
      <w:marTop w:val="0"/>
      <w:marBottom w:val="0"/>
      <w:divBdr>
        <w:top w:val="none" w:sz="0" w:space="0" w:color="auto"/>
        <w:left w:val="none" w:sz="0" w:space="0" w:color="auto"/>
        <w:bottom w:val="none" w:sz="0" w:space="0" w:color="auto"/>
        <w:right w:val="none" w:sz="0" w:space="0" w:color="auto"/>
      </w:divBdr>
    </w:div>
    <w:div w:id="1324889309">
      <w:bodyDiv w:val="1"/>
      <w:marLeft w:val="0"/>
      <w:marRight w:val="0"/>
      <w:marTop w:val="0"/>
      <w:marBottom w:val="0"/>
      <w:divBdr>
        <w:top w:val="none" w:sz="0" w:space="0" w:color="auto"/>
        <w:left w:val="none" w:sz="0" w:space="0" w:color="auto"/>
        <w:bottom w:val="none" w:sz="0" w:space="0" w:color="auto"/>
        <w:right w:val="none" w:sz="0" w:space="0" w:color="auto"/>
      </w:divBdr>
      <w:divsChild>
        <w:div w:id="1024672067">
          <w:marLeft w:val="0"/>
          <w:marRight w:val="0"/>
          <w:marTop w:val="100"/>
          <w:marBottom w:val="100"/>
          <w:divBdr>
            <w:top w:val="none" w:sz="0" w:space="0" w:color="auto"/>
            <w:left w:val="none" w:sz="0" w:space="0" w:color="auto"/>
            <w:bottom w:val="none" w:sz="0" w:space="0" w:color="auto"/>
            <w:right w:val="none" w:sz="0" w:space="0" w:color="auto"/>
          </w:divBdr>
          <w:divsChild>
            <w:div w:id="1521626857">
              <w:marLeft w:val="0"/>
              <w:marRight w:val="0"/>
              <w:marTop w:val="0"/>
              <w:marBottom w:val="0"/>
              <w:divBdr>
                <w:top w:val="none" w:sz="0" w:space="0" w:color="auto"/>
                <w:left w:val="none" w:sz="0" w:space="0" w:color="auto"/>
                <w:bottom w:val="none" w:sz="0" w:space="0" w:color="auto"/>
                <w:right w:val="none" w:sz="0" w:space="0" w:color="auto"/>
              </w:divBdr>
              <w:divsChild>
                <w:div w:id="193871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434775">
      <w:bodyDiv w:val="1"/>
      <w:marLeft w:val="0"/>
      <w:marRight w:val="0"/>
      <w:marTop w:val="0"/>
      <w:marBottom w:val="0"/>
      <w:divBdr>
        <w:top w:val="none" w:sz="0" w:space="0" w:color="auto"/>
        <w:left w:val="none" w:sz="0" w:space="0" w:color="auto"/>
        <w:bottom w:val="none" w:sz="0" w:space="0" w:color="auto"/>
        <w:right w:val="none" w:sz="0" w:space="0" w:color="auto"/>
      </w:divBdr>
    </w:div>
    <w:div w:id="1340042520">
      <w:bodyDiv w:val="1"/>
      <w:marLeft w:val="0"/>
      <w:marRight w:val="0"/>
      <w:marTop w:val="0"/>
      <w:marBottom w:val="0"/>
      <w:divBdr>
        <w:top w:val="none" w:sz="0" w:space="0" w:color="auto"/>
        <w:left w:val="none" w:sz="0" w:space="0" w:color="auto"/>
        <w:bottom w:val="none" w:sz="0" w:space="0" w:color="auto"/>
        <w:right w:val="none" w:sz="0" w:space="0" w:color="auto"/>
      </w:divBdr>
    </w:div>
    <w:div w:id="1341736550">
      <w:bodyDiv w:val="1"/>
      <w:marLeft w:val="0"/>
      <w:marRight w:val="0"/>
      <w:marTop w:val="0"/>
      <w:marBottom w:val="0"/>
      <w:divBdr>
        <w:top w:val="none" w:sz="0" w:space="0" w:color="auto"/>
        <w:left w:val="none" w:sz="0" w:space="0" w:color="auto"/>
        <w:bottom w:val="none" w:sz="0" w:space="0" w:color="auto"/>
        <w:right w:val="none" w:sz="0" w:space="0" w:color="auto"/>
      </w:divBdr>
      <w:divsChild>
        <w:div w:id="766392993">
          <w:marLeft w:val="0"/>
          <w:marRight w:val="0"/>
          <w:marTop w:val="0"/>
          <w:marBottom w:val="0"/>
          <w:divBdr>
            <w:top w:val="none" w:sz="0" w:space="0" w:color="auto"/>
            <w:left w:val="none" w:sz="0" w:space="0" w:color="auto"/>
            <w:bottom w:val="none" w:sz="0" w:space="0" w:color="auto"/>
            <w:right w:val="none" w:sz="0" w:space="0" w:color="auto"/>
          </w:divBdr>
          <w:divsChild>
            <w:div w:id="221715853">
              <w:marLeft w:val="0"/>
              <w:marRight w:val="0"/>
              <w:marTop w:val="33"/>
              <w:marBottom w:val="0"/>
              <w:divBdr>
                <w:top w:val="single" w:sz="2" w:space="0" w:color="596380"/>
                <w:left w:val="single" w:sz="2" w:space="0" w:color="596380"/>
                <w:bottom w:val="single" w:sz="2" w:space="0" w:color="596380"/>
                <w:right w:val="single" w:sz="2" w:space="0" w:color="596380"/>
              </w:divBdr>
              <w:divsChild>
                <w:div w:id="748036035">
                  <w:marLeft w:val="0"/>
                  <w:marRight w:val="0"/>
                  <w:marTop w:val="0"/>
                  <w:marBottom w:val="0"/>
                  <w:divBdr>
                    <w:top w:val="none" w:sz="0" w:space="0" w:color="auto"/>
                    <w:left w:val="none" w:sz="0" w:space="0" w:color="auto"/>
                    <w:bottom w:val="none" w:sz="0" w:space="0" w:color="auto"/>
                    <w:right w:val="none" w:sz="0" w:space="0" w:color="auto"/>
                  </w:divBdr>
                  <w:divsChild>
                    <w:div w:id="258609488">
                      <w:marLeft w:val="0"/>
                      <w:marRight w:val="0"/>
                      <w:marTop w:val="0"/>
                      <w:marBottom w:val="0"/>
                      <w:divBdr>
                        <w:top w:val="none" w:sz="0" w:space="0" w:color="auto"/>
                        <w:left w:val="none" w:sz="0" w:space="0" w:color="auto"/>
                        <w:bottom w:val="none" w:sz="0" w:space="0" w:color="auto"/>
                        <w:right w:val="none" w:sz="0" w:space="0" w:color="auto"/>
                      </w:divBdr>
                      <w:divsChild>
                        <w:div w:id="132139974">
                          <w:marLeft w:val="0"/>
                          <w:marRight w:val="0"/>
                          <w:marTop w:val="0"/>
                          <w:marBottom w:val="0"/>
                          <w:divBdr>
                            <w:top w:val="none" w:sz="0" w:space="0" w:color="auto"/>
                            <w:left w:val="none" w:sz="0" w:space="0" w:color="auto"/>
                            <w:bottom w:val="none" w:sz="0" w:space="0" w:color="auto"/>
                            <w:right w:val="none" w:sz="0" w:space="0" w:color="auto"/>
                          </w:divBdr>
                          <w:divsChild>
                            <w:div w:id="1018893457">
                              <w:marLeft w:val="0"/>
                              <w:marRight w:val="0"/>
                              <w:marTop w:val="0"/>
                              <w:marBottom w:val="0"/>
                              <w:divBdr>
                                <w:top w:val="none" w:sz="0" w:space="0" w:color="auto"/>
                                <w:left w:val="none" w:sz="0" w:space="0" w:color="auto"/>
                                <w:bottom w:val="none" w:sz="0" w:space="0" w:color="auto"/>
                                <w:right w:val="none" w:sz="0" w:space="0" w:color="auto"/>
                              </w:divBdr>
                              <w:divsChild>
                                <w:div w:id="1108699298">
                                  <w:marLeft w:val="55"/>
                                  <w:marRight w:val="55"/>
                                  <w:marTop w:val="55"/>
                                  <w:marBottom w:val="55"/>
                                  <w:divBdr>
                                    <w:top w:val="none" w:sz="0" w:space="0" w:color="auto"/>
                                    <w:left w:val="none" w:sz="0" w:space="0" w:color="auto"/>
                                    <w:bottom w:val="none" w:sz="0" w:space="0" w:color="auto"/>
                                    <w:right w:val="none" w:sz="0" w:space="0" w:color="auto"/>
                                  </w:divBdr>
                                  <w:divsChild>
                                    <w:div w:id="176226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447452">
      <w:bodyDiv w:val="1"/>
      <w:marLeft w:val="0"/>
      <w:marRight w:val="0"/>
      <w:marTop w:val="0"/>
      <w:marBottom w:val="0"/>
      <w:divBdr>
        <w:top w:val="none" w:sz="0" w:space="0" w:color="auto"/>
        <w:left w:val="none" w:sz="0" w:space="0" w:color="auto"/>
        <w:bottom w:val="none" w:sz="0" w:space="0" w:color="auto"/>
        <w:right w:val="none" w:sz="0" w:space="0" w:color="auto"/>
      </w:divBdr>
    </w:div>
    <w:div w:id="1353801244">
      <w:bodyDiv w:val="1"/>
      <w:marLeft w:val="0"/>
      <w:marRight w:val="0"/>
      <w:marTop w:val="0"/>
      <w:marBottom w:val="0"/>
      <w:divBdr>
        <w:top w:val="none" w:sz="0" w:space="0" w:color="auto"/>
        <w:left w:val="none" w:sz="0" w:space="0" w:color="auto"/>
        <w:bottom w:val="none" w:sz="0" w:space="0" w:color="auto"/>
        <w:right w:val="none" w:sz="0" w:space="0" w:color="auto"/>
      </w:divBdr>
    </w:div>
    <w:div w:id="1365593241">
      <w:bodyDiv w:val="1"/>
      <w:marLeft w:val="0"/>
      <w:marRight w:val="0"/>
      <w:marTop w:val="0"/>
      <w:marBottom w:val="0"/>
      <w:divBdr>
        <w:top w:val="none" w:sz="0" w:space="0" w:color="auto"/>
        <w:left w:val="none" w:sz="0" w:space="0" w:color="auto"/>
        <w:bottom w:val="none" w:sz="0" w:space="0" w:color="auto"/>
        <w:right w:val="none" w:sz="0" w:space="0" w:color="auto"/>
      </w:divBdr>
    </w:div>
    <w:div w:id="1384981871">
      <w:bodyDiv w:val="1"/>
      <w:marLeft w:val="0"/>
      <w:marRight w:val="0"/>
      <w:marTop w:val="0"/>
      <w:marBottom w:val="0"/>
      <w:divBdr>
        <w:top w:val="none" w:sz="0" w:space="0" w:color="auto"/>
        <w:left w:val="none" w:sz="0" w:space="0" w:color="auto"/>
        <w:bottom w:val="none" w:sz="0" w:space="0" w:color="auto"/>
        <w:right w:val="none" w:sz="0" w:space="0" w:color="auto"/>
      </w:divBdr>
    </w:div>
    <w:div w:id="1398090878">
      <w:bodyDiv w:val="1"/>
      <w:marLeft w:val="0"/>
      <w:marRight w:val="0"/>
      <w:marTop w:val="0"/>
      <w:marBottom w:val="0"/>
      <w:divBdr>
        <w:top w:val="none" w:sz="0" w:space="0" w:color="auto"/>
        <w:left w:val="none" w:sz="0" w:space="0" w:color="auto"/>
        <w:bottom w:val="none" w:sz="0" w:space="0" w:color="auto"/>
        <w:right w:val="none" w:sz="0" w:space="0" w:color="auto"/>
      </w:divBdr>
    </w:div>
    <w:div w:id="1410230392">
      <w:bodyDiv w:val="1"/>
      <w:marLeft w:val="0"/>
      <w:marRight w:val="0"/>
      <w:marTop w:val="0"/>
      <w:marBottom w:val="0"/>
      <w:divBdr>
        <w:top w:val="none" w:sz="0" w:space="0" w:color="auto"/>
        <w:left w:val="none" w:sz="0" w:space="0" w:color="auto"/>
        <w:bottom w:val="none" w:sz="0" w:space="0" w:color="auto"/>
        <w:right w:val="none" w:sz="0" w:space="0" w:color="auto"/>
      </w:divBdr>
    </w:div>
    <w:div w:id="1413821722">
      <w:bodyDiv w:val="1"/>
      <w:marLeft w:val="0"/>
      <w:marRight w:val="0"/>
      <w:marTop w:val="0"/>
      <w:marBottom w:val="0"/>
      <w:divBdr>
        <w:top w:val="none" w:sz="0" w:space="0" w:color="auto"/>
        <w:left w:val="none" w:sz="0" w:space="0" w:color="auto"/>
        <w:bottom w:val="none" w:sz="0" w:space="0" w:color="auto"/>
        <w:right w:val="none" w:sz="0" w:space="0" w:color="auto"/>
      </w:divBdr>
    </w:div>
    <w:div w:id="1421439882">
      <w:bodyDiv w:val="1"/>
      <w:marLeft w:val="0"/>
      <w:marRight w:val="0"/>
      <w:marTop w:val="0"/>
      <w:marBottom w:val="0"/>
      <w:divBdr>
        <w:top w:val="none" w:sz="0" w:space="0" w:color="auto"/>
        <w:left w:val="none" w:sz="0" w:space="0" w:color="auto"/>
        <w:bottom w:val="none" w:sz="0" w:space="0" w:color="auto"/>
        <w:right w:val="none" w:sz="0" w:space="0" w:color="auto"/>
      </w:divBdr>
    </w:div>
    <w:div w:id="1424836146">
      <w:bodyDiv w:val="1"/>
      <w:marLeft w:val="0"/>
      <w:marRight w:val="0"/>
      <w:marTop w:val="0"/>
      <w:marBottom w:val="0"/>
      <w:divBdr>
        <w:top w:val="none" w:sz="0" w:space="0" w:color="auto"/>
        <w:left w:val="none" w:sz="0" w:space="0" w:color="auto"/>
        <w:bottom w:val="none" w:sz="0" w:space="0" w:color="auto"/>
        <w:right w:val="none" w:sz="0" w:space="0" w:color="auto"/>
      </w:divBdr>
    </w:div>
    <w:div w:id="1429153648">
      <w:bodyDiv w:val="1"/>
      <w:marLeft w:val="0"/>
      <w:marRight w:val="0"/>
      <w:marTop w:val="0"/>
      <w:marBottom w:val="0"/>
      <w:divBdr>
        <w:top w:val="none" w:sz="0" w:space="0" w:color="auto"/>
        <w:left w:val="none" w:sz="0" w:space="0" w:color="auto"/>
        <w:bottom w:val="none" w:sz="0" w:space="0" w:color="auto"/>
        <w:right w:val="none" w:sz="0" w:space="0" w:color="auto"/>
      </w:divBdr>
    </w:div>
    <w:div w:id="1458721794">
      <w:bodyDiv w:val="1"/>
      <w:marLeft w:val="0"/>
      <w:marRight w:val="0"/>
      <w:marTop w:val="0"/>
      <w:marBottom w:val="0"/>
      <w:divBdr>
        <w:top w:val="none" w:sz="0" w:space="0" w:color="auto"/>
        <w:left w:val="none" w:sz="0" w:space="0" w:color="auto"/>
        <w:bottom w:val="none" w:sz="0" w:space="0" w:color="auto"/>
        <w:right w:val="none" w:sz="0" w:space="0" w:color="auto"/>
      </w:divBdr>
    </w:div>
    <w:div w:id="1472359376">
      <w:bodyDiv w:val="1"/>
      <w:marLeft w:val="0"/>
      <w:marRight w:val="0"/>
      <w:marTop w:val="0"/>
      <w:marBottom w:val="0"/>
      <w:divBdr>
        <w:top w:val="none" w:sz="0" w:space="0" w:color="auto"/>
        <w:left w:val="none" w:sz="0" w:space="0" w:color="auto"/>
        <w:bottom w:val="none" w:sz="0" w:space="0" w:color="auto"/>
        <w:right w:val="none" w:sz="0" w:space="0" w:color="auto"/>
      </w:divBdr>
    </w:div>
    <w:div w:id="1488743183">
      <w:bodyDiv w:val="1"/>
      <w:marLeft w:val="0"/>
      <w:marRight w:val="0"/>
      <w:marTop w:val="45"/>
      <w:marBottom w:val="45"/>
      <w:divBdr>
        <w:top w:val="none" w:sz="0" w:space="0" w:color="auto"/>
        <w:left w:val="none" w:sz="0" w:space="0" w:color="auto"/>
        <w:bottom w:val="none" w:sz="0" w:space="0" w:color="auto"/>
        <w:right w:val="none" w:sz="0" w:space="0" w:color="auto"/>
      </w:divBdr>
      <w:divsChild>
        <w:div w:id="736321548">
          <w:marLeft w:val="0"/>
          <w:marRight w:val="0"/>
          <w:marTop w:val="0"/>
          <w:marBottom w:val="0"/>
          <w:divBdr>
            <w:top w:val="none" w:sz="0" w:space="0" w:color="auto"/>
            <w:left w:val="none" w:sz="0" w:space="0" w:color="auto"/>
            <w:bottom w:val="none" w:sz="0" w:space="0" w:color="auto"/>
            <w:right w:val="none" w:sz="0" w:space="0" w:color="auto"/>
          </w:divBdr>
          <w:divsChild>
            <w:div w:id="1772236447">
              <w:marLeft w:val="0"/>
              <w:marRight w:val="0"/>
              <w:marTop w:val="0"/>
              <w:marBottom w:val="0"/>
              <w:divBdr>
                <w:top w:val="none" w:sz="0" w:space="0" w:color="auto"/>
                <w:left w:val="none" w:sz="0" w:space="0" w:color="auto"/>
                <w:bottom w:val="none" w:sz="0" w:space="0" w:color="auto"/>
                <w:right w:val="none" w:sz="0" w:space="0" w:color="auto"/>
              </w:divBdr>
              <w:divsChild>
                <w:div w:id="472020059">
                  <w:marLeft w:val="2385"/>
                  <w:marRight w:val="3960"/>
                  <w:marTop w:val="0"/>
                  <w:marBottom w:val="0"/>
                  <w:divBdr>
                    <w:top w:val="none" w:sz="0" w:space="0" w:color="auto"/>
                    <w:left w:val="single" w:sz="6" w:space="0" w:color="D3E1F9"/>
                    <w:bottom w:val="none" w:sz="0" w:space="0" w:color="auto"/>
                    <w:right w:val="none" w:sz="0" w:space="0" w:color="auto"/>
                  </w:divBdr>
                  <w:divsChild>
                    <w:div w:id="1213689097">
                      <w:marLeft w:val="0"/>
                      <w:marRight w:val="0"/>
                      <w:marTop w:val="0"/>
                      <w:marBottom w:val="0"/>
                      <w:divBdr>
                        <w:top w:val="none" w:sz="0" w:space="0" w:color="auto"/>
                        <w:left w:val="none" w:sz="0" w:space="0" w:color="auto"/>
                        <w:bottom w:val="none" w:sz="0" w:space="0" w:color="auto"/>
                        <w:right w:val="none" w:sz="0" w:space="0" w:color="auto"/>
                      </w:divBdr>
                      <w:divsChild>
                        <w:div w:id="286939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411397">
      <w:bodyDiv w:val="1"/>
      <w:marLeft w:val="0"/>
      <w:marRight w:val="0"/>
      <w:marTop w:val="0"/>
      <w:marBottom w:val="0"/>
      <w:divBdr>
        <w:top w:val="none" w:sz="0" w:space="0" w:color="auto"/>
        <w:left w:val="none" w:sz="0" w:space="0" w:color="auto"/>
        <w:bottom w:val="none" w:sz="0" w:space="0" w:color="auto"/>
        <w:right w:val="none" w:sz="0" w:space="0" w:color="auto"/>
      </w:divBdr>
    </w:div>
    <w:div w:id="1503663712">
      <w:bodyDiv w:val="1"/>
      <w:marLeft w:val="0"/>
      <w:marRight w:val="0"/>
      <w:marTop w:val="0"/>
      <w:marBottom w:val="0"/>
      <w:divBdr>
        <w:top w:val="none" w:sz="0" w:space="0" w:color="auto"/>
        <w:left w:val="none" w:sz="0" w:space="0" w:color="auto"/>
        <w:bottom w:val="none" w:sz="0" w:space="0" w:color="auto"/>
        <w:right w:val="none" w:sz="0" w:space="0" w:color="auto"/>
      </w:divBdr>
      <w:divsChild>
        <w:div w:id="645163308">
          <w:marLeft w:val="0"/>
          <w:marRight w:val="0"/>
          <w:marTop w:val="100"/>
          <w:marBottom w:val="100"/>
          <w:divBdr>
            <w:top w:val="none" w:sz="0" w:space="0" w:color="auto"/>
            <w:left w:val="none" w:sz="0" w:space="0" w:color="auto"/>
            <w:bottom w:val="none" w:sz="0" w:space="0" w:color="auto"/>
            <w:right w:val="none" w:sz="0" w:space="0" w:color="auto"/>
          </w:divBdr>
          <w:divsChild>
            <w:div w:id="66806168">
              <w:marLeft w:val="0"/>
              <w:marRight w:val="0"/>
              <w:marTop w:val="0"/>
              <w:marBottom w:val="0"/>
              <w:divBdr>
                <w:top w:val="none" w:sz="0" w:space="0" w:color="auto"/>
                <w:left w:val="none" w:sz="0" w:space="0" w:color="auto"/>
                <w:bottom w:val="none" w:sz="0" w:space="0" w:color="auto"/>
                <w:right w:val="none" w:sz="0" w:space="0" w:color="auto"/>
              </w:divBdr>
              <w:divsChild>
                <w:div w:id="380371341">
                  <w:marLeft w:val="0"/>
                  <w:marRight w:val="150"/>
                  <w:marTop w:val="0"/>
                  <w:marBottom w:val="0"/>
                  <w:divBdr>
                    <w:top w:val="none" w:sz="0" w:space="0" w:color="auto"/>
                    <w:left w:val="none" w:sz="0" w:space="0" w:color="auto"/>
                    <w:bottom w:val="none" w:sz="0" w:space="0" w:color="auto"/>
                    <w:right w:val="none" w:sz="0" w:space="0" w:color="auto"/>
                  </w:divBdr>
                  <w:divsChild>
                    <w:div w:id="205726863">
                      <w:marLeft w:val="0"/>
                      <w:marRight w:val="0"/>
                      <w:marTop w:val="0"/>
                      <w:marBottom w:val="75"/>
                      <w:divBdr>
                        <w:top w:val="single" w:sz="6" w:space="0" w:color="B8CDE3"/>
                        <w:left w:val="single" w:sz="6" w:space="0" w:color="B8CDE3"/>
                        <w:bottom w:val="single" w:sz="6" w:space="0" w:color="B8CDE3"/>
                        <w:right w:val="single" w:sz="6" w:space="0" w:color="B8CDE3"/>
                      </w:divBdr>
                      <w:divsChild>
                        <w:div w:id="927077337">
                          <w:marLeft w:val="0"/>
                          <w:marRight w:val="0"/>
                          <w:marTop w:val="75"/>
                          <w:marBottom w:val="75"/>
                          <w:divBdr>
                            <w:top w:val="none" w:sz="0" w:space="0" w:color="auto"/>
                            <w:left w:val="none" w:sz="0" w:space="0" w:color="auto"/>
                            <w:bottom w:val="none" w:sz="0" w:space="0" w:color="auto"/>
                            <w:right w:val="none" w:sz="0" w:space="0" w:color="auto"/>
                          </w:divBdr>
                          <w:divsChild>
                            <w:div w:id="792017746">
                              <w:marLeft w:val="75"/>
                              <w:marRight w:val="75"/>
                              <w:marTop w:val="30"/>
                              <w:marBottom w:val="30"/>
                              <w:divBdr>
                                <w:top w:val="none" w:sz="0" w:space="0" w:color="auto"/>
                                <w:left w:val="none" w:sz="0" w:space="0" w:color="auto"/>
                                <w:bottom w:val="none" w:sz="0" w:space="0" w:color="auto"/>
                                <w:right w:val="none" w:sz="0" w:space="0" w:color="auto"/>
                              </w:divBdr>
                            </w:div>
                            <w:div w:id="1541015217">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061747">
      <w:bodyDiv w:val="1"/>
      <w:marLeft w:val="0"/>
      <w:marRight w:val="0"/>
      <w:marTop w:val="0"/>
      <w:marBottom w:val="0"/>
      <w:divBdr>
        <w:top w:val="none" w:sz="0" w:space="0" w:color="auto"/>
        <w:left w:val="none" w:sz="0" w:space="0" w:color="auto"/>
        <w:bottom w:val="none" w:sz="0" w:space="0" w:color="auto"/>
        <w:right w:val="none" w:sz="0" w:space="0" w:color="auto"/>
      </w:divBdr>
    </w:div>
    <w:div w:id="1512064070">
      <w:bodyDiv w:val="1"/>
      <w:marLeft w:val="0"/>
      <w:marRight w:val="0"/>
      <w:marTop w:val="0"/>
      <w:marBottom w:val="0"/>
      <w:divBdr>
        <w:top w:val="none" w:sz="0" w:space="0" w:color="auto"/>
        <w:left w:val="none" w:sz="0" w:space="0" w:color="auto"/>
        <w:bottom w:val="none" w:sz="0" w:space="0" w:color="auto"/>
        <w:right w:val="none" w:sz="0" w:space="0" w:color="auto"/>
      </w:divBdr>
    </w:div>
    <w:div w:id="1530608364">
      <w:bodyDiv w:val="1"/>
      <w:marLeft w:val="0"/>
      <w:marRight w:val="0"/>
      <w:marTop w:val="0"/>
      <w:marBottom w:val="0"/>
      <w:divBdr>
        <w:top w:val="none" w:sz="0" w:space="0" w:color="auto"/>
        <w:left w:val="none" w:sz="0" w:space="0" w:color="auto"/>
        <w:bottom w:val="none" w:sz="0" w:space="0" w:color="auto"/>
        <w:right w:val="none" w:sz="0" w:space="0" w:color="auto"/>
      </w:divBdr>
    </w:div>
    <w:div w:id="1535577854">
      <w:bodyDiv w:val="1"/>
      <w:marLeft w:val="0"/>
      <w:marRight w:val="0"/>
      <w:marTop w:val="0"/>
      <w:marBottom w:val="0"/>
      <w:divBdr>
        <w:top w:val="none" w:sz="0" w:space="0" w:color="auto"/>
        <w:left w:val="none" w:sz="0" w:space="0" w:color="auto"/>
        <w:bottom w:val="none" w:sz="0" w:space="0" w:color="auto"/>
        <w:right w:val="none" w:sz="0" w:space="0" w:color="auto"/>
      </w:divBdr>
    </w:div>
    <w:div w:id="1552231706">
      <w:bodyDiv w:val="1"/>
      <w:marLeft w:val="0"/>
      <w:marRight w:val="0"/>
      <w:marTop w:val="0"/>
      <w:marBottom w:val="0"/>
      <w:divBdr>
        <w:top w:val="none" w:sz="0" w:space="0" w:color="auto"/>
        <w:left w:val="none" w:sz="0" w:space="0" w:color="auto"/>
        <w:bottom w:val="none" w:sz="0" w:space="0" w:color="auto"/>
        <w:right w:val="none" w:sz="0" w:space="0" w:color="auto"/>
      </w:divBdr>
    </w:div>
    <w:div w:id="1570576146">
      <w:bodyDiv w:val="1"/>
      <w:marLeft w:val="0"/>
      <w:marRight w:val="0"/>
      <w:marTop w:val="0"/>
      <w:marBottom w:val="0"/>
      <w:divBdr>
        <w:top w:val="none" w:sz="0" w:space="0" w:color="auto"/>
        <w:left w:val="none" w:sz="0" w:space="0" w:color="auto"/>
        <w:bottom w:val="none" w:sz="0" w:space="0" w:color="auto"/>
        <w:right w:val="none" w:sz="0" w:space="0" w:color="auto"/>
      </w:divBdr>
    </w:div>
    <w:div w:id="1583374366">
      <w:bodyDiv w:val="1"/>
      <w:marLeft w:val="0"/>
      <w:marRight w:val="0"/>
      <w:marTop w:val="0"/>
      <w:marBottom w:val="0"/>
      <w:divBdr>
        <w:top w:val="none" w:sz="0" w:space="0" w:color="auto"/>
        <w:left w:val="none" w:sz="0" w:space="0" w:color="auto"/>
        <w:bottom w:val="none" w:sz="0" w:space="0" w:color="auto"/>
        <w:right w:val="none" w:sz="0" w:space="0" w:color="auto"/>
      </w:divBdr>
    </w:div>
    <w:div w:id="1591890373">
      <w:bodyDiv w:val="1"/>
      <w:marLeft w:val="0"/>
      <w:marRight w:val="0"/>
      <w:marTop w:val="0"/>
      <w:marBottom w:val="0"/>
      <w:divBdr>
        <w:top w:val="none" w:sz="0" w:space="0" w:color="auto"/>
        <w:left w:val="none" w:sz="0" w:space="0" w:color="auto"/>
        <w:bottom w:val="none" w:sz="0" w:space="0" w:color="auto"/>
        <w:right w:val="none" w:sz="0" w:space="0" w:color="auto"/>
      </w:divBdr>
    </w:div>
    <w:div w:id="1609968456">
      <w:bodyDiv w:val="1"/>
      <w:marLeft w:val="0"/>
      <w:marRight w:val="0"/>
      <w:marTop w:val="0"/>
      <w:marBottom w:val="0"/>
      <w:divBdr>
        <w:top w:val="none" w:sz="0" w:space="0" w:color="auto"/>
        <w:left w:val="none" w:sz="0" w:space="0" w:color="auto"/>
        <w:bottom w:val="none" w:sz="0" w:space="0" w:color="auto"/>
        <w:right w:val="none" w:sz="0" w:space="0" w:color="auto"/>
      </w:divBdr>
    </w:div>
    <w:div w:id="1647856395">
      <w:bodyDiv w:val="1"/>
      <w:marLeft w:val="0"/>
      <w:marRight w:val="0"/>
      <w:marTop w:val="0"/>
      <w:marBottom w:val="0"/>
      <w:divBdr>
        <w:top w:val="none" w:sz="0" w:space="0" w:color="auto"/>
        <w:left w:val="none" w:sz="0" w:space="0" w:color="auto"/>
        <w:bottom w:val="none" w:sz="0" w:space="0" w:color="auto"/>
        <w:right w:val="none" w:sz="0" w:space="0" w:color="auto"/>
      </w:divBdr>
    </w:div>
    <w:div w:id="1649356451">
      <w:bodyDiv w:val="1"/>
      <w:marLeft w:val="0"/>
      <w:marRight w:val="0"/>
      <w:marTop w:val="0"/>
      <w:marBottom w:val="0"/>
      <w:divBdr>
        <w:top w:val="none" w:sz="0" w:space="0" w:color="auto"/>
        <w:left w:val="none" w:sz="0" w:space="0" w:color="auto"/>
        <w:bottom w:val="none" w:sz="0" w:space="0" w:color="auto"/>
        <w:right w:val="none" w:sz="0" w:space="0" w:color="auto"/>
      </w:divBdr>
    </w:div>
    <w:div w:id="1656102664">
      <w:bodyDiv w:val="1"/>
      <w:marLeft w:val="0"/>
      <w:marRight w:val="0"/>
      <w:marTop w:val="0"/>
      <w:marBottom w:val="0"/>
      <w:divBdr>
        <w:top w:val="none" w:sz="0" w:space="0" w:color="auto"/>
        <w:left w:val="none" w:sz="0" w:space="0" w:color="auto"/>
        <w:bottom w:val="none" w:sz="0" w:space="0" w:color="auto"/>
        <w:right w:val="none" w:sz="0" w:space="0" w:color="auto"/>
      </w:divBdr>
    </w:div>
    <w:div w:id="1681005967">
      <w:bodyDiv w:val="1"/>
      <w:marLeft w:val="0"/>
      <w:marRight w:val="0"/>
      <w:marTop w:val="0"/>
      <w:marBottom w:val="0"/>
      <w:divBdr>
        <w:top w:val="none" w:sz="0" w:space="0" w:color="auto"/>
        <w:left w:val="none" w:sz="0" w:space="0" w:color="auto"/>
        <w:bottom w:val="none" w:sz="0" w:space="0" w:color="auto"/>
        <w:right w:val="none" w:sz="0" w:space="0" w:color="auto"/>
      </w:divBdr>
    </w:div>
    <w:div w:id="1705135524">
      <w:bodyDiv w:val="1"/>
      <w:marLeft w:val="0"/>
      <w:marRight w:val="0"/>
      <w:marTop w:val="0"/>
      <w:marBottom w:val="0"/>
      <w:divBdr>
        <w:top w:val="none" w:sz="0" w:space="0" w:color="auto"/>
        <w:left w:val="none" w:sz="0" w:space="0" w:color="auto"/>
        <w:bottom w:val="none" w:sz="0" w:space="0" w:color="auto"/>
        <w:right w:val="none" w:sz="0" w:space="0" w:color="auto"/>
      </w:divBdr>
    </w:div>
    <w:div w:id="1737125493">
      <w:bodyDiv w:val="1"/>
      <w:marLeft w:val="0"/>
      <w:marRight w:val="0"/>
      <w:marTop w:val="0"/>
      <w:marBottom w:val="0"/>
      <w:divBdr>
        <w:top w:val="none" w:sz="0" w:space="0" w:color="auto"/>
        <w:left w:val="none" w:sz="0" w:space="0" w:color="auto"/>
        <w:bottom w:val="none" w:sz="0" w:space="0" w:color="auto"/>
        <w:right w:val="none" w:sz="0" w:space="0" w:color="auto"/>
      </w:divBdr>
    </w:div>
    <w:div w:id="1740401578">
      <w:bodyDiv w:val="1"/>
      <w:marLeft w:val="0"/>
      <w:marRight w:val="0"/>
      <w:marTop w:val="0"/>
      <w:marBottom w:val="0"/>
      <w:divBdr>
        <w:top w:val="none" w:sz="0" w:space="0" w:color="auto"/>
        <w:left w:val="none" w:sz="0" w:space="0" w:color="auto"/>
        <w:bottom w:val="none" w:sz="0" w:space="0" w:color="auto"/>
        <w:right w:val="none" w:sz="0" w:space="0" w:color="auto"/>
      </w:divBdr>
    </w:div>
    <w:div w:id="1755475304">
      <w:bodyDiv w:val="1"/>
      <w:marLeft w:val="0"/>
      <w:marRight w:val="0"/>
      <w:marTop w:val="0"/>
      <w:marBottom w:val="0"/>
      <w:divBdr>
        <w:top w:val="none" w:sz="0" w:space="0" w:color="auto"/>
        <w:left w:val="none" w:sz="0" w:space="0" w:color="auto"/>
        <w:bottom w:val="none" w:sz="0" w:space="0" w:color="auto"/>
        <w:right w:val="none" w:sz="0" w:space="0" w:color="auto"/>
      </w:divBdr>
    </w:div>
    <w:div w:id="1759059028">
      <w:bodyDiv w:val="1"/>
      <w:marLeft w:val="0"/>
      <w:marRight w:val="0"/>
      <w:marTop w:val="0"/>
      <w:marBottom w:val="0"/>
      <w:divBdr>
        <w:top w:val="none" w:sz="0" w:space="0" w:color="auto"/>
        <w:left w:val="none" w:sz="0" w:space="0" w:color="auto"/>
        <w:bottom w:val="none" w:sz="0" w:space="0" w:color="auto"/>
        <w:right w:val="none" w:sz="0" w:space="0" w:color="auto"/>
      </w:divBdr>
    </w:div>
    <w:div w:id="1766027475">
      <w:bodyDiv w:val="1"/>
      <w:marLeft w:val="0"/>
      <w:marRight w:val="0"/>
      <w:marTop w:val="0"/>
      <w:marBottom w:val="0"/>
      <w:divBdr>
        <w:top w:val="none" w:sz="0" w:space="0" w:color="auto"/>
        <w:left w:val="none" w:sz="0" w:space="0" w:color="auto"/>
        <w:bottom w:val="none" w:sz="0" w:space="0" w:color="auto"/>
        <w:right w:val="none" w:sz="0" w:space="0" w:color="auto"/>
      </w:divBdr>
      <w:divsChild>
        <w:div w:id="873079076">
          <w:marLeft w:val="0"/>
          <w:marRight w:val="0"/>
          <w:marTop w:val="0"/>
          <w:marBottom w:val="0"/>
          <w:divBdr>
            <w:top w:val="none" w:sz="0" w:space="0" w:color="auto"/>
            <w:left w:val="none" w:sz="0" w:space="0" w:color="auto"/>
            <w:bottom w:val="none" w:sz="0" w:space="0" w:color="auto"/>
            <w:right w:val="none" w:sz="0" w:space="0" w:color="auto"/>
          </w:divBdr>
          <w:divsChild>
            <w:div w:id="1195654953">
              <w:marLeft w:val="0"/>
              <w:marRight w:val="0"/>
              <w:marTop w:val="33"/>
              <w:marBottom w:val="0"/>
              <w:divBdr>
                <w:top w:val="single" w:sz="2" w:space="0" w:color="596380"/>
                <w:left w:val="single" w:sz="2" w:space="0" w:color="596380"/>
                <w:bottom w:val="single" w:sz="2" w:space="0" w:color="596380"/>
                <w:right w:val="single" w:sz="2" w:space="0" w:color="596380"/>
              </w:divBdr>
              <w:divsChild>
                <w:div w:id="40983991">
                  <w:marLeft w:val="0"/>
                  <w:marRight w:val="0"/>
                  <w:marTop w:val="0"/>
                  <w:marBottom w:val="0"/>
                  <w:divBdr>
                    <w:top w:val="none" w:sz="0" w:space="0" w:color="auto"/>
                    <w:left w:val="none" w:sz="0" w:space="0" w:color="auto"/>
                    <w:bottom w:val="none" w:sz="0" w:space="0" w:color="auto"/>
                    <w:right w:val="none" w:sz="0" w:space="0" w:color="auto"/>
                  </w:divBdr>
                  <w:divsChild>
                    <w:div w:id="739444026">
                      <w:marLeft w:val="0"/>
                      <w:marRight w:val="0"/>
                      <w:marTop w:val="0"/>
                      <w:marBottom w:val="0"/>
                      <w:divBdr>
                        <w:top w:val="none" w:sz="0" w:space="0" w:color="auto"/>
                        <w:left w:val="none" w:sz="0" w:space="0" w:color="auto"/>
                        <w:bottom w:val="none" w:sz="0" w:space="0" w:color="auto"/>
                        <w:right w:val="none" w:sz="0" w:space="0" w:color="auto"/>
                      </w:divBdr>
                      <w:divsChild>
                        <w:div w:id="1848903762">
                          <w:marLeft w:val="0"/>
                          <w:marRight w:val="0"/>
                          <w:marTop w:val="0"/>
                          <w:marBottom w:val="0"/>
                          <w:divBdr>
                            <w:top w:val="none" w:sz="0" w:space="0" w:color="auto"/>
                            <w:left w:val="none" w:sz="0" w:space="0" w:color="auto"/>
                            <w:bottom w:val="none" w:sz="0" w:space="0" w:color="auto"/>
                            <w:right w:val="none" w:sz="0" w:space="0" w:color="auto"/>
                          </w:divBdr>
                          <w:divsChild>
                            <w:div w:id="328170874">
                              <w:marLeft w:val="0"/>
                              <w:marRight w:val="0"/>
                              <w:marTop w:val="0"/>
                              <w:marBottom w:val="0"/>
                              <w:divBdr>
                                <w:top w:val="none" w:sz="0" w:space="0" w:color="auto"/>
                                <w:left w:val="none" w:sz="0" w:space="0" w:color="auto"/>
                                <w:bottom w:val="none" w:sz="0" w:space="0" w:color="auto"/>
                                <w:right w:val="none" w:sz="0" w:space="0" w:color="auto"/>
                              </w:divBdr>
                              <w:divsChild>
                                <w:div w:id="683827167">
                                  <w:marLeft w:val="55"/>
                                  <w:marRight w:val="55"/>
                                  <w:marTop w:val="55"/>
                                  <w:marBottom w:val="55"/>
                                  <w:divBdr>
                                    <w:top w:val="none" w:sz="0" w:space="0" w:color="auto"/>
                                    <w:left w:val="none" w:sz="0" w:space="0" w:color="auto"/>
                                    <w:bottom w:val="none" w:sz="0" w:space="0" w:color="auto"/>
                                    <w:right w:val="none" w:sz="0" w:space="0" w:color="auto"/>
                                  </w:divBdr>
                                  <w:divsChild>
                                    <w:div w:id="64416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0588062">
      <w:bodyDiv w:val="1"/>
      <w:marLeft w:val="0"/>
      <w:marRight w:val="0"/>
      <w:marTop w:val="0"/>
      <w:marBottom w:val="0"/>
      <w:divBdr>
        <w:top w:val="none" w:sz="0" w:space="0" w:color="auto"/>
        <w:left w:val="none" w:sz="0" w:space="0" w:color="auto"/>
        <w:bottom w:val="none" w:sz="0" w:space="0" w:color="auto"/>
        <w:right w:val="none" w:sz="0" w:space="0" w:color="auto"/>
      </w:divBdr>
    </w:div>
    <w:div w:id="1815172868">
      <w:bodyDiv w:val="1"/>
      <w:marLeft w:val="0"/>
      <w:marRight w:val="0"/>
      <w:marTop w:val="0"/>
      <w:marBottom w:val="0"/>
      <w:divBdr>
        <w:top w:val="none" w:sz="0" w:space="0" w:color="auto"/>
        <w:left w:val="none" w:sz="0" w:space="0" w:color="auto"/>
        <w:bottom w:val="none" w:sz="0" w:space="0" w:color="auto"/>
        <w:right w:val="none" w:sz="0" w:space="0" w:color="auto"/>
      </w:divBdr>
    </w:div>
    <w:div w:id="1837846343">
      <w:bodyDiv w:val="1"/>
      <w:marLeft w:val="0"/>
      <w:marRight w:val="0"/>
      <w:marTop w:val="0"/>
      <w:marBottom w:val="0"/>
      <w:divBdr>
        <w:top w:val="none" w:sz="0" w:space="0" w:color="auto"/>
        <w:left w:val="none" w:sz="0" w:space="0" w:color="auto"/>
        <w:bottom w:val="none" w:sz="0" w:space="0" w:color="auto"/>
        <w:right w:val="none" w:sz="0" w:space="0" w:color="auto"/>
      </w:divBdr>
    </w:div>
    <w:div w:id="1857428725">
      <w:bodyDiv w:val="1"/>
      <w:marLeft w:val="0"/>
      <w:marRight w:val="0"/>
      <w:marTop w:val="0"/>
      <w:marBottom w:val="0"/>
      <w:divBdr>
        <w:top w:val="none" w:sz="0" w:space="0" w:color="auto"/>
        <w:left w:val="none" w:sz="0" w:space="0" w:color="auto"/>
        <w:bottom w:val="none" w:sz="0" w:space="0" w:color="auto"/>
        <w:right w:val="none" w:sz="0" w:space="0" w:color="auto"/>
      </w:divBdr>
    </w:div>
    <w:div w:id="1863588342">
      <w:bodyDiv w:val="1"/>
      <w:marLeft w:val="0"/>
      <w:marRight w:val="0"/>
      <w:marTop w:val="0"/>
      <w:marBottom w:val="0"/>
      <w:divBdr>
        <w:top w:val="none" w:sz="0" w:space="0" w:color="auto"/>
        <w:left w:val="none" w:sz="0" w:space="0" w:color="auto"/>
        <w:bottom w:val="none" w:sz="0" w:space="0" w:color="auto"/>
        <w:right w:val="none" w:sz="0" w:space="0" w:color="auto"/>
      </w:divBdr>
    </w:div>
    <w:div w:id="1865753050">
      <w:bodyDiv w:val="1"/>
      <w:marLeft w:val="0"/>
      <w:marRight w:val="0"/>
      <w:marTop w:val="0"/>
      <w:marBottom w:val="0"/>
      <w:divBdr>
        <w:top w:val="none" w:sz="0" w:space="0" w:color="auto"/>
        <w:left w:val="none" w:sz="0" w:space="0" w:color="auto"/>
        <w:bottom w:val="none" w:sz="0" w:space="0" w:color="auto"/>
        <w:right w:val="none" w:sz="0" w:space="0" w:color="auto"/>
      </w:divBdr>
    </w:div>
    <w:div w:id="1887177925">
      <w:bodyDiv w:val="1"/>
      <w:marLeft w:val="0"/>
      <w:marRight w:val="0"/>
      <w:marTop w:val="0"/>
      <w:marBottom w:val="0"/>
      <w:divBdr>
        <w:top w:val="none" w:sz="0" w:space="0" w:color="auto"/>
        <w:left w:val="none" w:sz="0" w:space="0" w:color="auto"/>
        <w:bottom w:val="none" w:sz="0" w:space="0" w:color="auto"/>
        <w:right w:val="none" w:sz="0" w:space="0" w:color="auto"/>
      </w:divBdr>
    </w:div>
    <w:div w:id="1894345890">
      <w:bodyDiv w:val="1"/>
      <w:marLeft w:val="0"/>
      <w:marRight w:val="0"/>
      <w:marTop w:val="0"/>
      <w:marBottom w:val="0"/>
      <w:divBdr>
        <w:top w:val="none" w:sz="0" w:space="0" w:color="auto"/>
        <w:left w:val="none" w:sz="0" w:space="0" w:color="auto"/>
        <w:bottom w:val="none" w:sz="0" w:space="0" w:color="auto"/>
        <w:right w:val="none" w:sz="0" w:space="0" w:color="auto"/>
      </w:divBdr>
    </w:div>
    <w:div w:id="1930573628">
      <w:bodyDiv w:val="1"/>
      <w:marLeft w:val="0"/>
      <w:marRight w:val="0"/>
      <w:marTop w:val="0"/>
      <w:marBottom w:val="0"/>
      <w:divBdr>
        <w:top w:val="none" w:sz="0" w:space="0" w:color="auto"/>
        <w:left w:val="none" w:sz="0" w:space="0" w:color="auto"/>
        <w:bottom w:val="none" w:sz="0" w:space="0" w:color="auto"/>
        <w:right w:val="none" w:sz="0" w:space="0" w:color="auto"/>
      </w:divBdr>
    </w:div>
    <w:div w:id="1930888112">
      <w:bodyDiv w:val="1"/>
      <w:marLeft w:val="0"/>
      <w:marRight w:val="0"/>
      <w:marTop w:val="0"/>
      <w:marBottom w:val="0"/>
      <w:divBdr>
        <w:top w:val="none" w:sz="0" w:space="0" w:color="auto"/>
        <w:left w:val="none" w:sz="0" w:space="0" w:color="auto"/>
        <w:bottom w:val="none" w:sz="0" w:space="0" w:color="auto"/>
        <w:right w:val="none" w:sz="0" w:space="0" w:color="auto"/>
      </w:divBdr>
    </w:div>
    <w:div w:id="1944652084">
      <w:bodyDiv w:val="1"/>
      <w:marLeft w:val="0"/>
      <w:marRight w:val="0"/>
      <w:marTop w:val="45"/>
      <w:marBottom w:val="45"/>
      <w:divBdr>
        <w:top w:val="none" w:sz="0" w:space="0" w:color="auto"/>
        <w:left w:val="none" w:sz="0" w:space="0" w:color="auto"/>
        <w:bottom w:val="none" w:sz="0" w:space="0" w:color="auto"/>
        <w:right w:val="none" w:sz="0" w:space="0" w:color="auto"/>
      </w:divBdr>
      <w:divsChild>
        <w:div w:id="229930545">
          <w:marLeft w:val="0"/>
          <w:marRight w:val="0"/>
          <w:marTop w:val="0"/>
          <w:marBottom w:val="0"/>
          <w:divBdr>
            <w:top w:val="none" w:sz="0" w:space="0" w:color="auto"/>
            <w:left w:val="none" w:sz="0" w:space="0" w:color="auto"/>
            <w:bottom w:val="none" w:sz="0" w:space="0" w:color="auto"/>
            <w:right w:val="none" w:sz="0" w:space="0" w:color="auto"/>
          </w:divBdr>
          <w:divsChild>
            <w:div w:id="1798525287">
              <w:marLeft w:val="0"/>
              <w:marRight w:val="0"/>
              <w:marTop w:val="0"/>
              <w:marBottom w:val="0"/>
              <w:divBdr>
                <w:top w:val="none" w:sz="0" w:space="0" w:color="auto"/>
                <w:left w:val="none" w:sz="0" w:space="0" w:color="auto"/>
                <w:bottom w:val="none" w:sz="0" w:space="0" w:color="auto"/>
                <w:right w:val="none" w:sz="0" w:space="0" w:color="auto"/>
              </w:divBdr>
              <w:divsChild>
                <w:div w:id="45952800">
                  <w:marLeft w:val="2385"/>
                  <w:marRight w:val="3960"/>
                  <w:marTop w:val="0"/>
                  <w:marBottom w:val="0"/>
                  <w:divBdr>
                    <w:top w:val="none" w:sz="0" w:space="0" w:color="auto"/>
                    <w:left w:val="single" w:sz="6" w:space="0" w:color="D3E1F9"/>
                    <w:bottom w:val="none" w:sz="0" w:space="0" w:color="auto"/>
                    <w:right w:val="none" w:sz="0" w:space="0" w:color="auto"/>
                  </w:divBdr>
                  <w:divsChild>
                    <w:div w:id="98183481">
                      <w:marLeft w:val="0"/>
                      <w:marRight w:val="0"/>
                      <w:marTop w:val="0"/>
                      <w:marBottom w:val="0"/>
                      <w:divBdr>
                        <w:top w:val="none" w:sz="0" w:space="0" w:color="auto"/>
                        <w:left w:val="none" w:sz="0" w:space="0" w:color="auto"/>
                        <w:bottom w:val="none" w:sz="0" w:space="0" w:color="auto"/>
                        <w:right w:val="none" w:sz="0" w:space="0" w:color="auto"/>
                      </w:divBdr>
                      <w:divsChild>
                        <w:div w:id="17434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80085">
      <w:bodyDiv w:val="1"/>
      <w:marLeft w:val="0"/>
      <w:marRight w:val="0"/>
      <w:marTop w:val="0"/>
      <w:marBottom w:val="0"/>
      <w:divBdr>
        <w:top w:val="none" w:sz="0" w:space="0" w:color="auto"/>
        <w:left w:val="none" w:sz="0" w:space="0" w:color="auto"/>
        <w:bottom w:val="none" w:sz="0" w:space="0" w:color="auto"/>
        <w:right w:val="none" w:sz="0" w:space="0" w:color="auto"/>
      </w:divBdr>
    </w:div>
    <w:div w:id="1962957532">
      <w:bodyDiv w:val="1"/>
      <w:marLeft w:val="0"/>
      <w:marRight w:val="0"/>
      <w:marTop w:val="0"/>
      <w:marBottom w:val="0"/>
      <w:divBdr>
        <w:top w:val="none" w:sz="0" w:space="0" w:color="auto"/>
        <w:left w:val="none" w:sz="0" w:space="0" w:color="auto"/>
        <w:bottom w:val="none" w:sz="0" w:space="0" w:color="auto"/>
        <w:right w:val="none" w:sz="0" w:space="0" w:color="auto"/>
      </w:divBdr>
    </w:div>
    <w:div w:id="1975063946">
      <w:bodyDiv w:val="1"/>
      <w:marLeft w:val="0"/>
      <w:marRight w:val="0"/>
      <w:marTop w:val="0"/>
      <w:marBottom w:val="0"/>
      <w:divBdr>
        <w:top w:val="none" w:sz="0" w:space="0" w:color="auto"/>
        <w:left w:val="none" w:sz="0" w:space="0" w:color="auto"/>
        <w:bottom w:val="none" w:sz="0" w:space="0" w:color="auto"/>
        <w:right w:val="none" w:sz="0" w:space="0" w:color="auto"/>
      </w:divBdr>
      <w:divsChild>
        <w:div w:id="1020199993">
          <w:marLeft w:val="0"/>
          <w:marRight w:val="0"/>
          <w:marTop w:val="100"/>
          <w:marBottom w:val="100"/>
          <w:divBdr>
            <w:top w:val="none" w:sz="0" w:space="0" w:color="auto"/>
            <w:left w:val="none" w:sz="0" w:space="0" w:color="auto"/>
            <w:bottom w:val="none" w:sz="0" w:space="0" w:color="auto"/>
            <w:right w:val="none" w:sz="0" w:space="0" w:color="auto"/>
          </w:divBdr>
          <w:divsChild>
            <w:div w:id="1600529769">
              <w:marLeft w:val="0"/>
              <w:marRight w:val="0"/>
              <w:marTop w:val="0"/>
              <w:marBottom w:val="0"/>
              <w:divBdr>
                <w:top w:val="none" w:sz="0" w:space="0" w:color="auto"/>
                <w:left w:val="none" w:sz="0" w:space="0" w:color="auto"/>
                <w:bottom w:val="none" w:sz="0" w:space="0" w:color="auto"/>
                <w:right w:val="none" w:sz="0" w:space="0" w:color="auto"/>
              </w:divBdr>
              <w:divsChild>
                <w:div w:id="2040859765">
                  <w:marLeft w:val="0"/>
                  <w:marRight w:val="150"/>
                  <w:marTop w:val="0"/>
                  <w:marBottom w:val="0"/>
                  <w:divBdr>
                    <w:top w:val="none" w:sz="0" w:space="0" w:color="auto"/>
                    <w:left w:val="none" w:sz="0" w:space="0" w:color="auto"/>
                    <w:bottom w:val="none" w:sz="0" w:space="0" w:color="auto"/>
                    <w:right w:val="none" w:sz="0" w:space="0" w:color="auto"/>
                  </w:divBdr>
                  <w:divsChild>
                    <w:div w:id="1308778259">
                      <w:marLeft w:val="0"/>
                      <w:marRight w:val="0"/>
                      <w:marTop w:val="0"/>
                      <w:marBottom w:val="75"/>
                      <w:divBdr>
                        <w:top w:val="single" w:sz="6" w:space="0" w:color="B8CDE3"/>
                        <w:left w:val="single" w:sz="6" w:space="0" w:color="B8CDE3"/>
                        <w:bottom w:val="single" w:sz="6" w:space="0" w:color="B8CDE3"/>
                        <w:right w:val="single" w:sz="6" w:space="0" w:color="B8CDE3"/>
                      </w:divBdr>
                      <w:divsChild>
                        <w:div w:id="1861624266">
                          <w:marLeft w:val="0"/>
                          <w:marRight w:val="0"/>
                          <w:marTop w:val="75"/>
                          <w:marBottom w:val="75"/>
                          <w:divBdr>
                            <w:top w:val="none" w:sz="0" w:space="0" w:color="auto"/>
                            <w:left w:val="none" w:sz="0" w:space="0" w:color="auto"/>
                            <w:bottom w:val="none" w:sz="0" w:space="0" w:color="auto"/>
                            <w:right w:val="none" w:sz="0" w:space="0" w:color="auto"/>
                          </w:divBdr>
                          <w:divsChild>
                            <w:div w:id="580069178">
                              <w:marLeft w:val="75"/>
                              <w:marRight w:val="75"/>
                              <w:marTop w:val="30"/>
                              <w:marBottom w:val="30"/>
                              <w:divBdr>
                                <w:top w:val="none" w:sz="0" w:space="0" w:color="auto"/>
                                <w:left w:val="none" w:sz="0" w:space="0" w:color="auto"/>
                                <w:bottom w:val="none" w:sz="0" w:space="0" w:color="auto"/>
                                <w:right w:val="none" w:sz="0" w:space="0" w:color="auto"/>
                              </w:divBdr>
                            </w:div>
                            <w:div w:id="1679692331">
                              <w:marLeft w:val="75"/>
                              <w:marRight w:val="75"/>
                              <w:marTop w:val="30"/>
                              <w:marBottom w:val="30"/>
                              <w:divBdr>
                                <w:top w:val="none" w:sz="0" w:space="0" w:color="auto"/>
                                <w:left w:val="none" w:sz="0" w:space="0" w:color="auto"/>
                                <w:bottom w:val="none" w:sz="0" w:space="0" w:color="auto"/>
                                <w:right w:val="none" w:sz="0" w:space="0" w:color="auto"/>
                              </w:divBdr>
                            </w:div>
                            <w:div w:id="2013335709">
                              <w:marLeft w:val="75"/>
                              <w:marRight w:val="75"/>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781854">
      <w:bodyDiv w:val="1"/>
      <w:marLeft w:val="0"/>
      <w:marRight w:val="0"/>
      <w:marTop w:val="0"/>
      <w:marBottom w:val="0"/>
      <w:divBdr>
        <w:top w:val="none" w:sz="0" w:space="0" w:color="auto"/>
        <w:left w:val="none" w:sz="0" w:space="0" w:color="auto"/>
        <w:bottom w:val="none" w:sz="0" w:space="0" w:color="auto"/>
        <w:right w:val="none" w:sz="0" w:space="0" w:color="auto"/>
      </w:divBdr>
    </w:div>
    <w:div w:id="2049404230">
      <w:bodyDiv w:val="1"/>
      <w:marLeft w:val="0"/>
      <w:marRight w:val="0"/>
      <w:marTop w:val="0"/>
      <w:marBottom w:val="0"/>
      <w:divBdr>
        <w:top w:val="none" w:sz="0" w:space="0" w:color="auto"/>
        <w:left w:val="none" w:sz="0" w:space="0" w:color="auto"/>
        <w:bottom w:val="none" w:sz="0" w:space="0" w:color="auto"/>
        <w:right w:val="none" w:sz="0" w:space="0" w:color="auto"/>
      </w:divBdr>
    </w:div>
    <w:div w:id="212626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70F4B-76C7-417D-8E3B-847FF7B42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736</TotalTime>
  <Pages>12</Pages>
  <Words>4680</Words>
  <Characters>32012</Characters>
  <Application>Microsoft Office Word</Application>
  <DocSecurity>0</DocSecurity>
  <Lines>266</Lines>
  <Paragraphs>73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1</vt:lpstr>
      <vt:lpstr>1</vt:lpstr>
    </vt:vector>
  </TitlesOfParts>
  <Company>DTM</Company>
  <LinksUpToDate>false</LinksUpToDate>
  <CharactersWithSpaces>36619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ozdoganas</dc:creator>
  <cp:lastModifiedBy>Sude GÜRCAN</cp:lastModifiedBy>
  <cp:revision>269</cp:revision>
  <cp:lastPrinted>2018-04-16T11:29:00Z</cp:lastPrinted>
  <dcterms:created xsi:type="dcterms:W3CDTF">2017-05-22T08:50:00Z</dcterms:created>
  <dcterms:modified xsi:type="dcterms:W3CDTF">2018-07-31T11:25:00Z</dcterms:modified>
</cp:coreProperties>
</file>