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1EB0" w:rsidRPr="00724086" w:rsidRDefault="006A0A35" w:rsidP="001C1EB0">
      <w:pPr>
        <w:rPr>
          <w:b/>
          <w:caps/>
        </w:rPr>
      </w:pPr>
      <w:r>
        <w:rPr>
          <w:b/>
          <w:caps/>
        </w:rPr>
        <w:t>eK</w:t>
      </w:r>
      <w:bookmarkStart w:id="0" w:name="_GoBack"/>
      <w:bookmarkEnd w:id="0"/>
    </w:p>
    <w:p w:rsidR="001C1EB0" w:rsidRPr="00724086" w:rsidRDefault="001C1EB0" w:rsidP="00914096">
      <w:pPr>
        <w:jc w:val="center"/>
        <w:rPr>
          <w:b/>
          <w:caps/>
        </w:rPr>
      </w:pPr>
    </w:p>
    <w:p w:rsidR="00914096" w:rsidRPr="00724086" w:rsidRDefault="000E3552" w:rsidP="00914096">
      <w:pPr>
        <w:jc w:val="center"/>
        <w:rPr>
          <w:b/>
          <w:caps/>
        </w:rPr>
      </w:pPr>
      <w:r w:rsidRPr="007A6CDC">
        <w:rPr>
          <w:b/>
          <w:caps/>
        </w:rPr>
        <w:t>2018/</w:t>
      </w:r>
      <w:r w:rsidR="007A6CDC" w:rsidRPr="007A6CDC">
        <w:rPr>
          <w:b/>
          <w:caps/>
        </w:rPr>
        <w:t>30</w:t>
      </w:r>
      <w:r w:rsidRPr="007A6CDC">
        <w:rPr>
          <w:b/>
          <w:caps/>
        </w:rPr>
        <w:t xml:space="preserve"> SAYILI İTHALATTA HAKSIZ REKABETİN ÖNLENMESİNE İLİŞKİN TEBLİĞE AİT </w:t>
      </w:r>
      <w:r w:rsidR="00914096" w:rsidRPr="007A6CDC">
        <w:rPr>
          <w:b/>
          <w:caps/>
        </w:rPr>
        <w:t>BİLGİLENDİRME RAPORU</w:t>
      </w:r>
    </w:p>
    <w:p w:rsidR="00914096" w:rsidRPr="00724086" w:rsidRDefault="00914096" w:rsidP="00164FF4">
      <w:pPr>
        <w:jc w:val="both"/>
        <w:rPr>
          <w:b/>
          <w:caps/>
        </w:rPr>
      </w:pPr>
    </w:p>
    <w:p w:rsidR="00914096" w:rsidRPr="00724086" w:rsidRDefault="00914096" w:rsidP="00164FF4">
      <w:pPr>
        <w:jc w:val="both"/>
        <w:rPr>
          <w:b/>
          <w:caps/>
        </w:rPr>
      </w:pPr>
    </w:p>
    <w:p w:rsidR="00164FF4" w:rsidRPr="00724086" w:rsidRDefault="00164FF4" w:rsidP="00164FF4">
      <w:pPr>
        <w:jc w:val="both"/>
        <w:rPr>
          <w:b/>
          <w:caps/>
        </w:rPr>
      </w:pPr>
      <w:r w:rsidRPr="00724086">
        <w:rPr>
          <w:b/>
          <w:caps/>
        </w:rPr>
        <w:t>1. soruşturmaya ilişkin GEnel BİLgi ve işlemler</w:t>
      </w:r>
    </w:p>
    <w:p w:rsidR="00164FF4" w:rsidRPr="00724086" w:rsidRDefault="00164FF4" w:rsidP="00164FF4">
      <w:pPr>
        <w:jc w:val="both"/>
        <w:rPr>
          <w:b/>
          <w:caps/>
        </w:rPr>
      </w:pPr>
    </w:p>
    <w:p w:rsidR="00164FF4" w:rsidRPr="00724086" w:rsidRDefault="00164FF4" w:rsidP="00164FF4">
      <w:pPr>
        <w:contextualSpacing/>
        <w:jc w:val="both"/>
        <w:rPr>
          <w:b/>
          <w:caps/>
        </w:rPr>
      </w:pPr>
      <w:r w:rsidRPr="00724086">
        <w:rPr>
          <w:b/>
          <w:caps/>
        </w:rPr>
        <w:t xml:space="preserve">1.1 </w:t>
      </w:r>
      <w:r w:rsidR="00731D63" w:rsidRPr="00724086">
        <w:rPr>
          <w:b/>
        </w:rPr>
        <w:t>Mevcut önlem</w:t>
      </w:r>
      <w:r w:rsidR="008C7F8B" w:rsidRPr="00724086">
        <w:rPr>
          <w:b/>
        </w:rPr>
        <w:t xml:space="preserve"> ve </w:t>
      </w:r>
      <w:r w:rsidR="00F85C0F" w:rsidRPr="00724086">
        <w:rPr>
          <w:b/>
        </w:rPr>
        <w:t>s</w:t>
      </w:r>
      <w:r w:rsidR="008C7F8B" w:rsidRPr="00724086">
        <w:rPr>
          <w:b/>
        </w:rPr>
        <w:t xml:space="preserve">oruşturma </w:t>
      </w:r>
      <w:r w:rsidR="00731D63" w:rsidRPr="00724086">
        <w:rPr>
          <w:b/>
          <w:caps/>
        </w:rPr>
        <w:t xml:space="preserve"> </w:t>
      </w:r>
    </w:p>
    <w:p w:rsidR="005A3AFB" w:rsidRPr="00724086" w:rsidRDefault="000A45DA" w:rsidP="005A3AFB">
      <w:pPr>
        <w:pStyle w:val="Default"/>
        <w:jc w:val="both"/>
        <w:rPr>
          <w:color w:val="auto"/>
        </w:rPr>
      </w:pPr>
      <w:r w:rsidRPr="00724086">
        <w:rPr>
          <w:noProof/>
        </w:rPr>
        <w:t xml:space="preserve">(1) </w:t>
      </w:r>
      <w:r w:rsidR="005A3AFB" w:rsidRPr="00724086">
        <w:rPr>
          <w:noProof/>
          <w:color w:val="auto"/>
        </w:rPr>
        <w:t xml:space="preserve">Tayland Krallığı (Tayland) menşeli 4007.00 gümrük tarife pozisyonu (GTP) altında kayıtlı “vulkanize edilmiş kauçuktan iplik ve ipler” ürününe yönelik olarak </w:t>
      </w:r>
      <w:r w:rsidR="005A3AFB" w:rsidRPr="00724086">
        <w:rPr>
          <w:color w:val="auto"/>
        </w:rPr>
        <w:t>27/11/2012 tarihli ve 28480 sayılı Resmi Gazete’de yayımlanan İthalatta Haksız Rekabetin Önlenmesine İlişkin Tebliğ (Tebliğ No: 2012/23) uyarınca “Natural Rubber Thread Co., Ltd” firmasına karşı CIF bedelinin %4,37’si, diğer tüm üreticilere karşı da CIF bedelinin % 8,75’i oranında dampinge karşı önlem yürürlüğe konulmuştur.</w:t>
      </w:r>
    </w:p>
    <w:p w:rsidR="002E33A8" w:rsidRPr="00724086" w:rsidRDefault="002E33A8" w:rsidP="005A3AFB">
      <w:pPr>
        <w:jc w:val="both"/>
        <w:rPr>
          <w:noProof/>
        </w:rPr>
      </w:pPr>
    </w:p>
    <w:p w:rsidR="008C7F8B" w:rsidRPr="00724086" w:rsidRDefault="005A3AFB" w:rsidP="005A3AFB">
      <w:pPr>
        <w:pStyle w:val="GvdeMetni"/>
        <w:shd w:val="clear" w:color="auto" w:fill="auto"/>
        <w:tabs>
          <w:tab w:val="left" w:pos="360"/>
        </w:tabs>
        <w:rPr>
          <w:color w:val="auto"/>
        </w:rPr>
      </w:pPr>
      <w:r w:rsidRPr="00724086">
        <w:rPr>
          <w:noProof/>
          <w:color w:val="auto"/>
        </w:rPr>
        <w:t xml:space="preserve">(2) </w:t>
      </w:r>
      <w:r w:rsidRPr="00724086">
        <w:rPr>
          <w:color w:val="auto"/>
        </w:rPr>
        <w:t xml:space="preserve">Bahse konu önlemin yürürlükten kalkması halinde önleme konu Tayland menşeli üründe dampingin ve zararın devam etmesinin veya yeniden meydana gelebilmesinin muhtemel olduğu iddiasıyla yerli üreticiler Elpa Elastiki İpler Sanayi ve İhracat A.Ş. (Elpa) ile Şahin Lateks Sanayi ve Ticaret A.Ş. (Şahin Lateks) tarafından gerçekleştirilen başvurunun değerlendirilmesi neticesinde, 21/11/2017 tarihli ve 30247 sayılı Resmi Gazete’de yayımlanan İthalatta Haksız Rekabetin Önlenmesine İlişkin Tebliğ (Tebliğ No: 2017/26) ile başlatılan nihai gözden geçirme soruşturması </w:t>
      </w:r>
      <w:r w:rsidR="000E3552">
        <w:rPr>
          <w:color w:val="auto"/>
        </w:rPr>
        <w:t>tamamlanmıştır.</w:t>
      </w:r>
    </w:p>
    <w:p w:rsidR="00DF4E77" w:rsidRPr="00724086" w:rsidRDefault="00DF4E77" w:rsidP="008C7F8B">
      <w:pPr>
        <w:jc w:val="both"/>
      </w:pPr>
    </w:p>
    <w:p w:rsidR="00164FF4" w:rsidRPr="00724086" w:rsidRDefault="00164FF4" w:rsidP="006D669C">
      <w:pPr>
        <w:pStyle w:val="GvdeMetni"/>
        <w:numPr>
          <w:ilvl w:val="1"/>
          <w:numId w:val="1"/>
        </w:numPr>
        <w:rPr>
          <w:b/>
          <w:caps/>
          <w:color w:val="auto"/>
        </w:rPr>
      </w:pPr>
      <w:r w:rsidRPr="00724086">
        <w:rPr>
          <w:b/>
          <w:color w:val="auto"/>
        </w:rPr>
        <w:t>Yerli üretim dalının temsil niteliği</w:t>
      </w:r>
    </w:p>
    <w:p w:rsidR="008C7F8B" w:rsidRPr="00724086" w:rsidRDefault="00B21136" w:rsidP="00F4574E">
      <w:pPr>
        <w:pStyle w:val="ListeParagraf"/>
        <w:numPr>
          <w:ilvl w:val="0"/>
          <w:numId w:val="2"/>
        </w:numPr>
        <w:spacing w:line="240" w:lineRule="atLeast"/>
        <w:ind w:left="0" w:firstLine="0"/>
        <w:jc w:val="both"/>
      </w:pPr>
      <w:r w:rsidRPr="00724086">
        <w:t xml:space="preserve">Yönetmelik’in 18 </w:t>
      </w:r>
      <w:r w:rsidR="008C7F8B" w:rsidRPr="00724086">
        <w:t xml:space="preserve">inci </w:t>
      </w:r>
      <w:r w:rsidR="00F4574E">
        <w:t xml:space="preserve">ve 20 nci maddeleri </w:t>
      </w:r>
      <w:r w:rsidR="00754984" w:rsidRPr="00724086">
        <w:t xml:space="preserve">çerçevesinde </w:t>
      </w:r>
      <w:r w:rsidR="00F4574E">
        <w:t xml:space="preserve">yerli üretim dalını temsil niteliğini haiz olduğu tespit edilen </w:t>
      </w:r>
      <w:r w:rsidR="00754984" w:rsidRPr="00724086">
        <w:t>Elpa ve Şahin Lateks</w:t>
      </w:r>
      <w:r w:rsidR="00CB26BF" w:rsidRPr="00724086">
        <w:t xml:space="preserve"> firma</w:t>
      </w:r>
      <w:r w:rsidR="00754984" w:rsidRPr="00724086">
        <w:t>lar</w:t>
      </w:r>
      <w:r w:rsidR="00CB26BF" w:rsidRPr="00724086">
        <w:t>ı</w:t>
      </w:r>
      <w:r w:rsidR="000A45DA" w:rsidRPr="00724086">
        <w:t xml:space="preserve"> </w:t>
      </w:r>
      <w:r w:rsidR="00F4574E">
        <w:t xml:space="preserve">bu raporun ilerleyen bölümlerinde </w:t>
      </w:r>
      <w:r w:rsidR="008C7F8B" w:rsidRPr="00724086">
        <w:t xml:space="preserve">“yerli üretim dalı” olarak anılacaktır. </w:t>
      </w:r>
    </w:p>
    <w:p w:rsidR="00164FF4" w:rsidRPr="00724086" w:rsidRDefault="00164FF4" w:rsidP="008C7F8B">
      <w:pPr>
        <w:jc w:val="both"/>
      </w:pPr>
    </w:p>
    <w:p w:rsidR="00164FF4" w:rsidRPr="00724086" w:rsidRDefault="00164FF4" w:rsidP="00164FF4">
      <w:pPr>
        <w:spacing w:line="240" w:lineRule="atLeast"/>
        <w:jc w:val="both"/>
        <w:rPr>
          <w:b/>
        </w:rPr>
      </w:pPr>
      <w:r w:rsidRPr="00724086">
        <w:rPr>
          <w:b/>
          <w:caps/>
        </w:rPr>
        <w:t>1.3</w:t>
      </w:r>
      <w:r w:rsidRPr="00724086">
        <w:rPr>
          <w:caps/>
        </w:rPr>
        <w:t xml:space="preserve"> </w:t>
      </w:r>
      <w:r w:rsidRPr="00724086">
        <w:rPr>
          <w:b/>
        </w:rPr>
        <w:t>İlgili tarafların bilgilendirilmesi, dinlenmesi ve bilgilerin değerlendirilmesi</w:t>
      </w:r>
    </w:p>
    <w:p w:rsidR="00754984" w:rsidRPr="00724086" w:rsidRDefault="009D662D" w:rsidP="00754984">
      <w:pPr>
        <w:jc w:val="both"/>
        <w:rPr>
          <w:szCs w:val="20"/>
        </w:rPr>
      </w:pPr>
      <w:r w:rsidRPr="00724086">
        <w:t xml:space="preserve">(1) </w:t>
      </w:r>
      <w:r w:rsidR="00754984" w:rsidRPr="00724086">
        <w:t xml:space="preserve">Soruşturma açılmasını müteakip, soruşturma konusu ürünün Bakanlık tarafından tespit edilen Tayland’da mukim </w:t>
      </w:r>
      <w:r w:rsidR="00754984" w:rsidRPr="00724086">
        <w:rPr>
          <w:szCs w:val="20"/>
        </w:rPr>
        <w:t xml:space="preserve">üreticilerine/ihracatçılarına, Türkiye’de yerleşik ithalatçılarına ve ayrıca </w:t>
      </w:r>
      <w:r w:rsidR="00754984" w:rsidRPr="00724086">
        <w:t>soruşturma konusu ülkede</w:t>
      </w:r>
      <w:r w:rsidR="00754984" w:rsidRPr="00724086">
        <w:rPr>
          <w:szCs w:val="20"/>
        </w:rPr>
        <w:t xml:space="preserve"> yerleşik diğer üreticilere/ihracatçılara iletilebilmesini teminen Tayland’ın Ankara’daki Büyükelçiliğine soruşturmanın açılışına ilişkin bildirimde bulunulmuştur.</w:t>
      </w:r>
    </w:p>
    <w:p w:rsidR="00754984" w:rsidRPr="00724086" w:rsidRDefault="00754984" w:rsidP="00754984">
      <w:pPr>
        <w:ind w:firstLine="567"/>
        <w:jc w:val="both"/>
      </w:pPr>
    </w:p>
    <w:p w:rsidR="00754984" w:rsidRPr="00724086" w:rsidRDefault="00754984" w:rsidP="00754984">
      <w:pPr>
        <w:spacing w:after="240"/>
        <w:jc w:val="both"/>
      </w:pPr>
      <w:r w:rsidRPr="00724086">
        <w:rPr>
          <w:szCs w:val="20"/>
        </w:rPr>
        <w:t>(2) Bildirimde, soruşturma açılış Tebliğine, başvurunun gizli olmayan metnine ve soru formlarına nereden erişileceği hususunda bilgi verilmiştir.</w:t>
      </w:r>
    </w:p>
    <w:p w:rsidR="00754984" w:rsidRPr="00724086" w:rsidRDefault="00754984" w:rsidP="00754984">
      <w:pPr>
        <w:jc w:val="both"/>
        <w:rPr>
          <w:szCs w:val="20"/>
        </w:rPr>
      </w:pPr>
      <w:r w:rsidRPr="00724086">
        <w:rPr>
          <w:szCs w:val="20"/>
        </w:rPr>
        <w:t>(3) Taraflara soru formunu yanıtlamaları için posta süresi dâhil 37 gün süre tanınmıştır. Ayrıca ilgili tarafların süre uzatımı yönündeki m</w:t>
      </w:r>
      <w:r w:rsidRPr="00724086">
        <w:t>â</w:t>
      </w:r>
      <w:r w:rsidRPr="00724086">
        <w:rPr>
          <w:szCs w:val="20"/>
        </w:rPr>
        <w:t>kul talepleri karşılanmıştır.</w:t>
      </w:r>
    </w:p>
    <w:p w:rsidR="00754984" w:rsidRPr="00724086" w:rsidRDefault="00754984" w:rsidP="00754984">
      <w:pPr>
        <w:ind w:firstLine="567"/>
        <w:jc w:val="both"/>
        <w:rPr>
          <w:szCs w:val="20"/>
        </w:rPr>
      </w:pPr>
      <w:r w:rsidRPr="00724086">
        <w:rPr>
          <w:szCs w:val="20"/>
        </w:rPr>
        <w:t xml:space="preserve"> </w:t>
      </w:r>
    </w:p>
    <w:p w:rsidR="00754984" w:rsidRPr="00724086" w:rsidRDefault="00754984" w:rsidP="00754984">
      <w:pPr>
        <w:jc w:val="both"/>
        <w:rPr>
          <w:szCs w:val="20"/>
        </w:rPr>
      </w:pPr>
      <w:r w:rsidRPr="00724086">
        <w:rPr>
          <w:szCs w:val="20"/>
        </w:rPr>
        <w:t xml:space="preserve">(4) Yerli üretim dalı, soruşturma süresi boyunca Bakanlık ile işbirliği içinde olmuş ve gerektiğinde talep edilen ilave bilgileri temin etmiştir. </w:t>
      </w:r>
    </w:p>
    <w:p w:rsidR="00754984" w:rsidRPr="00724086" w:rsidRDefault="00754984" w:rsidP="00754984">
      <w:pPr>
        <w:ind w:firstLine="567"/>
        <w:jc w:val="both"/>
        <w:rPr>
          <w:szCs w:val="20"/>
        </w:rPr>
      </w:pPr>
    </w:p>
    <w:p w:rsidR="00754984" w:rsidRPr="00724086" w:rsidRDefault="00754984" w:rsidP="00754984">
      <w:pPr>
        <w:jc w:val="both"/>
      </w:pPr>
      <w:r w:rsidRPr="00724086">
        <w:rPr>
          <w:szCs w:val="20"/>
        </w:rPr>
        <w:t xml:space="preserve">(5)  Soruşturma </w:t>
      </w:r>
      <w:r w:rsidRPr="00724086">
        <w:t>döneminde ithalat gerçekleştirdiği tespit edilen ve soru formu gönderilen ithalatçılardan üç ithalatçı firma soru formunu öngörülen sürede yanıtlamıştır. Üretici/ihracatçı soru formuna ise üç üretici/ihracatçı firmadan yanıt alınmıştır.</w:t>
      </w:r>
    </w:p>
    <w:p w:rsidR="00D67735" w:rsidRPr="00724086" w:rsidRDefault="00D67735" w:rsidP="00D67735">
      <w:pPr>
        <w:ind w:firstLine="567"/>
        <w:jc w:val="both"/>
        <w:rPr>
          <w:szCs w:val="20"/>
        </w:rPr>
      </w:pPr>
    </w:p>
    <w:p w:rsidR="002640CD" w:rsidRPr="00E37BDC" w:rsidRDefault="00754984" w:rsidP="002640CD">
      <w:pPr>
        <w:jc w:val="both"/>
        <w:rPr>
          <w:szCs w:val="20"/>
        </w:rPr>
      </w:pPr>
      <w:r w:rsidRPr="002640CD">
        <w:rPr>
          <w:szCs w:val="20"/>
        </w:rPr>
        <w:t>(6</w:t>
      </w:r>
      <w:r w:rsidR="002B22B0" w:rsidRPr="002640CD">
        <w:rPr>
          <w:szCs w:val="20"/>
        </w:rPr>
        <w:t xml:space="preserve">) </w:t>
      </w:r>
      <w:r w:rsidR="002640CD" w:rsidRPr="000E7571">
        <w:rPr>
          <w:szCs w:val="20"/>
        </w:rPr>
        <w:t xml:space="preserve">Soruşturmaya ilişkin bilgi ve bulguların tamamlanması akabinde, soruşturma sonucunda alınacak karara esas teşkil edecek bilgi, bulgu, tespit ve değerlendirmeleri içeren “Nihai </w:t>
      </w:r>
      <w:r w:rsidR="002640CD" w:rsidRPr="000E7571">
        <w:rPr>
          <w:szCs w:val="20"/>
        </w:rPr>
        <w:lastRenderedPageBreak/>
        <w:t xml:space="preserve">Bildirim Raporu” </w:t>
      </w:r>
      <w:r w:rsidR="002640CD">
        <w:rPr>
          <w:szCs w:val="20"/>
        </w:rPr>
        <w:t>21/6</w:t>
      </w:r>
      <w:r w:rsidR="002640CD" w:rsidRPr="000E7571">
        <w:rPr>
          <w:szCs w:val="20"/>
        </w:rPr>
        <w:t xml:space="preserve">/2018 tarihinde ilgili tarafların bilgisine sunulmuştur. Söz konusu bildirim, soruşturma konusu </w:t>
      </w:r>
      <w:r w:rsidR="002640CD">
        <w:rPr>
          <w:szCs w:val="20"/>
        </w:rPr>
        <w:t xml:space="preserve">ülkenin Ankara Büyükelçiliği </w:t>
      </w:r>
      <w:r w:rsidR="002640CD" w:rsidRPr="000E7571">
        <w:rPr>
          <w:szCs w:val="20"/>
        </w:rPr>
        <w:t>ile soruşturma sırasında görüş bildiren ithalatçı ve ihracatçı firmalar ile ye</w:t>
      </w:r>
      <w:r w:rsidR="002640CD">
        <w:rPr>
          <w:szCs w:val="20"/>
        </w:rPr>
        <w:t xml:space="preserve">rli üretim dalına iletilmiştir. </w:t>
      </w:r>
      <w:r w:rsidR="002640CD" w:rsidRPr="00E37BDC">
        <w:rPr>
          <w:szCs w:val="20"/>
        </w:rPr>
        <w:t xml:space="preserve">Nihai Bildirim Raporu’na ilişkin </w:t>
      </w:r>
      <w:r w:rsidR="002640CD">
        <w:rPr>
          <w:szCs w:val="20"/>
        </w:rPr>
        <w:t xml:space="preserve">olarak </w:t>
      </w:r>
      <w:r w:rsidR="002640CD" w:rsidRPr="00E37BDC">
        <w:rPr>
          <w:szCs w:val="20"/>
        </w:rPr>
        <w:t>yerli üretim dalından görüş alınmıştır.</w:t>
      </w:r>
    </w:p>
    <w:p w:rsidR="00D67735" w:rsidRPr="00724086" w:rsidRDefault="00D67735" w:rsidP="002640CD">
      <w:pPr>
        <w:jc w:val="both"/>
        <w:rPr>
          <w:szCs w:val="20"/>
        </w:rPr>
      </w:pPr>
    </w:p>
    <w:p w:rsidR="00D67735" w:rsidRPr="002640CD" w:rsidRDefault="00D67735" w:rsidP="00D67735">
      <w:pPr>
        <w:jc w:val="both"/>
        <w:rPr>
          <w:szCs w:val="20"/>
        </w:rPr>
      </w:pPr>
      <w:r w:rsidRPr="00724086">
        <w:rPr>
          <w:szCs w:val="20"/>
        </w:rPr>
        <w:t>(</w:t>
      </w:r>
      <w:r w:rsidR="00754984" w:rsidRPr="00724086">
        <w:rPr>
          <w:szCs w:val="20"/>
        </w:rPr>
        <w:t>7</w:t>
      </w:r>
      <w:r w:rsidRPr="00724086">
        <w:rPr>
          <w:szCs w:val="20"/>
        </w:rPr>
        <w:t xml:space="preserve">)  Nihai bildirim </w:t>
      </w:r>
      <w:r w:rsidRPr="002640CD">
        <w:rPr>
          <w:szCs w:val="20"/>
        </w:rPr>
        <w:t xml:space="preserve">sonrasında, </w:t>
      </w:r>
      <w:r w:rsidRPr="002640CD">
        <w:t xml:space="preserve">ilgili tarafların katılımı ile </w:t>
      </w:r>
      <w:r w:rsidR="00754984" w:rsidRPr="002640CD">
        <w:t>3/7</w:t>
      </w:r>
      <w:r w:rsidRPr="002640CD">
        <w:t xml:space="preserve">/2018 tarihinde kamu dinleme toplantısı düzenlenmiştir. </w:t>
      </w:r>
      <w:r w:rsidR="00EA27BF" w:rsidRPr="002640CD">
        <w:rPr>
          <w:szCs w:val="20"/>
        </w:rPr>
        <w:t>Yerli üretim dalı il</w:t>
      </w:r>
      <w:r w:rsidR="00617DE5" w:rsidRPr="002640CD">
        <w:rPr>
          <w:szCs w:val="20"/>
        </w:rPr>
        <w:t xml:space="preserve">e </w:t>
      </w:r>
      <w:r w:rsidRPr="002640CD">
        <w:rPr>
          <w:szCs w:val="20"/>
        </w:rPr>
        <w:t xml:space="preserve">bazı </w:t>
      </w:r>
      <w:r w:rsidR="00754984" w:rsidRPr="002640CD">
        <w:rPr>
          <w:szCs w:val="20"/>
        </w:rPr>
        <w:t>ihracatçı</w:t>
      </w:r>
      <w:r w:rsidR="00EA27BF" w:rsidRPr="002640CD">
        <w:rPr>
          <w:szCs w:val="20"/>
        </w:rPr>
        <w:t xml:space="preserve"> ve ithalatçı</w:t>
      </w:r>
      <w:r w:rsidR="00754984" w:rsidRPr="002640CD">
        <w:rPr>
          <w:szCs w:val="20"/>
        </w:rPr>
        <w:t xml:space="preserve"> firmalar </w:t>
      </w:r>
      <w:r w:rsidRPr="002640CD">
        <w:rPr>
          <w:szCs w:val="20"/>
        </w:rPr>
        <w:t>kamu dinleme toplantısına yönelik görüşlerini yazılı olarak da Genel Müdürlüğe iletmiştir.</w:t>
      </w:r>
    </w:p>
    <w:p w:rsidR="00D67735" w:rsidRPr="00724086" w:rsidRDefault="00D67735" w:rsidP="00D67735">
      <w:pPr>
        <w:ind w:firstLine="567"/>
        <w:jc w:val="both"/>
        <w:rPr>
          <w:szCs w:val="20"/>
        </w:rPr>
      </w:pPr>
    </w:p>
    <w:p w:rsidR="00DA029A" w:rsidRPr="00724086" w:rsidRDefault="00F94DBA" w:rsidP="00DA029A">
      <w:pPr>
        <w:spacing w:line="240" w:lineRule="atLeast"/>
        <w:jc w:val="both"/>
      </w:pPr>
      <w:r w:rsidRPr="00724086">
        <w:t>(</w:t>
      </w:r>
      <w:r w:rsidR="00754984" w:rsidRPr="00724086">
        <w:t>8</w:t>
      </w:r>
      <w:r w:rsidR="00F61D51" w:rsidRPr="00F61D51">
        <w:t xml:space="preserve"> </w:t>
      </w:r>
      <w:r w:rsidR="00F61D51" w:rsidRPr="00EE1927">
        <w:t xml:space="preserve">Tarafların soruşturma boyunca ortaya koyduğu tüm bilgi, belge ve </w:t>
      </w:r>
      <w:r w:rsidR="00DA029A" w:rsidRPr="00724086">
        <w:t>nesnel görüşler, bu raporun ilgili kısımlarında değerlendirilmiştir.</w:t>
      </w:r>
    </w:p>
    <w:p w:rsidR="00164FF4" w:rsidRPr="00724086" w:rsidRDefault="00164FF4" w:rsidP="003C6689">
      <w:pPr>
        <w:contextualSpacing/>
        <w:jc w:val="both"/>
      </w:pPr>
    </w:p>
    <w:p w:rsidR="0054491B" w:rsidRPr="00724086" w:rsidRDefault="00EC3FF1" w:rsidP="005056F1">
      <w:pPr>
        <w:keepNext/>
        <w:contextualSpacing/>
        <w:outlineLvl w:val="1"/>
        <w:rPr>
          <w:b/>
        </w:rPr>
      </w:pPr>
      <w:r w:rsidRPr="00724086">
        <w:rPr>
          <w:b/>
        </w:rPr>
        <w:t>1.</w:t>
      </w:r>
      <w:r w:rsidR="00DA029A" w:rsidRPr="00724086">
        <w:rPr>
          <w:b/>
        </w:rPr>
        <w:t>4</w:t>
      </w:r>
      <w:r w:rsidRPr="00724086">
        <w:rPr>
          <w:b/>
        </w:rPr>
        <w:t xml:space="preserve"> </w:t>
      </w:r>
      <w:r w:rsidR="00164FF4" w:rsidRPr="00724086">
        <w:rPr>
          <w:b/>
        </w:rPr>
        <w:t xml:space="preserve">Gözden geçirme dönemi </w:t>
      </w:r>
    </w:p>
    <w:p w:rsidR="00DA029A" w:rsidRPr="00724086" w:rsidRDefault="00164FF4" w:rsidP="00DA029A">
      <w:pPr>
        <w:jc w:val="both"/>
      </w:pPr>
      <w:r w:rsidRPr="00724086">
        <w:t xml:space="preserve">(1) </w:t>
      </w:r>
      <w:r w:rsidR="00DA029A" w:rsidRPr="00724086">
        <w:t>Gözde</w:t>
      </w:r>
      <w:r w:rsidR="00F94DBA" w:rsidRPr="00724086">
        <w:t>n geçirme dönemi olarak 1/1/201</w:t>
      </w:r>
      <w:r w:rsidR="00814DE2" w:rsidRPr="00724086">
        <w:t>5</w:t>
      </w:r>
      <w:r w:rsidR="00DA029A" w:rsidRPr="00724086">
        <w:t>-31/12/201</w:t>
      </w:r>
      <w:r w:rsidR="00814DE2" w:rsidRPr="00724086">
        <w:t>7</w:t>
      </w:r>
      <w:r w:rsidR="00DA029A" w:rsidRPr="00724086">
        <w:t xml:space="preserve"> arasındaki dönem esas alınmıştır.</w:t>
      </w:r>
    </w:p>
    <w:p w:rsidR="00164FF4" w:rsidRPr="00724086" w:rsidRDefault="00164FF4" w:rsidP="00DA029A">
      <w:pPr>
        <w:spacing w:line="240" w:lineRule="atLeast"/>
        <w:contextualSpacing/>
        <w:jc w:val="both"/>
        <w:rPr>
          <w:rFonts w:eastAsia="MS Mincho"/>
          <w:b/>
          <w:bCs/>
          <w:lang w:eastAsia="ja-JP"/>
        </w:rPr>
      </w:pPr>
    </w:p>
    <w:p w:rsidR="008E4B08" w:rsidRPr="00724086" w:rsidRDefault="00EC3FF1" w:rsidP="00164FF4">
      <w:pPr>
        <w:jc w:val="both"/>
        <w:rPr>
          <w:rFonts w:eastAsia="MS Mincho"/>
          <w:b/>
          <w:bCs/>
          <w:caps/>
          <w:lang w:eastAsia="ja-JP"/>
        </w:rPr>
      </w:pPr>
      <w:r w:rsidRPr="00724086">
        <w:rPr>
          <w:rFonts w:eastAsia="MS Mincho"/>
          <w:b/>
          <w:bCs/>
          <w:caps/>
          <w:lang w:eastAsia="ja-JP"/>
        </w:rPr>
        <w:t xml:space="preserve">2. </w:t>
      </w:r>
      <w:r w:rsidR="00164FF4" w:rsidRPr="00724086">
        <w:rPr>
          <w:rFonts w:eastAsia="MS Mincho"/>
          <w:b/>
          <w:bCs/>
          <w:caps/>
          <w:lang w:eastAsia="ja-JP"/>
        </w:rPr>
        <w:t>Soruşturma konusu ürün ve benzer ürün</w:t>
      </w:r>
    </w:p>
    <w:p w:rsidR="00814DE2" w:rsidRPr="00724086" w:rsidRDefault="00B367A9" w:rsidP="00814DE2">
      <w:pPr>
        <w:spacing w:after="240" w:line="240" w:lineRule="atLeast"/>
        <w:jc w:val="both"/>
        <w:rPr>
          <w:noProof/>
        </w:rPr>
      </w:pPr>
      <w:r w:rsidRPr="00724086">
        <w:t>(1)</w:t>
      </w:r>
      <w:r w:rsidR="009D662D" w:rsidRPr="00724086">
        <w:t xml:space="preserve"> </w:t>
      </w:r>
      <w:r w:rsidR="001B7396" w:rsidRPr="00724086">
        <w:t>Soruşturma konusu olan önleme tabi ürün;</w:t>
      </w:r>
      <w:r w:rsidR="00814DE2" w:rsidRPr="00724086">
        <w:t xml:space="preserve"> </w:t>
      </w:r>
      <w:r w:rsidR="00814DE2" w:rsidRPr="00724086">
        <w:rPr>
          <w:noProof/>
        </w:rPr>
        <w:t xml:space="preserve">4007.00 GTP altında yer alan “vulkanize edilmiş kauçuktan iplik ve ipler”dir. </w:t>
      </w:r>
    </w:p>
    <w:p w:rsidR="00144AAE" w:rsidRPr="00724086" w:rsidRDefault="00814DE2" w:rsidP="00144AAE">
      <w:pPr>
        <w:spacing w:after="240" w:line="240" w:lineRule="atLeast"/>
        <w:jc w:val="both"/>
        <w:rPr>
          <w:noProof/>
        </w:rPr>
      </w:pPr>
      <w:r w:rsidRPr="00724086">
        <w:rPr>
          <w:noProof/>
        </w:rPr>
        <w:t xml:space="preserve">(2) </w:t>
      </w:r>
      <w:r w:rsidR="00144AAE" w:rsidRPr="00724086">
        <w:rPr>
          <w:noProof/>
        </w:rPr>
        <w:t>4007.00 GTP altında tanımlı “vulkanize edilmiş kauçuktan iplik ve ipler” ürünü bu raporun ilgili bölümlerinde kısaca “lateks iplik” olarak anılacaktır. Lateks iplikler %100 doğal lateksten mamul olan ipliklerdir.</w:t>
      </w:r>
    </w:p>
    <w:p w:rsidR="00144AAE" w:rsidRPr="00724086" w:rsidRDefault="00144AAE" w:rsidP="00144AAE">
      <w:pPr>
        <w:spacing w:after="240" w:line="240" w:lineRule="atLeast"/>
        <w:jc w:val="both"/>
        <w:rPr>
          <w:noProof/>
        </w:rPr>
      </w:pPr>
      <w:r w:rsidRPr="00724086">
        <w:rPr>
          <w:noProof/>
        </w:rPr>
        <w:t xml:space="preserve">(3) Tabii lateks; kauçuk ağaçlarından toplandıktan sonra, çeşitli kimyasal maddeler ile belirli sürelerde santrifüj makinelerinde karıştırılarak likit ve katı bölümlerinin belirli oranlarda ayrıştırılmasını takiben varillere ve muhafaza depolarına doldurulur ve konteynır içerisinde sevk edilir. Sıvı halde ithal edilen lateksin yaklaşık olarak %60’lık kısmı doğal ham lateks olup, diğer kısmı çözücü maddelerdir. </w:t>
      </w:r>
    </w:p>
    <w:p w:rsidR="00144AAE" w:rsidRPr="00724086" w:rsidRDefault="00144AAE" w:rsidP="00144AAE">
      <w:pPr>
        <w:spacing w:after="240" w:line="240" w:lineRule="atLeast"/>
        <w:jc w:val="both"/>
        <w:rPr>
          <w:noProof/>
        </w:rPr>
      </w:pPr>
      <w:r w:rsidRPr="00724086">
        <w:rPr>
          <w:noProof/>
        </w:rPr>
        <w:t>(4) Teller çeşitli su ve asit banyolarından geçtikten sonra kurutma fırınlarına girer; pişirme, yani vulkanizasyon işlemi ile birlikte yaklaşık olarak %40 oranında su üründen alınır. Müteakiben, ürünün satıldıktan sonra işlem göreceği tekstil makinelerindeki kayganlığının arttırılması için üzerine talk uygulanır. Bu ana kadar bağımsız ince tel şeklinde olan ürün; endüstriyel kullanım makinelerine uygun olması ve ambalajlama kolaylığı kazanması için; diğer teller ile birleştirilerek şerit haline getirilir.</w:t>
      </w:r>
    </w:p>
    <w:p w:rsidR="00144AAE" w:rsidRPr="00724086" w:rsidRDefault="00144AAE" w:rsidP="00144AAE">
      <w:pPr>
        <w:spacing w:after="240" w:line="240" w:lineRule="atLeast"/>
        <w:jc w:val="both"/>
        <w:rPr>
          <w:noProof/>
        </w:rPr>
      </w:pPr>
      <w:r w:rsidRPr="00724086">
        <w:rPr>
          <w:noProof/>
        </w:rPr>
        <w:t xml:space="preserve">(5) </w:t>
      </w:r>
      <w:r w:rsidR="002640CD" w:rsidRPr="00724086">
        <w:rPr>
          <w:noProof/>
        </w:rPr>
        <w:t>Ürün ağırlıklı olarak tekstil ve mobilya sektörlerinde kullanılmaktadır.</w:t>
      </w:r>
      <w:r w:rsidR="002640CD">
        <w:rPr>
          <w:noProof/>
        </w:rPr>
        <w:t xml:space="preserve"> </w:t>
      </w:r>
      <w:r w:rsidRPr="00724086">
        <w:rPr>
          <w:noProof/>
        </w:rPr>
        <w:t>Soruşturma konusu ürün tiplerinden 20-36 numara kalın ürünler mobilya kolonu, 36-64 arasında yer alan orta kalınlıktaki ürünler dar dokuma tekstili, iç çamaşırı ve eşofman üretiminde kullanılmaktadır. 64-110 arasındaki en ince tipler ise gipe-büküm sektöründe işlem gördükten sonra çorap üretiminde kullanılmaktadır.</w:t>
      </w:r>
    </w:p>
    <w:p w:rsidR="00144AAE" w:rsidRPr="00724086" w:rsidRDefault="00144AAE" w:rsidP="00144AAE">
      <w:pPr>
        <w:spacing w:after="240" w:line="240" w:lineRule="atLeast"/>
        <w:jc w:val="both"/>
        <w:rPr>
          <w:noProof/>
        </w:rPr>
      </w:pPr>
      <w:r w:rsidRPr="00724086">
        <w:rPr>
          <w:noProof/>
        </w:rPr>
        <w:t xml:space="preserve">(6) Bazı ithalatçı firmalar tarafından, yerli üretim dalının lateks iplik üretiminde kullanılmak üzere Tayland’dan temin ettiği lateks sütüne amonyak katıldığı ve bunun ürünün kimyasal yapısında bozulmalara yol açtığı iddia edilmişse de; yerli üretim dalı tarafından, sıvı lateksin koagüle olmasını önleyip sıvı halde kalmasını sağlamak için amonyak kullanıldığı belirtilerek; amonyağın, endüstriyel, medikal ve tüm diğer sektörlerde kullanıma uygun hale gelmesini teminen lateks üretimi yapan fabrikalar tarafından uygulanmakta olan birçok kimyasaldan sadece biri olduğu ifade edilmiştir. </w:t>
      </w:r>
    </w:p>
    <w:p w:rsidR="00144AAE" w:rsidRPr="00724086" w:rsidRDefault="00144AAE" w:rsidP="00144AAE">
      <w:pPr>
        <w:spacing w:after="240" w:line="240" w:lineRule="atLeast"/>
        <w:jc w:val="both"/>
        <w:rPr>
          <w:noProof/>
        </w:rPr>
      </w:pPr>
      <w:r w:rsidRPr="00724086">
        <w:rPr>
          <w:noProof/>
        </w:rPr>
        <w:t xml:space="preserve">(7) Bazı ithalatçı firmalar soru formuna verdikleri cevaplarda yerli üretim dalının soruşturma konusu ürünün bazı tiplerini üretmediğini, ayrıca yerli üreticinin “silikonlu kauçuktan yapılmış iplik” üretiminin bulunmadığını ifade etmişlerdir. Yerli üretici firmalar ile yapılan yazışmalar </w:t>
      </w:r>
      <w:r w:rsidRPr="00724086">
        <w:rPr>
          <w:noProof/>
        </w:rPr>
        <w:lastRenderedPageBreak/>
        <w:t>neticesinde, üretilmediği iddia edilen ürün tipleri için yerli üretim dalının  üretme kabiliyetinin bulunduğu belirtilmiştir. Ayrıca, birçok kullanım yeri açısından bahse konu ürünlerin yerli ürünün ikamesi konumunda bulunduğu tespit edilmiştir. Bu kapsamda, söz konusu iddiaların “benzer ürün” tanımına halel getirmediği anlaşılmıştır.</w:t>
      </w:r>
    </w:p>
    <w:p w:rsidR="00144AAE" w:rsidRPr="00724086" w:rsidRDefault="00144AAE" w:rsidP="00144AAE">
      <w:pPr>
        <w:spacing w:after="240" w:line="240" w:lineRule="atLeast"/>
        <w:jc w:val="both"/>
        <w:rPr>
          <w:noProof/>
        </w:rPr>
      </w:pPr>
      <w:r w:rsidRPr="00724086">
        <w:rPr>
          <w:noProof/>
        </w:rPr>
        <w:t>(8) Bazı ithalatçı firmalarca, silikon kaplı vulkanize kauçuk ipliğin mukavemet ve esnekliğinin yüksek olduğu, yüksek modülü olan bu tip ürünün mobilya sektörü için özel olarak üretilmesi nedeniyle Tayland’dan ithal edildiği iddia edilmiştir. Yapılan incelemeler neticesinde, yerli üretim dalı tarafından da muhtelif kolon lastiği üreticilerine söz konusu ürün tipinin satışının gerçekleştiği tespit edilmiştir.</w:t>
      </w:r>
    </w:p>
    <w:p w:rsidR="00814DE2" w:rsidRPr="00724086" w:rsidRDefault="00144AAE" w:rsidP="00144AAE">
      <w:pPr>
        <w:spacing w:after="240" w:line="240" w:lineRule="atLeast"/>
        <w:jc w:val="both"/>
        <w:rPr>
          <w:noProof/>
        </w:rPr>
      </w:pPr>
      <w:r w:rsidRPr="00724086">
        <w:rPr>
          <w:noProof/>
        </w:rPr>
        <w:t>(9) İthalatçı firmalar tarafından ithal edilen ürünün tercih sebepleri arasında çoğunlukla fiyatı gösterilmiştir.</w:t>
      </w:r>
    </w:p>
    <w:p w:rsidR="00D67735" w:rsidRPr="00724086" w:rsidRDefault="00144AAE" w:rsidP="00E25F27">
      <w:pPr>
        <w:spacing w:after="240" w:line="240" w:lineRule="atLeast"/>
        <w:jc w:val="both"/>
        <w:rPr>
          <w:noProof/>
        </w:rPr>
      </w:pPr>
      <w:r w:rsidRPr="00724086">
        <w:rPr>
          <w:noProof/>
        </w:rPr>
        <w:t xml:space="preserve">(10) </w:t>
      </w:r>
      <w:r w:rsidR="00E25F27" w:rsidRPr="00724086">
        <w:rPr>
          <w:noProof/>
        </w:rPr>
        <w:t xml:space="preserve">2012/23 sayılı Tebliğ ile </w:t>
      </w:r>
      <w:r w:rsidR="00D67735" w:rsidRPr="00724086">
        <w:t>sonuçlandırılan soruşturmada yerli üretici tarafından üre</w:t>
      </w:r>
      <w:r w:rsidR="00E25F27" w:rsidRPr="00724086">
        <w:t xml:space="preserve">tilen ürün ile önleme konu ülke </w:t>
      </w:r>
      <w:r w:rsidR="00D67735" w:rsidRPr="00724086">
        <w:t>menşeli ürün arasında fiziksel özellikler, ürün çeşitliliği ve kullanım alanları olarak “benzer ürün” tanımı açısından ayrım yaratan herhangi bir farklılık bulunmadığı tespit edilmiştir. Bu defa soruşturma kapsamında yapılan değerlendirmede, İthalatta Haksız Rekabetin Önlenmesi Hakkında Yönetmeliğin 4 üncü maddesi çerçevesinde benzer ürüne yönelik tespiti değiştirecek herhangi bir bulguya rastlanılmamıştır.</w:t>
      </w:r>
    </w:p>
    <w:p w:rsidR="00D67735" w:rsidRPr="00724086" w:rsidRDefault="00E25F27" w:rsidP="00D67735">
      <w:pPr>
        <w:pStyle w:val="GvdeMetni"/>
        <w:rPr>
          <w:noProof/>
          <w:color w:val="auto"/>
        </w:rPr>
      </w:pPr>
      <w:r w:rsidRPr="00724086">
        <w:rPr>
          <w:color w:val="auto"/>
        </w:rPr>
        <w:t>(11</w:t>
      </w:r>
      <w:r w:rsidR="00D67735" w:rsidRPr="00724086">
        <w:rPr>
          <w:color w:val="auto"/>
        </w:rPr>
        <w:t>) Soruşturma konusu ürün ve benzer ürün ile ilgili açıklamalar bağlayıcı nitelikte olmayıp genel içerikli ve bilgi amaçlıdır.</w:t>
      </w:r>
      <w:r w:rsidR="00D67735" w:rsidRPr="00724086">
        <w:rPr>
          <w:noProof/>
          <w:color w:val="auto"/>
        </w:rPr>
        <w:t xml:space="preserve"> </w:t>
      </w:r>
    </w:p>
    <w:p w:rsidR="00D67735" w:rsidRPr="00724086" w:rsidRDefault="00D67735" w:rsidP="00D67735">
      <w:pPr>
        <w:jc w:val="both"/>
        <w:rPr>
          <w:noProof/>
        </w:rPr>
      </w:pPr>
    </w:p>
    <w:p w:rsidR="00164FF4" w:rsidRPr="00724086" w:rsidRDefault="008E4B08" w:rsidP="002861CC">
      <w:pPr>
        <w:jc w:val="both"/>
        <w:rPr>
          <w:b/>
          <w:caps/>
        </w:rPr>
      </w:pPr>
      <w:r w:rsidRPr="00724086">
        <w:rPr>
          <w:b/>
          <w:caps/>
        </w:rPr>
        <w:t xml:space="preserve">3. Dampinge İlişkin Belirlemeler- </w:t>
      </w:r>
      <w:r w:rsidR="00164FF4" w:rsidRPr="00724086">
        <w:rPr>
          <w:b/>
          <w:caps/>
        </w:rPr>
        <w:t>Dampingin Devamı ve</w:t>
      </w:r>
      <w:r w:rsidR="002861CC" w:rsidRPr="00724086">
        <w:rPr>
          <w:b/>
          <w:caps/>
        </w:rPr>
        <w:t>YA</w:t>
      </w:r>
      <w:r w:rsidR="00164FF4" w:rsidRPr="00724086">
        <w:rPr>
          <w:b/>
          <w:caps/>
        </w:rPr>
        <w:t xml:space="preserve"> Yeniden Meydana Gelme İhtimali</w:t>
      </w:r>
    </w:p>
    <w:p w:rsidR="00164FF4" w:rsidRPr="00724086" w:rsidRDefault="00164FF4" w:rsidP="00164FF4">
      <w:pPr>
        <w:jc w:val="both"/>
      </w:pPr>
    </w:p>
    <w:p w:rsidR="008E4B08" w:rsidRPr="00724086" w:rsidRDefault="008E4B08" w:rsidP="005056F1">
      <w:pPr>
        <w:jc w:val="both"/>
        <w:rPr>
          <w:b/>
        </w:rPr>
      </w:pPr>
      <w:r w:rsidRPr="00724086">
        <w:rPr>
          <w:b/>
        </w:rPr>
        <w:t xml:space="preserve">3.1 </w:t>
      </w:r>
      <w:r w:rsidR="00164FF4" w:rsidRPr="00724086">
        <w:rPr>
          <w:b/>
        </w:rPr>
        <w:t xml:space="preserve">Genel açıklamalar </w:t>
      </w:r>
    </w:p>
    <w:p w:rsidR="009E797B" w:rsidRPr="00724086" w:rsidRDefault="00B367A9" w:rsidP="009E797B">
      <w:pPr>
        <w:jc w:val="both"/>
      </w:pPr>
      <w:r w:rsidRPr="00724086">
        <w:t xml:space="preserve">(1) Yönetmelik’in </w:t>
      </w:r>
      <w:r w:rsidR="00A90138" w:rsidRPr="00724086">
        <w:t xml:space="preserve">40 </w:t>
      </w:r>
      <w:r w:rsidR="00F7470E" w:rsidRPr="00724086">
        <w:t xml:space="preserve">ıncı ve </w:t>
      </w:r>
      <w:r w:rsidR="00A90138" w:rsidRPr="00724086">
        <w:t xml:space="preserve">41 </w:t>
      </w:r>
      <w:r w:rsidRPr="00724086">
        <w:t>inci madde</w:t>
      </w:r>
      <w:r w:rsidR="00F7470E" w:rsidRPr="00724086">
        <w:t>ler</w:t>
      </w:r>
      <w:r w:rsidRPr="00724086">
        <w:t xml:space="preserve">i çerçevesinde soruşturma kapsamında </w:t>
      </w:r>
      <w:r w:rsidR="000C262C" w:rsidRPr="00724086">
        <w:t xml:space="preserve">yeniden </w:t>
      </w:r>
      <w:r w:rsidRPr="00724086">
        <w:t>damping marjı hesaplanmamıştır. Öte yanda</w:t>
      </w:r>
      <w:r w:rsidR="00343DBB" w:rsidRPr="00724086">
        <w:t xml:space="preserve">n Yönetmelik’in 35 </w:t>
      </w:r>
      <w:r w:rsidR="009E797B" w:rsidRPr="00724086">
        <w:t xml:space="preserve">inci maddesi çerçevesinde, gözden geçirme döneminde yerli üretim dalının ekonomik göstergeleri ve önlemin yürürlükten kalkması halinde zararın devam etmesinin veya tekrar etmesinin muhtemel olup olmadığına ilişkin olarak </w:t>
      </w:r>
      <w:r w:rsidR="00375AAE" w:rsidRPr="00724086">
        <w:t>esas</w:t>
      </w:r>
      <w:r w:rsidR="009E797B" w:rsidRPr="00724086">
        <w:t xml:space="preserve"> soruşturmada tespit edilen damping marj</w:t>
      </w:r>
      <w:r w:rsidR="00375AAE" w:rsidRPr="00724086">
        <w:t>lar</w:t>
      </w:r>
      <w:r w:rsidR="009E797B" w:rsidRPr="00724086">
        <w:t>ı, soruşturma ko</w:t>
      </w:r>
      <w:r w:rsidR="003A449C" w:rsidRPr="00724086">
        <w:t>nusu ülkenin ihracat kapasitesi ve</w:t>
      </w:r>
      <w:r w:rsidR="009E797B" w:rsidRPr="00724086">
        <w:t xml:space="preserve"> </w:t>
      </w:r>
      <w:r w:rsidR="00CF1A36" w:rsidRPr="00724086">
        <w:t xml:space="preserve">küresel ihracat fiyatları </w:t>
      </w:r>
      <w:r w:rsidR="009E797B" w:rsidRPr="00724086">
        <w:t>incelenmiştir.</w:t>
      </w:r>
    </w:p>
    <w:p w:rsidR="001C1EB0" w:rsidRPr="00724086" w:rsidRDefault="001C1EB0" w:rsidP="009E797B">
      <w:pPr>
        <w:jc w:val="both"/>
      </w:pPr>
    </w:p>
    <w:p w:rsidR="00D22EAC" w:rsidRPr="00724086" w:rsidRDefault="008E4B08" w:rsidP="00164FF4">
      <w:pPr>
        <w:jc w:val="both"/>
        <w:rPr>
          <w:b/>
        </w:rPr>
      </w:pPr>
      <w:r w:rsidRPr="00724086">
        <w:rPr>
          <w:b/>
        </w:rPr>
        <w:t xml:space="preserve">3.2 </w:t>
      </w:r>
      <w:r w:rsidR="00B367A9" w:rsidRPr="00724086">
        <w:rPr>
          <w:b/>
        </w:rPr>
        <w:t>Damping</w:t>
      </w:r>
      <w:r w:rsidR="002861CC" w:rsidRPr="00724086">
        <w:rPr>
          <w:b/>
        </w:rPr>
        <w:t>in</w:t>
      </w:r>
      <w:r w:rsidR="00B367A9" w:rsidRPr="00724086">
        <w:rPr>
          <w:b/>
        </w:rPr>
        <w:t xml:space="preserve"> </w:t>
      </w:r>
      <w:r w:rsidR="00F85C0F" w:rsidRPr="00724086">
        <w:rPr>
          <w:b/>
        </w:rPr>
        <w:t>devamı veya y</w:t>
      </w:r>
      <w:r w:rsidR="00B367A9" w:rsidRPr="00724086">
        <w:rPr>
          <w:b/>
        </w:rPr>
        <w:t xml:space="preserve">eniden </w:t>
      </w:r>
      <w:r w:rsidR="00F85C0F" w:rsidRPr="00724086">
        <w:rPr>
          <w:b/>
        </w:rPr>
        <w:t>m</w:t>
      </w:r>
      <w:r w:rsidR="00B367A9" w:rsidRPr="00724086">
        <w:rPr>
          <w:b/>
        </w:rPr>
        <w:t xml:space="preserve">eydana </w:t>
      </w:r>
      <w:r w:rsidR="00F85C0F" w:rsidRPr="00724086">
        <w:rPr>
          <w:b/>
        </w:rPr>
        <w:t>gelme ihtimaline ilişkin d</w:t>
      </w:r>
      <w:r w:rsidR="00B367A9" w:rsidRPr="00724086">
        <w:rPr>
          <w:b/>
        </w:rPr>
        <w:t>eğerlendirme</w:t>
      </w:r>
    </w:p>
    <w:p w:rsidR="00B367A9" w:rsidRPr="00724086" w:rsidRDefault="00B367A9" w:rsidP="00701A08">
      <w:pPr>
        <w:jc w:val="both"/>
      </w:pPr>
      <w:r w:rsidRPr="00724086">
        <w:t xml:space="preserve">(1) Meri önlemin yürürlükten kaldırılması halinde dampingin devam edip etmeyeceğini veya yeniden meydana gelip gelmeyeceğini incelemek amacıyla </w:t>
      </w:r>
      <w:r w:rsidR="006C1B3C" w:rsidRPr="00724086">
        <w:t>ilk</w:t>
      </w:r>
      <w:r w:rsidRPr="00724086">
        <w:t xml:space="preserve"> soruşturmada </w:t>
      </w:r>
      <w:r w:rsidR="006C1B3C" w:rsidRPr="00724086">
        <w:t>tespit edilen damping marj</w:t>
      </w:r>
      <w:r w:rsidR="00701A08" w:rsidRPr="00724086">
        <w:t>ları</w:t>
      </w:r>
      <w:r w:rsidRPr="00724086">
        <w:t xml:space="preserve"> değerlendirilmiştir. Bu kapsamda </w:t>
      </w:r>
      <w:r w:rsidR="00701A08" w:rsidRPr="00724086">
        <w:t xml:space="preserve">Tayland menşeli ithalat için </w:t>
      </w:r>
      <w:r w:rsidR="00701A08" w:rsidRPr="00724086">
        <w:rPr>
          <w:bCs/>
        </w:rPr>
        <w:t>CIF ihraç fiyatının yüzdesi olarak hesaplanan damping marjı</w:t>
      </w:r>
      <w:r w:rsidR="00F26A83">
        <w:rPr>
          <w:bCs/>
        </w:rPr>
        <w:t>nın</w:t>
      </w:r>
      <w:r w:rsidR="00701A08" w:rsidRPr="00724086">
        <w:rPr>
          <w:bCs/>
        </w:rPr>
        <w:t xml:space="preserve"> Natural Rubber Thread Co., Ltd firması için %4,37; diğer firmalar içinse %8,75 </w:t>
      </w:r>
      <w:r w:rsidR="00EA3997" w:rsidRPr="00724086">
        <w:t>oranında</w:t>
      </w:r>
      <w:r w:rsidR="00EA2EB6" w:rsidRPr="00724086">
        <w:t xml:space="preserve"> olduğu </w:t>
      </w:r>
      <w:r w:rsidRPr="00724086">
        <w:t>göz önünde bulundurulduğunda s</w:t>
      </w:r>
      <w:r w:rsidR="00000FA3" w:rsidRPr="00724086">
        <w:t>öz konusu damping marjı seviyeleri</w:t>
      </w:r>
      <w:r w:rsidRPr="00724086">
        <w:t>nin meri önlemin mevcut olmadığı piyasa koşullarında üretici/ihracatçı firmaların dampinge konu fiyatlarla soruşturma konusu ürünü Türkiye</w:t>
      </w:r>
      <w:r w:rsidR="002861CC" w:rsidRPr="00724086">
        <w:t>’ye</w:t>
      </w:r>
      <w:r w:rsidRPr="00724086">
        <w:t xml:space="preserve"> ihraç etme eğilimini göstermesi bakımından önem arz ettiği düşünülmektedir. </w:t>
      </w:r>
    </w:p>
    <w:p w:rsidR="00B367A9" w:rsidRPr="00724086" w:rsidRDefault="00B367A9" w:rsidP="00B367A9">
      <w:pPr>
        <w:ind w:firstLine="708"/>
        <w:jc w:val="both"/>
      </w:pPr>
    </w:p>
    <w:p w:rsidR="00AD13A1" w:rsidRPr="00724086" w:rsidRDefault="00B367A9" w:rsidP="006D669C">
      <w:pPr>
        <w:pStyle w:val="ListeParagraf"/>
        <w:numPr>
          <w:ilvl w:val="0"/>
          <w:numId w:val="2"/>
        </w:numPr>
        <w:ind w:left="0" w:firstLine="0"/>
        <w:jc w:val="both"/>
      </w:pPr>
      <w:r w:rsidRPr="00724086">
        <w:t xml:space="preserve">Değerlendirme kapsamında, </w:t>
      </w:r>
      <w:r w:rsidR="00000FA3" w:rsidRPr="00724086">
        <w:t>önleme tabi ülkelerin</w:t>
      </w:r>
      <w:r w:rsidRPr="00724086">
        <w:t xml:space="preserve"> soruşturma konusu üründe ihracat kabiliyeti değerlendirilmiştir. Bu amaca yönelik olarak Uluslararası Ticaret Merkezi </w:t>
      </w:r>
      <w:r w:rsidR="00B33D6D" w:rsidRPr="00724086">
        <w:t xml:space="preserve">(ITC) </w:t>
      </w:r>
      <w:r w:rsidRPr="00724086">
        <w:t xml:space="preserve">verileri dikkate alınmıştır. </w:t>
      </w:r>
      <w:r w:rsidR="00E856F3" w:rsidRPr="00724086">
        <w:rPr>
          <w:bCs/>
        </w:rPr>
        <w:t xml:space="preserve">Soruşturma konusu ürünün dünya ihracat pazarı 2015 yılında 575,4 milyon ABD Doları, 2016 yılında 510,1 milyon ABD Doları ve 2017 yılında 603,5 milyon ABD Doları seviyesindedir. Dünya ihracat pazarından Tayland’ın aldığı paya bakıldığında, Tayland’ın dünya ihracat pazarından 2015-2017 döneminde en fazla payı aldığı görülmektedir. Bu kapsamda, Tayland’ın soruşturma konusu üründe 2015 yılında 242 milyon ABD Doları olan ihracatının 2016 yılında 232,7 milyon ABD Dolarına gerilemesine karşın; 2017 yılında yeniden </w:t>
      </w:r>
      <w:r w:rsidR="00E856F3" w:rsidRPr="00724086">
        <w:rPr>
          <w:bCs/>
        </w:rPr>
        <w:lastRenderedPageBreak/>
        <w:t>artarak yaklaşık 294 milyon ABD Dolarına yükseldiği tespit edilmiştir. Tayland’dan sonra dünya ihracatından en fazla pay alan diğer 3 ülke ise Malezya, Çin Halk Cumhuriyeti (ÇHC) ve ABD’dir.</w:t>
      </w:r>
    </w:p>
    <w:p w:rsidR="00E856F3" w:rsidRPr="00724086" w:rsidRDefault="00E856F3" w:rsidP="00E856F3">
      <w:pPr>
        <w:pStyle w:val="ListeParagraf"/>
        <w:ind w:left="0"/>
        <w:jc w:val="both"/>
      </w:pPr>
    </w:p>
    <w:p w:rsidR="00E856F3" w:rsidRPr="00724086" w:rsidRDefault="00E856F3" w:rsidP="006D669C">
      <w:pPr>
        <w:pStyle w:val="ListeParagraf"/>
        <w:numPr>
          <w:ilvl w:val="0"/>
          <w:numId w:val="2"/>
        </w:numPr>
        <w:ind w:left="0" w:firstLine="0"/>
        <w:jc w:val="both"/>
      </w:pPr>
      <w:r w:rsidRPr="00724086">
        <w:t>ITC istatistiklerinde önemli ihracatçı ülkelerin ihracat miktarlarına bakıldığında, Tayland’ın ihracat miktarlarının bu piyasada yer alan diğer tüm önemli ihracatçı ülkelerin ihracat miktarlarının üzerinde seyrettiği görülmektedir. Buna göre, 2015 yılında Tayland’ın ihracat miktarı 101.139 Ton iken Malezya ve ÇHC’nin ihracat miktarları sırasıyla 55.764 Ton ve 26.320 Ton’dur. 2017 yılında ise, Tayland’ın ihracat miktarı 108.134 Ton iken; Malezya ve ÇHC’nin ihracat miktarları sırasıyla 61.386 Ton ve 18.388 Ton olarak gerçekleşmiştir.</w:t>
      </w:r>
    </w:p>
    <w:p w:rsidR="00E856F3" w:rsidRPr="00724086" w:rsidRDefault="00E856F3" w:rsidP="00E856F3">
      <w:pPr>
        <w:pStyle w:val="ListeParagraf"/>
      </w:pPr>
    </w:p>
    <w:p w:rsidR="00E856F3" w:rsidRPr="00724086" w:rsidRDefault="00E856F3" w:rsidP="006D669C">
      <w:pPr>
        <w:pStyle w:val="ListeParagraf"/>
        <w:numPr>
          <w:ilvl w:val="0"/>
          <w:numId w:val="2"/>
        </w:numPr>
        <w:ind w:left="0" w:firstLine="0"/>
        <w:jc w:val="both"/>
      </w:pPr>
      <w:r w:rsidRPr="00724086">
        <w:t>ITC verilerinin incelenmesinden, Tayland’ın küresel ihracat fiyatlarının 2015-2017 döneminde dünya ortalama ihracat fiyatlarının altında seyrettiği görülmüştür. Bu kapsamda, soruşturma konusu üründe dünya ortalama ihracat fiyatları 2015-2017 döneminde sırasıyla 2.936 ABD Doları/Ton, 2.632 ABD Doları/Ton ve 2.992 ABD Doları/Ton olarak gerçekleşirken; aynı dönemde Tayland’ın ortalama ihracat fiyatları sırasıyla 2.393 ABD Doları/Ton, 2.226 ABD Doları/Ton ve 2.718 ABD Doları/Ton olarak gerçekleşmiştir.</w:t>
      </w:r>
    </w:p>
    <w:p w:rsidR="00E856F3" w:rsidRPr="00724086" w:rsidRDefault="00E856F3" w:rsidP="00E856F3">
      <w:pPr>
        <w:pStyle w:val="ListeParagraf"/>
      </w:pPr>
    </w:p>
    <w:p w:rsidR="00B367A9" w:rsidRPr="00724086" w:rsidRDefault="00B367A9" w:rsidP="00B367A9">
      <w:pPr>
        <w:jc w:val="both"/>
      </w:pPr>
      <w:r w:rsidRPr="00724086">
        <w:t>(</w:t>
      </w:r>
      <w:r w:rsidR="00E856F3" w:rsidRPr="00724086">
        <w:t>5</w:t>
      </w:r>
      <w:r w:rsidRPr="00724086">
        <w:t>) Söz konusu bilgi ve tespitler birlikte değerlendirildiğinde meri önlemin yürürlükten kaldırılması halinde dampingli ithalatın devam etmesinin veya yeniden ortaya çıkmasının muhtemel olduğuna kanaat getirilmesine yetecek nesnel ve kanıtlanabilir verilerin mev</w:t>
      </w:r>
      <w:r w:rsidR="00361FF5" w:rsidRPr="00724086">
        <w:t>cut olduğu değerlendirilmiştir.</w:t>
      </w:r>
    </w:p>
    <w:p w:rsidR="00B20C66" w:rsidRPr="00724086" w:rsidRDefault="00B20C66" w:rsidP="00B367A9">
      <w:pPr>
        <w:jc w:val="both"/>
      </w:pPr>
    </w:p>
    <w:p w:rsidR="008E4B08" w:rsidRPr="00724086" w:rsidRDefault="009A1355" w:rsidP="00361FF5">
      <w:pPr>
        <w:jc w:val="both"/>
        <w:rPr>
          <w:b/>
          <w:caps/>
        </w:rPr>
      </w:pPr>
      <w:r w:rsidRPr="00724086">
        <w:rPr>
          <w:b/>
          <w:caps/>
        </w:rPr>
        <w:t>4</w:t>
      </w:r>
      <w:r w:rsidR="008E4B08" w:rsidRPr="00724086">
        <w:rPr>
          <w:b/>
          <w:caps/>
        </w:rPr>
        <w:t>. ZAR</w:t>
      </w:r>
      <w:r w:rsidR="000D216F" w:rsidRPr="00724086">
        <w:rPr>
          <w:b/>
          <w:caps/>
        </w:rPr>
        <w:t>ARA İlişkin Belirlemeler- ZARARIN</w:t>
      </w:r>
      <w:r w:rsidR="008E4B08" w:rsidRPr="00724086">
        <w:rPr>
          <w:b/>
          <w:caps/>
        </w:rPr>
        <w:t xml:space="preserve"> Devamı ve Yeniden Meydana Gelmesi İhtimali</w:t>
      </w:r>
    </w:p>
    <w:p w:rsidR="00164FF4" w:rsidRPr="00724086" w:rsidRDefault="00164FF4" w:rsidP="00164FF4">
      <w:pPr>
        <w:jc w:val="both"/>
      </w:pPr>
    </w:p>
    <w:p w:rsidR="008E4B08" w:rsidRPr="00724086" w:rsidRDefault="009A1355" w:rsidP="005056F1">
      <w:pPr>
        <w:jc w:val="both"/>
        <w:rPr>
          <w:b/>
        </w:rPr>
      </w:pPr>
      <w:r w:rsidRPr="00724086">
        <w:rPr>
          <w:b/>
        </w:rPr>
        <w:t>4</w:t>
      </w:r>
      <w:r w:rsidR="008E4B08" w:rsidRPr="00724086">
        <w:rPr>
          <w:b/>
        </w:rPr>
        <w:t xml:space="preserve">.1 </w:t>
      </w:r>
      <w:r w:rsidR="00B367A9" w:rsidRPr="00724086">
        <w:rPr>
          <w:b/>
        </w:rPr>
        <w:t xml:space="preserve">İthalatın hacmi ve gelişimi </w:t>
      </w:r>
    </w:p>
    <w:p w:rsidR="00B367A9" w:rsidRPr="00724086" w:rsidRDefault="00164FF4" w:rsidP="00B367A9">
      <w:pPr>
        <w:jc w:val="both"/>
      </w:pPr>
      <w:r w:rsidRPr="00724086">
        <w:t>(1)</w:t>
      </w:r>
      <w:r w:rsidR="003F4461" w:rsidRPr="00724086">
        <w:t xml:space="preserve"> Yönetmelik’in 17 </w:t>
      </w:r>
      <w:r w:rsidR="00B367A9" w:rsidRPr="00724086">
        <w:t>nci maddesi çerçe</w:t>
      </w:r>
      <w:r w:rsidR="002861CC" w:rsidRPr="00724086">
        <w:t>vesinde, soruşturma konusu ülke</w:t>
      </w:r>
      <w:r w:rsidR="00B367A9" w:rsidRPr="00724086">
        <w:t xml:space="preserve"> menşeli ithalatın hacminde mutlak anlamda ya da Türkiye tüketimine oranla önemli ölçüde artış olup olmadığı incelenmiştir. Zarar in</w:t>
      </w:r>
      <w:r w:rsidR="002526F8" w:rsidRPr="00724086">
        <w:t>celemesine esas dönem 1/</w:t>
      </w:r>
      <w:r w:rsidR="00FB0B62" w:rsidRPr="00724086">
        <w:t>1/201</w:t>
      </w:r>
      <w:r w:rsidR="00173F05" w:rsidRPr="00724086">
        <w:t>5</w:t>
      </w:r>
      <w:r w:rsidR="00B367A9" w:rsidRPr="00724086">
        <w:t>-31/12/201</w:t>
      </w:r>
      <w:r w:rsidR="00173F05" w:rsidRPr="00724086">
        <w:t>7</w:t>
      </w:r>
      <w:r w:rsidR="00EA2EB6" w:rsidRPr="00724086">
        <w:t xml:space="preserve"> </w:t>
      </w:r>
      <w:r w:rsidR="00B367A9" w:rsidRPr="00724086">
        <w:t xml:space="preserve">dönemi olarak belirlenmiştir. </w:t>
      </w:r>
      <w:r w:rsidR="006C06A6" w:rsidRPr="00724086">
        <w:t>Soruşturma konusu ürünün genel ithal</w:t>
      </w:r>
      <w:r w:rsidR="00B17F6C">
        <w:t>atı ve soruşturmaya konu ülke</w:t>
      </w:r>
      <w:r w:rsidR="006C06A6" w:rsidRPr="00724086">
        <w:t xml:space="preserve">den yapılan ithalatın incelemesinde Türkiye İstatistik Kurumu (TÜİK) verileri kullanılmıştır. </w:t>
      </w:r>
    </w:p>
    <w:p w:rsidR="008E4B08" w:rsidRPr="00724086" w:rsidRDefault="008E4B08" w:rsidP="008E4B08">
      <w:pPr>
        <w:jc w:val="both"/>
        <w:rPr>
          <w:b/>
        </w:rPr>
      </w:pPr>
    </w:p>
    <w:p w:rsidR="00944349" w:rsidRPr="00724086" w:rsidRDefault="009A1355" w:rsidP="00944349">
      <w:pPr>
        <w:jc w:val="both"/>
        <w:rPr>
          <w:b/>
        </w:rPr>
      </w:pPr>
      <w:r w:rsidRPr="00724086">
        <w:rPr>
          <w:b/>
        </w:rPr>
        <w:t>4</w:t>
      </w:r>
      <w:r w:rsidR="008E4B08" w:rsidRPr="00724086">
        <w:rPr>
          <w:b/>
        </w:rPr>
        <w:t xml:space="preserve">.2 </w:t>
      </w:r>
      <w:r w:rsidR="00FA437E" w:rsidRPr="00724086">
        <w:rPr>
          <w:b/>
        </w:rPr>
        <w:t xml:space="preserve">Mutlak ithalat </w:t>
      </w:r>
      <w:r w:rsidR="00164FF4" w:rsidRPr="00724086">
        <w:rPr>
          <w:b/>
        </w:rPr>
        <w:t>ve ithalatın fiyatları</w:t>
      </w:r>
    </w:p>
    <w:p w:rsidR="00002BC5" w:rsidRPr="00724086" w:rsidRDefault="00164FF4" w:rsidP="008E4B08">
      <w:pPr>
        <w:jc w:val="both"/>
      </w:pPr>
      <w:r w:rsidRPr="00724086">
        <w:t xml:space="preserve">(1) </w:t>
      </w:r>
      <w:r w:rsidR="00002BC5" w:rsidRPr="00724086">
        <w:rPr>
          <w:bCs/>
          <w:noProof/>
        </w:rPr>
        <w:t xml:space="preserve">Soruşturma konusu ürünün 2015-2017 döneminde tüm ülkelerden gerçekleşen ithalat rakamları incelendiğinde 2015 yılında 2.908 Ton olarak gerçekleşen ithalatın, 2016 yılında 2.773 </w:t>
      </w:r>
      <w:r w:rsidR="00002BC5" w:rsidRPr="00724086">
        <w:t xml:space="preserve">Ton, 2017 yılında ise 3.340 Ton olarak gerçekleştiği görülmektedir. </w:t>
      </w:r>
      <w:r w:rsidR="00002BC5" w:rsidRPr="00724086">
        <w:rPr>
          <w:bCs/>
          <w:noProof/>
        </w:rPr>
        <w:t xml:space="preserve">Genel ithalatın birim fiyatının ise 2015 yılında 2.907 ABD Doları/Ton, 2016 yılında 2.505 ABD Doları/Ton ve </w:t>
      </w:r>
      <w:r w:rsidR="00002BC5" w:rsidRPr="00724086">
        <w:t xml:space="preserve">2017 yılında ise 2.966 </w:t>
      </w:r>
      <w:r w:rsidR="00002BC5" w:rsidRPr="00724086">
        <w:rPr>
          <w:bCs/>
          <w:noProof/>
        </w:rPr>
        <w:t>ABD Doları/Ton olarak gerçekleştiği görülmektedir.</w:t>
      </w:r>
    </w:p>
    <w:p w:rsidR="00002BC5" w:rsidRPr="00724086" w:rsidRDefault="00002BC5" w:rsidP="008E4B08">
      <w:pPr>
        <w:jc w:val="both"/>
      </w:pPr>
    </w:p>
    <w:p w:rsidR="008E4B08" w:rsidRPr="00724086" w:rsidRDefault="009A1355" w:rsidP="003C6689">
      <w:pPr>
        <w:jc w:val="both"/>
        <w:rPr>
          <w:b/>
        </w:rPr>
      </w:pPr>
      <w:r w:rsidRPr="00724086">
        <w:rPr>
          <w:b/>
        </w:rPr>
        <w:t>4.</w:t>
      </w:r>
      <w:r w:rsidR="008E4B08" w:rsidRPr="00724086">
        <w:rPr>
          <w:b/>
        </w:rPr>
        <w:t xml:space="preserve">3 </w:t>
      </w:r>
      <w:r w:rsidR="00164FF4" w:rsidRPr="00724086">
        <w:rPr>
          <w:b/>
        </w:rPr>
        <w:t xml:space="preserve">Ürünün </w:t>
      </w:r>
      <w:r w:rsidR="00002BC5" w:rsidRPr="00724086">
        <w:rPr>
          <w:b/>
        </w:rPr>
        <w:t>soruşturma</w:t>
      </w:r>
      <w:r w:rsidR="00164FF4" w:rsidRPr="00724086">
        <w:rPr>
          <w:b/>
        </w:rPr>
        <w:t xml:space="preserve"> konusu ülkeden ithalatı ve ithalatın fiyatları</w:t>
      </w:r>
    </w:p>
    <w:p w:rsidR="00AF00DD" w:rsidRDefault="00164FF4" w:rsidP="00002BC5">
      <w:pPr>
        <w:jc w:val="both"/>
        <w:rPr>
          <w:bCs/>
          <w:noProof/>
        </w:rPr>
      </w:pPr>
      <w:r w:rsidRPr="00724086">
        <w:t xml:space="preserve">(1) </w:t>
      </w:r>
      <w:r w:rsidR="00002BC5" w:rsidRPr="00724086">
        <w:rPr>
          <w:bCs/>
          <w:noProof/>
        </w:rPr>
        <w:t xml:space="preserve">Soruşturma konusu ürünün 2015-2017 döneminde önlem konusu ülkeden gerçekleşen ithalat rakamları incelendiğinde 2015 yılında 2.017 Ton olan ithalat, 2016 yılında 1.643 Ton </w:t>
      </w:r>
      <w:r w:rsidR="00002BC5" w:rsidRPr="00724086">
        <w:t>ve 2017 yılında ise 1.749 Ton olarak</w:t>
      </w:r>
      <w:r w:rsidR="00002BC5" w:rsidRPr="00724086">
        <w:rPr>
          <w:bCs/>
          <w:noProof/>
        </w:rPr>
        <w:t xml:space="preserve"> gerçekleşmiştir. Tayland menşeli ithalatın birim fiyatı ise 2015 yılında 2.804 ABD Doları/Ton, 2016 yılında 2.495 ABD Doları/Ton ve </w:t>
      </w:r>
      <w:r w:rsidR="00002BC5" w:rsidRPr="00724086">
        <w:t xml:space="preserve">2017 yılında ise 3.067 </w:t>
      </w:r>
      <w:r w:rsidR="00002BC5" w:rsidRPr="00724086">
        <w:rPr>
          <w:bCs/>
          <w:noProof/>
        </w:rPr>
        <w:t>ABD Doları/Ton olmuştur.</w:t>
      </w:r>
    </w:p>
    <w:p w:rsidR="0056754A" w:rsidRDefault="0056754A" w:rsidP="00002BC5">
      <w:pPr>
        <w:jc w:val="both"/>
        <w:rPr>
          <w:bCs/>
          <w:noProof/>
        </w:rPr>
      </w:pPr>
    </w:p>
    <w:p w:rsidR="00164FF4" w:rsidRPr="00724086" w:rsidRDefault="009A1355" w:rsidP="008E4B08">
      <w:pPr>
        <w:jc w:val="both"/>
        <w:rPr>
          <w:b/>
        </w:rPr>
      </w:pPr>
      <w:r w:rsidRPr="00724086">
        <w:rPr>
          <w:b/>
        </w:rPr>
        <w:t>4</w:t>
      </w:r>
      <w:r w:rsidR="008E4B08" w:rsidRPr="00724086">
        <w:rPr>
          <w:b/>
        </w:rPr>
        <w:t xml:space="preserve">.4 </w:t>
      </w:r>
      <w:r w:rsidR="00002BC5" w:rsidRPr="00724086">
        <w:rPr>
          <w:b/>
        </w:rPr>
        <w:t>Diğer ülkelerden ithalatın gelişimi</w:t>
      </w:r>
      <w:r w:rsidR="00164FF4" w:rsidRPr="00724086">
        <w:rPr>
          <w:b/>
        </w:rPr>
        <w:t xml:space="preserve"> ve fiyatları</w:t>
      </w:r>
    </w:p>
    <w:p w:rsidR="00002BC5" w:rsidRPr="00724086" w:rsidRDefault="00FB2010" w:rsidP="00002BC5">
      <w:pPr>
        <w:spacing w:after="240"/>
        <w:jc w:val="both"/>
      </w:pPr>
      <w:r w:rsidRPr="00724086">
        <w:t xml:space="preserve">(1) </w:t>
      </w:r>
      <w:r w:rsidR="00002BC5" w:rsidRPr="00724086">
        <w:rPr>
          <w:bCs/>
          <w:noProof/>
        </w:rPr>
        <w:t xml:space="preserve">Soruşturma konusu ürünün 2015-2017 döneminde üçüncü ülkelerden gerçekleşen ithalat rakamları incelendiğinde, 2015 ve 2016 yıllarında sırasıyla 891 Ton ve 1.130 Ton olan ithalatın, </w:t>
      </w:r>
      <w:r w:rsidR="00002BC5" w:rsidRPr="00724086">
        <w:t>2017 yılında 1.591</w:t>
      </w:r>
      <w:r w:rsidR="00002BC5" w:rsidRPr="00724086">
        <w:rPr>
          <w:bCs/>
          <w:noProof/>
        </w:rPr>
        <w:t xml:space="preserve"> </w:t>
      </w:r>
      <w:r w:rsidR="00002BC5" w:rsidRPr="00724086">
        <w:t xml:space="preserve">Ton olarak gerçekleştiği görülmektedir. Üçüncü ülkeler menşeli ithalatın </w:t>
      </w:r>
      <w:r w:rsidR="00002BC5" w:rsidRPr="00724086">
        <w:lastRenderedPageBreak/>
        <w:t>birim fiyatının ise 2015 ve 2016 yıllarında sırasıyla 3.142 ABD Doları/Ton ve 2.519 ABD Doları/</w:t>
      </w:r>
      <w:r w:rsidR="00002BC5" w:rsidRPr="00724086">
        <w:rPr>
          <w:bCs/>
          <w:noProof/>
        </w:rPr>
        <w:t xml:space="preserve">Ton, </w:t>
      </w:r>
      <w:r w:rsidR="00002BC5" w:rsidRPr="00724086">
        <w:t xml:space="preserve">2017 yılında ise 2.855 </w:t>
      </w:r>
      <w:r w:rsidR="00002BC5" w:rsidRPr="00724086">
        <w:rPr>
          <w:bCs/>
          <w:noProof/>
        </w:rPr>
        <w:t>ABD Doları/Ton olarak gerçekleştiği görülmektedir.</w:t>
      </w:r>
    </w:p>
    <w:p w:rsidR="00A76298" w:rsidRPr="00724086" w:rsidRDefault="009A1355" w:rsidP="00A76298">
      <w:pPr>
        <w:jc w:val="both"/>
        <w:rPr>
          <w:b/>
        </w:rPr>
      </w:pPr>
      <w:r w:rsidRPr="00724086">
        <w:rPr>
          <w:b/>
        </w:rPr>
        <w:t>4</w:t>
      </w:r>
      <w:r w:rsidR="008E4B08" w:rsidRPr="00724086">
        <w:rPr>
          <w:b/>
        </w:rPr>
        <w:t xml:space="preserve">.5 </w:t>
      </w:r>
      <w:r w:rsidR="00002BC5" w:rsidRPr="00724086">
        <w:rPr>
          <w:b/>
        </w:rPr>
        <w:t>Nispi ithalatın gelişimi</w:t>
      </w:r>
    </w:p>
    <w:p w:rsidR="009A1355" w:rsidRPr="00724086" w:rsidRDefault="009A1355" w:rsidP="00A76298">
      <w:pPr>
        <w:jc w:val="both"/>
        <w:rPr>
          <w:b/>
        </w:rPr>
      </w:pPr>
      <w:r w:rsidRPr="00724086">
        <w:t xml:space="preserve">(1) </w:t>
      </w:r>
      <w:r w:rsidRPr="00724086">
        <w:rPr>
          <w:bCs/>
        </w:rPr>
        <w:t xml:space="preserve">Türkiye toplam benzer mal tüketiminin hesaplanmasında </w:t>
      </w:r>
      <w:r w:rsidR="003516B3" w:rsidRPr="00724086">
        <w:rPr>
          <w:bCs/>
        </w:rPr>
        <w:t>başvuru sahibi yerli üretici</w:t>
      </w:r>
      <w:r w:rsidR="00002BC5" w:rsidRPr="00724086">
        <w:rPr>
          <w:bCs/>
        </w:rPr>
        <w:t>ler</w:t>
      </w:r>
      <w:r w:rsidR="003516B3" w:rsidRPr="00724086">
        <w:rPr>
          <w:bCs/>
        </w:rPr>
        <w:t>in</w:t>
      </w:r>
      <w:r w:rsidRPr="00724086">
        <w:rPr>
          <w:bCs/>
        </w:rPr>
        <w:t xml:space="preserve"> yurt içi satışları genel ithalat miktarı ile toplanmıştır. Yerli üretim dalının yurtiçi satışlarının ve soruşturma konus</w:t>
      </w:r>
      <w:r w:rsidR="003516B3" w:rsidRPr="00724086">
        <w:rPr>
          <w:bCs/>
        </w:rPr>
        <w:t>u ülke</w:t>
      </w:r>
      <w:r w:rsidRPr="00724086">
        <w:rPr>
          <w:bCs/>
        </w:rPr>
        <w:t>den gerçekleştirilen ithalatın toplam tüketime oranlanmasıyla pazar payları hesaplanmıştır.</w:t>
      </w:r>
    </w:p>
    <w:p w:rsidR="008E3E75" w:rsidRPr="00724086" w:rsidRDefault="008E3E75" w:rsidP="003C6689">
      <w:pPr>
        <w:jc w:val="both"/>
        <w:rPr>
          <w:b/>
        </w:rPr>
      </w:pPr>
    </w:p>
    <w:p w:rsidR="00002BC5" w:rsidRPr="00724086" w:rsidRDefault="009A1355" w:rsidP="00002BC5">
      <w:pPr>
        <w:spacing w:after="240"/>
        <w:jc w:val="both"/>
        <w:rPr>
          <w:bCs/>
        </w:rPr>
      </w:pPr>
      <w:r w:rsidRPr="00724086">
        <w:rPr>
          <w:bCs/>
        </w:rPr>
        <w:t xml:space="preserve">(2) </w:t>
      </w:r>
      <w:r w:rsidR="00002BC5" w:rsidRPr="00724086">
        <w:t xml:space="preserve">Buna göre </w:t>
      </w:r>
      <w:r w:rsidR="00002BC5" w:rsidRPr="00724086">
        <w:rPr>
          <w:bCs/>
        </w:rPr>
        <w:t xml:space="preserve">Türkiye toplam tüketiminin </w:t>
      </w:r>
      <w:r w:rsidR="00002BC5" w:rsidRPr="00724086">
        <w:t xml:space="preserve">2015’de 100 iken 2016 yılında 100 ve 2017 yılında ise 107 </w:t>
      </w:r>
      <w:r w:rsidR="00002BC5" w:rsidRPr="00724086">
        <w:rPr>
          <w:bCs/>
        </w:rPr>
        <w:t xml:space="preserve">seviyesine ulaştığı tespit edilmiştir. Yerli üretim dalının </w:t>
      </w:r>
      <w:r w:rsidR="00002BC5" w:rsidRPr="00724086">
        <w:t>2015 yılında 100 birim olan pazar payı, 2016 yılında 103 ve 2017 yılında ise 95 olarak gerçekleşmiştir.</w:t>
      </w:r>
    </w:p>
    <w:p w:rsidR="00002BC5" w:rsidRPr="00724086" w:rsidRDefault="00002BC5" w:rsidP="00002BC5">
      <w:pPr>
        <w:spacing w:after="240"/>
        <w:jc w:val="both"/>
      </w:pPr>
      <w:r w:rsidRPr="00724086">
        <w:t>(3) Tayland’ın 2015 yılında 100 birim olan pazar payı endeksi, 2016 ve 2017 yıllarında ise 81 olarak gerçekleşmiştir.</w:t>
      </w:r>
    </w:p>
    <w:p w:rsidR="005E18A0" w:rsidRPr="00724086" w:rsidRDefault="009A1355" w:rsidP="008E4B08">
      <w:pPr>
        <w:jc w:val="both"/>
        <w:rPr>
          <w:b/>
        </w:rPr>
      </w:pPr>
      <w:r w:rsidRPr="00724086">
        <w:rPr>
          <w:b/>
        </w:rPr>
        <w:t>4</w:t>
      </w:r>
      <w:r w:rsidR="00E30C99" w:rsidRPr="00724086">
        <w:rPr>
          <w:b/>
        </w:rPr>
        <w:t>.6</w:t>
      </w:r>
      <w:r w:rsidR="008E4B08" w:rsidRPr="00724086">
        <w:rPr>
          <w:b/>
        </w:rPr>
        <w:t xml:space="preserve"> </w:t>
      </w:r>
      <w:r w:rsidR="005E18A0" w:rsidRPr="00724086">
        <w:rPr>
          <w:b/>
        </w:rPr>
        <w:t xml:space="preserve">Fiyat kırılması </w:t>
      </w:r>
    </w:p>
    <w:p w:rsidR="008B5D66" w:rsidRPr="00724086" w:rsidRDefault="005E18A0" w:rsidP="008B5D66">
      <w:pPr>
        <w:jc w:val="both"/>
      </w:pPr>
      <w:r w:rsidRPr="00724086">
        <w:t xml:space="preserve">(1) </w:t>
      </w:r>
      <w:r w:rsidR="008B5D66" w:rsidRPr="00724086">
        <w:t>Fiyat kırılması, soruşturma konusu ürünün Türkiye piyasasında oluşan fiyatlarının yerli üretim dalının yurtiçi satış fiyatlarının ne kadar altında kaldığını göstermektedir. Bu kap</w:t>
      </w:r>
      <w:r w:rsidR="00722836" w:rsidRPr="00724086">
        <w:t>samda, soruşturma konusu ülke</w:t>
      </w:r>
      <w:r w:rsidR="008B5D66" w:rsidRPr="00724086">
        <w:t>den gerçekleştirilen ithalatın yerli üretim dalının fiyatlarını ne ölçüde kırdığı incelenmiştir.</w:t>
      </w:r>
    </w:p>
    <w:p w:rsidR="008B5D66" w:rsidRPr="00724086" w:rsidRDefault="008B5D66" w:rsidP="008B5D66">
      <w:pPr>
        <w:jc w:val="both"/>
      </w:pPr>
    </w:p>
    <w:p w:rsidR="008B5D66" w:rsidRPr="00724086" w:rsidRDefault="008B5D66" w:rsidP="008B5D66">
      <w:pPr>
        <w:jc w:val="both"/>
      </w:pPr>
      <w:r w:rsidRPr="00724086">
        <w:t xml:space="preserve">(2) Fiyat kırılması hesaplanırken; CIF ithal fiyatın üzerine, </w:t>
      </w:r>
      <w:r w:rsidR="00722836" w:rsidRPr="00724086">
        <w:t>soruşturma konusu ülkeye yönelik olarak %3 gümrük vergisi ile %2 oranında gümrükleme masrafı eklenerek önlem konusu ürünün Türkiye piyasasına giriş fiyatı bulunmuştur. Dampinge karşı önlemin söz konusu olmadığı bir ortamda önlem konusu ülke menşeli ürünün Türkiye pazarına giriş fiyatının hangi düzeyde olacağına ilişkin değerlendirmeyi mümkün kılmak amacıyla anılan fiyata dampinge karşı önlem eklenmemiştir.</w:t>
      </w:r>
    </w:p>
    <w:p w:rsidR="008B5D66" w:rsidRPr="00724086" w:rsidRDefault="008B5D66" w:rsidP="008B5D66">
      <w:pPr>
        <w:ind w:firstLine="567"/>
        <w:jc w:val="both"/>
      </w:pPr>
    </w:p>
    <w:p w:rsidR="00722836" w:rsidRPr="00724086" w:rsidRDefault="008B5D66" w:rsidP="00722836">
      <w:pPr>
        <w:jc w:val="both"/>
      </w:pPr>
      <w:r w:rsidRPr="00724086">
        <w:t xml:space="preserve">(3) Fiyat kırılması hesaplanırken, </w:t>
      </w:r>
      <w:r w:rsidR="00722836" w:rsidRPr="00724086">
        <w:t>Tayland menşeli ithalatın Türkiye pazarına giriş fiyatları yerli üretim dalının iç piyasa satış fiyatlarıyla karşılaştırılmıştır. Hesaplamalar 2017 yılı için yapılmıştır.</w:t>
      </w:r>
    </w:p>
    <w:p w:rsidR="00722836" w:rsidRPr="00724086" w:rsidRDefault="00722836" w:rsidP="008B5D66">
      <w:pPr>
        <w:jc w:val="both"/>
      </w:pPr>
    </w:p>
    <w:p w:rsidR="008B5D66" w:rsidRPr="00724086" w:rsidRDefault="008B5D66" w:rsidP="008B5D66">
      <w:pPr>
        <w:jc w:val="both"/>
      </w:pPr>
      <w:r w:rsidRPr="00724086">
        <w:t xml:space="preserve">(4) Bu kapsamda, </w:t>
      </w:r>
      <w:r w:rsidR="00722836" w:rsidRPr="00724086">
        <w:t xml:space="preserve">önlem konusu üründe Tayland menşeli ithalatın yerli üretim dalının iç piyasa fiyatlarını %5 ila %10’una tekabül eden değer aralığında kırdığı </w:t>
      </w:r>
      <w:r w:rsidRPr="00724086">
        <w:t>görülmüştür.</w:t>
      </w:r>
    </w:p>
    <w:p w:rsidR="00DD4946" w:rsidRPr="00724086" w:rsidRDefault="00DD4946" w:rsidP="008B5D66">
      <w:pPr>
        <w:jc w:val="both"/>
      </w:pPr>
    </w:p>
    <w:p w:rsidR="0025290B" w:rsidRPr="00724086" w:rsidRDefault="005E18A0" w:rsidP="008E4B08">
      <w:pPr>
        <w:jc w:val="both"/>
        <w:rPr>
          <w:b/>
        </w:rPr>
      </w:pPr>
      <w:r w:rsidRPr="00724086">
        <w:rPr>
          <w:b/>
        </w:rPr>
        <w:t xml:space="preserve">4.7 </w:t>
      </w:r>
      <w:r w:rsidR="00164FF4" w:rsidRPr="00724086">
        <w:rPr>
          <w:b/>
        </w:rPr>
        <w:t xml:space="preserve">Yerli üretim dalının ekonomik göstergeleri </w:t>
      </w:r>
    </w:p>
    <w:p w:rsidR="00BD3213" w:rsidRPr="00724086" w:rsidRDefault="0025290B" w:rsidP="00BD3213">
      <w:pPr>
        <w:jc w:val="both"/>
        <w:rPr>
          <w:bCs/>
        </w:rPr>
      </w:pPr>
      <w:r w:rsidRPr="00724086">
        <w:t xml:space="preserve">(1) </w:t>
      </w:r>
      <w:r w:rsidR="00DB72BC" w:rsidRPr="00724086">
        <w:rPr>
          <w:bCs/>
        </w:rPr>
        <w:t xml:space="preserve">Yerli üretim dalının ekonomik göstergelerinin değerlendirilmesinde </w:t>
      </w:r>
      <w:r w:rsidR="001305C0" w:rsidRPr="00724086">
        <w:rPr>
          <w:bCs/>
        </w:rPr>
        <w:t>yerli üretim dalı niteliğini haiz</w:t>
      </w:r>
      <w:r w:rsidR="00DB72BC" w:rsidRPr="00724086">
        <w:rPr>
          <w:bCs/>
        </w:rPr>
        <w:t xml:space="preserve"> </w:t>
      </w:r>
      <w:r w:rsidR="00FB5779" w:rsidRPr="00724086">
        <w:rPr>
          <w:bCs/>
        </w:rPr>
        <w:t xml:space="preserve">Elpa ve Şahin Lateks firmalarının 2015-2017 yılları arasındaki verileri kullanılmıştır. </w:t>
      </w:r>
      <w:r w:rsidR="00174CD8" w:rsidRPr="00724086">
        <w:t xml:space="preserve">Yönetmelik’in 17 </w:t>
      </w:r>
      <w:r w:rsidR="00BD3213" w:rsidRPr="00724086">
        <w:t xml:space="preserve">nci maddesi hükümleri çerçevesinde, </w:t>
      </w:r>
      <w:r w:rsidR="00DB72BC" w:rsidRPr="00724086">
        <w:t>soruşturma konusu</w:t>
      </w:r>
      <w:r w:rsidR="00BD3213" w:rsidRPr="00724086">
        <w:t xml:space="preserve"> ithalatın yerli üretim dalının ekonomik göstergeleri üzerindeki etkisinin tespiti amacıyla, zarar dönemi içerisinde yerli üretim dalının üretim, satış, pazar payı, yurtiçi fiyatlar, kapasite, kapasite kullanımı, maliyetler, stoklar, istihdam, verimlilik, nakit akışı, kârlılık, net dönem kârı/zararı </w:t>
      </w:r>
      <w:r w:rsidR="008E3E75" w:rsidRPr="00724086">
        <w:t xml:space="preserve">gibi </w:t>
      </w:r>
      <w:r w:rsidR="00BD3213" w:rsidRPr="00724086">
        <w:t xml:space="preserve">göstergeleri analiz edilmiştir. </w:t>
      </w:r>
    </w:p>
    <w:p w:rsidR="00BD3213" w:rsidRPr="00724086" w:rsidRDefault="00BD3213" w:rsidP="00BD3213">
      <w:pPr>
        <w:jc w:val="both"/>
        <w:outlineLvl w:val="0"/>
      </w:pPr>
    </w:p>
    <w:p w:rsidR="00BD3213" w:rsidRPr="00724086" w:rsidRDefault="00BD3213" w:rsidP="00BD3213">
      <w:pPr>
        <w:jc w:val="both"/>
        <w:outlineLvl w:val="0"/>
      </w:pPr>
      <w:r w:rsidRPr="00724086">
        <w:t xml:space="preserve">(2) Söz konusu dönem için yapılan zarar analizinde eğilimi görebilmek amacıyla TL bazındaki veriler </w:t>
      </w:r>
      <w:r w:rsidR="001D108C" w:rsidRPr="00724086">
        <w:t xml:space="preserve">Türkiye İstatistik Kurumu (TÜİK) </w:t>
      </w:r>
      <w:r w:rsidRPr="00724086">
        <w:t>tarafından hesaplanan yıllık ortalama üretici fiyatları endeksi kullanılarak enflasyondan arındırılm</w:t>
      </w:r>
      <w:r w:rsidR="008E3E75" w:rsidRPr="00724086">
        <w:t>ış, reel hale getirilmiş ve 201</w:t>
      </w:r>
      <w:r w:rsidR="00FB5779" w:rsidRPr="00724086">
        <w:t>5</w:t>
      </w:r>
      <w:r w:rsidRPr="00724086">
        <w:t xml:space="preserve"> yılı </w:t>
      </w:r>
      <w:r w:rsidR="0061586A" w:rsidRPr="00724086">
        <w:t>baz</w:t>
      </w:r>
      <w:r w:rsidRPr="00724086">
        <w:t xml:space="preserve"> alınarak endekslenmiştir.</w:t>
      </w:r>
    </w:p>
    <w:p w:rsidR="009243D3" w:rsidRPr="00724086" w:rsidRDefault="009243D3" w:rsidP="009243D3"/>
    <w:p w:rsidR="004F2FA0" w:rsidRPr="00724086" w:rsidRDefault="004F2FA0" w:rsidP="004F2FA0">
      <w:pPr>
        <w:jc w:val="both"/>
        <w:rPr>
          <w:b/>
        </w:rPr>
      </w:pPr>
      <w:r w:rsidRPr="00724086">
        <w:rPr>
          <w:b/>
        </w:rPr>
        <w:t>a) Üretim, kapasite ve kapasite kullanım oranı (KKO)</w:t>
      </w:r>
    </w:p>
    <w:p w:rsidR="00FB5779" w:rsidRPr="00724086" w:rsidRDefault="004F2FA0" w:rsidP="00FB5779">
      <w:pPr>
        <w:spacing w:after="240"/>
        <w:jc w:val="both"/>
      </w:pPr>
      <w:r w:rsidRPr="00724086">
        <w:t xml:space="preserve">(1) Yerli üretim dalının </w:t>
      </w:r>
      <w:r w:rsidR="001C07EE" w:rsidRPr="00724086">
        <w:t>benzer</w:t>
      </w:r>
      <w:r w:rsidRPr="00724086">
        <w:t xml:space="preserve"> üründe </w:t>
      </w:r>
      <w:r w:rsidR="00FB5779" w:rsidRPr="00724086">
        <w:t>üründe 2015 yılında 100 olan üretim miktar endeksi, 2016 yılında 107 ve 2017 yılında ise 115 olmuştur.</w:t>
      </w:r>
    </w:p>
    <w:p w:rsidR="00FB5779" w:rsidRPr="00724086" w:rsidRDefault="00FB5779" w:rsidP="00FB5779">
      <w:pPr>
        <w:spacing w:after="240"/>
        <w:jc w:val="both"/>
      </w:pPr>
      <w:r w:rsidRPr="00724086">
        <w:lastRenderedPageBreak/>
        <w:t>(2) Yerli üretim dalının soruşturma konusu üründe kurulu kapasitesi 2015-2017 döneminde sabit kalırken; KKO endeksi bahse konu dönemde sırasıyla 100, 107 ve 115 olarak tespit edilmiştir.</w:t>
      </w:r>
    </w:p>
    <w:p w:rsidR="00FB5779" w:rsidRPr="00724086" w:rsidRDefault="00FB5779" w:rsidP="00FB5779">
      <w:pPr>
        <w:jc w:val="both"/>
        <w:rPr>
          <w:b/>
        </w:rPr>
      </w:pPr>
      <w:r w:rsidRPr="00724086">
        <w:rPr>
          <w:b/>
        </w:rPr>
        <w:t xml:space="preserve">b) Yurt içi ve yurtdışı satışlar </w:t>
      </w:r>
    </w:p>
    <w:p w:rsidR="00FB5779" w:rsidRPr="00724086" w:rsidRDefault="00FB5779" w:rsidP="00FB5779">
      <w:pPr>
        <w:spacing w:after="240"/>
        <w:jc w:val="both"/>
      </w:pPr>
      <w:r w:rsidRPr="00724086">
        <w:t>(1) Yerli üretim dalının soruşturma konusu üründe 2015 yılında 100 olan yurt içi satış miktar endeksi, 2016 yılında 103 ve 2017 yılında ise 102 olarak gerçekleşmiştir.</w:t>
      </w:r>
    </w:p>
    <w:p w:rsidR="00FB5779" w:rsidRPr="00724086" w:rsidRDefault="00FB5779" w:rsidP="00FB5779">
      <w:pPr>
        <w:spacing w:after="240"/>
        <w:jc w:val="both"/>
      </w:pPr>
      <w:r w:rsidRPr="00724086">
        <w:t xml:space="preserve">(2) Yerli üretim dalının soruşturma konusu üründe yurt dışı satışları ise miktar bazında 2015 yılı 100 olmak üzere 2016 yılında 157 ve 2017 yılında ise 477 olarak gerçekleşmiştir. </w:t>
      </w:r>
    </w:p>
    <w:p w:rsidR="00FB5779" w:rsidRPr="00724086" w:rsidRDefault="00FB5779" w:rsidP="00FB5779">
      <w:pPr>
        <w:jc w:val="both"/>
        <w:rPr>
          <w:b/>
        </w:rPr>
      </w:pPr>
      <w:r w:rsidRPr="00724086">
        <w:rPr>
          <w:b/>
        </w:rPr>
        <w:t>c) Yurtiçi fiyatlar ve fiyatları etkileyen unsurlar</w:t>
      </w:r>
    </w:p>
    <w:p w:rsidR="00FB5779" w:rsidRPr="00724086" w:rsidRDefault="00FB5779" w:rsidP="00FB5779">
      <w:pPr>
        <w:jc w:val="both"/>
      </w:pPr>
      <w:r w:rsidRPr="00724086">
        <w:t>(1) Aynı dönemde, soruşturma konusu ürünün yurt içi satışlarının birim fiyatları reel olarak incelendiğinde 2015 yılında 100 olan yurtiçi satış birim fiyatının 2016 yılında değişmediği ve 2017 yılında 126 olarak gerçekleştiği görülmüştür.</w:t>
      </w:r>
    </w:p>
    <w:p w:rsidR="00FB5779" w:rsidRPr="00724086" w:rsidRDefault="00FB5779" w:rsidP="00FB5779">
      <w:pPr>
        <w:ind w:firstLine="567"/>
        <w:jc w:val="both"/>
      </w:pPr>
    </w:p>
    <w:p w:rsidR="00FB5779" w:rsidRPr="00724086" w:rsidRDefault="00FB5779" w:rsidP="00FB5779">
      <w:pPr>
        <w:jc w:val="both"/>
      </w:pPr>
      <w:r w:rsidRPr="00724086">
        <w:t>(2) Lateks iplik bir maliyet unsuru olup; girdi olarak kullanıldığı tekstil ve mobilya sektörü ürünleri imalatındaki üretim ve satış eğilimleri yurtiçi fiyatları etkilemektedir.</w:t>
      </w:r>
    </w:p>
    <w:p w:rsidR="00FB5779" w:rsidRPr="00724086" w:rsidRDefault="00FB5779" w:rsidP="00FB5779">
      <w:pPr>
        <w:ind w:firstLine="567"/>
        <w:jc w:val="both"/>
      </w:pPr>
    </w:p>
    <w:p w:rsidR="00FB5779" w:rsidRPr="00724086" w:rsidRDefault="00FB5779" w:rsidP="00FB5779">
      <w:pPr>
        <w:jc w:val="both"/>
        <w:rPr>
          <w:b/>
        </w:rPr>
      </w:pPr>
      <w:r w:rsidRPr="00724086">
        <w:rPr>
          <w:b/>
        </w:rPr>
        <w:t xml:space="preserve">ç) Maliyetler ve </w:t>
      </w:r>
      <w:r w:rsidRPr="00724086">
        <w:rPr>
          <w:b/>
          <w:bCs/>
        </w:rPr>
        <w:t>kârlılık</w:t>
      </w:r>
    </w:p>
    <w:p w:rsidR="00FB5779" w:rsidRPr="00724086" w:rsidRDefault="00FB5779" w:rsidP="00FB5779">
      <w:pPr>
        <w:spacing w:after="240"/>
        <w:jc w:val="both"/>
      </w:pPr>
      <w:r w:rsidRPr="00724086">
        <w:t>(1) Yerli üretim dalının benzer üründe ortalama birim ticari maliyet endeksi 2015 yılı 100 olmak üzere 2016 yılında 94 ve 2017 yılında ise 115 olmuştur.</w:t>
      </w:r>
    </w:p>
    <w:p w:rsidR="00FB5779" w:rsidRPr="00724086" w:rsidRDefault="00FB5779" w:rsidP="00FB5779">
      <w:pPr>
        <w:spacing w:after="240"/>
        <w:jc w:val="both"/>
      </w:pPr>
      <w:r w:rsidRPr="00724086">
        <w:t>(2) Yerli üretim dalının soruşturma konusu üründe ticari maliyetleri ve ortalama yurt içi satış fiyatları dikkate alınarak hesaplanan yurt içi ürün birim kârlılık endeksi 2015 yılı 100 olmak üzere 2016 yılında 803 ve 2017 yılında ise 1397 düzeyinde gerçekleşmiştir.</w:t>
      </w:r>
    </w:p>
    <w:p w:rsidR="00FB5779" w:rsidRPr="00724086" w:rsidRDefault="00FB5779" w:rsidP="00FB5779">
      <w:pPr>
        <w:spacing w:after="240"/>
        <w:jc w:val="both"/>
      </w:pPr>
      <w:r w:rsidRPr="00724086">
        <w:t>(3)  Yerli üretim dalının soruşturma konusu üründe toplam birim kârlılığı 2015 yılı 100 olmak üzere 2016 yılında 849 ve 2017 yılında ise 1279 olarak</w:t>
      </w:r>
      <w:r w:rsidRPr="00724086">
        <w:rPr>
          <w:b/>
        </w:rPr>
        <w:t xml:space="preserve"> </w:t>
      </w:r>
      <w:r w:rsidRPr="00724086">
        <w:t>gerçekleşmiştir.</w:t>
      </w:r>
    </w:p>
    <w:p w:rsidR="00FB5779" w:rsidRPr="00724086" w:rsidRDefault="00FB5779" w:rsidP="00FB5779">
      <w:pPr>
        <w:jc w:val="both"/>
        <w:rPr>
          <w:b/>
        </w:rPr>
      </w:pPr>
      <w:r w:rsidRPr="00724086">
        <w:rPr>
          <w:b/>
        </w:rPr>
        <w:t>d) Pazar payı</w:t>
      </w:r>
    </w:p>
    <w:p w:rsidR="00FB5779" w:rsidRPr="00724086" w:rsidRDefault="00FB5779" w:rsidP="00FB5779">
      <w:pPr>
        <w:spacing w:after="240"/>
        <w:jc w:val="both"/>
      </w:pPr>
      <w:r w:rsidRPr="00724086">
        <w:t>(1) Soruşturma konusu üründe yerli üretim dalının pazar payı endeksi 2015-2017 döneminde sırasıyla 100, 103 ve 95 düzeyindedir.</w:t>
      </w:r>
    </w:p>
    <w:p w:rsidR="00FB5779" w:rsidRPr="00724086" w:rsidRDefault="00FB5779" w:rsidP="00FB5779">
      <w:pPr>
        <w:jc w:val="both"/>
        <w:rPr>
          <w:b/>
          <w:bCs/>
        </w:rPr>
      </w:pPr>
      <w:r w:rsidRPr="00724086">
        <w:rPr>
          <w:b/>
          <w:bCs/>
        </w:rPr>
        <w:t>e) Verimlilik</w:t>
      </w:r>
    </w:p>
    <w:p w:rsidR="00FB5779" w:rsidRPr="00724086" w:rsidRDefault="00FB5779" w:rsidP="00FB5779">
      <w:pPr>
        <w:spacing w:after="240"/>
        <w:jc w:val="both"/>
      </w:pPr>
      <w:r w:rsidRPr="00724086">
        <w:t>(1) Yerli üretim dalının benzer ürün üretiminde işçi başına düşen üretim rakamını yansıtan verimlilik endeksi 2015-2017 döneminde sırasıyla 100, 109 ve 111 olmuştur.</w:t>
      </w:r>
    </w:p>
    <w:p w:rsidR="00FB5779" w:rsidRPr="00724086" w:rsidRDefault="00FB5779" w:rsidP="00FB5779">
      <w:pPr>
        <w:jc w:val="both"/>
        <w:rPr>
          <w:b/>
          <w:bCs/>
        </w:rPr>
      </w:pPr>
      <w:r w:rsidRPr="00724086">
        <w:rPr>
          <w:b/>
          <w:bCs/>
        </w:rPr>
        <w:t>f) Nakit akışı</w:t>
      </w:r>
    </w:p>
    <w:p w:rsidR="00FB5779" w:rsidRPr="00724086" w:rsidRDefault="00FB5779" w:rsidP="00FB5779">
      <w:pPr>
        <w:spacing w:after="240"/>
        <w:jc w:val="both"/>
      </w:pPr>
      <w:r w:rsidRPr="00724086">
        <w:t>(1) Yerli üretim dalının soruşturma konusu ürün satışlarından elde ettiği nakit akışı endeksi 2015 yılı 100 olarak alındığında 2016 yılında 463 ve 2017 yılında ise 721  olarak</w:t>
      </w:r>
      <w:r w:rsidRPr="00724086">
        <w:rPr>
          <w:b/>
        </w:rPr>
        <w:t xml:space="preserve"> </w:t>
      </w:r>
      <w:r w:rsidRPr="00724086">
        <w:t xml:space="preserve">tespit edilmiştir. </w:t>
      </w:r>
    </w:p>
    <w:p w:rsidR="00FB5779" w:rsidRPr="00724086" w:rsidRDefault="00FB5779" w:rsidP="00FB5779">
      <w:pPr>
        <w:jc w:val="both"/>
        <w:rPr>
          <w:b/>
        </w:rPr>
      </w:pPr>
      <w:r w:rsidRPr="00724086">
        <w:rPr>
          <w:b/>
        </w:rPr>
        <w:t>g) Stoklar</w:t>
      </w:r>
    </w:p>
    <w:p w:rsidR="00FB5779" w:rsidRPr="00724086" w:rsidRDefault="00FB5779" w:rsidP="00FB5779">
      <w:pPr>
        <w:spacing w:after="240"/>
        <w:jc w:val="both"/>
      </w:pPr>
      <w:r w:rsidRPr="00724086">
        <w:t>(1) Yerli üretim dalının benzer üründeki stok verileri incelendiğinde, miktar bazında 2015 yılında 100, 2016 yılında 137 olan stok endeksinin, 2017 yılında 114</w:t>
      </w:r>
      <w:r w:rsidRPr="00724086">
        <w:rPr>
          <w:b/>
        </w:rPr>
        <w:t xml:space="preserve"> </w:t>
      </w:r>
      <w:r w:rsidRPr="00724086">
        <w:t>seviyesinde gerçekleştiği görülmektedir.</w:t>
      </w:r>
    </w:p>
    <w:p w:rsidR="00FB5779" w:rsidRPr="00724086" w:rsidRDefault="00FB5779" w:rsidP="00FB5779">
      <w:pPr>
        <w:spacing w:after="240"/>
        <w:jc w:val="both"/>
      </w:pPr>
      <w:r w:rsidRPr="00724086">
        <w:t>(2) 2015-2017 döneminde stok çevrim hızları ise sırasıyla 100, 77 ve 100 olarak gerçekleşmiştir.</w:t>
      </w:r>
    </w:p>
    <w:p w:rsidR="00FB5779" w:rsidRPr="00724086" w:rsidRDefault="00674D4A" w:rsidP="00FB5779">
      <w:pPr>
        <w:jc w:val="both"/>
        <w:rPr>
          <w:b/>
          <w:bCs/>
        </w:rPr>
      </w:pPr>
      <w:r>
        <w:rPr>
          <w:b/>
          <w:bCs/>
        </w:rPr>
        <w:t>ğ</w:t>
      </w:r>
      <w:r w:rsidR="00FB5779" w:rsidRPr="00724086">
        <w:rPr>
          <w:b/>
          <w:bCs/>
        </w:rPr>
        <w:t>) İstihdam</w:t>
      </w:r>
    </w:p>
    <w:p w:rsidR="00FB5779" w:rsidRPr="00724086" w:rsidRDefault="00FB5779" w:rsidP="00FB5779">
      <w:pPr>
        <w:spacing w:after="240"/>
        <w:jc w:val="both"/>
      </w:pPr>
      <w:r w:rsidRPr="00724086">
        <w:t xml:space="preserve">(1) Yerli üretim dalının doğrudan işçi sayısı endeksi 2015 yılında 100, 2016 yılında 98 ve 2017 yılında 104 olarak tespit edilmiştir. </w:t>
      </w:r>
    </w:p>
    <w:p w:rsidR="00FB5779" w:rsidRPr="00724086" w:rsidRDefault="00674D4A" w:rsidP="00FB5779">
      <w:pPr>
        <w:jc w:val="both"/>
        <w:rPr>
          <w:b/>
        </w:rPr>
      </w:pPr>
      <w:r>
        <w:rPr>
          <w:b/>
        </w:rPr>
        <w:lastRenderedPageBreak/>
        <w:t>h</w:t>
      </w:r>
      <w:r w:rsidR="00FB5779" w:rsidRPr="00724086">
        <w:rPr>
          <w:b/>
        </w:rPr>
        <w:t>) Ücretler</w:t>
      </w:r>
    </w:p>
    <w:p w:rsidR="00FB5779" w:rsidRPr="00724086" w:rsidRDefault="00FB5779" w:rsidP="00FB5779">
      <w:pPr>
        <w:pStyle w:val="GvdeMetni2"/>
        <w:spacing w:after="240" w:line="240" w:lineRule="auto"/>
        <w:jc w:val="both"/>
        <w:rPr>
          <w:lang w:val="tr-TR"/>
        </w:rPr>
      </w:pPr>
      <w:r w:rsidRPr="00724086">
        <w:rPr>
          <w:lang w:val="tr-TR"/>
        </w:rPr>
        <w:t>(1) Yerli üretim dalının aylık brüt işçi ücret endeksi 2015 yılı 100 olmak üzere, 2016 yılında 122 ve 2017 yılında 127 düzeyinde gerçekleşmiştir.</w:t>
      </w:r>
    </w:p>
    <w:p w:rsidR="00FB5779" w:rsidRPr="00724086" w:rsidRDefault="00674D4A" w:rsidP="00FB5779">
      <w:pPr>
        <w:jc w:val="both"/>
        <w:rPr>
          <w:b/>
          <w:bCs/>
        </w:rPr>
      </w:pPr>
      <w:r>
        <w:rPr>
          <w:b/>
          <w:bCs/>
        </w:rPr>
        <w:t>ı</w:t>
      </w:r>
      <w:r w:rsidR="00FB5779" w:rsidRPr="00724086">
        <w:rPr>
          <w:b/>
          <w:bCs/>
        </w:rPr>
        <w:t>) Büyüme</w:t>
      </w:r>
    </w:p>
    <w:p w:rsidR="00FB5779" w:rsidRPr="00724086" w:rsidRDefault="00FB5779" w:rsidP="00FB5779">
      <w:pPr>
        <w:spacing w:after="240"/>
        <w:jc w:val="both"/>
      </w:pPr>
      <w:r w:rsidRPr="00724086">
        <w:t>(1) Yerli üretim dalının bütün faaliyetleri ile ilgili olarak, bilançosunda yer alan aktif büyüklüğü reel olarak 2015-2017 döneminde sırasıyla 100, 110 ve 121</w:t>
      </w:r>
      <w:r w:rsidRPr="00724086">
        <w:rPr>
          <w:b/>
        </w:rPr>
        <w:t xml:space="preserve"> </w:t>
      </w:r>
      <w:r w:rsidRPr="00724086">
        <w:t>olarak gerçekleşmiştir.</w:t>
      </w:r>
    </w:p>
    <w:p w:rsidR="00FB5779" w:rsidRPr="00724086" w:rsidRDefault="00674D4A" w:rsidP="00FB5779">
      <w:pPr>
        <w:jc w:val="both"/>
        <w:rPr>
          <w:b/>
        </w:rPr>
      </w:pPr>
      <w:r>
        <w:rPr>
          <w:b/>
        </w:rPr>
        <w:t>i</w:t>
      </w:r>
      <w:r w:rsidR="00FB5779" w:rsidRPr="00724086">
        <w:rPr>
          <w:b/>
        </w:rPr>
        <w:t>) Sermaye arttırma yeteneği</w:t>
      </w:r>
    </w:p>
    <w:p w:rsidR="00FB5779" w:rsidRPr="00724086" w:rsidRDefault="00FB5779" w:rsidP="00FB5779">
      <w:pPr>
        <w:shd w:val="clear" w:color="auto" w:fill="FFFFFF"/>
        <w:jc w:val="both"/>
        <w:rPr>
          <w:szCs w:val="20"/>
          <w:lang w:eastAsia="en-US"/>
        </w:rPr>
      </w:pPr>
      <w:r w:rsidRPr="00724086">
        <w:rPr>
          <w:rFonts w:eastAsia="MS Mincho"/>
          <w:lang w:eastAsia="ja-JP"/>
        </w:rPr>
        <w:t xml:space="preserve">(1) </w:t>
      </w:r>
      <w:r w:rsidR="00674D4A">
        <w:rPr>
          <w:rFonts w:eastAsia="MS Mincho"/>
          <w:lang w:eastAsia="ja-JP"/>
        </w:rPr>
        <w:t>Yerli üretim dalının s</w:t>
      </w:r>
      <w:r w:rsidRPr="00724086">
        <w:rPr>
          <w:rFonts w:eastAsia="MS Mincho"/>
          <w:lang w:eastAsia="ja-JP"/>
        </w:rPr>
        <w:t xml:space="preserve">ermaye arttırma yeteneğini görmek için, özsermayenin gelişimi incelenmiştir. </w:t>
      </w:r>
      <w:r w:rsidRPr="00724086">
        <w:t>Yerli üretim dalının</w:t>
      </w:r>
      <w:r w:rsidRPr="00724086">
        <w:rPr>
          <w:rFonts w:eastAsia="MS Mincho"/>
          <w:lang w:eastAsia="ja-JP"/>
        </w:rPr>
        <w:t xml:space="preserve"> bütün faaliyetleri ile ilgili olarak, 2015 yılında 100 olan öz sermaye büyüklük endeksi takip eden yıllarda sırasıyla 144 </w:t>
      </w:r>
      <w:r w:rsidRPr="00724086">
        <w:t>ve 198 olarak</w:t>
      </w:r>
      <w:r w:rsidRPr="00724086">
        <w:rPr>
          <w:rFonts w:eastAsia="MS Mincho"/>
          <w:lang w:eastAsia="ja-JP"/>
        </w:rPr>
        <w:t xml:space="preserve"> gerçekleşmiştir.</w:t>
      </w:r>
    </w:p>
    <w:p w:rsidR="00FB5779" w:rsidRPr="00724086" w:rsidRDefault="00FB5779" w:rsidP="00FB5779">
      <w:pPr>
        <w:ind w:firstLine="567"/>
        <w:jc w:val="both"/>
        <w:rPr>
          <w:b/>
        </w:rPr>
      </w:pPr>
    </w:p>
    <w:p w:rsidR="00FB5779" w:rsidRPr="00724086" w:rsidRDefault="00674D4A" w:rsidP="00FB5779">
      <w:pPr>
        <w:jc w:val="both"/>
        <w:rPr>
          <w:b/>
          <w:lang w:val="x-none"/>
        </w:rPr>
      </w:pPr>
      <w:r>
        <w:rPr>
          <w:b/>
        </w:rPr>
        <w:t>j</w:t>
      </w:r>
      <w:r w:rsidR="00FB5779" w:rsidRPr="00724086">
        <w:rPr>
          <w:b/>
          <w:lang w:val="x-none"/>
        </w:rPr>
        <w:t>) Yatırımları arttırma yeteneği</w:t>
      </w:r>
    </w:p>
    <w:p w:rsidR="00FB5779" w:rsidRPr="00724086" w:rsidRDefault="00FB5779" w:rsidP="00FB5779">
      <w:pPr>
        <w:jc w:val="both"/>
      </w:pPr>
      <w:r w:rsidRPr="00724086">
        <w:t>(1) Yerli üretim dalının bütün faaliyetlerine ilişkin olarak 2015-2017 döneminde tevsi ve yenileme yatırımı gerçekleşmemiştir.</w:t>
      </w:r>
    </w:p>
    <w:p w:rsidR="00FB5779" w:rsidRPr="00724086" w:rsidRDefault="00FB5779" w:rsidP="00FB5779">
      <w:pPr>
        <w:ind w:firstLine="567"/>
        <w:jc w:val="both"/>
        <w:rPr>
          <w:b/>
        </w:rPr>
      </w:pPr>
    </w:p>
    <w:p w:rsidR="00FB5779" w:rsidRPr="00724086" w:rsidRDefault="00674D4A" w:rsidP="00FB5779">
      <w:pPr>
        <w:jc w:val="both"/>
        <w:rPr>
          <w:b/>
        </w:rPr>
      </w:pPr>
      <w:r>
        <w:rPr>
          <w:b/>
        </w:rPr>
        <w:t>k</w:t>
      </w:r>
      <w:r w:rsidR="00FB5779" w:rsidRPr="00724086">
        <w:rPr>
          <w:b/>
        </w:rPr>
        <w:t>) Yatırımların geri dönüşü</w:t>
      </w:r>
    </w:p>
    <w:p w:rsidR="00FB5779" w:rsidRPr="00724086" w:rsidRDefault="00FB5779" w:rsidP="00FB5779">
      <w:pPr>
        <w:shd w:val="clear" w:color="auto" w:fill="FFFFFF"/>
        <w:jc w:val="both"/>
      </w:pPr>
      <w:r w:rsidRPr="00724086">
        <w:t>(1) Yatırımların geri dönüşünü analiz etmek amacıyla yerli üretim dalının yatırdığı özsermayeye karşılık elde ettiği kârı (kâr/özsermaye) incelenmiştir. Buna göre, yerli üretim dalının bütün faaliyetleri ile ilgili olarak 2015 yılında -100 olan kâr/özsermayesi, takip eden yıllarda sırasıyla 1365 ve 1952 olarak gerçekleşmiştir.</w:t>
      </w:r>
    </w:p>
    <w:p w:rsidR="00FB5779" w:rsidRPr="00724086" w:rsidRDefault="00FB5779" w:rsidP="00FB5779">
      <w:pPr>
        <w:shd w:val="clear" w:color="auto" w:fill="FFFFFF"/>
        <w:ind w:firstLine="567"/>
        <w:jc w:val="both"/>
      </w:pPr>
    </w:p>
    <w:p w:rsidR="00FB5779" w:rsidRPr="00724086" w:rsidRDefault="00CC07FD" w:rsidP="00FB5779">
      <w:pPr>
        <w:shd w:val="clear" w:color="auto" w:fill="FFFFFF"/>
        <w:jc w:val="both"/>
        <w:rPr>
          <w:b/>
        </w:rPr>
      </w:pPr>
      <w:r>
        <w:rPr>
          <w:b/>
        </w:rPr>
        <w:t>l</w:t>
      </w:r>
      <w:r w:rsidR="00FB5779" w:rsidRPr="00724086">
        <w:rPr>
          <w:b/>
        </w:rPr>
        <w:t>) Önceki soruşturmada tespit edilen damping marjının büyüklüğü</w:t>
      </w:r>
    </w:p>
    <w:p w:rsidR="00FB5779" w:rsidRPr="00724086" w:rsidRDefault="00FB5779" w:rsidP="00FB5779">
      <w:pPr>
        <w:shd w:val="clear" w:color="auto" w:fill="FFFFFF"/>
        <w:jc w:val="both"/>
      </w:pPr>
      <w:r w:rsidRPr="00724086">
        <w:t xml:space="preserve">(1) Tayland menşeli </w:t>
      </w:r>
      <w:r w:rsidRPr="00724086">
        <w:rPr>
          <w:bCs/>
        </w:rPr>
        <w:t xml:space="preserve">ithalat için CIF ihraç fiyatının yüzdesi olarak hesaplanan ve </w:t>
      </w:r>
      <w:r w:rsidR="00CC07FD">
        <w:rPr>
          <w:bCs/>
        </w:rPr>
        <w:t>esas</w:t>
      </w:r>
      <w:r w:rsidRPr="00724086">
        <w:rPr>
          <w:bCs/>
        </w:rPr>
        <w:t xml:space="preserve"> soruşturmada tespit edilen damping marjı Natural Rubber Thread Co., Ltd firması için %4,37; diğer firmalar içinse %8,75’tir.</w:t>
      </w:r>
    </w:p>
    <w:p w:rsidR="00FB5779" w:rsidRPr="00724086" w:rsidRDefault="00FB5779" w:rsidP="00FB5779">
      <w:pPr>
        <w:ind w:firstLine="567"/>
        <w:jc w:val="both"/>
      </w:pPr>
    </w:p>
    <w:p w:rsidR="008E4B08" w:rsidRPr="00724086" w:rsidRDefault="009A1355" w:rsidP="00DF4E77">
      <w:pPr>
        <w:jc w:val="both"/>
      </w:pPr>
      <w:r w:rsidRPr="00724086">
        <w:rPr>
          <w:b/>
        </w:rPr>
        <w:t>4</w:t>
      </w:r>
      <w:r w:rsidR="008E4B08" w:rsidRPr="00724086">
        <w:rPr>
          <w:b/>
        </w:rPr>
        <w:t xml:space="preserve">.8 </w:t>
      </w:r>
      <w:r w:rsidR="00164FF4" w:rsidRPr="00724086">
        <w:rPr>
          <w:b/>
        </w:rPr>
        <w:t>Yerli üretim dalının ekonomik göstergelerinin değerlendirilmesi</w:t>
      </w:r>
    </w:p>
    <w:p w:rsidR="00E918C4" w:rsidRPr="00724086" w:rsidRDefault="0025290B" w:rsidP="00E918C4">
      <w:pPr>
        <w:spacing w:after="240"/>
        <w:jc w:val="both"/>
      </w:pPr>
      <w:r w:rsidRPr="00724086">
        <w:t>(1)</w:t>
      </w:r>
      <w:r w:rsidR="003C6689" w:rsidRPr="00724086">
        <w:t xml:space="preserve"> </w:t>
      </w:r>
      <w:r w:rsidR="00AD3C96" w:rsidRPr="00724086">
        <w:t xml:space="preserve">Gözden geçirme döneminde yerli üretim dalının ekonomik göstergeleri bir bütün olarak değerlendirildiğinde; </w:t>
      </w:r>
      <w:r w:rsidR="00E918C4" w:rsidRPr="00724086">
        <w:t xml:space="preserve">soruşturma konusu üründe 2017 yılında, 2016 yılına göre üretim, birim yurtiçi satış fiyatı ile ortalama birim karlılığının artış gösterdiği, stok çevrim hızının arttığı, yerli üretim dalının özsermaye ve bilanço aktif büyüklüğü gibi göstergelerinin ise olumlu seyir izlediği tespit edilmiştir. </w:t>
      </w:r>
    </w:p>
    <w:p w:rsidR="00E918C4" w:rsidRPr="00724086" w:rsidRDefault="00E918C4" w:rsidP="00E918C4">
      <w:pPr>
        <w:pStyle w:val="GvdeMetniGirintisi3"/>
        <w:ind w:left="0" w:firstLine="0"/>
      </w:pPr>
      <w:r w:rsidRPr="00724086">
        <w:t>(2) Öte taraftan, gözden geçirme döneminde soruşturma konusu üründe 2017 yılında, 2016 yılına göre yurtiçi satış miktarının azaldığı, birim ticari maliyetin arttığı ve yerli üretim dalının 2017 yılında yurtdışı satışlardan zarar ettiği tespit edilmiştir. Ayrıca, 2017 yılında artış gösteren yerli üretim dalının birim yurtiçi satış fiyatının gözden geçirme döneminin 2015 ve 2016 yıllarında ise sabit bir seyir izlediği; bu çerçevede, fiyat baskısı altında yerli üretim dalının yurtiçi satış fiyatlarını istikrarlı bir şekilde belirleyemediği değerlendirilmiştir. İlaveten, dönem sonu stok miktarı 2017 yılında azalış göstermesine rağmen; 2016 yılında, 2015 yılına göre artmıştır.</w:t>
      </w:r>
    </w:p>
    <w:p w:rsidR="00E918C4" w:rsidRPr="00724086" w:rsidRDefault="00E918C4" w:rsidP="00E918C4">
      <w:pPr>
        <w:ind w:firstLine="567"/>
        <w:jc w:val="both"/>
      </w:pPr>
    </w:p>
    <w:p w:rsidR="00E918C4" w:rsidRDefault="00E918C4" w:rsidP="00E918C4">
      <w:pPr>
        <w:jc w:val="both"/>
      </w:pPr>
      <w:r w:rsidRPr="00724086">
        <w:t>(3) Bazı ithalatçı firmalar tarafından yerli üreticinin dış pazarda, iç pazara verdiği fiyatlardan daha düşük fiyat politikası izlediği iddia edilmiştir. Ancak, yerli üreticinin gözden geçirme döneminde soruşturma konusu üründeki ortalama yurtdışı birim fiyatının, ortalama yurtiçi birim fiyatına yakın seviyelerde seyrettiği tespit edilmiştir.</w:t>
      </w:r>
    </w:p>
    <w:p w:rsidR="0087434A" w:rsidRDefault="0087434A" w:rsidP="00E918C4">
      <w:pPr>
        <w:jc w:val="both"/>
      </w:pPr>
    </w:p>
    <w:p w:rsidR="0087434A" w:rsidRPr="00724086" w:rsidRDefault="0087434A" w:rsidP="00785C93">
      <w:pPr>
        <w:pStyle w:val="GvdeMetniGirintisi3"/>
        <w:ind w:left="0" w:firstLine="0"/>
      </w:pPr>
      <w:r>
        <w:t xml:space="preserve">(4) </w:t>
      </w:r>
      <w:r w:rsidR="00785C93">
        <w:t xml:space="preserve">Bazı ihracatçı firmalar, yerli üretim dalının ekonomik göstergelerinde çok olumlu bir seyrin söz konusu olduğunu belirtmişlerdir. Ancak gözden geçirme döneminin </w:t>
      </w:r>
      <w:r w:rsidR="00785C93" w:rsidRPr="00EE1927">
        <w:t>2017 yılında, 2016 yılına göre yurtiçi satış miktarının azaldığı</w:t>
      </w:r>
      <w:r w:rsidR="00785C93">
        <w:t>, birim ticari maliyet ve yurtdışı satış gibi bazı ekonomik göstergelerde ise bozulmalar yaşandığı tespit edilmiştir.</w:t>
      </w:r>
      <w:r w:rsidR="00F53527">
        <w:t xml:space="preserve"> Bu çerçevede, nihai gözden </w:t>
      </w:r>
      <w:r w:rsidR="00F53527">
        <w:lastRenderedPageBreak/>
        <w:t>geçirme soruşturması esnasında zararın devam etmesinin veya yeniden meydana gelmesinin muhtemel olup olmadığı incelendiğinde; yerli üretim dalının ekonomik göstergelerinde, ortaya çıkan sonucu değiştirecek veya geçersiz kılacak bir neticeye ulaşılmamıştır.</w:t>
      </w:r>
    </w:p>
    <w:p w:rsidR="00E918C4" w:rsidRPr="00724086" w:rsidRDefault="00E918C4" w:rsidP="00E918C4">
      <w:pPr>
        <w:jc w:val="both"/>
      </w:pPr>
    </w:p>
    <w:p w:rsidR="00164FF4" w:rsidRPr="00724086" w:rsidRDefault="00DF4E77" w:rsidP="008E4B08">
      <w:pPr>
        <w:tabs>
          <w:tab w:val="left" w:pos="709"/>
        </w:tabs>
        <w:rPr>
          <w:b/>
          <w:bCs/>
          <w:caps/>
        </w:rPr>
      </w:pPr>
      <w:r w:rsidRPr="00724086">
        <w:rPr>
          <w:b/>
          <w:bCs/>
          <w:caps/>
        </w:rPr>
        <w:t>5</w:t>
      </w:r>
      <w:r w:rsidR="008E4B08" w:rsidRPr="00724086">
        <w:rPr>
          <w:b/>
          <w:bCs/>
          <w:caps/>
        </w:rPr>
        <w:t xml:space="preserve">. </w:t>
      </w:r>
      <w:r w:rsidR="00164FF4" w:rsidRPr="00724086">
        <w:rPr>
          <w:b/>
          <w:bCs/>
          <w:caps/>
        </w:rPr>
        <w:t>Dampingin ve Zararın Devamı veya Yeniden Meydana Gelmesi İhtimalinin Değerlendirilmesi</w:t>
      </w:r>
    </w:p>
    <w:p w:rsidR="00164FF4" w:rsidRPr="00724086" w:rsidRDefault="00164FF4" w:rsidP="00164FF4">
      <w:pPr>
        <w:tabs>
          <w:tab w:val="left" w:pos="709"/>
        </w:tabs>
        <w:ind w:firstLine="567"/>
        <w:rPr>
          <w:b/>
          <w:bCs/>
        </w:rPr>
      </w:pPr>
    </w:p>
    <w:p w:rsidR="00164FF4" w:rsidRPr="00724086" w:rsidRDefault="00DF4E77" w:rsidP="008E4B08">
      <w:pPr>
        <w:tabs>
          <w:tab w:val="left" w:pos="709"/>
        </w:tabs>
        <w:rPr>
          <w:b/>
          <w:bCs/>
        </w:rPr>
      </w:pPr>
      <w:r w:rsidRPr="00724086">
        <w:rPr>
          <w:b/>
          <w:bCs/>
        </w:rPr>
        <w:t>5</w:t>
      </w:r>
      <w:r w:rsidR="008E4B08" w:rsidRPr="00724086">
        <w:rPr>
          <w:b/>
          <w:bCs/>
        </w:rPr>
        <w:t xml:space="preserve">.1 </w:t>
      </w:r>
      <w:r w:rsidR="00164FF4" w:rsidRPr="00724086">
        <w:rPr>
          <w:b/>
          <w:bCs/>
        </w:rPr>
        <w:t>Genel açıklamalar</w:t>
      </w:r>
    </w:p>
    <w:p w:rsidR="004463AA" w:rsidRPr="00724086" w:rsidRDefault="00164FF4" w:rsidP="004463AA">
      <w:pPr>
        <w:pStyle w:val="GvdeMetniGirintisi3"/>
        <w:ind w:left="0" w:firstLine="0"/>
      </w:pPr>
      <w:r w:rsidRPr="00724086">
        <w:t>(1)</w:t>
      </w:r>
      <w:r w:rsidRPr="00724086">
        <w:rPr>
          <w:b/>
          <w:bCs/>
        </w:rPr>
        <w:t xml:space="preserve"> </w:t>
      </w:r>
      <w:r w:rsidR="007B1ADE" w:rsidRPr="00724086">
        <w:t>Yönetmelik’in</w:t>
      </w:r>
      <w:r w:rsidR="00BC461F" w:rsidRPr="00724086">
        <w:rPr>
          <w:bCs/>
        </w:rPr>
        <w:t xml:space="preserve"> 35 inci maddesi hükümleri gereğince, önlemin yürürlükten kalkması halinde dampingin ve zararın devam etmesinin veya yeniden meydana gelmesinin muhtemel olup olmadığı değerlendirilmiştir.</w:t>
      </w:r>
      <w:r w:rsidR="00BC461F" w:rsidRPr="00724086">
        <w:t xml:space="preserve"> </w:t>
      </w:r>
      <w:r w:rsidR="00BC461F" w:rsidRPr="00724086">
        <w:rPr>
          <w:bCs/>
        </w:rPr>
        <w:t xml:space="preserve">Bu çerçevede, önleme tabi ülkedeki kapasite ve ihracat potansiyeli ile talebi etkileyen unsurlar incelenmiştir. </w:t>
      </w:r>
      <w:r w:rsidR="00BC461F" w:rsidRPr="00724086">
        <w:t xml:space="preserve">Önleme tabi </w:t>
      </w:r>
      <w:r w:rsidR="00602476" w:rsidRPr="00724086">
        <w:t>ülke</w:t>
      </w:r>
      <w:r w:rsidR="004463AA" w:rsidRPr="00724086">
        <w:t>n</w:t>
      </w:r>
      <w:r w:rsidR="00602476" w:rsidRPr="00724086">
        <w:t xml:space="preserve">in ihracat kabiliyeti, Uluslararası Ticaret Merkezi (International Trade Center - ITC) verileri </w:t>
      </w:r>
      <w:r w:rsidR="00602476" w:rsidRPr="00724086">
        <w:rPr>
          <w:bCs/>
        </w:rPr>
        <w:t xml:space="preserve">ile </w:t>
      </w:r>
      <w:r w:rsidR="004463AA" w:rsidRPr="00724086">
        <w:rPr>
          <w:bCs/>
        </w:rPr>
        <w:t>İş Bankası’nın Tekstil ve Mobilya Sektörü Raporlarından faydalanılarak incelenmiştir.</w:t>
      </w:r>
    </w:p>
    <w:p w:rsidR="00D658B0" w:rsidRPr="00724086" w:rsidRDefault="00D658B0" w:rsidP="00BC461F">
      <w:pPr>
        <w:pStyle w:val="GvdeMetniGirintisi3"/>
        <w:ind w:left="0" w:firstLine="0"/>
        <w:rPr>
          <w:b/>
        </w:rPr>
      </w:pPr>
    </w:p>
    <w:p w:rsidR="009D662D" w:rsidRPr="00724086" w:rsidRDefault="00DF4E77" w:rsidP="00BC461F">
      <w:pPr>
        <w:pStyle w:val="GvdeMetniGirintisi3"/>
        <w:ind w:left="0" w:firstLine="0"/>
        <w:rPr>
          <w:b/>
        </w:rPr>
      </w:pPr>
      <w:r w:rsidRPr="00724086">
        <w:rPr>
          <w:b/>
        </w:rPr>
        <w:t>5</w:t>
      </w:r>
      <w:r w:rsidR="009D662D" w:rsidRPr="00724086">
        <w:rPr>
          <w:b/>
        </w:rPr>
        <w:t>.2 Damping</w:t>
      </w:r>
      <w:r w:rsidR="00A97583" w:rsidRPr="00724086">
        <w:rPr>
          <w:b/>
        </w:rPr>
        <w:t>in</w:t>
      </w:r>
      <w:r w:rsidR="009D662D" w:rsidRPr="00724086">
        <w:rPr>
          <w:b/>
        </w:rPr>
        <w:t xml:space="preserve"> devamına veya yeniden meydana </w:t>
      </w:r>
      <w:r w:rsidR="00B63F74" w:rsidRPr="00724086">
        <w:rPr>
          <w:b/>
        </w:rPr>
        <w:t>gelme</w:t>
      </w:r>
      <w:r w:rsidR="009D662D" w:rsidRPr="00724086">
        <w:rPr>
          <w:b/>
        </w:rPr>
        <w:t xml:space="preserve"> ihtimaline ilişkin belirlemeler</w:t>
      </w:r>
    </w:p>
    <w:p w:rsidR="009D662D" w:rsidRPr="00724086" w:rsidRDefault="009D662D" w:rsidP="009D662D">
      <w:pPr>
        <w:jc w:val="both"/>
      </w:pPr>
      <w:r w:rsidRPr="00724086">
        <w:t xml:space="preserve">(1) Bu raporun üçüncü bölümündeki değerlendirme çerçevesinde mevcut önlemin yürürlükten kaldırılması halinde dampinge konu olan soruşturma konusu ithalatın </w:t>
      </w:r>
      <w:r w:rsidR="00006960" w:rsidRPr="00724086">
        <w:t>yeniden ortaya çıkmasının muhtemel olduğu</w:t>
      </w:r>
      <w:r w:rsidR="00805A07" w:rsidRPr="00724086">
        <w:t>na kanaat getirilmiştir.</w:t>
      </w:r>
    </w:p>
    <w:p w:rsidR="009D662D" w:rsidRPr="00724086" w:rsidRDefault="009D662D" w:rsidP="009D662D">
      <w:pPr>
        <w:ind w:firstLine="708"/>
        <w:jc w:val="both"/>
      </w:pPr>
    </w:p>
    <w:p w:rsidR="008E3E75" w:rsidRPr="00724086" w:rsidRDefault="009D662D" w:rsidP="009D662D">
      <w:pPr>
        <w:jc w:val="both"/>
      </w:pPr>
      <w:r w:rsidRPr="00724086">
        <w:t xml:space="preserve">(2) Değerlendirmelerde bütünlük sağlamak amacıyla, meri önlemin yürürlükten kaldırılması halinde </w:t>
      </w:r>
      <w:r w:rsidR="00BC461F" w:rsidRPr="00724086">
        <w:t>önlem konusu ülke</w:t>
      </w:r>
      <w:r w:rsidRPr="00724086">
        <w:t xml:space="preserve"> menşeli ihracat kapasitesinin Türkiye piyasasına yönelme ihtimali incelenmiştir. </w:t>
      </w:r>
    </w:p>
    <w:p w:rsidR="008E3E75" w:rsidRPr="00724086" w:rsidRDefault="008E3E75" w:rsidP="009D662D">
      <w:pPr>
        <w:jc w:val="both"/>
      </w:pPr>
    </w:p>
    <w:p w:rsidR="00A0476B" w:rsidRPr="00724086" w:rsidRDefault="008E3E75" w:rsidP="00A0476B">
      <w:pPr>
        <w:jc w:val="both"/>
      </w:pPr>
      <w:r w:rsidRPr="00724086">
        <w:t xml:space="preserve">(3) </w:t>
      </w:r>
      <w:r w:rsidR="00D55993" w:rsidRPr="00724086">
        <w:t>Esas</w:t>
      </w:r>
      <w:r w:rsidR="00BC461F" w:rsidRPr="00724086">
        <w:t xml:space="preserve"> soruşturmad</w:t>
      </w:r>
      <w:r w:rsidR="00B35105" w:rsidRPr="00724086">
        <w:t xml:space="preserve">a tespit edilen </w:t>
      </w:r>
      <w:r w:rsidR="00A0476B" w:rsidRPr="00724086">
        <w:t xml:space="preserve">damping marjlarının; </w:t>
      </w:r>
      <w:r w:rsidR="00836363" w:rsidRPr="00724086">
        <w:t xml:space="preserve">Tayland menşeli ithalat için </w:t>
      </w:r>
      <w:r w:rsidR="00836363" w:rsidRPr="00724086">
        <w:rPr>
          <w:bCs/>
        </w:rPr>
        <w:t xml:space="preserve">CIF ihraç fiyatının yüzdesi </w:t>
      </w:r>
      <w:r w:rsidR="004C25B4">
        <w:rPr>
          <w:bCs/>
        </w:rPr>
        <w:t xml:space="preserve">olarak hesaplanan damping marjının </w:t>
      </w:r>
      <w:r w:rsidR="00836363" w:rsidRPr="00724086">
        <w:rPr>
          <w:bCs/>
        </w:rPr>
        <w:t xml:space="preserve">Natural Rubber Thread Co., Ltd firması için %4,37; diğer firmalar içinse %8,75 </w:t>
      </w:r>
      <w:r w:rsidR="00836363" w:rsidRPr="00724086">
        <w:t xml:space="preserve">oranında </w:t>
      </w:r>
      <w:r w:rsidR="00A0476B" w:rsidRPr="00724086">
        <w:t xml:space="preserve">olduğu göz önünde bulundurulduğunda söz konusu damping marjı seviyelerinin meri önlemin mevcut olmadığı piyasa koşullarında üretici/ihracatçı firmaların dampinge konu fiyatlarla soruşturma konusu ürünü Türkiye’ye ihraç etme eğilimini göstermesi bakımından önem arz ettiği düşünülmektedir. </w:t>
      </w:r>
    </w:p>
    <w:p w:rsidR="00B35105" w:rsidRPr="00724086" w:rsidRDefault="00B35105" w:rsidP="00922B44">
      <w:pPr>
        <w:jc w:val="both"/>
      </w:pPr>
    </w:p>
    <w:p w:rsidR="00BC461F" w:rsidRPr="00724086" w:rsidRDefault="00355886" w:rsidP="001E6B31">
      <w:pPr>
        <w:pStyle w:val="ListeParagraf"/>
        <w:numPr>
          <w:ilvl w:val="0"/>
          <w:numId w:val="4"/>
        </w:numPr>
        <w:ind w:left="0" w:firstLine="0"/>
        <w:jc w:val="both"/>
      </w:pPr>
      <w:r w:rsidRPr="00724086">
        <w:t>Soruşturma konusu ürünün dünya ihracat pazarının,</w:t>
      </w:r>
      <w:r w:rsidR="00836363" w:rsidRPr="00724086">
        <w:t xml:space="preserve"> </w:t>
      </w:r>
      <w:r w:rsidR="00836363" w:rsidRPr="00724086">
        <w:rPr>
          <w:bCs/>
        </w:rPr>
        <w:t xml:space="preserve">2015 yılında 575,4 milyon ABD Doları, 2016 yılında 510,1 milyon ABD Doları ve 2017 yılında 603,5 milyon ABD Doları seviyesinde gerçekleştiği kaydedilmiştir. Dünya ihracat pazarından Tayland’ın aldığı paya bakıldığında, Tayland’ın dünya ihracat pazarından 2015-2017 döneminde en fazla payı aldığı görülmektedir. </w:t>
      </w:r>
    </w:p>
    <w:p w:rsidR="00836363" w:rsidRPr="00724086" w:rsidRDefault="00836363" w:rsidP="00836363">
      <w:pPr>
        <w:pStyle w:val="ListeParagraf"/>
        <w:ind w:left="0"/>
        <w:jc w:val="both"/>
      </w:pPr>
    </w:p>
    <w:p w:rsidR="00BC461F" w:rsidRPr="00724086" w:rsidRDefault="00971732" w:rsidP="00836363">
      <w:pPr>
        <w:pStyle w:val="ListeParagraf"/>
        <w:numPr>
          <w:ilvl w:val="0"/>
          <w:numId w:val="3"/>
        </w:numPr>
        <w:ind w:left="0" w:firstLine="0"/>
        <w:jc w:val="both"/>
      </w:pPr>
      <w:r w:rsidRPr="00724086">
        <w:t xml:space="preserve">ITC istatistiklerine göre, </w:t>
      </w:r>
      <w:r w:rsidR="00836363" w:rsidRPr="00724086">
        <w:t>önemli ihracatçı ülkelerin ihracat miktarlarına bakıldığında, Tayland’ın ihracat miktarlarının bu piyasada yer alan diğer tüm önemli ihracatçı ülkelerin ihracat miktarlarının üzerinde seyrettiği görülmektedir. Buna göre, 2015 yılında Tayland’ın ihracat miktarı 101.139 Ton iken Malezya ve ÇHC’nin ihracat miktarları sırasıyla 55.764 Ton ve 26.320 Ton’dur. 2017 yılında ise, Tayland’ın ihracat miktarı 108.134 Ton iken; Malezya ve ÇHC’nin ihracat miktarları sırasıyla 61.386 Ton ve 18.388 Ton olarak gerçekleşmiştir. ITC verilerinin incelenmesinden, Tayland’ın küresel ihracat fiyatlarının 2015-2017 döneminde dünya ortalama ihracat fiyatlarının altında seyrettiği görülmüştür. Bu kapsamda, soruşturma konusu üründe dünya ortalama ihracat fiyatları 2015-2017 döneminde sırasıyla 2.936 ABD Doları/Ton, 2.632 ABD Doları/Ton ve 2.992 ABD Doları/Ton olarak gerçekleşirken; aynı dönemde Tayland’ın ortalama ihracat fiyatları sırasıyla 2.393 ABD Doları/Ton, 2.226 ABD Doları/Ton ve 2.718 ABD Doları/Ton olarak gerçekleşmiştir.</w:t>
      </w:r>
    </w:p>
    <w:p w:rsidR="00836363" w:rsidRPr="00724086" w:rsidRDefault="00836363" w:rsidP="00836363">
      <w:pPr>
        <w:pStyle w:val="ListeParagraf"/>
        <w:ind w:left="0"/>
        <w:jc w:val="both"/>
      </w:pPr>
    </w:p>
    <w:p w:rsidR="00373F29" w:rsidRPr="00724086" w:rsidRDefault="00526EEC" w:rsidP="00836363">
      <w:pPr>
        <w:pStyle w:val="GvdeMetniGirintisi3"/>
        <w:numPr>
          <w:ilvl w:val="0"/>
          <w:numId w:val="3"/>
        </w:numPr>
        <w:ind w:left="0" w:firstLine="0"/>
      </w:pPr>
      <w:r w:rsidRPr="00724086">
        <w:t xml:space="preserve">Bu raporun 3 </w:t>
      </w:r>
      <w:r w:rsidR="00C13F22" w:rsidRPr="00724086">
        <w:t xml:space="preserve">üncü </w:t>
      </w:r>
      <w:r w:rsidRPr="00724086">
        <w:t>bölümündeki</w:t>
      </w:r>
      <w:r w:rsidR="00C13F22" w:rsidRPr="00724086">
        <w:t xml:space="preserve"> tespitler ile birlikte değerlendirildiğinde </w:t>
      </w:r>
      <w:r w:rsidR="00836363" w:rsidRPr="00724086">
        <w:t>önlem konusu ülke</w:t>
      </w:r>
      <w:r w:rsidR="00BC461F" w:rsidRPr="00724086">
        <w:t xml:space="preserve">deki </w:t>
      </w:r>
      <w:r w:rsidR="00C13F22" w:rsidRPr="00724086">
        <w:t xml:space="preserve">üretici/ihracatçıların Türkiye pazarında yerleşik </w:t>
      </w:r>
      <w:r w:rsidR="00373F29" w:rsidRPr="00724086">
        <w:t xml:space="preserve">dağıtım ağına sahip oldukları </w:t>
      </w:r>
      <w:r w:rsidR="00373F29" w:rsidRPr="00724086">
        <w:lastRenderedPageBreak/>
        <w:t xml:space="preserve">bilinmekte olup </w:t>
      </w:r>
      <w:r w:rsidR="00836363" w:rsidRPr="00724086">
        <w:t xml:space="preserve">lateks ipliğin temel kullanım alanları arasında tekstil ve mobilya sektörünün başı çektiği de dikkate alındığında; </w:t>
      </w:r>
      <w:r w:rsidR="00373F29" w:rsidRPr="00724086">
        <w:t>bu işkol</w:t>
      </w:r>
      <w:r w:rsidR="00836363" w:rsidRPr="00724086">
        <w:t>larının</w:t>
      </w:r>
      <w:r w:rsidR="00373F29" w:rsidRPr="00724086">
        <w:t xml:space="preserve"> faaliyetlerinden dolayı önlem konusu ürüne yönelik talep artışının soruşturma konusu ülkelerde yerleşik üretici ve ihracatçılar için cazip koşullar sunduğu değerlendirilmektedir.</w:t>
      </w:r>
    </w:p>
    <w:p w:rsidR="002B22B0" w:rsidRPr="00724086" w:rsidRDefault="002B22B0" w:rsidP="00D44318">
      <w:pPr>
        <w:pStyle w:val="GvdeMetniGirintisi3"/>
        <w:ind w:left="0" w:firstLine="0"/>
      </w:pPr>
    </w:p>
    <w:p w:rsidR="002B22B0" w:rsidRDefault="00805A07" w:rsidP="00426AA6">
      <w:pPr>
        <w:pStyle w:val="GvdeMetniGirintisi3"/>
        <w:numPr>
          <w:ilvl w:val="0"/>
          <w:numId w:val="3"/>
        </w:numPr>
        <w:ind w:left="0" w:firstLine="0"/>
      </w:pPr>
      <w:r w:rsidRPr="00724086">
        <w:t>Ö</w:t>
      </w:r>
      <w:r w:rsidR="001A76DD" w:rsidRPr="00724086">
        <w:t>nlem konusu ürünün fiyata duyarlı olduğu</w:t>
      </w:r>
      <w:r w:rsidR="00CC07FD">
        <w:t xml:space="preserve"> da</w:t>
      </w:r>
      <w:r w:rsidR="001A76DD" w:rsidRPr="00724086">
        <w:t xml:space="preserve"> </w:t>
      </w:r>
      <w:r w:rsidRPr="00724086">
        <w:t xml:space="preserve">dikkate alındığında, esas </w:t>
      </w:r>
      <w:r w:rsidR="001A76DD" w:rsidRPr="00724086">
        <w:t xml:space="preserve">soruşturmada ithalatçı firmaların dampingli ithalatı tercih etmelerindeki en önemli faktörlerden birinin kendileri için rekabet avantajı sağlayan düşük </w:t>
      </w:r>
      <w:r w:rsidR="00CC07FD">
        <w:t>fiyat olduğu tespit edilmiştir. Öte taraftan, Tayland’ın Türkiye’ye gerçekleştirdiği ihracatın birim fiyatlarının, tüm dünyaya gerçekleştirdiği ihracatın birim fiyatlarının üzerinde gerçekleştiği gözlemlenmiştir. Söz konusu durumun, dampinge karşı önlemin de etkisiyle; anılan ülkeden gerçekleştirilen lateks iplik ithalatının ürün kompozisyonunun görece yüksek birim fiyatlı, nitelikli ürünlere doğru kaymasından kaynaklandığı değerlendirilmektedir.</w:t>
      </w:r>
    </w:p>
    <w:p w:rsidR="00CC07FD" w:rsidRDefault="00CC07FD" w:rsidP="00CC07FD">
      <w:pPr>
        <w:pStyle w:val="ListeParagraf"/>
      </w:pPr>
    </w:p>
    <w:p w:rsidR="00E4092E" w:rsidRPr="00724086" w:rsidRDefault="00E4092E" w:rsidP="00E4092E">
      <w:pPr>
        <w:pStyle w:val="GvdeMetniGirintisi3"/>
        <w:numPr>
          <w:ilvl w:val="0"/>
          <w:numId w:val="3"/>
        </w:numPr>
        <w:spacing w:after="240"/>
        <w:ind w:left="0" w:firstLine="0"/>
      </w:pPr>
      <w:r w:rsidRPr="00724086">
        <w:t>İş Bankası’nın Tekstil Sektörü Raporuna</w:t>
      </w:r>
      <w:r w:rsidR="00137AD5">
        <w:rPr>
          <w:rStyle w:val="DipnotBavurusu"/>
        </w:rPr>
        <w:footnoteReference w:id="1"/>
      </w:r>
      <w:r w:rsidRPr="00724086">
        <w:t xml:space="preserve"> göre, yurtiçinde artan tüketim iştahı ve ihracattaki güçlü seyir paralelinde 2017 yılında üretim, bir önceki yıla göre %4,2 yükselmiştir. Yeni yatırımların artmasının beklendiği tekstil sektöründe büyümenin 2018 yılında daha da hızlanması beklenmektedir.</w:t>
      </w:r>
    </w:p>
    <w:p w:rsidR="00E4092E" w:rsidRPr="00724086" w:rsidRDefault="00E4092E" w:rsidP="00E4092E">
      <w:pPr>
        <w:pStyle w:val="GvdeMetniGirintisi3"/>
        <w:numPr>
          <w:ilvl w:val="0"/>
          <w:numId w:val="3"/>
        </w:numPr>
        <w:ind w:left="0" w:firstLine="0"/>
      </w:pPr>
      <w:r w:rsidRPr="00724086">
        <w:t>İş Bankası’nın Mobilya Sektörü Raporuna</w:t>
      </w:r>
      <w:r w:rsidR="00137AD5">
        <w:rPr>
          <w:rStyle w:val="DipnotBavurusu"/>
        </w:rPr>
        <w:footnoteReference w:id="2"/>
      </w:r>
      <w:r w:rsidRPr="00724086">
        <w:t xml:space="preserve"> göre ise, ulusal ve uluslararası pazarlara yönelen Türk mobilya sektöründe panel mobilya-masif mobilya (yatak odası, yemek odası, gibi), döşemeli mobilyalar (koltuk, köşe takımları, kanepe), mutfak, banyo mobilyaları, bahçe mobilyaları, mobilya aksam ve parçaları, otel mobilyaları gibi oldukça geniş yelpazede üretim yapılmaktadır. Mobilya günlük yaşamın her alanında yer edinen, insan yaşamında en etkili ürünlerden olup son yıllarda artan kentleşme ve nüfus artışı sayesinde mobilyaya olan talebin gün geçtikçe arttığı da dikkate alındığında; özellikle döşemeli mobilyaların üretiminde kullanılan önlem konusu ürüne yönelik talepte de artış kaydedileceği değerlendirilmiştir.</w:t>
      </w:r>
    </w:p>
    <w:p w:rsidR="00E4092E" w:rsidRPr="00724086" w:rsidRDefault="00E4092E" w:rsidP="00E4092E">
      <w:pPr>
        <w:pStyle w:val="GvdeMetniGirintisi3"/>
        <w:ind w:left="720" w:firstLine="0"/>
      </w:pPr>
    </w:p>
    <w:p w:rsidR="009D662D" w:rsidRPr="00724086" w:rsidRDefault="00DF4E77" w:rsidP="00F217D8">
      <w:pPr>
        <w:jc w:val="both"/>
        <w:rPr>
          <w:b/>
        </w:rPr>
      </w:pPr>
      <w:r w:rsidRPr="00724086">
        <w:rPr>
          <w:b/>
        </w:rPr>
        <w:t>5</w:t>
      </w:r>
      <w:r w:rsidR="009D662D" w:rsidRPr="00724086">
        <w:rPr>
          <w:b/>
        </w:rPr>
        <w:t xml:space="preserve">.3 Zararın devamı veya yeniden meydana gelebilme ihtimaline ilişkin belirlemeler </w:t>
      </w:r>
    </w:p>
    <w:p w:rsidR="00FF1755" w:rsidRPr="00724086" w:rsidRDefault="009D662D" w:rsidP="00FF1755">
      <w:pPr>
        <w:pStyle w:val="GvdeMetniGirintisi3"/>
        <w:ind w:left="0" w:firstLine="0"/>
      </w:pPr>
      <w:r w:rsidRPr="00724086">
        <w:t>(</w:t>
      </w:r>
      <w:r w:rsidR="00D41ECC" w:rsidRPr="00724086">
        <w:t>1</w:t>
      </w:r>
      <w:r w:rsidRPr="00724086">
        <w:t xml:space="preserve">) Bu </w:t>
      </w:r>
      <w:r w:rsidR="00400290" w:rsidRPr="00724086">
        <w:t>raporun</w:t>
      </w:r>
      <w:r w:rsidRPr="00724086">
        <w:t xml:space="preserve"> </w:t>
      </w:r>
      <w:r w:rsidR="000F798A" w:rsidRPr="00724086">
        <w:t xml:space="preserve">4.7 </w:t>
      </w:r>
      <w:r w:rsidR="00400290" w:rsidRPr="00724086">
        <w:t>ve 4.8</w:t>
      </w:r>
      <w:r w:rsidR="000F798A" w:rsidRPr="00724086">
        <w:t xml:space="preserve"> </w:t>
      </w:r>
      <w:r w:rsidR="00400290" w:rsidRPr="00724086">
        <w:t xml:space="preserve">inci </w:t>
      </w:r>
      <w:r w:rsidR="000F798A" w:rsidRPr="00724086">
        <w:t>alt başlıklarında da değerlendirildiği üzere,</w:t>
      </w:r>
      <w:r w:rsidRPr="00724086">
        <w:t xml:space="preserve"> </w:t>
      </w:r>
      <w:r w:rsidR="00FF1755" w:rsidRPr="00724086">
        <w:t>2017 yılında artış gösteren yerli üretim dalının birim yurtiçi satış fiyatının gözden geçirme döneminin önceki iki yılında ise sabit bir seyir izlediği; bu çerçevede, yerli üretim dalının yurtiçi satış fiyatlarını istikrarlı bir şekilde belirleyemediği değerlendirilmiştir.</w:t>
      </w:r>
    </w:p>
    <w:p w:rsidR="00FF1755" w:rsidRPr="00724086" w:rsidRDefault="00FF1755" w:rsidP="00FF1755">
      <w:pPr>
        <w:pStyle w:val="GvdeMetniGirintisi3"/>
        <w:ind w:left="0" w:firstLine="0"/>
      </w:pPr>
    </w:p>
    <w:p w:rsidR="00D44950" w:rsidRPr="00724086" w:rsidRDefault="00E4092E" w:rsidP="00BC461F">
      <w:pPr>
        <w:pStyle w:val="GvdeMetniGirintisi3"/>
        <w:spacing w:after="240"/>
        <w:ind w:left="0" w:firstLine="0"/>
      </w:pPr>
      <w:r w:rsidRPr="00724086">
        <w:t xml:space="preserve">(2) Yerli üretim dalının ekonomik göstergelerinin bütüncül olarak değerlendirilmesi neticesinde, soruşturma konusu üründe 2017 yılında, 2016 yılına göre üretim, birim yurtiçi satış fiyatı ile ortalama birim karlılığının artış gösterdiği, stok çevrim hızının arttığı, yerli üretim dalının özsermaye ve bilanço aktif büyüklüğü gibi göstergelerinin ise olumlu seyir izlediği tespit edilmiştir. </w:t>
      </w:r>
      <w:r w:rsidR="00BC461F" w:rsidRPr="00724086">
        <w:t>Söz konusu olumlu seyrin ortaya çıkmasında</w:t>
      </w:r>
      <w:r w:rsidRPr="00724086">
        <w:t xml:space="preserve"> ise</w:t>
      </w:r>
      <w:r w:rsidR="00BC461F" w:rsidRPr="00724086">
        <w:t xml:space="preserve">, meri önlemin etkili olduğu düşünülmektedir. </w:t>
      </w:r>
    </w:p>
    <w:p w:rsidR="002C514B" w:rsidRPr="00724086" w:rsidRDefault="00D41ECC" w:rsidP="00FF1755">
      <w:pPr>
        <w:pStyle w:val="GvdeMetniGirintisi3"/>
        <w:ind w:left="0" w:firstLine="0"/>
      </w:pPr>
      <w:r w:rsidRPr="00724086">
        <w:t>(3</w:t>
      </w:r>
      <w:r w:rsidR="00D44950" w:rsidRPr="00724086">
        <w:t xml:space="preserve">) Diğer taraftan, </w:t>
      </w:r>
      <w:r w:rsidR="00FF1755" w:rsidRPr="00724086">
        <w:t>s</w:t>
      </w:r>
      <w:r w:rsidR="002C514B" w:rsidRPr="00724086">
        <w:t>oruşturma konusu ülkeden gerçekleşen ithalatın 2017 yılında, 2016 yılına göre mutlak olarak arttığı; önlemin varlığına rağmen, soruşturma konusu ülkenin 2016 ve 2017 yıllarında pazar payının sabit kaldığı tespit edilmiştir. Soruşturmaya konu ithalatın fiyat etkisi bakımından; Tayland menşeli ithalatın yerli üretim dal</w:t>
      </w:r>
      <w:r w:rsidR="00FF1755" w:rsidRPr="00724086">
        <w:t>ının fiyatları üzerinde kırılma</w:t>
      </w:r>
      <w:r w:rsidR="002C514B" w:rsidRPr="00724086">
        <w:t>ya neden olduğu tespit edilmiştir. Bu çerçevede, soruşturma konusu üründe yerli üretim dalının birim yurtiçi satış fiyatlarının, ithal fiyatlarından yüksek olduğuna yönelik iddialar yerinde bulunmamıştır.</w:t>
      </w:r>
    </w:p>
    <w:p w:rsidR="00FF1755" w:rsidRPr="00724086" w:rsidRDefault="00FF1755" w:rsidP="00FF1755">
      <w:pPr>
        <w:jc w:val="both"/>
      </w:pPr>
    </w:p>
    <w:p w:rsidR="00FF1755" w:rsidRPr="00724086" w:rsidRDefault="00FF1755" w:rsidP="00FF1755">
      <w:pPr>
        <w:pStyle w:val="GvdeMetniGirintisi3"/>
        <w:numPr>
          <w:ilvl w:val="0"/>
          <w:numId w:val="6"/>
        </w:numPr>
        <w:ind w:left="0" w:firstLine="0"/>
      </w:pPr>
      <w:r w:rsidRPr="00724086">
        <w:lastRenderedPageBreak/>
        <w:t>İş Bankası’nın Tekstil Sektörü Raporuna</w:t>
      </w:r>
      <w:r w:rsidR="001D1574">
        <w:rPr>
          <w:rStyle w:val="DipnotBavurusu"/>
        </w:rPr>
        <w:footnoteReference w:id="3"/>
      </w:r>
      <w:r w:rsidRPr="00724086">
        <w:t xml:space="preserve"> göre, anılan sektörün 2017 yılında üretimi, 2016 yılına göre %4,2 yükselmiştir. Tekstil sektöründe 2018 yılında hızlanması beklenen büyümenin; </w:t>
      </w:r>
      <w:r w:rsidRPr="00724086">
        <w:rPr>
          <w:noProof/>
        </w:rPr>
        <w:t>dar dokuma tekstili, iç çamaşırı, eşofman ve çorap üretiminde kullanılan önlem konusu ürünün ithalatını arttırıcı bir etkisinin bulunduğu değerlendirilmektedir.</w:t>
      </w:r>
    </w:p>
    <w:p w:rsidR="00FF1755" w:rsidRPr="00724086" w:rsidRDefault="00FF1755" w:rsidP="00FF1755">
      <w:pPr>
        <w:pStyle w:val="ListeParagraf"/>
      </w:pPr>
    </w:p>
    <w:p w:rsidR="00FF1755" w:rsidRDefault="00FF1755" w:rsidP="00FF1755">
      <w:pPr>
        <w:pStyle w:val="GvdeMetniGirintisi3"/>
        <w:numPr>
          <w:ilvl w:val="0"/>
          <w:numId w:val="6"/>
        </w:numPr>
        <w:ind w:left="0" w:firstLine="0"/>
      </w:pPr>
      <w:r w:rsidRPr="00724086">
        <w:rPr>
          <w:noProof/>
        </w:rPr>
        <w:t xml:space="preserve">Tekstil sektörü büyürken ve artan kentleşme ile nüfus artışı sayesinde mobilyaya olan ihtiyaç gün geçtikçe artarken; bunlara bağlı olarak önlem konusu lateks ipliklerde talep artışının yaşandığı bir ortamda, yerli üretim dalının önlem konusu üründe </w:t>
      </w:r>
      <w:r w:rsidRPr="00724086">
        <w:t>2017 yılında 2016 yılına göre; yurtiçi satış miktarının azaldığı ve birim ticari maliyetinin arttığı tespit edilmiştir. İlaveten, dönem sonu stok miktarı 2017 yılında azalış göstermesine rağmen; 2016 yılında, 2015 yılına göre artmıştır.</w:t>
      </w:r>
    </w:p>
    <w:p w:rsidR="00674D4A" w:rsidRDefault="00674D4A" w:rsidP="00674D4A">
      <w:pPr>
        <w:pStyle w:val="ListeParagraf"/>
      </w:pPr>
    </w:p>
    <w:p w:rsidR="00D41ECC" w:rsidRPr="00724086" w:rsidRDefault="00FF1755" w:rsidP="00D41ECC">
      <w:pPr>
        <w:pStyle w:val="GvdeMetniGirintisi3"/>
        <w:spacing w:after="240"/>
        <w:ind w:left="0" w:firstLine="0"/>
        <w:rPr>
          <w:szCs w:val="20"/>
        </w:rPr>
      </w:pPr>
      <w:r w:rsidRPr="00724086">
        <w:t>(6</w:t>
      </w:r>
      <w:r w:rsidR="00D41ECC" w:rsidRPr="00724086">
        <w:t xml:space="preserve">) Öte yandan mevcut duruma etki edebilecek “diğer etkenler” incelendiğinde, </w:t>
      </w:r>
      <w:r w:rsidR="00D41ECC" w:rsidRPr="00724086">
        <w:rPr>
          <w:szCs w:val="20"/>
        </w:rPr>
        <w:t>söz konusu ekonomik göstergelerdeki bozulmanın yurt içinde diğer üreticilerle olabilecek rekabet şartlarından kaynaklanmadığı; benzer ürünün imalat ve/veya tüketim biçiminde farklılığın yaşanmadığı ve diğer tüm etkenler dikkate alındığında; söz konusu etkenlerin, mevcut önlemin yürürlükten kalkması halinde dampingin ve zararın devam etmesi veya yeniden tekrarlaması ihtimaline ilişkin değerlendirmeyi zayıflatmadığı veya tümüyle geçersiz kılmadığı saptanmıştır.</w:t>
      </w:r>
    </w:p>
    <w:p w:rsidR="00164FF4" w:rsidRPr="00724086" w:rsidRDefault="00DF4E77" w:rsidP="008E4B08">
      <w:pPr>
        <w:jc w:val="both"/>
        <w:rPr>
          <w:b/>
          <w:caps/>
        </w:rPr>
      </w:pPr>
      <w:r w:rsidRPr="00724086">
        <w:rPr>
          <w:b/>
          <w:caps/>
        </w:rPr>
        <w:t>6</w:t>
      </w:r>
      <w:r w:rsidR="008E4B08" w:rsidRPr="00724086">
        <w:rPr>
          <w:b/>
          <w:caps/>
        </w:rPr>
        <w:t xml:space="preserve">. Genel </w:t>
      </w:r>
      <w:r w:rsidR="00164FF4" w:rsidRPr="00724086">
        <w:rPr>
          <w:b/>
          <w:caps/>
        </w:rPr>
        <w:t>Değerlendirme</w:t>
      </w:r>
      <w:r w:rsidR="008E4B08" w:rsidRPr="00724086">
        <w:rPr>
          <w:b/>
          <w:caps/>
        </w:rPr>
        <w:t xml:space="preserve"> ve Sonuç</w:t>
      </w:r>
    </w:p>
    <w:p w:rsidR="009D52FF" w:rsidRPr="00724086" w:rsidRDefault="00164FF4" w:rsidP="009D52FF">
      <w:pPr>
        <w:tabs>
          <w:tab w:val="left" w:pos="566"/>
        </w:tabs>
        <w:spacing w:line="240" w:lineRule="exact"/>
        <w:jc w:val="both"/>
      </w:pPr>
      <w:r w:rsidRPr="00724086">
        <w:t xml:space="preserve">(1) </w:t>
      </w:r>
      <w:r w:rsidR="009D52FF" w:rsidRPr="00724086">
        <w:t>Bu çerçevede, soruşturma neticesinde ulaşılan tespitleri değerlendiren Kurul’un</w:t>
      </w:r>
      <w:r w:rsidR="009D52FF" w:rsidRPr="00724086">
        <w:rPr>
          <w:b/>
          <w:color w:val="0070C0"/>
        </w:rPr>
        <w:t xml:space="preserve"> </w:t>
      </w:r>
      <w:r w:rsidR="009D52FF" w:rsidRPr="00724086">
        <w:t xml:space="preserve">kararı ve </w:t>
      </w:r>
      <w:r w:rsidR="000936D1">
        <w:t xml:space="preserve">Ticaret </w:t>
      </w:r>
      <w:r w:rsidR="009D52FF" w:rsidRPr="00724086">
        <w:t>Bakanının onayı ile 2</w:t>
      </w:r>
      <w:r w:rsidR="000E53E2" w:rsidRPr="00724086">
        <w:t>7/11/2012 tarihli ve 28480</w:t>
      </w:r>
      <w:r w:rsidR="009D52FF" w:rsidRPr="00724086">
        <w:t xml:space="preserve"> sayılı Resmi Gazete’de yayımlanan İthalatta Haksız Rekabetin Önlenmesine İl</w:t>
      </w:r>
      <w:r w:rsidR="000E53E2" w:rsidRPr="00724086">
        <w:t>işkin Tebliğ (Tebliğ No: 2012/23</w:t>
      </w:r>
      <w:r w:rsidR="009D52FF" w:rsidRPr="00724086">
        <w:t xml:space="preserve">) kapsamında uygulanan önlemin mevcut haliyle uygulanmaya devam edilmesine karar verilmiştir. </w:t>
      </w:r>
    </w:p>
    <w:p w:rsidR="00F217D8" w:rsidRPr="00724086" w:rsidRDefault="00F217D8" w:rsidP="00F217D8">
      <w:pPr>
        <w:tabs>
          <w:tab w:val="left" w:pos="566"/>
        </w:tabs>
        <w:spacing w:line="240" w:lineRule="exact"/>
        <w:jc w:val="both"/>
      </w:pPr>
    </w:p>
    <w:p w:rsidR="003A59EB" w:rsidRPr="00724086" w:rsidRDefault="003A59EB" w:rsidP="00F217D8">
      <w:pPr>
        <w:tabs>
          <w:tab w:val="left" w:pos="566"/>
        </w:tabs>
        <w:spacing w:line="240" w:lineRule="exact"/>
        <w:jc w:val="both"/>
      </w:pPr>
    </w:p>
    <w:tbl>
      <w:tblPr>
        <w:tblW w:w="9050" w:type="dxa"/>
        <w:jc w:val="center"/>
        <w:tblCellMar>
          <w:left w:w="0" w:type="dxa"/>
          <w:right w:w="0" w:type="dxa"/>
        </w:tblCellMar>
        <w:tblLook w:val="04A0" w:firstRow="1" w:lastRow="0" w:firstColumn="1" w:lastColumn="0" w:noHBand="0" w:noVBand="1"/>
      </w:tblPr>
      <w:tblGrid>
        <w:gridCol w:w="1022"/>
        <w:gridCol w:w="2375"/>
        <w:gridCol w:w="997"/>
        <w:gridCol w:w="2826"/>
        <w:gridCol w:w="1830"/>
      </w:tblGrid>
      <w:tr w:rsidR="001562F4" w:rsidRPr="00C06C41" w:rsidTr="00C06C41">
        <w:trPr>
          <w:trHeight w:val="20"/>
          <w:jc w:val="center"/>
        </w:trPr>
        <w:tc>
          <w:tcPr>
            <w:tcW w:w="1022" w:type="dxa"/>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center"/>
            <w:hideMark/>
          </w:tcPr>
          <w:p w:rsidR="001562F4" w:rsidRPr="00C06C41" w:rsidRDefault="001562F4" w:rsidP="00AB0738">
            <w:pPr>
              <w:spacing w:line="240" w:lineRule="atLeast"/>
              <w:jc w:val="center"/>
              <w:rPr>
                <w:sz w:val="20"/>
                <w:szCs w:val="20"/>
              </w:rPr>
            </w:pPr>
            <w:r w:rsidRPr="00C06C41">
              <w:rPr>
                <w:b/>
                <w:bCs/>
                <w:sz w:val="20"/>
                <w:szCs w:val="20"/>
              </w:rPr>
              <w:t>GTP</w:t>
            </w:r>
          </w:p>
        </w:tc>
        <w:tc>
          <w:tcPr>
            <w:tcW w:w="2375"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hideMark/>
          </w:tcPr>
          <w:p w:rsidR="001562F4" w:rsidRPr="00C06C41" w:rsidRDefault="001562F4" w:rsidP="00AB0738">
            <w:pPr>
              <w:spacing w:line="240" w:lineRule="atLeast"/>
              <w:jc w:val="center"/>
              <w:rPr>
                <w:sz w:val="20"/>
                <w:szCs w:val="20"/>
              </w:rPr>
            </w:pPr>
            <w:r w:rsidRPr="00C06C41">
              <w:rPr>
                <w:b/>
                <w:bCs/>
                <w:sz w:val="20"/>
                <w:szCs w:val="20"/>
              </w:rPr>
              <w:t>Eşyanın Tanımı</w:t>
            </w:r>
          </w:p>
        </w:tc>
        <w:tc>
          <w:tcPr>
            <w:tcW w:w="997"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hideMark/>
          </w:tcPr>
          <w:p w:rsidR="001562F4" w:rsidRPr="00C06C41" w:rsidRDefault="001562F4" w:rsidP="00AB0738">
            <w:pPr>
              <w:spacing w:line="240" w:lineRule="atLeast"/>
              <w:jc w:val="center"/>
              <w:rPr>
                <w:sz w:val="20"/>
                <w:szCs w:val="20"/>
              </w:rPr>
            </w:pPr>
            <w:r w:rsidRPr="00C06C41">
              <w:rPr>
                <w:b/>
                <w:bCs/>
                <w:sz w:val="20"/>
                <w:szCs w:val="20"/>
              </w:rPr>
              <w:t>Menşe Ülke</w:t>
            </w:r>
          </w:p>
        </w:tc>
        <w:tc>
          <w:tcPr>
            <w:tcW w:w="2826"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hideMark/>
          </w:tcPr>
          <w:p w:rsidR="001562F4" w:rsidRPr="00C06C41" w:rsidRDefault="001562F4" w:rsidP="00AB0738">
            <w:pPr>
              <w:spacing w:line="240" w:lineRule="atLeast"/>
              <w:jc w:val="center"/>
              <w:rPr>
                <w:sz w:val="20"/>
                <w:szCs w:val="20"/>
              </w:rPr>
            </w:pPr>
            <w:r w:rsidRPr="00C06C41">
              <w:rPr>
                <w:b/>
                <w:bCs/>
                <w:sz w:val="20"/>
                <w:szCs w:val="20"/>
              </w:rPr>
              <w:t>Firma</w:t>
            </w:r>
            <w:r w:rsidR="002C266F">
              <w:rPr>
                <w:b/>
                <w:bCs/>
                <w:sz w:val="20"/>
                <w:szCs w:val="20"/>
              </w:rPr>
              <w:t xml:space="preserve"> Unvanı</w:t>
            </w:r>
          </w:p>
        </w:tc>
        <w:tc>
          <w:tcPr>
            <w:tcW w:w="1830"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hideMark/>
          </w:tcPr>
          <w:p w:rsidR="001562F4" w:rsidRPr="00C06C41" w:rsidRDefault="001562F4" w:rsidP="00AB0738">
            <w:pPr>
              <w:spacing w:line="240" w:lineRule="atLeast"/>
              <w:jc w:val="center"/>
              <w:rPr>
                <w:sz w:val="20"/>
                <w:szCs w:val="20"/>
              </w:rPr>
            </w:pPr>
            <w:r w:rsidRPr="00C06C41">
              <w:rPr>
                <w:b/>
                <w:bCs/>
                <w:sz w:val="20"/>
                <w:szCs w:val="20"/>
              </w:rPr>
              <w:t>Dampinge Karşı </w:t>
            </w:r>
            <w:r w:rsidRPr="00C06C41">
              <w:rPr>
                <w:b/>
                <w:bCs/>
                <w:sz w:val="20"/>
                <w:szCs w:val="20"/>
              </w:rPr>
              <w:br/>
              <w:t>Önlem (CIF %)</w:t>
            </w:r>
          </w:p>
        </w:tc>
      </w:tr>
      <w:tr w:rsidR="001562F4" w:rsidRPr="00C06C41" w:rsidTr="00C06C41">
        <w:trPr>
          <w:trHeight w:val="20"/>
          <w:jc w:val="center"/>
        </w:trPr>
        <w:tc>
          <w:tcPr>
            <w:tcW w:w="1022" w:type="dxa"/>
            <w:vMerge w:val="restart"/>
            <w:tcBorders>
              <w:top w:val="nil"/>
              <w:left w:val="single" w:sz="8" w:space="0" w:color="auto"/>
              <w:bottom w:val="single" w:sz="8" w:space="0" w:color="000000"/>
              <w:right w:val="single" w:sz="8" w:space="0" w:color="auto"/>
            </w:tcBorders>
            <w:noWrap/>
            <w:tcMar>
              <w:top w:w="0" w:type="dxa"/>
              <w:left w:w="70" w:type="dxa"/>
              <w:bottom w:w="0" w:type="dxa"/>
              <w:right w:w="70" w:type="dxa"/>
            </w:tcMar>
            <w:vAlign w:val="center"/>
            <w:hideMark/>
          </w:tcPr>
          <w:p w:rsidR="001562F4" w:rsidRPr="00C06C41" w:rsidRDefault="001562F4" w:rsidP="00AB0738">
            <w:pPr>
              <w:spacing w:line="240" w:lineRule="atLeast"/>
              <w:jc w:val="center"/>
              <w:rPr>
                <w:sz w:val="20"/>
                <w:szCs w:val="20"/>
              </w:rPr>
            </w:pPr>
            <w:r w:rsidRPr="00C06C41">
              <w:rPr>
                <w:sz w:val="20"/>
                <w:szCs w:val="20"/>
              </w:rPr>
              <w:t>4007.00</w:t>
            </w:r>
          </w:p>
        </w:tc>
        <w:tc>
          <w:tcPr>
            <w:tcW w:w="2375" w:type="dxa"/>
            <w:vMerge w:val="restart"/>
            <w:tcBorders>
              <w:top w:val="nil"/>
              <w:left w:val="nil"/>
              <w:bottom w:val="single" w:sz="8" w:space="0" w:color="000000"/>
              <w:right w:val="single" w:sz="8" w:space="0" w:color="auto"/>
            </w:tcBorders>
            <w:noWrap/>
            <w:tcMar>
              <w:top w:w="0" w:type="dxa"/>
              <w:left w:w="70" w:type="dxa"/>
              <w:bottom w:w="0" w:type="dxa"/>
              <w:right w:w="70" w:type="dxa"/>
            </w:tcMar>
            <w:vAlign w:val="center"/>
            <w:hideMark/>
          </w:tcPr>
          <w:p w:rsidR="001562F4" w:rsidRPr="00C06C41" w:rsidRDefault="001562F4" w:rsidP="00AB0738">
            <w:pPr>
              <w:spacing w:line="240" w:lineRule="atLeast"/>
              <w:jc w:val="center"/>
              <w:rPr>
                <w:sz w:val="20"/>
                <w:szCs w:val="20"/>
              </w:rPr>
            </w:pPr>
            <w:r w:rsidRPr="00C06C41">
              <w:rPr>
                <w:sz w:val="20"/>
                <w:szCs w:val="20"/>
              </w:rPr>
              <w:t>Vulkanize edilmiş kauçuktan iplik ve ipler</w:t>
            </w:r>
          </w:p>
        </w:tc>
        <w:tc>
          <w:tcPr>
            <w:tcW w:w="997" w:type="dxa"/>
            <w:vMerge w:val="restart"/>
            <w:tcBorders>
              <w:top w:val="nil"/>
              <w:left w:val="nil"/>
              <w:bottom w:val="single" w:sz="8" w:space="0" w:color="000000"/>
              <w:right w:val="single" w:sz="8" w:space="0" w:color="auto"/>
            </w:tcBorders>
            <w:noWrap/>
            <w:tcMar>
              <w:top w:w="0" w:type="dxa"/>
              <w:left w:w="70" w:type="dxa"/>
              <w:bottom w:w="0" w:type="dxa"/>
              <w:right w:w="70" w:type="dxa"/>
            </w:tcMar>
            <w:vAlign w:val="center"/>
            <w:hideMark/>
          </w:tcPr>
          <w:p w:rsidR="001562F4" w:rsidRPr="00C06C41" w:rsidRDefault="001562F4" w:rsidP="00AB0738">
            <w:pPr>
              <w:spacing w:line="240" w:lineRule="atLeast"/>
              <w:jc w:val="center"/>
              <w:rPr>
                <w:sz w:val="20"/>
                <w:szCs w:val="20"/>
              </w:rPr>
            </w:pPr>
            <w:r w:rsidRPr="00C06C41">
              <w:rPr>
                <w:sz w:val="20"/>
                <w:szCs w:val="20"/>
              </w:rPr>
              <w:t>Tayland</w:t>
            </w:r>
          </w:p>
        </w:tc>
        <w:tc>
          <w:tcPr>
            <w:tcW w:w="2826"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1562F4" w:rsidRPr="00C06C41" w:rsidRDefault="001562F4" w:rsidP="00AB0738">
            <w:pPr>
              <w:spacing w:line="240" w:lineRule="atLeast"/>
              <w:jc w:val="center"/>
              <w:rPr>
                <w:sz w:val="20"/>
                <w:szCs w:val="20"/>
              </w:rPr>
            </w:pPr>
            <w:r w:rsidRPr="00C06C41">
              <w:rPr>
                <w:sz w:val="20"/>
                <w:szCs w:val="20"/>
              </w:rPr>
              <w:t>Natural Rubber Thread Co., Ltd.</w:t>
            </w:r>
          </w:p>
        </w:tc>
        <w:tc>
          <w:tcPr>
            <w:tcW w:w="183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1562F4" w:rsidRPr="00C06C41" w:rsidRDefault="001562F4" w:rsidP="00AB0738">
            <w:pPr>
              <w:spacing w:line="240" w:lineRule="atLeast"/>
              <w:jc w:val="center"/>
              <w:rPr>
                <w:sz w:val="20"/>
                <w:szCs w:val="20"/>
              </w:rPr>
            </w:pPr>
            <w:r w:rsidRPr="00C06C41">
              <w:rPr>
                <w:sz w:val="20"/>
                <w:szCs w:val="20"/>
              </w:rPr>
              <w:t>% 4,37</w:t>
            </w:r>
          </w:p>
        </w:tc>
      </w:tr>
      <w:tr w:rsidR="001562F4" w:rsidRPr="00C06C41" w:rsidTr="00C06C41">
        <w:trPr>
          <w:trHeight w:val="20"/>
          <w:jc w:val="center"/>
        </w:trPr>
        <w:tc>
          <w:tcPr>
            <w:tcW w:w="0" w:type="auto"/>
            <w:vMerge/>
            <w:tcBorders>
              <w:top w:val="nil"/>
              <w:left w:val="single" w:sz="8" w:space="0" w:color="auto"/>
              <w:bottom w:val="single" w:sz="8" w:space="0" w:color="000000"/>
              <w:right w:val="single" w:sz="8" w:space="0" w:color="auto"/>
            </w:tcBorders>
            <w:vAlign w:val="center"/>
            <w:hideMark/>
          </w:tcPr>
          <w:p w:rsidR="001562F4" w:rsidRPr="00C06C41" w:rsidRDefault="001562F4" w:rsidP="00AB0738">
            <w:pPr>
              <w:rPr>
                <w:sz w:val="20"/>
                <w:szCs w:val="20"/>
              </w:rPr>
            </w:pPr>
          </w:p>
        </w:tc>
        <w:tc>
          <w:tcPr>
            <w:tcW w:w="0" w:type="auto"/>
            <w:vMerge/>
            <w:tcBorders>
              <w:top w:val="nil"/>
              <w:left w:val="nil"/>
              <w:bottom w:val="single" w:sz="8" w:space="0" w:color="000000"/>
              <w:right w:val="single" w:sz="8" w:space="0" w:color="auto"/>
            </w:tcBorders>
            <w:vAlign w:val="center"/>
            <w:hideMark/>
          </w:tcPr>
          <w:p w:rsidR="001562F4" w:rsidRPr="00C06C41" w:rsidRDefault="001562F4" w:rsidP="00AB0738">
            <w:pPr>
              <w:rPr>
                <w:sz w:val="20"/>
                <w:szCs w:val="20"/>
              </w:rPr>
            </w:pPr>
          </w:p>
        </w:tc>
        <w:tc>
          <w:tcPr>
            <w:tcW w:w="0" w:type="auto"/>
            <w:vMerge/>
            <w:tcBorders>
              <w:top w:val="nil"/>
              <w:left w:val="nil"/>
              <w:bottom w:val="single" w:sz="8" w:space="0" w:color="000000"/>
              <w:right w:val="single" w:sz="8" w:space="0" w:color="auto"/>
            </w:tcBorders>
            <w:vAlign w:val="center"/>
            <w:hideMark/>
          </w:tcPr>
          <w:p w:rsidR="001562F4" w:rsidRPr="00C06C41" w:rsidRDefault="001562F4" w:rsidP="00AB0738">
            <w:pPr>
              <w:rPr>
                <w:sz w:val="20"/>
                <w:szCs w:val="20"/>
              </w:rPr>
            </w:pPr>
          </w:p>
        </w:tc>
        <w:tc>
          <w:tcPr>
            <w:tcW w:w="2826"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1562F4" w:rsidRPr="00C06C41" w:rsidRDefault="001562F4" w:rsidP="00AB0738">
            <w:pPr>
              <w:spacing w:line="240" w:lineRule="atLeast"/>
              <w:jc w:val="center"/>
              <w:rPr>
                <w:sz w:val="20"/>
                <w:szCs w:val="20"/>
              </w:rPr>
            </w:pPr>
            <w:r w:rsidRPr="00C06C41">
              <w:rPr>
                <w:sz w:val="20"/>
                <w:szCs w:val="20"/>
              </w:rPr>
              <w:t>Diğerleri</w:t>
            </w:r>
          </w:p>
        </w:tc>
        <w:tc>
          <w:tcPr>
            <w:tcW w:w="183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1562F4" w:rsidRPr="00C06C41" w:rsidRDefault="001562F4" w:rsidP="00AB0738">
            <w:pPr>
              <w:spacing w:line="240" w:lineRule="atLeast"/>
              <w:jc w:val="center"/>
              <w:rPr>
                <w:sz w:val="20"/>
                <w:szCs w:val="20"/>
              </w:rPr>
            </w:pPr>
            <w:r w:rsidRPr="00C06C41">
              <w:rPr>
                <w:sz w:val="20"/>
                <w:szCs w:val="20"/>
              </w:rPr>
              <w:t>% 8,75</w:t>
            </w:r>
          </w:p>
        </w:tc>
      </w:tr>
    </w:tbl>
    <w:p w:rsidR="00164FF4" w:rsidRPr="00006558" w:rsidRDefault="00164FF4" w:rsidP="00F217D8">
      <w:pPr>
        <w:jc w:val="both"/>
        <w:rPr>
          <w:bCs/>
        </w:rPr>
      </w:pPr>
    </w:p>
    <w:sectPr w:rsidR="00164FF4" w:rsidRPr="00006558" w:rsidSect="00057562">
      <w:headerReference w:type="first" r:id="rId8"/>
      <w:footerReference w:type="first" r:id="rId9"/>
      <w:pgSz w:w="11906" w:h="16838" w:code="9"/>
      <w:pgMar w:top="851" w:right="1418" w:bottom="1418" w:left="1418" w:header="851" w:footer="851"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6619" w:rsidRDefault="00E76619">
      <w:r>
        <w:separator/>
      </w:r>
    </w:p>
  </w:endnote>
  <w:endnote w:type="continuationSeparator" w:id="0">
    <w:p w:rsidR="00E76619" w:rsidRDefault="00E76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43" w:usb2="00000009" w:usb3="00000000" w:csb0="000001FF" w:csb1="00000000"/>
  </w:font>
  <w:font w:name="Garamond">
    <w:panose1 w:val="02020404030301010803"/>
    <w:charset w:val="A2"/>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A2"/>
    <w:family w:val="swiss"/>
    <w:pitch w:val="variable"/>
    <w:sig w:usb0="E0002AFF" w:usb1="C000247B" w:usb2="00000009" w:usb3="00000000" w:csb0="000001FF" w:csb1="00000000"/>
  </w:font>
  <w:font w:name="Calibri">
    <w:panose1 w:val="020F05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EB9" w:rsidRDefault="00400EB9" w:rsidP="00BD4724">
    <w:pPr>
      <w:pStyle w:val="AltBilgi"/>
      <w:tabs>
        <w:tab w:val="clear" w:pos="4536"/>
        <w:tab w:val="clear" w:pos="9072"/>
        <w:tab w:val="left" w:pos="9529"/>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6619" w:rsidRDefault="00E76619">
      <w:r>
        <w:separator/>
      </w:r>
    </w:p>
  </w:footnote>
  <w:footnote w:type="continuationSeparator" w:id="0">
    <w:p w:rsidR="00E76619" w:rsidRDefault="00E76619">
      <w:r>
        <w:continuationSeparator/>
      </w:r>
    </w:p>
  </w:footnote>
  <w:footnote w:id="1">
    <w:p w:rsidR="00137AD5" w:rsidRDefault="00137AD5">
      <w:pPr>
        <w:pStyle w:val="DipnotMetni"/>
        <w:contextualSpacing/>
      </w:pPr>
      <w:r>
        <w:rPr>
          <w:rStyle w:val="DipnotBavurusu"/>
        </w:rPr>
        <w:footnoteRef/>
      </w:r>
      <w:r>
        <w:t xml:space="preserve"> </w:t>
      </w:r>
      <w:r w:rsidR="001F7EC1" w:rsidRPr="001F7EC1">
        <w:t>https://ekonomi.isbank.com.tr/tr/Sektorler.aspx?p=18</w:t>
      </w:r>
    </w:p>
  </w:footnote>
  <w:footnote w:id="2">
    <w:p w:rsidR="00137AD5" w:rsidRDefault="00137AD5">
      <w:pPr>
        <w:pStyle w:val="DipnotMetni"/>
        <w:contextualSpacing/>
      </w:pPr>
      <w:r>
        <w:rPr>
          <w:rStyle w:val="DipnotBavurusu"/>
        </w:rPr>
        <w:footnoteRef/>
      </w:r>
      <w:r>
        <w:t xml:space="preserve"> </w:t>
      </w:r>
      <w:r w:rsidR="001D1574" w:rsidRPr="001D1574">
        <w:t>https://ekonomi.isbank.com.tr/UserFiles/pdf/sr05_mobilyasektoru.pdf</w:t>
      </w:r>
    </w:p>
  </w:footnote>
  <w:footnote w:id="3">
    <w:p w:rsidR="001D1574" w:rsidRDefault="001D1574">
      <w:pPr>
        <w:pStyle w:val="DipnotMetni"/>
      </w:pPr>
      <w:r>
        <w:rPr>
          <w:rStyle w:val="DipnotBavurusu"/>
        </w:rPr>
        <w:footnoteRef/>
      </w:r>
      <w:r>
        <w:t xml:space="preserve"> </w:t>
      </w:r>
      <w:r w:rsidRPr="001D1574">
        <w:t>https://ekonomi.isbank.com.tr/tr/Sektorler.aspx?p=18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EB9" w:rsidRDefault="00400EB9">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F7376"/>
    <w:multiLevelType w:val="hybridMultilevel"/>
    <w:tmpl w:val="B9AC8680"/>
    <w:lvl w:ilvl="0" w:tplc="D9147540">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4BB07F8"/>
    <w:multiLevelType w:val="hybridMultilevel"/>
    <w:tmpl w:val="21D2CD5A"/>
    <w:lvl w:ilvl="0" w:tplc="0F1AAFC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A2D4332"/>
    <w:multiLevelType w:val="hybridMultilevel"/>
    <w:tmpl w:val="A000BED8"/>
    <w:lvl w:ilvl="0" w:tplc="65FE2EE0">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F520F7E"/>
    <w:multiLevelType w:val="multilevel"/>
    <w:tmpl w:val="14D0CD3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DE44689"/>
    <w:multiLevelType w:val="hybridMultilevel"/>
    <w:tmpl w:val="F1A87F38"/>
    <w:lvl w:ilvl="0" w:tplc="AE4076DA">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7A7A5F0C"/>
    <w:multiLevelType w:val="hybridMultilevel"/>
    <w:tmpl w:val="1652C73E"/>
    <w:lvl w:ilvl="0" w:tplc="F9387586">
      <w:start w:val="5"/>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
  </w:num>
  <w:num w:numId="2">
    <w:abstractNumId w:val="1"/>
  </w:num>
  <w:num w:numId="3">
    <w:abstractNumId w:val="5"/>
  </w:num>
  <w:num w:numId="4">
    <w:abstractNumId w:val="2"/>
  </w:num>
  <w:num w:numId="5">
    <w:abstractNumId w:val="4"/>
  </w:num>
  <w:num w:numId="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isplayBackgroundShape/>
  <w:gutterAtTop/>
  <w:hideGrammaticalErrors/>
  <w:defaultTabStop w:val="357"/>
  <w:hyphenationZone w:val="425"/>
  <w:drawingGridHorizontalSpacing w:val="120"/>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201"/>
    <w:rsid w:val="00000ED5"/>
    <w:rsid w:val="00000FA3"/>
    <w:rsid w:val="00001490"/>
    <w:rsid w:val="000014DA"/>
    <w:rsid w:val="00002BC5"/>
    <w:rsid w:val="00002DAA"/>
    <w:rsid w:val="0000430C"/>
    <w:rsid w:val="0000641A"/>
    <w:rsid w:val="00006558"/>
    <w:rsid w:val="00006960"/>
    <w:rsid w:val="00006D5A"/>
    <w:rsid w:val="00006DAD"/>
    <w:rsid w:val="000128DC"/>
    <w:rsid w:val="0001506B"/>
    <w:rsid w:val="000157F2"/>
    <w:rsid w:val="0001582F"/>
    <w:rsid w:val="0001665D"/>
    <w:rsid w:val="000170E8"/>
    <w:rsid w:val="0001715A"/>
    <w:rsid w:val="000174E6"/>
    <w:rsid w:val="00017BAE"/>
    <w:rsid w:val="00017E31"/>
    <w:rsid w:val="000207DA"/>
    <w:rsid w:val="00021A58"/>
    <w:rsid w:val="00022BE4"/>
    <w:rsid w:val="00022FA6"/>
    <w:rsid w:val="00023BCC"/>
    <w:rsid w:val="0002593D"/>
    <w:rsid w:val="00026DA8"/>
    <w:rsid w:val="00030BAE"/>
    <w:rsid w:val="00031B8C"/>
    <w:rsid w:val="00031EF4"/>
    <w:rsid w:val="00032151"/>
    <w:rsid w:val="00032B72"/>
    <w:rsid w:val="00032D04"/>
    <w:rsid w:val="000335FA"/>
    <w:rsid w:val="000347DC"/>
    <w:rsid w:val="00034C6B"/>
    <w:rsid w:val="00036684"/>
    <w:rsid w:val="0003698B"/>
    <w:rsid w:val="0003701D"/>
    <w:rsid w:val="0003706C"/>
    <w:rsid w:val="000373A2"/>
    <w:rsid w:val="000379D3"/>
    <w:rsid w:val="00040079"/>
    <w:rsid w:val="00040B60"/>
    <w:rsid w:val="00040D20"/>
    <w:rsid w:val="000424D9"/>
    <w:rsid w:val="00042B13"/>
    <w:rsid w:val="00042B99"/>
    <w:rsid w:val="00043991"/>
    <w:rsid w:val="00043B65"/>
    <w:rsid w:val="000446CD"/>
    <w:rsid w:val="00045065"/>
    <w:rsid w:val="000460DF"/>
    <w:rsid w:val="00050A1E"/>
    <w:rsid w:val="00051130"/>
    <w:rsid w:val="000513CD"/>
    <w:rsid w:val="00051791"/>
    <w:rsid w:val="0005360C"/>
    <w:rsid w:val="00054177"/>
    <w:rsid w:val="00055C84"/>
    <w:rsid w:val="00055EEA"/>
    <w:rsid w:val="00057562"/>
    <w:rsid w:val="000579FB"/>
    <w:rsid w:val="000602BD"/>
    <w:rsid w:val="000617D3"/>
    <w:rsid w:val="00063E39"/>
    <w:rsid w:val="00067354"/>
    <w:rsid w:val="00067D03"/>
    <w:rsid w:val="000711C0"/>
    <w:rsid w:val="000718D3"/>
    <w:rsid w:val="00071E18"/>
    <w:rsid w:val="00071EDF"/>
    <w:rsid w:val="00074808"/>
    <w:rsid w:val="000753C7"/>
    <w:rsid w:val="00075D14"/>
    <w:rsid w:val="0007770D"/>
    <w:rsid w:val="00077816"/>
    <w:rsid w:val="00077966"/>
    <w:rsid w:val="0008027C"/>
    <w:rsid w:val="000808EC"/>
    <w:rsid w:val="00081948"/>
    <w:rsid w:val="00083ABC"/>
    <w:rsid w:val="00083D4C"/>
    <w:rsid w:val="0008559E"/>
    <w:rsid w:val="000856D7"/>
    <w:rsid w:val="000865CB"/>
    <w:rsid w:val="00086F2F"/>
    <w:rsid w:val="0008759A"/>
    <w:rsid w:val="0008766D"/>
    <w:rsid w:val="00087A36"/>
    <w:rsid w:val="000924A1"/>
    <w:rsid w:val="000925EE"/>
    <w:rsid w:val="00092C3E"/>
    <w:rsid w:val="000936D1"/>
    <w:rsid w:val="00093829"/>
    <w:rsid w:val="00094A4B"/>
    <w:rsid w:val="000954B2"/>
    <w:rsid w:val="000966C4"/>
    <w:rsid w:val="000A0655"/>
    <w:rsid w:val="000A0D6B"/>
    <w:rsid w:val="000A2DE8"/>
    <w:rsid w:val="000A3337"/>
    <w:rsid w:val="000A3490"/>
    <w:rsid w:val="000A45DA"/>
    <w:rsid w:val="000A6C13"/>
    <w:rsid w:val="000A758A"/>
    <w:rsid w:val="000A77B2"/>
    <w:rsid w:val="000B01C9"/>
    <w:rsid w:val="000B06E4"/>
    <w:rsid w:val="000B0BBC"/>
    <w:rsid w:val="000B1757"/>
    <w:rsid w:val="000B1C87"/>
    <w:rsid w:val="000B28E5"/>
    <w:rsid w:val="000B3786"/>
    <w:rsid w:val="000B3CAE"/>
    <w:rsid w:val="000B44ED"/>
    <w:rsid w:val="000B5F0B"/>
    <w:rsid w:val="000B6EE9"/>
    <w:rsid w:val="000B7BF2"/>
    <w:rsid w:val="000C0149"/>
    <w:rsid w:val="000C262C"/>
    <w:rsid w:val="000C37E7"/>
    <w:rsid w:val="000C62FC"/>
    <w:rsid w:val="000C6921"/>
    <w:rsid w:val="000D1400"/>
    <w:rsid w:val="000D206B"/>
    <w:rsid w:val="000D216F"/>
    <w:rsid w:val="000D25AE"/>
    <w:rsid w:val="000D32AF"/>
    <w:rsid w:val="000D45AA"/>
    <w:rsid w:val="000D6037"/>
    <w:rsid w:val="000D63DE"/>
    <w:rsid w:val="000D6EAA"/>
    <w:rsid w:val="000D72DD"/>
    <w:rsid w:val="000D76D7"/>
    <w:rsid w:val="000E3552"/>
    <w:rsid w:val="000E3A0E"/>
    <w:rsid w:val="000E4B4F"/>
    <w:rsid w:val="000E5193"/>
    <w:rsid w:val="000E53E2"/>
    <w:rsid w:val="000E734D"/>
    <w:rsid w:val="000E7D9A"/>
    <w:rsid w:val="000F1AEE"/>
    <w:rsid w:val="000F1C6A"/>
    <w:rsid w:val="000F30BD"/>
    <w:rsid w:val="000F3658"/>
    <w:rsid w:val="000F3BBA"/>
    <w:rsid w:val="000F6EC6"/>
    <w:rsid w:val="000F798A"/>
    <w:rsid w:val="000F7997"/>
    <w:rsid w:val="00100060"/>
    <w:rsid w:val="00101B68"/>
    <w:rsid w:val="00101DFD"/>
    <w:rsid w:val="00102A01"/>
    <w:rsid w:val="001046A3"/>
    <w:rsid w:val="001046DC"/>
    <w:rsid w:val="00104A8C"/>
    <w:rsid w:val="001057A7"/>
    <w:rsid w:val="0010591E"/>
    <w:rsid w:val="001102D8"/>
    <w:rsid w:val="001126BA"/>
    <w:rsid w:val="00113929"/>
    <w:rsid w:val="001143DE"/>
    <w:rsid w:val="0011472A"/>
    <w:rsid w:val="001163B7"/>
    <w:rsid w:val="001169A7"/>
    <w:rsid w:val="00117837"/>
    <w:rsid w:val="0012051F"/>
    <w:rsid w:val="00120898"/>
    <w:rsid w:val="00121476"/>
    <w:rsid w:val="001221BB"/>
    <w:rsid w:val="001228B9"/>
    <w:rsid w:val="00122920"/>
    <w:rsid w:val="00122AD9"/>
    <w:rsid w:val="00124096"/>
    <w:rsid w:val="00125664"/>
    <w:rsid w:val="001257B0"/>
    <w:rsid w:val="0012580B"/>
    <w:rsid w:val="00126BB6"/>
    <w:rsid w:val="001276CD"/>
    <w:rsid w:val="001302EC"/>
    <w:rsid w:val="00130326"/>
    <w:rsid w:val="001305C0"/>
    <w:rsid w:val="001322ED"/>
    <w:rsid w:val="00132417"/>
    <w:rsid w:val="00132658"/>
    <w:rsid w:val="0013499C"/>
    <w:rsid w:val="001351F8"/>
    <w:rsid w:val="00135A24"/>
    <w:rsid w:val="00136A61"/>
    <w:rsid w:val="00137AD5"/>
    <w:rsid w:val="00141ABB"/>
    <w:rsid w:val="00141B3F"/>
    <w:rsid w:val="001421E5"/>
    <w:rsid w:val="001435F1"/>
    <w:rsid w:val="00143B15"/>
    <w:rsid w:val="00144AAE"/>
    <w:rsid w:val="00145955"/>
    <w:rsid w:val="0014600D"/>
    <w:rsid w:val="00146D32"/>
    <w:rsid w:val="00150555"/>
    <w:rsid w:val="00150AAC"/>
    <w:rsid w:val="00151803"/>
    <w:rsid w:val="00152172"/>
    <w:rsid w:val="001534CC"/>
    <w:rsid w:val="00153BC4"/>
    <w:rsid w:val="0015454D"/>
    <w:rsid w:val="001562F4"/>
    <w:rsid w:val="00157AB1"/>
    <w:rsid w:val="00157CC6"/>
    <w:rsid w:val="00161548"/>
    <w:rsid w:val="00161E7C"/>
    <w:rsid w:val="00163C3E"/>
    <w:rsid w:val="0016461B"/>
    <w:rsid w:val="00164FC7"/>
    <w:rsid w:val="00164FF4"/>
    <w:rsid w:val="0016519E"/>
    <w:rsid w:val="001653EB"/>
    <w:rsid w:val="001659D5"/>
    <w:rsid w:val="00166437"/>
    <w:rsid w:val="00166EBF"/>
    <w:rsid w:val="00167798"/>
    <w:rsid w:val="0017061B"/>
    <w:rsid w:val="00171C39"/>
    <w:rsid w:val="0017241B"/>
    <w:rsid w:val="00173F05"/>
    <w:rsid w:val="00174CD8"/>
    <w:rsid w:val="00175D49"/>
    <w:rsid w:val="00176946"/>
    <w:rsid w:val="00176FB0"/>
    <w:rsid w:val="00182973"/>
    <w:rsid w:val="00182A6C"/>
    <w:rsid w:val="0018478C"/>
    <w:rsid w:val="0018577F"/>
    <w:rsid w:val="00186471"/>
    <w:rsid w:val="00186A7A"/>
    <w:rsid w:val="001876C9"/>
    <w:rsid w:val="00187BFA"/>
    <w:rsid w:val="0019004B"/>
    <w:rsid w:val="0019009B"/>
    <w:rsid w:val="00190450"/>
    <w:rsid w:val="00190B78"/>
    <w:rsid w:val="00190DC4"/>
    <w:rsid w:val="00191736"/>
    <w:rsid w:val="0019405E"/>
    <w:rsid w:val="00194A98"/>
    <w:rsid w:val="00194C3D"/>
    <w:rsid w:val="001971B5"/>
    <w:rsid w:val="001972FE"/>
    <w:rsid w:val="001A1452"/>
    <w:rsid w:val="001A4A53"/>
    <w:rsid w:val="001A5A2B"/>
    <w:rsid w:val="001A5A36"/>
    <w:rsid w:val="001A6768"/>
    <w:rsid w:val="001A76DD"/>
    <w:rsid w:val="001A7F5C"/>
    <w:rsid w:val="001B2701"/>
    <w:rsid w:val="001B36CE"/>
    <w:rsid w:val="001B3785"/>
    <w:rsid w:val="001B3B60"/>
    <w:rsid w:val="001B3FD2"/>
    <w:rsid w:val="001B4A6E"/>
    <w:rsid w:val="001B7396"/>
    <w:rsid w:val="001B75B1"/>
    <w:rsid w:val="001C07DA"/>
    <w:rsid w:val="001C07EE"/>
    <w:rsid w:val="001C1424"/>
    <w:rsid w:val="001C1EB0"/>
    <w:rsid w:val="001C242B"/>
    <w:rsid w:val="001C268B"/>
    <w:rsid w:val="001C5A83"/>
    <w:rsid w:val="001C5B7D"/>
    <w:rsid w:val="001C5CBC"/>
    <w:rsid w:val="001C7BB5"/>
    <w:rsid w:val="001D00FE"/>
    <w:rsid w:val="001D0F06"/>
    <w:rsid w:val="001D108C"/>
    <w:rsid w:val="001D1403"/>
    <w:rsid w:val="001D1574"/>
    <w:rsid w:val="001D2435"/>
    <w:rsid w:val="001D2BF5"/>
    <w:rsid w:val="001D3669"/>
    <w:rsid w:val="001D72BF"/>
    <w:rsid w:val="001E07B4"/>
    <w:rsid w:val="001E2451"/>
    <w:rsid w:val="001E4E25"/>
    <w:rsid w:val="001E51ED"/>
    <w:rsid w:val="001E59D5"/>
    <w:rsid w:val="001E6882"/>
    <w:rsid w:val="001E7094"/>
    <w:rsid w:val="001E726D"/>
    <w:rsid w:val="001F0BB7"/>
    <w:rsid w:val="001F1111"/>
    <w:rsid w:val="001F2060"/>
    <w:rsid w:val="001F3D2D"/>
    <w:rsid w:val="001F45C4"/>
    <w:rsid w:val="001F4693"/>
    <w:rsid w:val="001F7E7D"/>
    <w:rsid w:val="001F7EC1"/>
    <w:rsid w:val="00200B0F"/>
    <w:rsid w:val="0020167B"/>
    <w:rsid w:val="00203069"/>
    <w:rsid w:val="00203C91"/>
    <w:rsid w:val="0020432B"/>
    <w:rsid w:val="00204A0D"/>
    <w:rsid w:val="002051BE"/>
    <w:rsid w:val="00205EAB"/>
    <w:rsid w:val="00206F8B"/>
    <w:rsid w:val="002076CA"/>
    <w:rsid w:val="0021082B"/>
    <w:rsid w:val="00210F20"/>
    <w:rsid w:val="0021154A"/>
    <w:rsid w:val="002115F6"/>
    <w:rsid w:val="002125E2"/>
    <w:rsid w:val="00212EC7"/>
    <w:rsid w:val="002131B3"/>
    <w:rsid w:val="00213449"/>
    <w:rsid w:val="0021396F"/>
    <w:rsid w:val="00214FE8"/>
    <w:rsid w:val="00221315"/>
    <w:rsid w:val="002215A8"/>
    <w:rsid w:val="00221C80"/>
    <w:rsid w:val="00221EC2"/>
    <w:rsid w:val="00222BB2"/>
    <w:rsid w:val="002261D2"/>
    <w:rsid w:val="00226BCE"/>
    <w:rsid w:val="00226FB6"/>
    <w:rsid w:val="0022780C"/>
    <w:rsid w:val="002304D6"/>
    <w:rsid w:val="00231337"/>
    <w:rsid w:val="00233C7D"/>
    <w:rsid w:val="00241ADA"/>
    <w:rsid w:val="00242673"/>
    <w:rsid w:val="00243666"/>
    <w:rsid w:val="002438AD"/>
    <w:rsid w:val="002446BD"/>
    <w:rsid w:val="002468C7"/>
    <w:rsid w:val="002509C9"/>
    <w:rsid w:val="0025114F"/>
    <w:rsid w:val="00251887"/>
    <w:rsid w:val="002526F8"/>
    <w:rsid w:val="0025290B"/>
    <w:rsid w:val="00256B12"/>
    <w:rsid w:val="0025723E"/>
    <w:rsid w:val="00257840"/>
    <w:rsid w:val="00261B91"/>
    <w:rsid w:val="00263201"/>
    <w:rsid w:val="002638A9"/>
    <w:rsid w:val="00263FFA"/>
    <w:rsid w:val="002640CD"/>
    <w:rsid w:val="00264113"/>
    <w:rsid w:val="00264450"/>
    <w:rsid w:val="00266C33"/>
    <w:rsid w:val="0027429C"/>
    <w:rsid w:val="0027642A"/>
    <w:rsid w:val="00286163"/>
    <w:rsid w:val="002861CC"/>
    <w:rsid w:val="002868B7"/>
    <w:rsid w:val="002879D1"/>
    <w:rsid w:val="0029018C"/>
    <w:rsid w:val="00292667"/>
    <w:rsid w:val="00293B68"/>
    <w:rsid w:val="00295E5A"/>
    <w:rsid w:val="00295EA6"/>
    <w:rsid w:val="002964F1"/>
    <w:rsid w:val="002A0373"/>
    <w:rsid w:val="002A1DE4"/>
    <w:rsid w:val="002A3910"/>
    <w:rsid w:val="002A5D83"/>
    <w:rsid w:val="002A6B74"/>
    <w:rsid w:val="002A77E2"/>
    <w:rsid w:val="002B1794"/>
    <w:rsid w:val="002B22B0"/>
    <w:rsid w:val="002B3F5D"/>
    <w:rsid w:val="002B46A6"/>
    <w:rsid w:val="002B4CCF"/>
    <w:rsid w:val="002B6FA2"/>
    <w:rsid w:val="002B7CF8"/>
    <w:rsid w:val="002C0625"/>
    <w:rsid w:val="002C0BF3"/>
    <w:rsid w:val="002C1B62"/>
    <w:rsid w:val="002C266F"/>
    <w:rsid w:val="002C2924"/>
    <w:rsid w:val="002C3CC3"/>
    <w:rsid w:val="002C4451"/>
    <w:rsid w:val="002C514B"/>
    <w:rsid w:val="002C609D"/>
    <w:rsid w:val="002C7256"/>
    <w:rsid w:val="002D15A9"/>
    <w:rsid w:val="002D2F0B"/>
    <w:rsid w:val="002D3479"/>
    <w:rsid w:val="002D35AA"/>
    <w:rsid w:val="002D503F"/>
    <w:rsid w:val="002D5B4C"/>
    <w:rsid w:val="002D7236"/>
    <w:rsid w:val="002E019D"/>
    <w:rsid w:val="002E0CCE"/>
    <w:rsid w:val="002E109D"/>
    <w:rsid w:val="002E1F68"/>
    <w:rsid w:val="002E2ACF"/>
    <w:rsid w:val="002E33A8"/>
    <w:rsid w:val="002E33F1"/>
    <w:rsid w:val="002E4C5A"/>
    <w:rsid w:val="002E54ED"/>
    <w:rsid w:val="002E7C9B"/>
    <w:rsid w:val="002F05C1"/>
    <w:rsid w:val="002F1132"/>
    <w:rsid w:val="002F370C"/>
    <w:rsid w:val="00300712"/>
    <w:rsid w:val="00302B56"/>
    <w:rsid w:val="00302C3D"/>
    <w:rsid w:val="00303F1A"/>
    <w:rsid w:val="0030414B"/>
    <w:rsid w:val="00304AA2"/>
    <w:rsid w:val="00305B2A"/>
    <w:rsid w:val="00305D50"/>
    <w:rsid w:val="003077EF"/>
    <w:rsid w:val="00311D0C"/>
    <w:rsid w:val="00315FB9"/>
    <w:rsid w:val="00317CF7"/>
    <w:rsid w:val="00320ABC"/>
    <w:rsid w:val="00320EB1"/>
    <w:rsid w:val="00321AAF"/>
    <w:rsid w:val="003220CB"/>
    <w:rsid w:val="0032265B"/>
    <w:rsid w:val="00322D81"/>
    <w:rsid w:val="0032311C"/>
    <w:rsid w:val="00323BB5"/>
    <w:rsid w:val="00323D68"/>
    <w:rsid w:val="00323D6B"/>
    <w:rsid w:val="00325507"/>
    <w:rsid w:val="00326E61"/>
    <w:rsid w:val="0033242A"/>
    <w:rsid w:val="003325D8"/>
    <w:rsid w:val="00334E1F"/>
    <w:rsid w:val="00334EDA"/>
    <w:rsid w:val="00336456"/>
    <w:rsid w:val="003402E3"/>
    <w:rsid w:val="00340E35"/>
    <w:rsid w:val="00340FAA"/>
    <w:rsid w:val="003418F0"/>
    <w:rsid w:val="00341C9F"/>
    <w:rsid w:val="00341CD9"/>
    <w:rsid w:val="00341D99"/>
    <w:rsid w:val="00341EBE"/>
    <w:rsid w:val="003422AF"/>
    <w:rsid w:val="0034299F"/>
    <w:rsid w:val="00342F0E"/>
    <w:rsid w:val="0034328B"/>
    <w:rsid w:val="003436B5"/>
    <w:rsid w:val="00343DBB"/>
    <w:rsid w:val="00344DA7"/>
    <w:rsid w:val="00345786"/>
    <w:rsid w:val="00347561"/>
    <w:rsid w:val="00347840"/>
    <w:rsid w:val="003510A3"/>
    <w:rsid w:val="003514D8"/>
    <w:rsid w:val="003516B3"/>
    <w:rsid w:val="00351DDC"/>
    <w:rsid w:val="00351FDA"/>
    <w:rsid w:val="00353184"/>
    <w:rsid w:val="00353B7E"/>
    <w:rsid w:val="00355886"/>
    <w:rsid w:val="0035752E"/>
    <w:rsid w:val="00360D7D"/>
    <w:rsid w:val="00361FF5"/>
    <w:rsid w:val="00363DE2"/>
    <w:rsid w:val="003642DA"/>
    <w:rsid w:val="00364A60"/>
    <w:rsid w:val="00365FF0"/>
    <w:rsid w:val="00366AC6"/>
    <w:rsid w:val="00367162"/>
    <w:rsid w:val="00370B1E"/>
    <w:rsid w:val="00371AD9"/>
    <w:rsid w:val="0037251B"/>
    <w:rsid w:val="00372D3B"/>
    <w:rsid w:val="00373F29"/>
    <w:rsid w:val="0037465B"/>
    <w:rsid w:val="00374A0D"/>
    <w:rsid w:val="00375AAE"/>
    <w:rsid w:val="00376E8D"/>
    <w:rsid w:val="00380159"/>
    <w:rsid w:val="003803B2"/>
    <w:rsid w:val="00381410"/>
    <w:rsid w:val="00381A01"/>
    <w:rsid w:val="0038237F"/>
    <w:rsid w:val="0038271E"/>
    <w:rsid w:val="00382B09"/>
    <w:rsid w:val="00382B15"/>
    <w:rsid w:val="00384028"/>
    <w:rsid w:val="003840A3"/>
    <w:rsid w:val="00386027"/>
    <w:rsid w:val="0038614A"/>
    <w:rsid w:val="00391221"/>
    <w:rsid w:val="00392F90"/>
    <w:rsid w:val="0039361E"/>
    <w:rsid w:val="003938F0"/>
    <w:rsid w:val="00394AB0"/>
    <w:rsid w:val="003A078F"/>
    <w:rsid w:val="003A0B3D"/>
    <w:rsid w:val="003A1113"/>
    <w:rsid w:val="003A2778"/>
    <w:rsid w:val="003A28E3"/>
    <w:rsid w:val="003A2AA0"/>
    <w:rsid w:val="003A449C"/>
    <w:rsid w:val="003A4634"/>
    <w:rsid w:val="003A56C1"/>
    <w:rsid w:val="003A59EB"/>
    <w:rsid w:val="003A59FB"/>
    <w:rsid w:val="003B0554"/>
    <w:rsid w:val="003B0F76"/>
    <w:rsid w:val="003B1A87"/>
    <w:rsid w:val="003B1DBC"/>
    <w:rsid w:val="003B2000"/>
    <w:rsid w:val="003B2137"/>
    <w:rsid w:val="003B2D4C"/>
    <w:rsid w:val="003B426A"/>
    <w:rsid w:val="003B670C"/>
    <w:rsid w:val="003B7352"/>
    <w:rsid w:val="003C1369"/>
    <w:rsid w:val="003C188C"/>
    <w:rsid w:val="003C36CA"/>
    <w:rsid w:val="003C3861"/>
    <w:rsid w:val="003C457D"/>
    <w:rsid w:val="003C6689"/>
    <w:rsid w:val="003C6CB7"/>
    <w:rsid w:val="003C6F38"/>
    <w:rsid w:val="003C7B03"/>
    <w:rsid w:val="003D123F"/>
    <w:rsid w:val="003D2294"/>
    <w:rsid w:val="003D2AAC"/>
    <w:rsid w:val="003D3349"/>
    <w:rsid w:val="003D41F9"/>
    <w:rsid w:val="003D4467"/>
    <w:rsid w:val="003D4E5B"/>
    <w:rsid w:val="003D5AE8"/>
    <w:rsid w:val="003D5BF1"/>
    <w:rsid w:val="003D6D2B"/>
    <w:rsid w:val="003D6EBA"/>
    <w:rsid w:val="003D7E00"/>
    <w:rsid w:val="003D7F73"/>
    <w:rsid w:val="003E0D34"/>
    <w:rsid w:val="003E2402"/>
    <w:rsid w:val="003E6769"/>
    <w:rsid w:val="003E7EA4"/>
    <w:rsid w:val="003F0663"/>
    <w:rsid w:val="003F1387"/>
    <w:rsid w:val="003F1DAD"/>
    <w:rsid w:val="003F243B"/>
    <w:rsid w:val="003F2EB7"/>
    <w:rsid w:val="003F4461"/>
    <w:rsid w:val="003F48BF"/>
    <w:rsid w:val="003F6152"/>
    <w:rsid w:val="003F6487"/>
    <w:rsid w:val="003F6E8A"/>
    <w:rsid w:val="003F7FD6"/>
    <w:rsid w:val="00400290"/>
    <w:rsid w:val="00400EB9"/>
    <w:rsid w:val="00401693"/>
    <w:rsid w:val="00402840"/>
    <w:rsid w:val="00403829"/>
    <w:rsid w:val="00403B65"/>
    <w:rsid w:val="004065AB"/>
    <w:rsid w:val="00406B4A"/>
    <w:rsid w:val="004077B4"/>
    <w:rsid w:val="00412765"/>
    <w:rsid w:val="004141F9"/>
    <w:rsid w:val="00414AFA"/>
    <w:rsid w:val="00416FCE"/>
    <w:rsid w:val="00417613"/>
    <w:rsid w:val="00421D71"/>
    <w:rsid w:val="00422631"/>
    <w:rsid w:val="0042422B"/>
    <w:rsid w:val="004242C9"/>
    <w:rsid w:val="00424DD0"/>
    <w:rsid w:val="00430509"/>
    <w:rsid w:val="004310FE"/>
    <w:rsid w:val="00431C6F"/>
    <w:rsid w:val="00434246"/>
    <w:rsid w:val="004364CB"/>
    <w:rsid w:val="00436B0D"/>
    <w:rsid w:val="00436E97"/>
    <w:rsid w:val="004377F4"/>
    <w:rsid w:val="00437DA4"/>
    <w:rsid w:val="004405D6"/>
    <w:rsid w:val="00441FE9"/>
    <w:rsid w:val="004420D1"/>
    <w:rsid w:val="00443D77"/>
    <w:rsid w:val="00444F2D"/>
    <w:rsid w:val="00444F3F"/>
    <w:rsid w:val="00445ACE"/>
    <w:rsid w:val="004463AA"/>
    <w:rsid w:val="00447F97"/>
    <w:rsid w:val="00450BC6"/>
    <w:rsid w:val="00450F40"/>
    <w:rsid w:val="00451237"/>
    <w:rsid w:val="00452A12"/>
    <w:rsid w:val="00452B73"/>
    <w:rsid w:val="00454F59"/>
    <w:rsid w:val="00456C74"/>
    <w:rsid w:val="00460CAE"/>
    <w:rsid w:val="00464771"/>
    <w:rsid w:val="004677BF"/>
    <w:rsid w:val="00467DFE"/>
    <w:rsid w:val="00470487"/>
    <w:rsid w:val="00470549"/>
    <w:rsid w:val="00470C16"/>
    <w:rsid w:val="00473C66"/>
    <w:rsid w:val="00473FAA"/>
    <w:rsid w:val="00474CB7"/>
    <w:rsid w:val="00475C80"/>
    <w:rsid w:val="00475EB4"/>
    <w:rsid w:val="0047649C"/>
    <w:rsid w:val="0047764E"/>
    <w:rsid w:val="00477A4F"/>
    <w:rsid w:val="00480EB7"/>
    <w:rsid w:val="00482487"/>
    <w:rsid w:val="0048279E"/>
    <w:rsid w:val="004828D0"/>
    <w:rsid w:val="0048576C"/>
    <w:rsid w:val="004862A4"/>
    <w:rsid w:val="00486E42"/>
    <w:rsid w:val="00490009"/>
    <w:rsid w:val="00490085"/>
    <w:rsid w:val="00491262"/>
    <w:rsid w:val="00491609"/>
    <w:rsid w:val="00491B15"/>
    <w:rsid w:val="004963B8"/>
    <w:rsid w:val="00497A2F"/>
    <w:rsid w:val="004A0AD4"/>
    <w:rsid w:val="004A2166"/>
    <w:rsid w:val="004A4A9B"/>
    <w:rsid w:val="004A51DC"/>
    <w:rsid w:val="004A6997"/>
    <w:rsid w:val="004A7348"/>
    <w:rsid w:val="004B1F70"/>
    <w:rsid w:val="004B296D"/>
    <w:rsid w:val="004B5A98"/>
    <w:rsid w:val="004B74BB"/>
    <w:rsid w:val="004C1711"/>
    <w:rsid w:val="004C25B4"/>
    <w:rsid w:val="004C3938"/>
    <w:rsid w:val="004C50FF"/>
    <w:rsid w:val="004C5B4B"/>
    <w:rsid w:val="004D1081"/>
    <w:rsid w:val="004D1C54"/>
    <w:rsid w:val="004D2A07"/>
    <w:rsid w:val="004D3586"/>
    <w:rsid w:val="004D4701"/>
    <w:rsid w:val="004D4A27"/>
    <w:rsid w:val="004D5190"/>
    <w:rsid w:val="004E29A6"/>
    <w:rsid w:val="004E6BCF"/>
    <w:rsid w:val="004E6FBC"/>
    <w:rsid w:val="004E78AF"/>
    <w:rsid w:val="004F2FA0"/>
    <w:rsid w:val="004F39CA"/>
    <w:rsid w:val="004F5B74"/>
    <w:rsid w:val="004F69F9"/>
    <w:rsid w:val="004F6FFD"/>
    <w:rsid w:val="004F71A5"/>
    <w:rsid w:val="004F7F43"/>
    <w:rsid w:val="0050107D"/>
    <w:rsid w:val="0050122C"/>
    <w:rsid w:val="00502F79"/>
    <w:rsid w:val="0050348A"/>
    <w:rsid w:val="00503930"/>
    <w:rsid w:val="00504B7A"/>
    <w:rsid w:val="005056F1"/>
    <w:rsid w:val="005059A2"/>
    <w:rsid w:val="00507119"/>
    <w:rsid w:val="005118E1"/>
    <w:rsid w:val="0051200F"/>
    <w:rsid w:val="0051204A"/>
    <w:rsid w:val="0051207B"/>
    <w:rsid w:val="00512169"/>
    <w:rsid w:val="00512587"/>
    <w:rsid w:val="005134E1"/>
    <w:rsid w:val="00513726"/>
    <w:rsid w:val="00514730"/>
    <w:rsid w:val="00514E6C"/>
    <w:rsid w:val="00514FB8"/>
    <w:rsid w:val="00515925"/>
    <w:rsid w:val="0051703B"/>
    <w:rsid w:val="00517CE7"/>
    <w:rsid w:val="00520952"/>
    <w:rsid w:val="00523809"/>
    <w:rsid w:val="00523C41"/>
    <w:rsid w:val="00524015"/>
    <w:rsid w:val="0052592A"/>
    <w:rsid w:val="00526EEC"/>
    <w:rsid w:val="0052764A"/>
    <w:rsid w:val="00527F26"/>
    <w:rsid w:val="00530A65"/>
    <w:rsid w:val="00530D50"/>
    <w:rsid w:val="005328DC"/>
    <w:rsid w:val="00534D98"/>
    <w:rsid w:val="005350A5"/>
    <w:rsid w:val="00535878"/>
    <w:rsid w:val="0053613C"/>
    <w:rsid w:val="005363C6"/>
    <w:rsid w:val="00542B51"/>
    <w:rsid w:val="00543A2D"/>
    <w:rsid w:val="00544075"/>
    <w:rsid w:val="0054491B"/>
    <w:rsid w:val="0054682C"/>
    <w:rsid w:val="005468E0"/>
    <w:rsid w:val="00547C8C"/>
    <w:rsid w:val="00550715"/>
    <w:rsid w:val="0055153D"/>
    <w:rsid w:val="00552261"/>
    <w:rsid w:val="00552378"/>
    <w:rsid w:val="00552690"/>
    <w:rsid w:val="00552E04"/>
    <w:rsid w:val="00553543"/>
    <w:rsid w:val="0055393D"/>
    <w:rsid w:val="00554FF8"/>
    <w:rsid w:val="0055544E"/>
    <w:rsid w:val="00555DC5"/>
    <w:rsid w:val="00556703"/>
    <w:rsid w:val="00557E8D"/>
    <w:rsid w:val="005605A7"/>
    <w:rsid w:val="00560EFB"/>
    <w:rsid w:val="005622F5"/>
    <w:rsid w:val="00564825"/>
    <w:rsid w:val="00564C75"/>
    <w:rsid w:val="005652E8"/>
    <w:rsid w:val="00565800"/>
    <w:rsid w:val="00566983"/>
    <w:rsid w:val="00566ED6"/>
    <w:rsid w:val="0056754A"/>
    <w:rsid w:val="00567BA5"/>
    <w:rsid w:val="00570602"/>
    <w:rsid w:val="00570B9D"/>
    <w:rsid w:val="00570D83"/>
    <w:rsid w:val="005744E0"/>
    <w:rsid w:val="005752DB"/>
    <w:rsid w:val="00576BA1"/>
    <w:rsid w:val="00576BE1"/>
    <w:rsid w:val="00582197"/>
    <w:rsid w:val="0058262C"/>
    <w:rsid w:val="00582A31"/>
    <w:rsid w:val="00582C12"/>
    <w:rsid w:val="00584AA5"/>
    <w:rsid w:val="0059117B"/>
    <w:rsid w:val="00591F81"/>
    <w:rsid w:val="005925AF"/>
    <w:rsid w:val="00596278"/>
    <w:rsid w:val="00596BDD"/>
    <w:rsid w:val="00597E25"/>
    <w:rsid w:val="005A0603"/>
    <w:rsid w:val="005A0D98"/>
    <w:rsid w:val="005A1308"/>
    <w:rsid w:val="005A2A7A"/>
    <w:rsid w:val="005A3AFB"/>
    <w:rsid w:val="005A4028"/>
    <w:rsid w:val="005A6474"/>
    <w:rsid w:val="005A6781"/>
    <w:rsid w:val="005A6AF1"/>
    <w:rsid w:val="005A7681"/>
    <w:rsid w:val="005A7A64"/>
    <w:rsid w:val="005B0D70"/>
    <w:rsid w:val="005B2021"/>
    <w:rsid w:val="005B33CD"/>
    <w:rsid w:val="005B34C9"/>
    <w:rsid w:val="005B41D4"/>
    <w:rsid w:val="005B4EC2"/>
    <w:rsid w:val="005B5E39"/>
    <w:rsid w:val="005B5F39"/>
    <w:rsid w:val="005B7FB1"/>
    <w:rsid w:val="005C1FD9"/>
    <w:rsid w:val="005C3683"/>
    <w:rsid w:val="005C4476"/>
    <w:rsid w:val="005C4E57"/>
    <w:rsid w:val="005C57F6"/>
    <w:rsid w:val="005C7014"/>
    <w:rsid w:val="005C725C"/>
    <w:rsid w:val="005C72E8"/>
    <w:rsid w:val="005C7949"/>
    <w:rsid w:val="005C7E01"/>
    <w:rsid w:val="005D42D7"/>
    <w:rsid w:val="005D65D1"/>
    <w:rsid w:val="005D6AD0"/>
    <w:rsid w:val="005E0901"/>
    <w:rsid w:val="005E13FD"/>
    <w:rsid w:val="005E18A0"/>
    <w:rsid w:val="005E190D"/>
    <w:rsid w:val="005E2083"/>
    <w:rsid w:val="005E237D"/>
    <w:rsid w:val="005E2C18"/>
    <w:rsid w:val="005E39B2"/>
    <w:rsid w:val="005E48DB"/>
    <w:rsid w:val="005E4CA9"/>
    <w:rsid w:val="005E4D4D"/>
    <w:rsid w:val="005E4FC1"/>
    <w:rsid w:val="005E52AA"/>
    <w:rsid w:val="005E7940"/>
    <w:rsid w:val="005E7D00"/>
    <w:rsid w:val="005F099E"/>
    <w:rsid w:val="005F1621"/>
    <w:rsid w:val="005F4B0C"/>
    <w:rsid w:val="005F6A98"/>
    <w:rsid w:val="005F7339"/>
    <w:rsid w:val="005F7371"/>
    <w:rsid w:val="00601A50"/>
    <w:rsid w:val="0060240E"/>
    <w:rsid w:val="00602476"/>
    <w:rsid w:val="006037FA"/>
    <w:rsid w:val="00603F19"/>
    <w:rsid w:val="0060490D"/>
    <w:rsid w:val="0060741A"/>
    <w:rsid w:val="0060752E"/>
    <w:rsid w:val="00614004"/>
    <w:rsid w:val="0061586A"/>
    <w:rsid w:val="00616A47"/>
    <w:rsid w:val="00617DE5"/>
    <w:rsid w:val="006220A9"/>
    <w:rsid w:val="006222EA"/>
    <w:rsid w:val="00622858"/>
    <w:rsid w:val="00624467"/>
    <w:rsid w:val="00624DC2"/>
    <w:rsid w:val="00624E16"/>
    <w:rsid w:val="00624ED4"/>
    <w:rsid w:val="006259B7"/>
    <w:rsid w:val="006276B4"/>
    <w:rsid w:val="00630D05"/>
    <w:rsid w:val="0063102D"/>
    <w:rsid w:val="00632EEA"/>
    <w:rsid w:val="00634F2E"/>
    <w:rsid w:val="00643F95"/>
    <w:rsid w:val="0064421C"/>
    <w:rsid w:val="006464D9"/>
    <w:rsid w:val="00653CF5"/>
    <w:rsid w:val="00655F9E"/>
    <w:rsid w:val="00655FA8"/>
    <w:rsid w:val="006570A9"/>
    <w:rsid w:val="006570D6"/>
    <w:rsid w:val="00661FC3"/>
    <w:rsid w:val="0066283C"/>
    <w:rsid w:val="0066285A"/>
    <w:rsid w:val="00663C27"/>
    <w:rsid w:val="006640B7"/>
    <w:rsid w:val="006641AB"/>
    <w:rsid w:val="00664667"/>
    <w:rsid w:val="006662AF"/>
    <w:rsid w:val="00666427"/>
    <w:rsid w:val="006679CB"/>
    <w:rsid w:val="006702BD"/>
    <w:rsid w:val="00670D34"/>
    <w:rsid w:val="006713B0"/>
    <w:rsid w:val="006726E7"/>
    <w:rsid w:val="00672CA8"/>
    <w:rsid w:val="00673327"/>
    <w:rsid w:val="00673868"/>
    <w:rsid w:val="00674D4A"/>
    <w:rsid w:val="00674E20"/>
    <w:rsid w:val="00675054"/>
    <w:rsid w:val="006757F3"/>
    <w:rsid w:val="00675933"/>
    <w:rsid w:val="006763CD"/>
    <w:rsid w:val="006766FC"/>
    <w:rsid w:val="0068057E"/>
    <w:rsid w:val="00680A41"/>
    <w:rsid w:val="00681A46"/>
    <w:rsid w:val="00682547"/>
    <w:rsid w:val="006827D1"/>
    <w:rsid w:val="00682D8B"/>
    <w:rsid w:val="0068403A"/>
    <w:rsid w:val="0068559F"/>
    <w:rsid w:val="00685A02"/>
    <w:rsid w:val="00687B87"/>
    <w:rsid w:val="00690C3D"/>
    <w:rsid w:val="0069153F"/>
    <w:rsid w:val="00692500"/>
    <w:rsid w:val="00692C8B"/>
    <w:rsid w:val="0069373B"/>
    <w:rsid w:val="00693795"/>
    <w:rsid w:val="00693870"/>
    <w:rsid w:val="006943A8"/>
    <w:rsid w:val="00695421"/>
    <w:rsid w:val="00695657"/>
    <w:rsid w:val="00695813"/>
    <w:rsid w:val="006A0A35"/>
    <w:rsid w:val="006A2136"/>
    <w:rsid w:val="006A3446"/>
    <w:rsid w:val="006A43F4"/>
    <w:rsid w:val="006A44CD"/>
    <w:rsid w:val="006A5B0C"/>
    <w:rsid w:val="006B08CC"/>
    <w:rsid w:val="006B0982"/>
    <w:rsid w:val="006B2407"/>
    <w:rsid w:val="006B27D3"/>
    <w:rsid w:val="006B466B"/>
    <w:rsid w:val="006B59DA"/>
    <w:rsid w:val="006B6289"/>
    <w:rsid w:val="006B73D7"/>
    <w:rsid w:val="006C06A6"/>
    <w:rsid w:val="006C0967"/>
    <w:rsid w:val="006C0FE7"/>
    <w:rsid w:val="006C13E8"/>
    <w:rsid w:val="006C1A3C"/>
    <w:rsid w:val="006C1B3C"/>
    <w:rsid w:val="006C1D85"/>
    <w:rsid w:val="006C315B"/>
    <w:rsid w:val="006C3D3D"/>
    <w:rsid w:val="006C687C"/>
    <w:rsid w:val="006D1387"/>
    <w:rsid w:val="006D2E3C"/>
    <w:rsid w:val="006D34B8"/>
    <w:rsid w:val="006D44B1"/>
    <w:rsid w:val="006D55C7"/>
    <w:rsid w:val="006D655D"/>
    <w:rsid w:val="006D669C"/>
    <w:rsid w:val="006D6BFC"/>
    <w:rsid w:val="006D6FF3"/>
    <w:rsid w:val="006D7400"/>
    <w:rsid w:val="006D7C45"/>
    <w:rsid w:val="006D7D00"/>
    <w:rsid w:val="006E0424"/>
    <w:rsid w:val="006E084C"/>
    <w:rsid w:val="006E159A"/>
    <w:rsid w:val="006E17A3"/>
    <w:rsid w:val="006E2077"/>
    <w:rsid w:val="006E35A6"/>
    <w:rsid w:val="006E396F"/>
    <w:rsid w:val="006E4030"/>
    <w:rsid w:val="006E40CA"/>
    <w:rsid w:val="006E57AC"/>
    <w:rsid w:val="006E5E9C"/>
    <w:rsid w:val="006E641E"/>
    <w:rsid w:val="006E7748"/>
    <w:rsid w:val="006E774C"/>
    <w:rsid w:val="006F1B73"/>
    <w:rsid w:val="006F44EC"/>
    <w:rsid w:val="006F6334"/>
    <w:rsid w:val="006F6A8F"/>
    <w:rsid w:val="006F77A2"/>
    <w:rsid w:val="006F7BE5"/>
    <w:rsid w:val="007003FE"/>
    <w:rsid w:val="00700571"/>
    <w:rsid w:val="00700F1B"/>
    <w:rsid w:val="007011CB"/>
    <w:rsid w:val="00701654"/>
    <w:rsid w:val="00701A08"/>
    <w:rsid w:val="00701AFB"/>
    <w:rsid w:val="00702063"/>
    <w:rsid w:val="00703EF6"/>
    <w:rsid w:val="007072B5"/>
    <w:rsid w:val="007077AF"/>
    <w:rsid w:val="00707A53"/>
    <w:rsid w:val="00710A10"/>
    <w:rsid w:val="00711912"/>
    <w:rsid w:val="00711FEA"/>
    <w:rsid w:val="0071478E"/>
    <w:rsid w:val="00714BAC"/>
    <w:rsid w:val="00714FF4"/>
    <w:rsid w:val="00716D34"/>
    <w:rsid w:val="0072086C"/>
    <w:rsid w:val="00720FC9"/>
    <w:rsid w:val="00722836"/>
    <w:rsid w:val="00724086"/>
    <w:rsid w:val="00724201"/>
    <w:rsid w:val="00726400"/>
    <w:rsid w:val="00731C6B"/>
    <w:rsid w:val="00731D63"/>
    <w:rsid w:val="0073375B"/>
    <w:rsid w:val="00733EDF"/>
    <w:rsid w:val="007344BF"/>
    <w:rsid w:val="00734F2B"/>
    <w:rsid w:val="00741189"/>
    <w:rsid w:val="00742AEF"/>
    <w:rsid w:val="0074307D"/>
    <w:rsid w:val="00744912"/>
    <w:rsid w:val="00744ACE"/>
    <w:rsid w:val="00744B35"/>
    <w:rsid w:val="007453A4"/>
    <w:rsid w:val="0074616F"/>
    <w:rsid w:val="0075072B"/>
    <w:rsid w:val="00752AF2"/>
    <w:rsid w:val="00753D02"/>
    <w:rsid w:val="00754984"/>
    <w:rsid w:val="00755C0A"/>
    <w:rsid w:val="007569D2"/>
    <w:rsid w:val="00757631"/>
    <w:rsid w:val="00760C90"/>
    <w:rsid w:val="00761574"/>
    <w:rsid w:val="00764DB8"/>
    <w:rsid w:val="0076504B"/>
    <w:rsid w:val="0076584F"/>
    <w:rsid w:val="007673FC"/>
    <w:rsid w:val="00770987"/>
    <w:rsid w:val="00770C64"/>
    <w:rsid w:val="00772AC0"/>
    <w:rsid w:val="00773DB9"/>
    <w:rsid w:val="007755DE"/>
    <w:rsid w:val="0077610C"/>
    <w:rsid w:val="00776B55"/>
    <w:rsid w:val="00776FDE"/>
    <w:rsid w:val="00777E30"/>
    <w:rsid w:val="00782364"/>
    <w:rsid w:val="00783FA5"/>
    <w:rsid w:val="007843C5"/>
    <w:rsid w:val="007849FB"/>
    <w:rsid w:val="00784CA0"/>
    <w:rsid w:val="00785C93"/>
    <w:rsid w:val="00787D71"/>
    <w:rsid w:val="00791061"/>
    <w:rsid w:val="00791339"/>
    <w:rsid w:val="00791F7A"/>
    <w:rsid w:val="00793655"/>
    <w:rsid w:val="00793FB8"/>
    <w:rsid w:val="007947ED"/>
    <w:rsid w:val="00794D87"/>
    <w:rsid w:val="00795913"/>
    <w:rsid w:val="00795A2F"/>
    <w:rsid w:val="00795CD4"/>
    <w:rsid w:val="007A1AE8"/>
    <w:rsid w:val="007A1D35"/>
    <w:rsid w:val="007A2238"/>
    <w:rsid w:val="007A2EF6"/>
    <w:rsid w:val="007A3FF1"/>
    <w:rsid w:val="007A489B"/>
    <w:rsid w:val="007A4E87"/>
    <w:rsid w:val="007A4F01"/>
    <w:rsid w:val="007A5847"/>
    <w:rsid w:val="007A5A89"/>
    <w:rsid w:val="007A6CDC"/>
    <w:rsid w:val="007A7E8C"/>
    <w:rsid w:val="007B00C8"/>
    <w:rsid w:val="007B18E6"/>
    <w:rsid w:val="007B19FD"/>
    <w:rsid w:val="007B1A88"/>
    <w:rsid w:val="007B1ADE"/>
    <w:rsid w:val="007B1C69"/>
    <w:rsid w:val="007B1D68"/>
    <w:rsid w:val="007B292B"/>
    <w:rsid w:val="007B2BA0"/>
    <w:rsid w:val="007B5059"/>
    <w:rsid w:val="007B5D16"/>
    <w:rsid w:val="007B6C3E"/>
    <w:rsid w:val="007B7960"/>
    <w:rsid w:val="007C051F"/>
    <w:rsid w:val="007C1878"/>
    <w:rsid w:val="007C1F27"/>
    <w:rsid w:val="007C1FCE"/>
    <w:rsid w:val="007C2284"/>
    <w:rsid w:val="007C27DA"/>
    <w:rsid w:val="007C2D93"/>
    <w:rsid w:val="007C3556"/>
    <w:rsid w:val="007C3695"/>
    <w:rsid w:val="007C37A6"/>
    <w:rsid w:val="007C521A"/>
    <w:rsid w:val="007C73AF"/>
    <w:rsid w:val="007C765E"/>
    <w:rsid w:val="007D0BA9"/>
    <w:rsid w:val="007D196A"/>
    <w:rsid w:val="007D1A8D"/>
    <w:rsid w:val="007D2416"/>
    <w:rsid w:val="007D291F"/>
    <w:rsid w:val="007D2AE1"/>
    <w:rsid w:val="007D458B"/>
    <w:rsid w:val="007D4CBB"/>
    <w:rsid w:val="007D4E4C"/>
    <w:rsid w:val="007D50AB"/>
    <w:rsid w:val="007D51D2"/>
    <w:rsid w:val="007D6627"/>
    <w:rsid w:val="007D6B88"/>
    <w:rsid w:val="007D6DA0"/>
    <w:rsid w:val="007D7E56"/>
    <w:rsid w:val="007E00BD"/>
    <w:rsid w:val="007E05E8"/>
    <w:rsid w:val="007E06FC"/>
    <w:rsid w:val="007E0BD3"/>
    <w:rsid w:val="007E2FFF"/>
    <w:rsid w:val="007E635D"/>
    <w:rsid w:val="007E68E0"/>
    <w:rsid w:val="007E7ACB"/>
    <w:rsid w:val="007F0A7E"/>
    <w:rsid w:val="007F0B6D"/>
    <w:rsid w:val="007F1315"/>
    <w:rsid w:val="007F1B41"/>
    <w:rsid w:val="007F586C"/>
    <w:rsid w:val="007F5BD7"/>
    <w:rsid w:val="007F5D51"/>
    <w:rsid w:val="007F69ED"/>
    <w:rsid w:val="007F7963"/>
    <w:rsid w:val="00800106"/>
    <w:rsid w:val="00800B4E"/>
    <w:rsid w:val="008012FE"/>
    <w:rsid w:val="008016DC"/>
    <w:rsid w:val="00801BE7"/>
    <w:rsid w:val="00801E55"/>
    <w:rsid w:val="00801EE2"/>
    <w:rsid w:val="00805758"/>
    <w:rsid w:val="00805A07"/>
    <w:rsid w:val="00807B52"/>
    <w:rsid w:val="00810519"/>
    <w:rsid w:val="0081086C"/>
    <w:rsid w:val="008145DE"/>
    <w:rsid w:val="00814DE2"/>
    <w:rsid w:val="00817172"/>
    <w:rsid w:val="008174F4"/>
    <w:rsid w:val="00820E7D"/>
    <w:rsid w:val="00821AFB"/>
    <w:rsid w:val="00823255"/>
    <w:rsid w:val="00823959"/>
    <w:rsid w:val="008240DF"/>
    <w:rsid w:val="0082479F"/>
    <w:rsid w:val="008251C8"/>
    <w:rsid w:val="00827055"/>
    <w:rsid w:val="0083040B"/>
    <w:rsid w:val="00831D09"/>
    <w:rsid w:val="0083277D"/>
    <w:rsid w:val="00832B1A"/>
    <w:rsid w:val="008342FA"/>
    <w:rsid w:val="008344A6"/>
    <w:rsid w:val="00834FC5"/>
    <w:rsid w:val="00836363"/>
    <w:rsid w:val="008403A6"/>
    <w:rsid w:val="0084042D"/>
    <w:rsid w:val="00842112"/>
    <w:rsid w:val="00842BBA"/>
    <w:rsid w:val="0084331E"/>
    <w:rsid w:val="00844431"/>
    <w:rsid w:val="008446EA"/>
    <w:rsid w:val="00846A3A"/>
    <w:rsid w:val="008476CF"/>
    <w:rsid w:val="00850680"/>
    <w:rsid w:val="008513A0"/>
    <w:rsid w:val="00851E47"/>
    <w:rsid w:val="00853EA4"/>
    <w:rsid w:val="0085405D"/>
    <w:rsid w:val="00854BFA"/>
    <w:rsid w:val="0085524E"/>
    <w:rsid w:val="008552E5"/>
    <w:rsid w:val="008564E0"/>
    <w:rsid w:val="008624AB"/>
    <w:rsid w:val="00862516"/>
    <w:rsid w:val="008634B0"/>
    <w:rsid w:val="0086437F"/>
    <w:rsid w:val="008649B9"/>
    <w:rsid w:val="00864E7C"/>
    <w:rsid w:val="008651F4"/>
    <w:rsid w:val="008655F5"/>
    <w:rsid w:val="0086563E"/>
    <w:rsid w:val="00866648"/>
    <w:rsid w:val="00867683"/>
    <w:rsid w:val="008705EB"/>
    <w:rsid w:val="00873BFE"/>
    <w:rsid w:val="0087434A"/>
    <w:rsid w:val="00876200"/>
    <w:rsid w:val="00876874"/>
    <w:rsid w:val="008777BD"/>
    <w:rsid w:val="00880046"/>
    <w:rsid w:val="00880054"/>
    <w:rsid w:val="00880EAC"/>
    <w:rsid w:val="0088253C"/>
    <w:rsid w:val="0088291F"/>
    <w:rsid w:val="008835BA"/>
    <w:rsid w:val="00884940"/>
    <w:rsid w:val="00886CDD"/>
    <w:rsid w:val="00887FB9"/>
    <w:rsid w:val="008900C0"/>
    <w:rsid w:val="00893251"/>
    <w:rsid w:val="00897AE0"/>
    <w:rsid w:val="00897D2C"/>
    <w:rsid w:val="00897F4B"/>
    <w:rsid w:val="008A1839"/>
    <w:rsid w:val="008A19F1"/>
    <w:rsid w:val="008A3DD7"/>
    <w:rsid w:val="008A41EB"/>
    <w:rsid w:val="008A461B"/>
    <w:rsid w:val="008A4F57"/>
    <w:rsid w:val="008A5583"/>
    <w:rsid w:val="008A676A"/>
    <w:rsid w:val="008A6C75"/>
    <w:rsid w:val="008B0534"/>
    <w:rsid w:val="008B0A53"/>
    <w:rsid w:val="008B0BF7"/>
    <w:rsid w:val="008B24ED"/>
    <w:rsid w:val="008B4338"/>
    <w:rsid w:val="008B4365"/>
    <w:rsid w:val="008B5D66"/>
    <w:rsid w:val="008B7500"/>
    <w:rsid w:val="008B7A42"/>
    <w:rsid w:val="008B7AB9"/>
    <w:rsid w:val="008C0138"/>
    <w:rsid w:val="008C0561"/>
    <w:rsid w:val="008C19DB"/>
    <w:rsid w:val="008C1F03"/>
    <w:rsid w:val="008C307E"/>
    <w:rsid w:val="008C40B8"/>
    <w:rsid w:val="008C4BA4"/>
    <w:rsid w:val="008C62E5"/>
    <w:rsid w:val="008C7C5B"/>
    <w:rsid w:val="008C7F8B"/>
    <w:rsid w:val="008C7FFB"/>
    <w:rsid w:val="008D084A"/>
    <w:rsid w:val="008D3506"/>
    <w:rsid w:val="008D516B"/>
    <w:rsid w:val="008D5964"/>
    <w:rsid w:val="008D6240"/>
    <w:rsid w:val="008D62D3"/>
    <w:rsid w:val="008D6575"/>
    <w:rsid w:val="008E02BF"/>
    <w:rsid w:val="008E1203"/>
    <w:rsid w:val="008E174D"/>
    <w:rsid w:val="008E1848"/>
    <w:rsid w:val="008E24B9"/>
    <w:rsid w:val="008E33BA"/>
    <w:rsid w:val="008E347C"/>
    <w:rsid w:val="008E34C4"/>
    <w:rsid w:val="008E3584"/>
    <w:rsid w:val="008E35C4"/>
    <w:rsid w:val="008E3662"/>
    <w:rsid w:val="008E37D3"/>
    <w:rsid w:val="008E3E75"/>
    <w:rsid w:val="008E4B08"/>
    <w:rsid w:val="008F018F"/>
    <w:rsid w:val="008F0CA1"/>
    <w:rsid w:val="008F263C"/>
    <w:rsid w:val="008F2EB2"/>
    <w:rsid w:val="008F4CDB"/>
    <w:rsid w:val="008F525C"/>
    <w:rsid w:val="008F6DE4"/>
    <w:rsid w:val="00900181"/>
    <w:rsid w:val="00900B6A"/>
    <w:rsid w:val="00904E89"/>
    <w:rsid w:val="00904FBC"/>
    <w:rsid w:val="009062D0"/>
    <w:rsid w:val="00906585"/>
    <w:rsid w:val="009069DA"/>
    <w:rsid w:val="0091013A"/>
    <w:rsid w:val="0091021F"/>
    <w:rsid w:val="00911837"/>
    <w:rsid w:val="00911CA0"/>
    <w:rsid w:val="00911F62"/>
    <w:rsid w:val="00912C5B"/>
    <w:rsid w:val="00913183"/>
    <w:rsid w:val="00913B10"/>
    <w:rsid w:val="00913BFD"/>
    <w:rsid w:val="00914096"/>
    <w:rsid w:val="00914D60"/>
    <w:rsid w:val="0091593D"/>
    <w:rsid w:val="0091730E"/>
    <w:rsid w:val="00920A3D"/>
    <w:rsid w:val="009211D4"/>
    <w:rsid w:val="00921629"/>
    <w:rsid w:val="0092235F"/>
    <w:rsid w:val="00922B44"/>
    <w:rsid w:val="009243D3"/>
    <w:rsid w:val="009244D1"/>
    <w:rsid w:val="00924730"/>
    <w:rsid w:val="00927C60"/>
    <w:rsid w:val="009320A9"/>
    <w:rsid w:val="00934275"/>
    <w:rsid w:val="0093557C"/>
    <w:rsid w:val="00935849"/>
    <w:rsid w:val="0093716B"/>
    <w:rsid w:val="0094057B"/>
    <w:rsid w:val="009407EE"/>
    <w:rsid w:val="00940BFF"/>
    <w:rsid w:val="00941430"/>
    <w:rsid w:val="00941F51"/>
    <w:rsid w:val="0094272F"/>
    <w:rsid w:val="00944349"/>
    <w:rsid w:val="00944B01"/>
    <w:rsid w:val="00945ACE"/>
    <w:rsid w:val="00946D58"/>
    <w:rsid w:val="00947536"/>
    <w:rsid w:val="00950382"/>
    <w:rsid w:val="00951210"/>
    <w:rsid w:val="00952D42"/>
    <w:rsid w:val="00953310"/>
    <w:rsid w:val="00954560"/>
    <w:rsid w:val="00954D17"/>
    <w:rsid w:val="00955287"/>
    <w:rsid w:val="00960113"/>
    <w:rsid w:val="009615D6"/>
    <w:rsid w:val="00962070"/>
    <w:rsid w:val="00962EEA"/>
    <w:rsid w:val="00962F7E"/>
    <w:rsid w:val="00963F75"/>
    <w:rsid w:val="009642D8"/>
    <w:rsid w:val="00964C4D"/>
    <w:rsid w:val="00964CA6"/>
    <w:rsid w:val="00964F3E"/>
    <w:rsid w:val="00965386"/>
    <w:rsid w:val="0096577F"/>
    <w:rsid w:val="00970896"/>
    <w:rsid w:val="009709AB"/>
    <w:rsid w:val="00970CA2"/>
    <w:rsid w:val="00971732"/>
    <w:rsid w:val="00971D29"/>
    <w:rsid w:val="00972EEA"/>
    <w:rsid w:val="009734DE"/>
    <w:rsid w:val="00974B7C"/>
    <w:rsid w:val="00975299"/>
    <w:rsid w:val="00975BF7"/>
    <w:rsid w:val="0097672A"/>
    <w:rsid w:val="009858BD"/>
    <w:rsid w:val="0099110F"/>
    <w:rsid w:val="009920BB"/>
    <w:rsid w:val="00992AA3"/>
    <w:rsid w:val="00995F14"/>
    <w:rsid w:val="0099603C"/>
    <w:rsid w:val="00997938"/>
    <w:rsid w:val="00997945"/>
    <w:rsid w:val="00997980"/>
    <w:rsid w:val="009A1355"/>
    <w:rsid w:val="009A2BF4"/>
    <w:rsid w:val="009A2D7C"/>
    <w:rsid w:val="009A38A6"/>
    <w:rsid w:val="009A3A0A"/>
    <w:rsid w:val="009A4102"/>
    <w:rsid w:val="009A51FA"/>
    <w:rsid w:val="009A61E5"/>
    <w:rsid w:val="009B119E"/>
    <w:rsid w:val="009B2C5F"/>
    <w:rsid w:val="009B2FAB"/>
    <w:rsid w:val="009B3F24"/>
    <w:rsid w:val="009B45B7"/>
    <w:rsid w:val="009B4C10"/>
    <w:rsid w:val="009B5D80"/>
    <w:rsid w:val="009B68C1"/>
    <w:rsid w:val="009B7452"/>
    <w:rsid w:val="009B7499"/>
    <w:rsid w:val="009C0980"/>
    <w:rsid w:val="009C3301"/>
    <w:rsid w:val="009C3394"/>
    <w:rsid w:val="009C37DF"/>
    <w:rsid w:val="009C3BDC"/>
    <w:rsid w:val="009C45E9"/>
    <w:rsid w:val="009C55F7"/>
    <w:rsid w:val="009D0389"/>
    <w:rsid w:val="009D047B"/>
    <w:rsid w:val="009D12DD"/>
    <w:rsid w:val="009D14D9"/>
    <w:rsid w:val="009D37E1"/>
    <w:rsid w:val="009D4EF2"/>
    <w:rsid w:val="009D50B5"/>
    <w:rsid w:val="009D52FF"/>
    <w:rsid w:val="009D585B"/>
    <w:rsid w:val="009D6181"/>
    <w:rsid w:val="009D662D"/>
    <w:rsid w:val="009D6BF4"/>
    <w:rsid w:val="009D7CD7"/>
    <w:rsid w:val="009E0A42"/>
    <w:rsid w:val="009E52E0"/>
    <w:rsid w:val="009E797B"/>
    <w:rsid w:val="009F484B"/>
    <w:rsid w:val="009F585D"/>
    <w:rsid w:val="009F596D"/>
    <w:rsid w:val="009F7DF1"/>
    <w:rsid w:val="00A002C7"/>
    <w:rsid w:val="00A01EF1"/>
    <w:rsid w:val="00A0382C"/>
    <w:rsid w:val="00A03F68"/>
    <w:rsid w:val="00A03F85"/>
    <w:rsid w:val="00A0476B"/>
    <w:rsid w:val="00A04ABA"/>
    <w:rsid w:val="00A055BB"/>
    <w:rsid w:val="00A05B4B"/>
    <w:rsid w:val="00A1002B"/>
    <w:rsid w:val="00A10F81"/>
    <w:rsid w:val="00A1153A"/>
    <w:rsid w:val="00A12EEE"/>
    <w:rsid w:val="00A13428"/>
    <w:rsid w:val="00A14ACD"/>
    <w:rsid w:val="00A15701"/>
    <w:rsid w:val="00A165D1"/>
    <w:rsid w:val="00A174A3"/>
    <w:rsid w:val="00A222F0"/>
    <w:rsid w:val="00A2231C"/>
    <w:rsid w:val="00A2424D"/>
    <w:rsid w:val="00A262DC"/>
    <w:rsid w:val="00A266F4"/>
    <w:rsid w:val="00A2714C"/>
    <w:rsid w:val="00A27539"/>
    <w:rsid w:val="00A27F4C"/>
    <w:rsid w:val="00A30DDF"/>
    <w:rsid w:val="00A3232A"/>
    <w:rsid w:val="00A33EFA"/>
    <w:rsid w:val="00A33FC3"/>
    <w:rsid w:val="00A343EA"/>
    <w:rsid w:val="00A34A8A"/>
    <w:rsid w:val="00A36B7E"/>
    <w:rsid w:val="00A40398"/>
    <w:rsid w:val="00A40435"/>
    <w:rsid w:val="00A40F40"/>
    <w:rsid w:val="00A42E64"/>
    <w:rsid w:val="00A438FA"/>
    <w:rsid w:val="00A43D09"/>
    <w:rsid w:val="00A43D23"/>
    <w:rsid w:val="00A43F5A"/>
    <w:rsid w:val="00A44518"/>
    <w:rsid w:val="00A448A7"/>
    <w:rsid w:val="00A45DA6"/>
    <w:rsid w:val="00A47801"/>
    <w:rsid w:val="00A478C3"/>
    <w:rsid w:val="00A51ABB"/>
    <w:rsid w:val="00A524A2"/>
    <w:rsid w:val="00A5420E"/>
    <w:rsid w:val="00A552BF"/>
    <w:rsid w:val="00A56758"/>
    <w:rsid w:val="00A57C5B"/>
    <w:rsid w:val="00A61B44"/>
    <w:rsid w:val="00A61D22"/>
    <w:rsid w:val="00A6256A"/>
    <w:rsid w:val="00A62901"/>
    <w:rsid w:val="00A638D3"/>
    <w:rsid w:val="00A638DE"/>
    <w:rsid w:val="00A65EC8"/>
    <w:rsid w:val="00A660B7"/>
    <w:rsid w:val="00A67737"/>
    <w:rsid w:val="00A6780F"/>
    <w:rsid w:val="00A738FF"/>
    <w:rsid w:val="00A75A11"/>
    <w:rsid w:val="00A76298"/>
    <w:rsid w:val="00A762A9"/>
    <w:rsid w:val="00A778DA"/>
    <w:rsid w:val="00A77D33"/>
    <w:rsid w:val="00A77DBD"/>
    <w:rsid w:val="00A80FC6"/>
    <w:rsid w:val="00A81F0B"/>
    <w:rsid w:val="00A83D3D"/>
    <w:rsid w:val="00A84146"/>
    <w:rsid w:val="00A842BB"/>
    <w:rsid w:val="00A84324"/>
    <w:rsid w:val="00A8619C"/>
    <w:rsid w:val="00A8695A"/>
    <w:rsid w:val="00A87368"/>
    <w:rsid w:val="00A90138"/>
    <w:rsid w:val="00A90B66"/>
    <w:rsid w:val="00A90D0C"/>
    <w:rsid w:val="00A91960"/>
    <w:rsid w:val="00A91C1D"/>
    <w:rsid w:val="00A91D5B"/>
    <w:rsid w:val="00A945EB"/>
    <w:rsid w:val="00A9491B"/>
    <w:rsid w:val="00A9536C"/>
    <w:rsid w:val="00A96941"/>
    <w:rsid w:val="00A96A15"/>
    <w:rsid w:val="00A97583"/>
    <w:rsid w:val="00A977FB"/>
    <w:rsid w:val="00A978A7"/>
    <w:rsid w:val="00A97BC9"/>
    <w:rsid w:val="00AA1758"/>
    <w:rsid w:val="00AA1D23"/>
    <w:rsid w:val="00AA3819"/>
    <w:rsid w:val="00AA4062"/>
    <w:rsid w:val="00AA4213"/>
    <w:rsid w:val="00AA45D0"/>
    <w:rsid w:val="00AA49B2"/>
    <w:rsid w:val="00AA5B00"/>
    <w:rsid w:val="00AA6AB0"/>
    <w:rsid w:val="00AA7E09"/>
    <w:rsid w:val="00AB0EB3"/>
    <w:rsid w:val="00AB0FD1"/>
    <w:rsid w:val="00AB1D5A"/>
    <w:rsid w:val="00AB4BE9"/>
    <w:rsid w:val="00AB583A"/>
    <w:rsid w:val="00AB597F"/>
    <w:rsid w:val="00AB72BF"/>
    <w:rsid w:val="00AC06A7"/>
    <w:rsid w:val="00AC159C"/>
    <w:rsid w:val="00AC1774"/>
    <w:rsid w:val="00AC2156"/>
    <w:rsid w:val="00AC3A2A"/>
    <w:rsid w:val="00AC5E05"/>
    <w:rsid w:val="00AC6A27"/>
    <w:rsid w:val="00AD1284"/>
    <w:rsid w:val="00AD13A1"/>
    <w:rsid w:val="00AD1D4F"/>
    <w:rsid w:val="00AD1F9B"/>
    <w:rsid w:val="00AD3C96"/>
    <w:rsid w:val="00AD6FA8"/>
    <w:rsid w:val="00AD700E"/>
    <w:rsid w:val="00AD75A0"/>
    <w:rsid w:val="00AE1D2F"/>
    <w:rsid w:val="00AE29AD"/>
    <w:rsid w:val="00AE3643"/>
    <w:rsid w:val="00AE383E"/>
    <w:rsid w:val="00AE513E"/>
    <w:rsid w:val="00AE567E"/>
    <w:rsid w:val="00AE582D"/>
    <w:rsid w:val="00AF00DD"/>
    <w:rsid w:val="00AF01D5"/>
    <w:rsid w:val="00AF35C9"/>
    <w:rsid w:val="00AF3FDA"/>
    <w:rsid w:val="00AF50BF"/>
    <w:rsid w:val="00AF56AA"/>
    <w:rsid w:val="00AF6C2A"/>
    <w:rsid w:val="00AF6F23"/>
    <w:rsid w:val="00B00257"/>
    <w:rsid w:val="00B00A03"/>
    <w:rsid w:val="00B01BE3"/>
    <w:rsid w:val="00B058F2"/>
    <w:rsid w:val="00B104D6"/>
    <w:rsid w:val="00B10F8F"/>
    <w:rsid w:val="00B1183C"/>
    <w:rsid w:val="00B1186F"/>
    <w:rsid w:val="00B120FA"/>
    <w:rsid w:val="00B12464"/>
    <w:rsid w:val="00B12690"/>
    <w:rsid w:val="00B128DF"/>
    <w:rsid w:val="00B12D91"/>
    <w:rsid w:val="00B1596D"/>
    <w:rsid w:val="00B15B07"/>
    <w:rsid w:val="00B1627F"/>
    <w:rsid w:val="00B162D3"/>
    <w:rsid w:val="00B16DA4"/>
    <w:rsid w:val="00B17F6C"/>
    <w:rsid w:val="00B17FA4"/>
    <w:rsid w:val="00B20C66"/>
    <w:rsid w:val="00B21136"/>
    <w:rsid w:val="00B2270F"/>
    <w:rsid w:val="00B24617"/>
    <w:rsid w:val="00B27565"/>
    <w:rsid w:val="00B31329"/>
    <w:rsid w:val="00B32D0F"/>
    <w:rsid w:val="00B33D6D"/>
    <w:rsid w:val="00B35105"/>
    <w:rsid w:val="00B35408"/>
    <w:rsid w:val="00B367A9"/>
    <w:rsid w:val="00B40567"/>
    <w:rsid w:val="00B40A02"/>
    <w:rsid w:val="00B40D10"/>
    <w:rsid w:val="00B41092"/>
    <w:rsid w:val="00B416C5"/>
    <w:rsid w:val="00B41D90"/>
    <w:rsid w:val="00B41ED3"/>
    <w:rsid w:val="00B42814"/>
    <w:rsid w:val="00B44821"/>
    <w:rsid w:val="00B44DD5"/>
    <w:rsid w:val="00B450AC"/>
    <w:rsid w:val="00B45C41"/>
    <w:rsid w:val="00B46790"/>
    <w:rsid w:val="00B50018"/>
    <w:rsid w:val="00B50332"/>
    <w:rsid w:val="00B52663"/>
    <w:rsid w:val="00B529C2"/>
    <w:rsid w:val="00B536FE"/>
    <w:rsid w:val="00B53A5F"/>
    <w:rsid w:val="00B552CE"/>
    <w:rsid w:val="00B55567"/>
    <w:rsid w:val="00B55D39"/>
    <w:rsid w:val="00B560E7"/>
    <w:rsid w:val="00B561DE"/>
    <w:rsid w:val="00B624D0"/>
    <w:rsid w:val="00B631BF"/>
    <w:rsid w:val="00B63D54"/>
    <w:rsid w:val="00B63F74"/>
    <w:rsid w:val="00B6590D"/>
    <w:rsid w:val="00B66DC6"/>
    <w:rsid w:val="00B66EB7"/>
    <w:rsid w:val="00B67013"/>
    <w:rsid w:val="00B6775E"/>
    <w:rsid w:val="00B67AC7"/>
    <w:rsid w:val="00B7042D"/>
    <w:rsid w:val="00B70F74"/>
    <w:rsid w:val="00B70F96"/>
    <w:rsid w:val="00B73BA3"/>
    <w:rsid w:val="00B761FE"/>
    <w:rsid w:val="00B7661B"/>
    <w:rsid w:val="00B771C5"/>
    <w:rsid w:val="00B77CC5"/>
    <w:rsid w:val="00B77F36"/>
    <w:rsid w:val="00B81E55"/>
    <w:rsid w:val="00B82477"/>
    <w:rsid w:val="00B825FA"/>
    <w:rsid w:val="00B82D95"/>
    <w:rsid w:val="00B83F9F"/>
    <w:rsid w:val="00B84303"/>
    <w:rsid w:val="00B847D6"/>
    <w:rsid w:val="00B85B60"/>
    <w:rsid w:val="00B87FB8"/>
    <w:rsid w:val="00B929D1"/>
    <w:rsid w:val="00B93FDF"/>
    <w:rsid w:val="00B94A68"/>
    <w:rsid w:val="00B94AFE"/>
    <w:rsid w:val="00B94D26"/>
    <w:rsid w:val="00B94EA9"/>
    <w:rsid w:val="00B9556A"/>
    <w:rsid w:val="00B95D76"/>
    <w:rsid w:val="00B95FB7"/>
    <w:rsid w:val="00B96F1A"/>
    <w:rsid w:val="00B97CC6"/>
    <w:rsid w:val="00BA0B41"/>
    <w:rsid w:val="00BA0B9C"/>
    <w:rsid w:val="00BA17B4"/>
    <w:rsid w:val="00BA2D4E"/>
    <w:rsid w:val="00BA3B82"/>
    <w:rsid w:val="00BA3FBE"/>
    <w:rsid w:val="00BA4E61"/>
    <w:rsid w:val="00BA52FD"/>
    <w:rsid w:val="00BA7845"/>
    <w:rsid w:val="00BA7BFD"/>
    <w:rsid w:val="00BB2BE9"/>
    <w:rsid w:val="00BB4D1A"/>
    <w:rsid w:val="00BB5842"/>
    <w:rsid w:val="00BB5B33"/>
    <w:rsid w:val="00BB6903"/>
    <w:rsid w:val="00BB72F8"/>
    <w:rsid w:val="00BB76BB"/>
    <w:rsid w:val="00BC0541"/>
    <w:rsid w:val="00BC1B87"/>
    <w:rsid w:val="00BC2856"/>
    <w:rsid w:val="00BC2FBF"/>
    <w:rsid w:val="00BC3241"/>
    <w:rsid w:val="00BC4062"/>
    <w:rsid w:val="00BC4581"/>
    <w:rsid w:val="00BC461F"/>
    <w:rsid w:val="00BC52A7"/>
    <w:rsid w:val="00BC54B0"/>
    <w:rsid w:val="00BC564B"/>
    <w:rsid w:val="00BC5F9C"/>
    <w:rsid w:val="00BC5FC2"/>
    <w:rsid w:val="00BD0A35"/>
    <w:rsid w:val="00BD1544"/>
    <w:rsid w:val="00BD1B4C"/>
    <w:rsid w:val="00BD3213"/>
    <w:rsid w:val="00BD4724"/>
    <w:rsid w:val="00BD53F4"/>
    <w:rsid w:val="00BD648D"/>
    <w:rsid w:val="00BD7AE7"/>
    <w:rsid w:val="00BD7F9A"/>
    <w:rsid w:val="00BE0969"/>
    <w:rsid w:val="00BE0E87"/>
    <w:rsid w:val="00BE15F6"/>
    <w:rsid w:val="00BE1E66"/>
    <w:rsid w:val="00BE1E90"/>
    <w:rsid w:val="00BE2324"/>
    <w:rsid w:val="00BE2844"/>
    <w:rsid w:val="00BE2884"/>
    <w:rsid w:val="00BE29C4"/>
    <w:rsid w:val="00BE408A"/>
    <w:rsid w:val="00BE76E2"/>
    <w:rsid w:val="00BF17A4"/>
    <w:rsid w:val="00BF1D2D"/>
    <w:rsid w:val="00BF3C12"/>
    <w:rsid w:val="00BF5772"/>
    <w:rsid w:val="00BF794C"/>
    <w:rsid w:val="00C01289"/>
    <w:rsid w:val="00C02AB8"/>
    <w:rsid w:val="00C04CE6"/>
    <w:rsid w:val="00C04FF9"/>
    <w:rsid w:val="00C05CAA"/>
    <w:rsid w:val="00C0671C"/>
    <w:rsid w:val="00C06C41"/>
    <w:rsid w:val="00C07C66"/>
    <w:rsid w:val="00C108D2"/>
    <w:rsid w:val="00C117B4"/>
    <w:rsid w:val="00C11952"/>
    <w:rsid w:val="00C11C24"/>
    <w:rsid w:val="00C12E00"/>
    <w:rsid w:val="00C13745"/>
    <w:rsid w:val="00C13F22"/>
    <w:rsid w:val="00C16A7B"/>
    <w:rsid w:val="00C20AC9"/>
    <w:rsid w:val="00C22BAD"/>
    <w:rsid w:val="00C23CFE"/>
    <w:rsid w:val="00C24FEF"/>
    <w:rsid w:val="00C25337"/>
    <w:rsid w:val="00C25D0B"/>
    <w:rsid w:val="00C2640E"/>
    <w:rsid w:val="00C26653"/>
    <w:rsid w:val="00C31155"/>
    <w:rsid w:val="00C31374"/>
    <w:rsid w:val="00C322C1"/>
    <w:rsid w:val="00C34BA1"/>
    <w:rsid w:val="00C35531"/>
    <w:rsid w:val="00C35715"/>
    <w:rsid w:val="00C35A5B"/>
    <w:rsid w:val="00C36623"/>
    <w:rsid w:val="00C37BAD"/>
    <w:rsid w:val="00C43C1E"/>
    <w:rsid w:val="00C43F8D"/>
    <w:rsid w:val="00C47614"/>
    <w:rsid w:val="00C479F8"/>
    <w:rsid w:val="00C50A4B"/>
    <w:rsid w:val="00C518EF"/>
    <w:rsid w:val="00C51CAA"/>
    <w:rsid w:val="00C526E6"/>
    <w:rsid w:val="00C529E7"/>
    <w:rsid w:val="00C52DC7"/>
    <w:rsid w:val="00C55209"/>
    <w:rsid w:val="00C561F1"/>
    <w:rsid w:val="00C6030E"/>
    <w:rsid w:val="00C61B53"/>
    <w:rsid w:val="00C62400"/>
    <w:rsid w:val="00C62778"/>
    <w:rsid w:val="00C62F3E"/>
    <w:rsid w:val="00C63855"/>
    <w:rsid w:val="00C645B4"/>
    <w:rsid w:val="00C65445"/>
    <w:rsid w:val="00C669C7"/>
    <w:rsid w:val="00C672A2"/>
    <w:rsid w:val="00C673A7"/>
    <w:rsid w:val="00C67EFA"/>
    <w:rsid w:val="00C707F7"/>
    <w:rsid w:val="00C70B54"/>
    <w:rsid w:val="00C715BA"/>
    <w:rsid w:val="00C728C1"/>
    <w:rsid w:val="00C72BC2"/>
    <w:rsid w:val="00C73B66"/>
    <w:rsid w:val="00C742B5"/>
    <w:rsid w:val="00C74518"/>
    <w:rsid w:val="00C75BE3"/>
    <w:rsid w:val="00C803ED"/>
    <w:rsid w:val="00C80E84"/>
    <w:rsid w:val="00C81288"/>
    <w:rsid w:val="00C82134"/>
    <w:rsid w:val="00C8267D"/>
    <w:rsid w:val="00C8491C"/>
    <w:rsid w:val="00C92166"/>
    <w:rsid w:val="00C922F6"/>
    <w:rsid w:val="00C96370"/>
    <w:rsid w:val="00C96396"/>
    <w:rsid w:val="00C964BE"/>
    <w:rsid w:val="00C96E66"/>
    <w:rsid w:val="00CA05D3"/>
    <w:rsid w:val="00CA1BD0"/>
    <w:rsid w:val="00CA40EB"/>
    <w:rsid w:val="00CA5AC5"/>
    <w:rsid w:val="00CA600E"/>
    <w:rsid w:val="00CA6165"/>
    <w:rsid w:val="00CA6D49"/>
    <w:rsid w:val="00CA7880"/>
    <w:rsid w:val="00CB1A5F"/>
    <w:rsid w:val="00CB2309"/>
    <w:rsid w:val="00CB26BF"/>
    <w:rsid w:val="00CB322A"/>
    <w:rsid w:val="00CB3BDF"/>
    <w:rsid w:val="00CB3E80"/>
    <w:rsid w:val="00CB530F"/>
    <w:rsid w:val="00CB7438"/>
    <w:rsid w:val="00CC03C0"/>
    <w:rsid w:val="00CC07FD"/>
    <w:rsid w:val="00CC08A5"/>
    <w:rsid w:val="00CC118F"/>
    <w:rsid w:val="00CC11EF"/>
    <w:rsid w:val="00CC1893"/>
    <w:rsid w:val="00CC2392"/>
    <w:rsid w:val="00CC2A7E"/>
    <w:rsid w:val="00CC2DB3"/>
    <w:rsid w:val="00CC3517"/>
    <w:rsid w:val="00CC36D2"/>
    <w:rsid w:val="00CC50D4"/>
    <w:rsid w:val="00CC6878"/>
    <w:rsid w:val="00CD04CF"/>
    <w:rsid w:val="00CD1032"/>
    <w:rsid w:val="00CD1093"/>
    <w:rsid w:val="00CD1202"/>
    <w:rsid w:val="00CD13C8"/>
    <w:rsid w:val="00CD1B38"/>
    <w:rsid w:val="00CD2514"/>
    <w:rsid w:val="00CD2977"/>
    <w:rsid w:val="00CD2CC4"/>
    <w:rsid w:val="00CD2F88"/>
    <w:rsid w:val="00CD404E"/>
    <w:rsid w:val="00CD4B88"/>
    <w:rsid w:val="00CD596F"/>
    <w:rsid w:val="00CD5ED3"/>
    <w:rsid w:val="00CD721C"/>
    <w:rsid w:val="00CE0B64"/>
    <w:rsid w:val="00CE0F12"/>
    <w:rsid w:val="00CE1468"/>
    <w:rsid w:val="00CE1D22"/>
    <w:rsid w:val="00CE4017"/>
    <w:rsid w:val="00CE67C3"/>
    <w:rsid w:val="00CE6996"/>
    <w:rsid w:val="00CE6CB4"/>
    <w:rsid w:val="00CF034D"/>
    <w:rsid w:val="00CF0C77"/>
    <w:rsid w:val="00CF13EB"/>
    <w:rsid w:val="00CF1461"/>
    <w:rsid w:val="00CF1545"/>
    <w:rsid w:val="00CF1A36"/>
    <w:rsid w:val="00CF3832"/>
    <w:rsid w:val="00CF4600"/>
    <w:rsid w:val="00CF5749"/>
    <w:rsid w:val="00CF5CDA"/>
    <w:rsid w:val="00CF621F"/>
    <w:rsid w:val="00CF70E6"/>
    <w:rsid w:val="00D00D9D"/>
    <w:rsid w:val="00D014A5"/>
    <w:rsid w:val="00D0157F"/>
    <w:rsid w:val="00D01848"/>
    <w:rsid w:val="00D01D95"/>
    <w:rsid w:val="00D03409"/>
    <w:rsid w:val="00D035C5"/>
    <w:rsid w:val="00D0373E"/>
    <w:rsid w:val="00D03C6B"/>
    <w:rsid w:val="00D03F3B"/>
    <w:rsid w:val="00D04A60"/>
    <w:rsid w:val="00D05201"/>
    <w:rsid w:val="00D06EB3"/>
    <w:rsid w:val="00D07ADB"/>
    <w:rsid w:val="00D07E40"/>
    <w:rsid w:val="00D10810"/>
    <w:rsid w:val="00D10EA8"/>
    <w:rsid w:val="00D116C9"/>
    <w:rsid w:val="00D11B09"/>
    <w:rsid w:val="00D144E8"/>
    <w:rsid w:val="00D1572D"/>
    <w:rsid w:val="00D159E7"/>
    <w:rsid w:val="00D174D5"/>
    <w:rsid w:val="00D17BEA"/>
    <w:rsid w:val="00D20746"/>
    <w:rsid w:val="00D211C2"/>
    <w:rsid w:val="00D21C30"/>
    <w:rsid w:val="00D2243D"/>
    <w:rsid w:val="00D2269E"/>
    <w:rsid w:val="00D229CA"/>
    <w:rsid w:val="00D22EAC"/>
    <w:rsid w:val="00D24C12"/>
    <w:rsid w:val="00D24EEE"/>
    <w:rsid w:val="00D25C9C"/>
    <w:rsid w:val="00D265EF"/>
    <w:rsid w:val="00D26F7B"/>
    <w:rsid w:val="00D3052C"/>
    <w:rsid w:val="00D311F0"/>
    <w:rsid w:val="00D31FCC"/>
    <w:rsid w:val="00D32963"/>
    <w:rsid w:val="00D331D2"/>
    <w:rsid w:val="00D34DE9"/>
    <w:rsid w:val="00D36166"/>
    <w:rsid w:val="00D369F9"/>
    <w:rsid w:val="00D37BFA"/>
    <w:rsid w:val="00D37D90"/>
    <w:rsid w:val="00D40A66"/>
    <w:rsid w:val="00D412D5"/>
    <w:rsid w:val="00D41ECC"/>
    <w:rsid w:val="00D42BAF"/>
    <w:rsid w:val="00D44318"/>
    <w:rsid w:val="00D44950"/>
    <w:rsid w:val="00D44DAA"/>
    <w:rsid w:val="00D46396"/>
    <w:rsid w:val="00D47061"/>
    <w:rsid w:val="00D479CB"/>
    <w:rsid w:val="00D50B4F"/>
    <w:rsid w:val="00D50DCE"/>
    <w:rsid w:val="00D50E0C"/>
    <w:rsid w:val="00D513D4"/>
    <w:rsid w:val="00D51647"/>
    <w:rsid w:val="00D51888"/>
    <w:rsid w:val="00D51A58"/>
    <w:rsid w:val="00D5301D"/>
    <w:rsid w:val="00D54115"/>
    <w:rsid w:val="00D54980"/>
    <w:rsid w:val="00D54BD3"/>
    <w:rsid w:val="00D55993"/>
    <w:rsid w:val="00D55A66"/>
    <w:rsid w:val="00D55B50"/>
    <w:rsid w:val="00D56A70"/>
    <w:rsid w:val="00D56DD1"/>
    <w:rsid w:val="00D5746A"/>
    <w:rsid w:val="00D607A5"/>
    <w:rsid w:val="00D60DF8"/>
    <w:rsid w:val="00D611EB"/>
    <w:rsid w:val="00D612E6"/>
    <w:rsid w:val="00D63E61"/>
    <w:rsid w:val="00D64470"/>
    <w:rsid w:val="00D64BD4"/>
    <w:rsid w:val="00D658B0"/>
    <w:rsid w:val="00D65DE2"/>
    <w:rsid w:val="00D66EA5"/>
    <w:rsid w:val="00D67735"/>
    <w:rsid w:val="00D7084D"/>
    <w:rsid w:val="00D70AE3"/>
    <w:rsid w:val="00D74033"/>
    <w:rsid w:val="00D74CCB"/>
    <w:rsid w:val="00D75D2D"/>
    <w:rsid w:val="00D767F3"/>
    <w:rsid w:val="00D77C71"/>
    <w:rsid w:val="00D80130"/>
    <w:rsid w:val="00D8224C"/>
    <w:rsid w:val="00D82532"/>
    <w:rsid w:val="00D82B06"/>
    <w:rsid w:val="00D839A7"/>
    <w:rsid w:val="00D861AA"/>
    <w:rsid w:val="00D87E3E"/>
    <w:rsid w:val="00D9355A"/>
    <w:rsid w:val="00D9391F"/>
    <w:rsid w:val="00D95E3C"/>
    <w:rsid w:val="00D96C0E"/>
    <w:rsid w:val="00D971E3"/>
    <w:rsid w:val="00D97682"/>
    <w:rsid w:val="00DA029A"/>
    <w:rsid w:val="00DA266E"/>
    <w:rsid w:val="00DA3797"/>
    <w:rsid w:val="00DA4BF2"/>
    <w:rsid w:val="00DA52D7"/>
    <w:rsid w:val="00DA58C6"/>
    <w:rsid w:val="00DA6DCE"/>
    <w:rsid w:val="00DB07F6"/>
    <w:rsid w:val="00DB0EC8"/>
    <w:rsid w:val="00DB1653"/>
    <w:rsid w:val="00DB330F"/>
    <w:rsid w:val="00DB3BA9"/>
    <w:rsid w:val="00DB4A04"/>
    <w:rsid w:val="00DB54E2"/>
    <w:rsid w:val="00DB5782"/>
    <w:rsid w:val="00DB684A"/>
    <w:rsid w:val="00DB718F"/>
    <w:rsid w:val="00DB72AC"/>
    <w:rsid w:val="00DB72BC"/>
    <w:rsid w:val="00DB7C77"/>
    <w:rsid w:val="00DB7EA8"/>
    <w:rsid w:val="00DC292A"/>
    <w:rsid w:val="00DC2A1F"/>
    <w:rsid w:val="00DC4AB7"/>
    <w:rsid w:val="00DC5C02"/>
    <w:rsid w:val="00DC6A40"/>
    <w:rsid w:val="00DC7A39"/>
    <w:rsid w:val="00DD3203"/>
    <w:rsid w:val="00DD3BE0"/>
    <w:rsid w:val="00DD4125"/>
    <w:rsid w:val="00DD4946"/>
    <w:rsid w:val="00DD4D21"/>
    <w:rsid w:val="00DD5B8B"/>
    <w:rsid w:val="00DD5C52"/>
    <w:rsid w:val="00DD5C70"/>
    <w:rsid w:val="00DD61EC"/>
    <w:rsid w:val="00DD6567"/>
    <w:rsid w:val="00DD7000"/>
    <w:rsid w:val="00DD734C"/>
    <w:rsid w:val="00DD78FA"/>
    <w:rsid w:val="00DD7BE9"/>
    <w:rsid w:val="00DE0154"/>
    <w:rsid w:val="00DE14D4"/>
    <w:rsid w:val="00DE18F8"/>
    <w:rsid w:val="00DE4EB6"/>
    <w:rsid w:val="00DE5879"/>
    <w:rsid w:val="00DE6EC9"/>
    <w:rsid w:val="00DF0A94"/>
    <w:rsid w:val="00DF1A09"/>
    <w:rsid w:val="00DF4E77"/>
    <w:rsid w:val="00DF4EA6"/>
    <w:rsid w:val="00DF5F9A"/>
    <w:rsid w:val="00DF6534"/>
    <w:rsid w:val="00DF67CA"/>
    <w:rsid w:val="00DF67DA"/>
    <w:rsid w:val="00E00254"/>
    <w:rsid w:val="00E006FE"/>
    <w:rsid w:val="00E00FBD"/>
    <w:rsid w:val="00E0139A"/>
    <w:rsid w:val="00E0173A"/>
    <w:rsid w:val="00E022A6"/>
    <w:rsid w:val="00E02ACC"/>
    <w:rsid w:val="00E04B4F"/>
    <w:rsid w:val="00E05536"/>
    <w:rsid w:val="00E05BBC"/>
    <w:rsid w:val="00E1300D"/>
    <w:rsid w:val="00E13A91"/>
    <w:rsid w:val="00E164A0"/>
    <w:rsid w:val="00E1689F"/>
    <w:rsid w:val="00E174F9"/>
    <w:rsid w:val="00E179B4"/>
    <w:rsid w:val="00E17FE8"/>
    <w:rsid w:val="00E202C4"/>
    <w:rsid w:val="00E21665"/>
    <w:rsid w:val="00E21D8C"/>
    <w:rsid w:val="00E235EF"/>
    <w:rsid w:val="00E23AB2"/>
    <w:rsid w:val="00E24458"/>
    <w:rsid w:val="00E24B23"/>
    <w:rsid w:val="00E25F27"/>
    <w:rsid w:val="00E27C2F"/>
    <w:rsid w:val="00E30BAC"/>
    <w:rsid w:val="00E30C99"/>
    <w:rsid w:val="00E3153E"/>
    <w:rsid w:val="00E3235F"/>
    <w:rsid w:val="00E326A8"/>
    <w:rsid w:val="00E326EF"/>
    <w:rsid w:val="00E32854"/>
    <w:rsid w:val="00E32D08"/>
    <w:rsid w:val="00E33A6D"/>
    <w:rsid w:val="00E359B8"/>
    <w:rsid w:val="00E36DB0"/>
    <w:rsid w:val="00E36E2A"/>
    <w:rsid w:val="00E37661"/>
    <w:rsid w:val="00E400C1"/>
    <w:rsid w:val="00E4066D"/>
    <w:rsid w:val="00E4092E"/>
    <w:rsid w:val="00E424F8"/>
    <w:rsid w:val="00E433A8"/>
    <w:rsid w:val="00E44373"/>
    <w:rsid w:val="00E50629"/>
    <w:rsid w:val="00E5091A"/>
    <w:rsid w:val="00E514BF"/>
    <w:rsid w:val="00E5388D"/>
    <w:rsid w:val="00E53D7F"/>
    <w:rsid w:val="00E5779A"/>
    <w:rsid w:val="00E61993"/>
    <w:rsid w:val="00E61C2C"/>
    <w:rsid w:val="00E6219B"/>
    <w:rsid w:val="00E63DA5"/>
    <w:rsid w:val="00E64D6F"/>
    <w:rsid w:val="00E663C6"/>
    <w:rsid w:val="00E71D61"/>
    <w:rsid w:val="00E71E0F"/>
    <w:rsid w:val="00E7400B"/>
    <w:rsid w:val="00E742F9"/>
    <w:rsid w:val="00E74EED"/>
    <w:rsid w:val="00E757EF"/>
    <w:rsid w:val="00E76619"/>
    <w:rsid w:val="00E76DA2"/>
    <w:rsid w:val="00E7708E"/>
    <w:rsid w:val="00E807C8"/>
    <w:rsid w:val="00E81C92"/>
    <w:rsid w:val="00E81D38"/>
    <w:rsid w:val="00E856F3"/>
    <w:rsid w:val="00E85955"/>
    <w:rsid w:val="00E86734"/>
    <w:rsid w:val="00E87BC0"/>
    <w:rsid w:val="00E87E64"/>
    <w:rsid w:val="00E91080"/>
    <w:rsid w:val="00E911AA"/>
    <w:rsid w:val="00E912B0"/>
    <w:rsid w:val="00E915BE"/>
    <w:rsid w:val="00E918C4"/>
    <w:rsid w:val="00E9395D"/>
    <w:rsid w:val="00E93C14"/>
    <w:rsid w:val="00E9441B"/>
    <w:rsid w:val="00E97CA1"/>
    <w:rsid w:val="00EA015C"/>
    <w:rsid w:val="00EA01BA"/>
    <w:rsid w:val="00EA0885"/>
    <w:rsid w:val="00EA1000"/>
    <w:rsid w:val="00EA27BF"/>
    <w:rsid w:val="00EA29D7"/>
    <w:rsid w:val="00EA2EB6"/>
    <w:rsid w:val="00EA38D5"/>
    <w:rsid w:val="00EA3997"/>
    <w:rsid w:val="00EA55A8"/>
    <w:rsid w:val="00EB0673"/>
    <w:rsid w:val="00EB1CA4"/>
    <w:rsid w:val="00EB26D5"/>
    <w:rsid w:val="00EB2A6C"/>
    <w:rsid w:val="00EB2AAB"/>
    <w:rsid w:val="00EB2D23"/>
    <w:rsid w:val="00EB3C25"/>
    <w:rsid w:val="00EB5423"/>
    <w:rsid w:val="00EB5FC9"/>
    <w:rsid w:val="00EB63D0"/>
    <w:rsid w:val="00EB6C3C"/>
    <w:rsid w:val="00EB71EA"/>
    <w:rsid w:val="00EC172B"/>
    <w:rsid w:val="00EC3B6D"/>
    <w:rsid w:val="00EC3FF1"/>
    <w:rsid w:val="00EC44A5"/>
    <w:rsid w:val="00EC50F8"/>
    <w:rsid w:val="00EC5DC7"/>
    <w:rsid w:val="00EC716B"/>
    <w:rsid w:val="00EC7CE5"/>
    <w:rsid w:val="00ED1F2F"/>
    <w:rsid w:val="00ED3CFC"/>
    <w:rsid w:val="00ED3E4A"/>
    <w:rsid w:val="00ED51F2"/>
    <w:rsid w:val="00ED5594"/>
    <w:rsid w:val="00ED61B1"/>
    <w:rsid w:val="00ED6421"/>
    <w:rsid w:val="00ED6532"/>
    <w:rsid w:val="00ED72F3"/>
    <w:rsid w:val="00EE0030"/>
    <w:rsid w:val="00EE08D6"/>
    <w:rsid w:val="00EE0B63"/>
    <w:rsid w:val="00EE0E33"/>
    <w:rsid w:val="00EE33AA"/>
    <w:rsid w:val="00EE40DE"/>
    <w:rsid w:val="00EE4D91"/>
    <w:rsid w:val="00EE5CA1"/>
    <w:rsid w:val="00EE6644"/>
    <w:rsid w:val="00EE6C2C"/>
    <w:rsid w:val="00EE748C"/>
    <w:rsid w:val="00EE76CE"/>
    <w:rsid w:val="00EF0C38"/>
    <w:rsid w:val="00EF2DED"/>
    <w:rsid w:val="00EF433F"/>
    <w:rsid w:val="00EF7C96"/>
    <w:rsid w:val="00F01348"/>
    <w:rsid w:val="00F01CDC"/>
    <w:rsid w:val="00F022AE"/>
    <w:rsid w:val="00F028A9"/>
    <w:rsid w:val="00F038D4"/>
    <w:rsid w:val="00F0413D"/>
    <w:rsid w:val="00F04E2A"/>
    <w:rsid w:val="00F05246"/>
    <w:rsid w:val="00F07154"/>
    <w:rsid w:val="00F07920"/>
    <w:rsid w:val="00F1000F"/>
    <w:rsid w:val="00F114C7"/>
    <w:rsid w:val="00F11946"/>
    <w:rsid w:val="00F11A86"/>
    <w:rsid w:val="00F12AA7"/>
    <w:rsid w:val="00F12CBF"/>
    <w:rsid w:val="00F14A1A"/>
    <w:rsid w:val="00F1790A"/>
    <w:rsid w:val="00F17A74"/>
    <w:rsid w:val="00F21123"/>
    <w:rsid w:val="00F211D3"/>
    <w:rsid w:val="00F217D8"/>
    <w:rsid w:val="00F2194A"/>
    <w:rsid w:val="00F220A7"/>
    <w:rsid w:val="00F2223B"/>
    <w:rsid w:val="00F22864"/>
    <w:rsid w:val="00F2289B"/>
    <w:rsid w:val="00F228CB"/>
    <w:rsid w:val="00F229E0"/>
    <w:rsid w:val="00F2504A"/>
    <w:rsid w:val="00F25072"/>
    <w:rsid w:val="00F255D4"/>
    <w:rsid w:val="00F25CFB"/>
    <w:rsid w:val="00F26A83"/>
    <w:rsid w:val="00F27113"/>
    <w:rsid w:val="00F27847"/>
    <w:rsid w:val="00F302F6"/>
    <w:rsid w:val="00F318D3"/>
    <w:rsid w:val="00F3228E"/>
    <w:rsid w:val="00F3276A"/>
    <w:rsid w:val="00F32DDF"/>
    <w:rsid w:val="00F34931"/>
    <w:rsid w:val="00F34B7B"/>
    <w:rsid w:val="00F35D79"/>
    <w:rsid w:val="00F367B6"/>
    <w:rsid w:val="00F368DE"/>
    <w:rsid w:val="00F40445"/>
    <w:rsid w:val="00F40C18"/>
    <w:rsid w:val="00F42150"/>
    <w:rsid w:val="00F4271A"/>
    <w:rsid w:val="00F44500"/>
    <w:rsid w:val="00F4513A"/>
    <w:rsid w:val="00F4574E"/>
    <w:rsid w:val="00F46B76"/>
    <w:rsid w:val="00F46DD5"/>
    <w:rsid w:val="00F50AA0"/>
    <w:rsid w:val="00F51250"/>
    <w:rsid w:val="00F529EC"/>
    <w:rsid w:val="00F53527"/>
    <w:rsid w:val="00F53F8F"/>
    <w:rsid w:val="00F54D57"/>
    <w:rsid w:val="00F570E2"/>
    <w:rsid w:val="00F57A0B"/>
    <w:rsid w:val="00F6074A"/>
    <w:rsid w:val="00F60DBA"/>
    <w:rsid w:val="00F610F1"/>
    <w:rsid w:val="00F61D51"/>
    <w:rsid w:val="00F62758"/>
    <w:rsid w:val="00F62FE6"/>
    <w:rsid w:val="00F631F5"/>
    <w:rsid w:val="00F6561E"/>
    <w:rsid w:val="00F6697A"/>
    <w:rsid w:val="00F7034F"/>
    <w:rsid w:val="00F703EF"/>
    <w:rsid w:val="00F723F0"/>
    <w:rsid w:val="00F73432"/>
    <w:rsid w:val="00F73C6A"/>
    <w:rsid w:val="00F7470E"/>
    <w:rsid w:val="00F74DB8"/>
    <w:rsid w:val="00F74F58"/>
    <w:rsid w:val="00F75263"/>
    <w:rsid w:val="00F76B63"/>
    <w:rsid w:val="00F80B24"/>
    <w:rsid w:val="00F82837"/>
    <w:rsid w:val="00F82E54"/>
    <w:rsid w:val="00F8561D"/>
    <w:rsid w:val="00F85C0F"/>
    <w:rsid w:val="00F87304"/>
    <w:rsid w:val="00F87B38"/>
    <w:rsid w:val="00F90061"/>
    <w:rsid w:val="00F9098A"/>
    <w:rsid w:val="00F91459"/>
    <w:rsid w:val="00F93513"/>
    <w:rsid w:val="00F938B0"/>
    <w:rsid w:val="00F94679"/>
    <w:rsid w:val="00F94DBA"/>
    <w:rsid w:val="00F9509E"/>
    <w:rsid w:val="00F950B6"/>
    <w:rsid w:val="00F95439"/>
    <w:rsid w:val="00F97D3D"/>
    <w:rsid w:val="00FA0117"/>
    <w:rsid w:val="00FA0796"/>
    <w:rsid w:val="00FA15C4"/>
    <w:rsid w:val="00FA437E"/>
    <w:rsid w:val="00FA4421"/>
    <w:rsid w:val="00FA527F"/>
    <w:rsid w:val="00FA56A8"/>
    <w:rsid w:val="00FA6706"/>
    <w:rsid w:val="00FA6ABB"/>
    <w:rsid w:val="00FA6D31"/>
    <w:rsid w:val="00FA7E87"/>
    <w:rsid w:val="00FB0400"/>
    <w:rsid w:val="00FB0AB4"/>
    <w:rsid w:val="00FB0B62"/>
    <w:rsid w:val="00FB0C9E"/>
    <w:rsid w:val="00FB2010"/>
    <w:rsid w:val="00FB2628"/>
    <w:rsid w:val="00FB524B"/>
    <w:rsid w:val="00FB5779"/>
    <w:rsid w:val="00FB5CCF"/>
    <w:rsid w:val="00FB6735"/>
    <w:rsid w:val="00FB6EE5"/>
    <w:rsid w:val="00FB721D"/>
    <w:rsid w:val="00FB7DD7"/>
    <w:rsid w:val="00FC0BE6"/>
    <w:rsid w:val="00FC16C0"/>
    <w:rsid w:val="00FC2D8B"/>
    <w:rsid w:val="00FC3559"/>
    <w:rsid w:val="00FC4645"/>
    <w:rsid w:val="00FC4B81"/>
    <w:rsid w:val="00FC4C74"/>
    <w:rsid w:val="00FD0829"/>
    <w:rsid w:val="00FD1592"/>
    <w:rsid w:val="00FD16A6"/>
    <w:rsid w:val="00FD1D49"/>
    <w:rsid w:val="00FD2D3A"/>
    <w:rsid w:val="00FD2DB0"/>
    <w:rsid w:val="00FD2ED8"/>
    <w:rsid w:val="00FD3F80"/>
    <w:rsid w:val="00FD4808"/>
    <w:rsid w:val="00FD7300"/>
    <w:rsid w:val="00FD740C"/>
    <w:rsid w:val="00FE03D3"/>
    <w:rsid w:val="00FE1C14"/>
    <w:rsid w:val="00FE4910"/>
    <w:rsid w:val="00FE5214"/>
    <w:rsid w:val="00FE62BC"/>
    <w:rsid w:val="00FF1755"/>
    <w:rsid w:val="00FF2B3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36F90A5"/>
  <w15:docId w15:val="{8F0534F4-4F3B-4329-961D-626598EE6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0D6B"/>
    <w:rPr>
      <w:sz w:val="24"/>
      <w:szCs w:val="24"/>
    </w:rPr>
  </w:style>
  <w:style w:type="paragraph" w:styleId="Balk1">
    <w:name w:val="heading 1"/>
    <w:basedOn w:val="Normal"/>
    <w:next w:val="Normal"/>
    <w:link w:val="Balk1Char"/>
    <w:qFormat/>
    <w:pPr>
      <w:keepNext/>
      <w:jc w:val="center"/>
      <w:outlineLvl w:val="0"/>
    </w:pPr>
    <w:rPr>
      <w:rFonts w:ascii="Arial" w:hAnsi="Arial" w:cs="Arial"/>
      <w:b/>
      <w:bCs/>
      <w:sz w:val="20"/>
      <w:szCs w:val="20"/>
    </w:rPr>
  </w:style>
  <w:style w:type="paragraph" w:styleId="Balk2">
    <w:name w:val="heading 2"/>
    <w:basedOn w:val="Normal"/>
    <w:next w:val="Normal"/>
    <w:link w:val="Balk2Char"/>
    <w:qFormat/>
    <w:pPr>
      <w:keepNext/>
      <w:pBdr>
        <w:top w:val="double" w:sz="4" w:space="1" w:color="auto"/>
        <w:left w:val="double" w:sz="4" w:space="4" w:color="auto"/>
        <w:bottom w:val="double" w:sz="4" w:space="1" w:color="auto"/>
        <w:right w:val="double" w:sz="4" w:space="4" w:color="auto"/>
      </w:pBdr>
      <w:jc w:val="center"/>
      <w:outlineLvl w:val="1"/>
    </w:pPr>
    <w:rPr>
      <w:rFonts w:ascii="Garamond" w:hAnsi="Garamond"/>
      <w:b/>
      <w:sz w:val="32"/>
      <w:szCs w:val="20"/>
    </w:rPr>
  </w:style>
  <w:style w:type="paragraph" w:styleId="Balk3">
    <w:name w:val="heading 3"/>
    <w:basedOn w:val="Normal"/>
    <w:next w:val="Normal"/>
    <w:qFormat/>
    <w:pPr>
      <w:keepNext/>
      <w:jc w:val="both"/>
      <w:outlineLvl w:val="2"/>
    </w:pPr>
    <w:rPr>
      <w:b/>
      <w:bCs/>
      <w:sz w:val="20"/>
    </w:rPr>
  </w:style>
  <w:style w:type="paragraph" w:styleId="Balk4">
    <w:name w:val="heading 4"/>
    <w:basedOn w:val="Normal"/>
    <w:next w:val="Normal"/>
    <w:qFormat/>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Cs w:val="20"/>
    </w:rPr>
  </w:style>
  <w:style w:type="paragraph" w:styleId="Balk6">
    <w:name w:val="heading 6"/>
    <w:basedOn w:val="Normal"/>
    <w:next w:val="Normal"/>
    <w:link w:val="Balk6Char"/>
    <w:qFormat/>
    <w:rsid w:val="00A75A11"/>
    <w:pPr>
      <w:spacing w:before="240" w:after="60"/>
      <w:outlineLvl w:val="5"/>
    </w:pPr>
    <w:rPr>
      <w:b/>
      <w:bCs/>
      <w:sz w:val="22"/>
      <w:szCs w:val="22"/>
    </w:rPr>
  </w:style>
  <w:style w:type="paragraph" w:styleId="Balk7">
    <w:name w:val="heading 7"/>
    <w:basedOn w:val="Normal"/>
    <w:next w:val="Normal"/>
    <w:link w:val="Balk7Char"/>
    <w:qFormat/>
    <w:rsid w:val="00A75A11"/>
    <w:pPr>
      <w:spacing w:before="240" w:after="60"/>
      <w:outlineLvl w:val="6"/>
    </w:pPr>
  </w:style>
  <w:style w:type="paragraph" w:styleId="Balk9">
    <w:name w:val="heading 9"/>
    <w:basedOn w:val="Normal"/>
    <w:next w:val="Normal"/>
    <w:qFormat/>
    <w:rsid w:val="00680A41"/>
    <w:p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semiHidden/>
    <w:rPr>
      <w:color w:val="0000FF"/>
      <w:u w:val="single"/>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lang w:val="en-US"/>
    </w:rPr>
  </w:style>
  <w:style w:type="character" w:styleId="zlenenKpr">
    <w:name w:val="FollowedHyperlink"/>
    <w:semiHidden/>
    <w:rPr>
      <w:color w:val="800080"/>
      <w:u w:val="single"/>
    </w:rPr>
  </w:style>
  <w:style w:type="paragraph" w:styleId="GvdeMetniGirintisi">
    <w:name w:val="Body Text Indent"/>
    <w:basedOn w:val="Normal"/>
    <w:semiHidden/>
    <w:pPr>
      <w:ind w:left="1800" w:hanging="360"/>
    </w:pPr>
  </w:style>
  <w:style w:type="paragraph" w:styleId="GvdeMetniGirintisi2">
    <w:name w:val="Body Text Indent 2"/>
    <w:basedOn w:val="Normal"/>
    <w:pPr>
      <w:ind w:left="360"/>
      <w:jc w:val="both"/>
    </w:pPr>
  </w:style>
  <w:style w:type="paragraph" w:styleId="GvdeMetniGirintisi3">
    <w:name w:val="Body Text Indent 3"/>
    <w:basedOn w:val="Normal"/>
    <w:semiHidden/>
    <w:pPr>
      <w:ind w:left="360" w:firstLine="360"/>
      <w:jc w:val="both"/>
    </w:p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lang w:val="en-US"/>
    </w:rPr>
  </w:style>
  <w:style w:type="paragraph" w:customStyle="1" w:styleId="xl25">
    <w:name w:val="xl2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lang w:val="en-US"/>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rPr>
  </w:style>
  <w:style w:type="paragraph" w:customStyle="1" w:styleId="xl27">
    <w:name w:val="xl2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lang w:val="en-US"/>
    </w:rPr>
  </w:style>
  <w:style w:type="paragraph" w:customStyle="1" w:styleId="xl29">
    <w:name w:val="xl29"/>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rPr>
  </w:style>
  <w:style w:type="paragraph" w:styleId="GvdeMetni">
    <w:name w:val="Body Text"/>
    <w:basedOn w:val="Normal"/>
    <w:link w:val="GvdeMetniChar"/>
    <w:pPr>
      <w:shd w:val="clear" w:color="auto" w:fill="FFFFFF"/>
      <w:jc w:val="both"/>
    </w:pPr>
    <w:rPr>
      <w:color w:val="FF0000"/>
    </w:rPr>
  </w:style>
  <w:style w:type="paragraph" w:styleId="stBilgi">
    <w:name w:val="header"/>
    <w:basedOn w:val="Normal"/>
    <w:link w:val="stBilgiChar"/>
    <w:uiPriority w:val="99"/>
    <w:pPr>
      <w:tabs>
        <w:tab w:val="center" w:pos="4536"/>
        <w:tab w:val="right" w:pos="9072"/>
      </w:tabs>
    </w:pPr>
    <w:rPr>
      <w:lang w:val="x-none"/>
    </w:rPr>
  </w:style>
  <w:style w:type="paragraph" w:styleId="AltBilgi">
    <w:name w:val="footer"/>
    <w:basedOn w:val="Normal"/>
    <w:link w:val="AltBilgiChar"/>
    <w:uiPriority w:val="99"/>
    <w:pPr>
      <w:tabs>
        <w:tab w:val="center" w:pos="4536"/>
        <w:tab w:val="right" w:pos="9072"/>
      </w:tabs>
    </w:pPr>
  </w:style>
  <w:style w:type="character" w:styleId="SayfaNumaras">
    <w:name w:val="page number"/>
    <w:basedOn w:val="VarsaylanParagrafYazTipi"/>
  </w:style>
  <w:style w:type="paragraph" w:styleId="DipnotMetni">
    <w:name w:val="footnote text"/>
    <w:basedOn w:val="Normal"/>
    <w:link w:val="DipnotMetniChar"/>
    <w:semiHidden/>
    <w:rPr>
      <w:sz w:val="20"/>
      <w:szCs w:val="20"/>
    </w:rPr>
  </w:style>
  <w:style w:type="paragraph" w:customStyle="1" w:styleId="xl22">
    <w:name w:val="xl22"/>
    <w:basedOn w:val="Normal"/>
    <w:pPr>
      <w:pBdr>
        <w:left w:val="single" w:sz="4" w:space="0" w:color="auto"/>
        <w:bottom w:val="single" w:sz="4" w:space="0" w:color="auto"/>
        <w:right w:val="single" w:sz="4" w:space="0" w:color="auto"/>
      </w:pBdr>
      <w:spacing w:before="100" w:beforeAutospacing="1" w:after="100" w:afterAutospacing="1"/>
    </w:pPr>
    <w:rPr>
      <w:lang w:val="en-US"/>
    </w:rPr>
  </w:style>
  <w:style w:type="paragraph" w:customStyle="1" w:styleId="xl23">
    <w:name w:val="xl23"/>
    <w:basedOn w:val="Normal"/>
    <w:pPr>
      <w:pBdr>
        <w:bottom w:val="single" w:sz="4" w:space="0" w:color="auto"/>
        <w:right w:val="single" w:sz="4" w:space="0" w:color="auto"/>
      </w:pBdr>
      <w:spacing w:before="100" w:beforeAutospacing="1" w:after="100" w:afterAutospacing="1"/>
      <w:jc w:val="both"/>
    </w:pPr>
    <w:rPr>
      <w:lang w:val="en-US"/>
    </w:rPr>
  </w:style>
  <w:style w:type="paragraph" w:styleId="GvdeMetni2">
    <w:name w:val="Body Text 2"/>
    <w:basedOn w:val="Normal"/>
    <w:link w:val="GvdeMetni2Char"/>
    <w:pPr>
      <w:spacing w:after="120" w:line="480" w:lineRule="auto"/>
    </w:pPr>
    <w:rPr>
      <w:lang w:val="x-none"/>
    </w:rPr>
  </w:style>
  <w:style w:type="paragraph" w:styleId="BalonMetni">
    <w:name w:val="Balloon Text"/>
    <w:basedOn w:val="Normal"/>
    <w:link w:val="BalonMetniChar"/>
    <w:uiPriority w:val="99"/>
    <w:semiHidden/>
    <w:rPr>
      <w:rFonts w:ascii="Tahoma" w:hAnsi="Tahoma" w:cs="Tahoma"/>
      <w:sz w:val="16"/>
      <w:szCs w:val="16"/>
    </w:rPr>
  </w:style>
  <w:style w:type="character" w:customStyle="1" w:styleId="a">
    <w:name w:val="a"/>
    <w:basedOn w:val="VarsaylanParagrafYazTipi"/>
  </w:style>
  <w:style w:type="paragraph" w:styleId="GvdeMetni3">
    <w:name w:val="Body Text 3"/>
    <w:basedOn w:val="Normal"/>
    <w:link w:val="GvdeMetni3Char"/>
    <w:pPr>
      <w:spacing w:after="120"/>
    </w:pPr>
    <w:rPr>
      <w:sz w:val="16"/>
      <w:szCs w:val="16"/>
    </w:rPr>
  </w:style>
  <w:style w:type="character" w:styleId="DipnotBavurusu">
    <w:name w:val="footnote reference"/>
    <w:semiHidden/>
    <w:rPr>
      <w:vertAlign w:val="superscript"/>
    </w:rPr>
  </w:style>
  <w:style w:type="paragraph" w:customStyle="1" w:styleId="xl31">
    <w:name w:val="xl31"/>
    <w:basedOn w:val="Normal"/>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pPr>
  </w:style>
  <w:style w:type="paragraph" w:customStyle="1" w:styleId="xl30">
    <w:name w:val="xl30"/>
    <w:basedOn w:val="Normal"/>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pPr>
  </w:style>
  <w:style w:type="paragraph" w:customStyle="1" w:styleId="Default">
    <w:name w:val="Default"/>
    <w:rsid w:val="00D07ADB"/>
    <w:pPr>
      <w:autoSpaceDE w:val="0"/>
      <w:autoSpaceDN w:val="0"/>
      <w:adjustRightInd w:val="0"/>
    </w:pPr>
    <w:rPr>
      <w:color w:val="000000"/>
      <w:sz w:val="24"/>
      <w:szCs w:val="24"/>
    </w:rPr>
  </w:style>
  <w:style w:type="table" w:styleId="TabloKlavuzu">
    <w:name w:val="Table Grid"/>
    <w:basedOn w:val="NormalTablo"/>
    <w:rsid w:val="00AB0F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BB76BB"/>
    <w:pPr>
      <w:ind w:left="708"/>
    </w:pPr>
  </w:style>
  <w:style w:type="paragraph" w:styleId="KonuBal">
    <w:name w:val="Title"/>
    <w:basedOn w:val="Normal"/>
    <w:link w:val="KonuBalChar"/>
    <w:qFormat/>
    <w:rsid w:val="00866648"/>
    <w:pPr>
      <w:spacing w:line="240" w:lineRule="atLeast"/>
      <w:jc w:val="center"/>
    </w:pPr>
    <w:rPr>
      <w:b/>
      <w:sz w:val="32"/>
      <w:szCs w:val="20"/>
      <w:lang w:val="en-AU" w:eastAsia="x-none"/>
    </w:rPr>
  </w:style>
  <w:style w:type="character" w:customStyle="1" w:styleId="KonuBalChar">
    <w:name w:val="Konu Başlığı Char"/>
    <w:link w:val="KonuBal"/>
    <w:rsid w:val="00866648"/>
    <w:rPr>
      <w:b/>
      <w:sz w:val="32"/>
      <w:lang w:val="en-AU"/>
    </w:rPr>
  </w:style>
  <w:style w:type="character" w:styleId="Gl">
    <w:name w:val="Strong"/>
    <w:qFormat/>
    <w:rsid w:val="00782364"/>
    <w:rPr>
      <w:b/>
      <w:bCs/>
    </w:rPr>
  </w:style>
  <w:style w:type="character" w:styleId="Vurgu">
    <w:name w:val="Emphasis"/>
    <w:qFormat/>
    <w:rsid w:val="00680A41"/>
    <w:rPr>
      <w:b/>
      <w:bCs/>
      <w:i w:val="0"/>
      <w:iCs w:val="0"/>
    </w:rPr>
  </w:style>
  <w:style w:type="character" w:customStyle="1" w:styleId="apple-style-span">
    <w:name w:val="apple-style-span"/>
    <w:rsid w:val="00BB4D1A"/>
    <w:rPr>
      <w:rFonts w:cs="Times New Roman"/>
    </w:rPr>
  </w:style>
  <w:style w:type="character" w:customStyle="1" w:styleId="GvdeMetni2Char">
    <w:name w:val="Gövde Metni 2 Char"/>
    <w:link w:val="GvdeMetni2"/>
    <w:rsid w:val="009615D6"/>
    <w:rPr>
      <w:sz w:val="24"/>
      <w:szCs w:val="24"/>
      <w:lang w:eastAsia="en-US"/>
    </w:rPr>
  </w:style>
  <w:style w:type="character" w:customStyle="1" w:styleId="stBilgiChar">
    <w:name w:val="Üst Bilgi Char"/>
    <w:link w:val="stBilgi"/>
    <w:uiPriority w:val="99"/>
    <w:rsid w:val="001D3669"/>
    <w:rPr>
      <w:sz w:val="24"/>
      <w:szCs w:val="24"/>
      <w:lang w:eastAsia="en-US"/>
    </w:rPr>
  </w:style>
  <w:style w:type="character" w:customStyle="1" w:styleId="Balk6Char">
    <w:name w:val="Başlık 6 Char"/>
    <w:link w:val="Balk6"/>
    <w:rsid w:val="00A75A11"/>
    <w:rPr>
      <w:b/>
      <w:bCs/>
      <w:sz w:val="22"/>
      <w:szCs w:val="22"/>
    </w:rPr>
  </w:style>
  <w:style w:type="character" w:customStyle="1" w:styleId="Balk7Char">
    <w:name w:val="Başlık 7 Char"/>
    <w:link w:val="Balk7"/>
    <w:rsid w:val="00A75A11"/>
    <w:rPr>
      <w:sz w:val="24"/>
      <w:szCs w:val="24"/>
    </w:rPr>
  </w:style>
  <w:style w:type="character" w:customStyle="1" w:styleId="AltBilgiChar">
    <w:name w:val="Alt Bilgi Char"/>
    <w:link w:val="AltBilgi"/>
    <w:uiPriority w:val="99"/>
    <w:rsid w:val="007C1878"/>
    <w:rPr>
      <w:sz w:val="24"/>
      <w:szCs w:val="24"/>
    </w:rPr>
  </w:style>
  <w:style w:type="paragraph" w:styleId="ResimYazs">
    <w:name w:val="caption"/>
    <w:basedOn w:val="Normal"/>
    <w:next w:val="Normal"/>
    <w:uiPriority w:val="35"/>
    <w:unhideWhenUsed/>
    <w:qFormat/>
    <w:rsid w:val="00D56A70"/>
    <w:rPr>
      <w:b/>
      <w:bCs/>
      <w:sz w:val="20"/>
      <w:szCs w:val="20"/>
    </w:rPr>
  </w:style>
  <w:style w:type="character" w:customStyle="1" w:styleId="GvdeMetniChar">
    <w:name w:val="Gövde Metni Char"/>
    <w:basedOn w:val="VarsaylanParagrafYazTipi"/>
    <w:link w:val="GvdeMetni"/>
    <w:rsid w:val="00731D63"/>
    <w:rPr>
      <w:color w:val="FF0000"/>
      <w:sz w:val="24"/>
      <w:szCs w:val="24"/>
      <w:shd w:val="clear" w:color="auto" w:fill="FFFFFF"/>
    </w:rPr>
  </w:style>
  <w:style w:type="character" w:customStyle="1" w:styleId="Balk1Char">
    <w:name w:val="Başlık 1 Char"/>
    <w:basedOn w:val="VarsaylanParagrafYazTipi"/>
    <w:link w:val="Balk1"/>
    <w:rsid w:val="006E084C"/>
    <w:rPr>
      <w:rFonts w:ascii="Arial" w:hAnsi="Arial" w:cs="Arial"/>
      <w:b/>
      <w:bCs/>
    </w:rPr>
  </w:style>
  <w:style w:type="character" w:customStyle="1" w:styleId="Balk2Char">
    <w:name w:val="Başlık 2 Char"/>
    <w:link w:val="Balk2"/>
    <w:rsid w:val="003B426A"/>
    <w:rPr>
      <w:rFonts w:ascii="Garamond" w:hAnsi="Garamond"/>
      <w:b/>
      <w:sz w:val="32"/>
    </w:rPr>
  </w:style>
  <w:style w:type="character" w:customStyle="1" w:styleId="GvdeMetni3Char">
    <w:name w:val="Gövde Metni 3 Char"/>
    <w:link w:val="GvdeMetni3"/>
    <w:rsid w:val="00D60DF8"/>
    <w:rPr>
      <w:sz w:val="16"/>
      <w:szCs w:val="16"/>
    </w:rPr>
  </w:style>
  <w:style w:type="character" w:customStyle="1" w:styleId="DipnotMetniChar">
    <w:name w:val="Dipnot Metni Char"/>
    <w:basedOn w:val="VarsaylanParagrafYazTipi"/>
    <w:link w:val="DipnotMetni"/>
    <w:semiHidden/>
    <w:rsid w:val="00161E7C"/>
  </w:style>
  <w:style w:type="character" w:customStyle="1" w:styleId="BalonMetniChar">
    <w:name w:val="Balon Metni Char"/>
    <w:basedOn w:val="VarsaylanParagrafYazTipi"/>
    <w:link w:val="BalonMetni"/>
    <w:uiPriority w:val="99"/>
    <w:semiHidden/>
    <w:rsid w:val="00161E7C"/>
    <w:rPr>
      <w:rFonts w:ascii="Tahoma" w:hAnsi="Tahoma" w:cs="Tahoma"/>
      <w:sz w:val="16"/>
      <w:szCs w:val="16"/>
    </w:rPr>
  </w:style>
  <w:style w:type="paragraph" w:customStyle="1" w:styleId="default0">
    <w:name w:val="default"/>
    <w:basedOn w:val="Normal"/>
    <w:rsid w:val="00B1186F"/>
    <w:pPr>
      <w:spacing w:before="100" w:beforeAutospacing="1" w:after="100" w:afterAutospacing="1"/>
    </w:pPr>
  </w:style>
  <w:style w:type="character" w:customStyle="1" w:styleId="spelle">
    <w:name w:val="spelle"/>
    <w:basedOn w:val="VarsaylanParagrafYazTipi"/>
    <w:rsid w:val="00B118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42790">
      <w:bodyDiv w:val="1"/>
      <w:marLeft w:val="0"/>
      <w:marRight w:val="0"/>
      <w:marTop w:val="45"/>
      <w:marBottom w:val="45"/>
      <w:divBdr>
        <w:top w:val="none" w:sz="0" w:space="0" w:color="auto"/>
        <w:left w:val="none" w:sz="0" w:space="0" w:color="auto"/>
        <w:bottom w:val="none" w:sz="0" w:space="0" w:color="auto"/>
        <w:right w:val="none" w:sz="0" w:space="0" w:color="auto"/>
      </w:divBdr>
      <w:divsChild>
        <w:div w:id="1942371469">
          <w:marLeft w:val="0"/>
          <w:marRight w:val="0"/>
          <w:marTop w:val="0"/>
          <w:marBottom w:val="0"/>
          <w:divBdr>
            <w:top w:val="none" w:sz="0" w:space="0" w:color="auto"/>
            <w:left w:val="none" w:sz="0" w:space="0" w:color="auto"/>
            <w:bottom w:val="none" w:sz="0" w:space="0" w:color="auto"/>
            <w:right w:val="none" w:sz="0" w:space="0" w:color="auto"/>
          </w:divBdr>
          <w:divsChild>
            <w:div w:id="1605382390">
              <w:marLeft w:val="0"/>
              <w:marRight w:val="0"/>
              <w:marTop w:val="0"/>
              <w:marBottom w:val="0"/>
              <w:divBdr>
                <w:top w:val="none" w:sz="0" w:space="0" w:color="auto"/>
                <w:left w:val="none" w:sz="0" w:space="0" w:color="auto"/>
                <w:bottom w:val="none" w:sz="0" w:space="0" w:color="auto"/>
                <w:right w:val="none" w:sz="0" w:space="0" w:color="auto"/>
              </w:divBdr>
              <w:divsChild>
                <w:div w:id="2039156953">
                  <w:marLeft w:val="2385"/>
                  <w:marRight w:val="3960"/>
                  <w:marTop w:val="0"/>
                  <w:marBottom w:val="0"/>
                  <w:divBdr>
                    <w:top w:val="none" w:sz="0" w:space="0" w:color="auto"/>
                    <w:left w:val="single" w:sz="6" w:space="0" w:color="D3E1F9"/>
                    <w:bottom w:val="none" w:sz="0" w:space="0" w:color="auto"/>
                    <w:right w:val="none" w:sz="0" w:space="0" w:color="auto"/>
                  </w:divBdr>
                  <w:divsChild>
                    <w:div w:id="606038840">
                      <w:marLeft w:val="0"/>
                      <w:marRight w:val="0"/>
                      <w:marTop w:val="0"/>
                      <w:marBottom w:val="0"/>
                      <w:divBdr>
                        <w:top w:val="none" w:sz="0" w:space="0" w:color="auto"/>
                        <w:left w:val="none" w:sz="0" w:space="0" w:color="auto"/>
                        <w:bottom w:val="none" w:sz="0" w:space="0" w:color="auto"/>
                        <w:right w:val="none" w:sz="0" w:space="0" w:color="auto"/>
                      </w:divBdr>
                      <w:divsChild>
                        <w:div w:id="17007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928884">
      <w:bodyDiv w:val="1"/>
      <w:marLeft w:val="0"/>
      <w:marRight w:val="0"/>
      <w:marTop w:val="0"/>
      <w:marBottom w:val="0"/>
      <w:divBdr>
        <w:top w:val="none" w:sz="0" w:space="0" w:color="auto"/>
        <w:left w:val="none" w:sz="0" w:space="0" w:color="auto"/>
        <w:bottom w:val="none" w:sz="0" w:space="0" w:color="auto"/>
        <w:right w:val="none" w:sz="0" w:space="0" w:color="auto"/>
      </w:divBdr>
    </w:div>
    <w:div w:id="34432577">
      <w:bodyDiv w:val="1"/>
      <w:marLeft w:val="0"/>
      <w:marRight w:val="0"/>
      <w:marTop w:val="0"/>
      <w:marBottom w:val="0"/>
      <w:divBdr>
        <w:top w:val="none" w:sz="0" w:space="0" w:color="auto"/>
        <w:left w:val="none" w:sz="0" w:space="0" w:color="auto"/>
        <w:bottom w:val="none" w:sz="0" w:space="0" w:color="auto"/>
        <w:right w:val="none" w:sz="0" w:space="0" w:color="auto"/>
      </w:divBdr>
    </w:div>
    <w:div w:id="43063326">
      <w:bodyDiv w:val="1"/>
      <w:marLeft w:val="0"/>
      <w:marRight w:val="0"/>
      <w:marTop w:val="0"/>
      <w:marBottom w:val="0"/>
      <w:divBdr>
        <w:top w:val="none" w:sz="0" w:space="0" w:color="auto"/>
        <w:left w:val="none" w:sz="0" w:space="0" w:color="auto"/>
        <w:bottom w:val="none" w:sz="0" w:space="0" w:color="auto"/>
        <w:right w:val="none" w:sz="0" w:space="0" w:color="auto"/>
      </w:divBdr>
    </w:div>
    <w:div w:id="55667557">
      <w:bodyDiv w:val="1"/>
      <w:marLeft w:val="0"/>
      <w:marRight w:val="0"/>
      <w:marTop w:val="0"/>
      <w:marBottom w:val="0"/>
      <w:divBdr>
        <w:top w:val="none" w:sz="0" w:space="0" w:color="auto"/>
        <w:left w:val="none" w:sz="0" w:space="0" w:color="auto"/>
        <w:bottom w:val="none" w:sz="0" w:space="0" w:color="auto"/>
        <w:right w:val="none" w:sz="0" w:space="0" w:color="auto"/>
      </w:divBdr>
    </w:div>
    <w:div w:id="74207763">
      <w:bodyDiv w:val="1"/>
      <w:marLeft w:val="0"/>
      <w:marRight w:val="0"/>
      <w:marTop w:val="0"/>
      <w:marBottom w:val="0"/>
      <w:divBdr>
        <w:top w:val="none" w:sz="0" w:space="0" w:color="auto"/>
        <w:left w:val="none" w:sz="0" w:space="0" w:color="auto"/>
        <w:bottom w:val="none" w:sz="0" w:space="0" w:color="auto"/>
        <w:right w:val="none" w:sz="0" w:space="0" w:color="auto"/>
      </w:divBdr>
    </w:div>
    <w:div w:id="152454575">
      <w:bodyDiv w:val="1"/>
      <w:marLeft w:val="0"/>
      <w:marRight w:val="0"/>
      <w:marTop w:val="0"/>
      <w:marBottom w:val="0"/>
      <w:divBdr>
        <w:top w:val="none" w:sz="0" w:space="0" w:color="auto"/>
        <w:left w:val="none" w:sz="0" w:space="0" w:color="auto"/>
        <w:bottom w:val="none" w:sz="0" w:space="0" w:color="auto"/>
        <w:right w:val="none" w:sz="0" w:space="0" w:color="auto"/>
      </w:divBdr>
    </w:div>
    <w:div w:id="177473880">
      <w:bodyDiv w:val="1"/>
      <w:marLeft w:val="0"/>
      <w:marRight w:val="0"/>
      <w:marTop w:val="0"/>
      <w:marBottom w:val="0"/>
      <w:divBdr>
        <w:top w:val="none" w:sz="0" w:space="0" w:color="auto"/>
        <w:left w:val="none" w:sz="0" w:space="0" w:color="auto"/>
        <w:bottom w:val="none" w:sz="0" w:space="0" w:color="auto"/>
        <w:right w:val="none" w:sz="0" w:space="0" w:color="auto"/>
      </w:divBdr>
    </w:div>
    <w:div w:id="188111629">
      <w:bodyDiv w:val="1"/>
      <w:marLeft w:val="0"/>
      <w:marRight w:val="0"/>
      <w:marTop w:val="0"/>
      <w:marBottom w:val="0"/>
      <w:divBdr>
        <w:top w:val="none" w:sz="0" w:space="0" w:color="auto"/>
        <w:left w:val="none" w:sz="0" w:space="0" w:color="auto"/>
        <w:bottom w:val="none" w:sz="0" w:space="0" w:color="auto"/>
        <w:right w:val="none" w:sz="0" w:space="0" w:color="auto"/>
      </w:divBdr>
    </w:div>
    <w:div w:id="219750062">
      <w:bodyDiv w:val="1"/>
      <w:marLeft w:val="0"/>
      <w:marRight w:val="0"/>
      <w:marTop w:val="0"/>
      <w:marBottom w:val="0"/>
      <w:divBdr>
        <w:top w:val="none" w:sz="0" w:space="0" w:color="auto"/>
        <w:left w:val="none" w:sz="0" w:space="0" w:color="auto"/>
        <w:bottom w:val="none" w:sz="0" w:space="0" w:color="auto"/>
        <w:right w:val="none" w:sz="0" w:space="0" w:color="auto"/>
      </w:divBdr>
    </w:div>
    <w:div w:id="223496201">
      <w:bodyDiv w:val="1"/>
      <w:marLeft w:val="0"/>
      <w:marRight w:val="0"/>
      <w:marTop w:val="0"/>
      <w:marBottom w:val="0"/>
      <w:divBdr>
        <w:top w:val="none" w:sz="0" w:space="0" w:color="auto"/>
        <w:left w:val="none" w:sz="0" w:space="0" w:color="auto"/>
        <w:bottom w:val="none" w:sz="0" w:space="0" w:color="auto"/>
        <w:right w:val="none" w:sz="0" w:space="0" w:color="auto"/>
      </w:divBdr>
    </w:div>
    <w:div w:id="230385768">
      <w:bodyDiv w:val="1"/>
      <w:marLeft w:val="0"/>
      <w:marRight w:val="0"/>
      <w:marTop w:val="0"/>
      <w:marBottom w:val="0"/>
      <w:divBdr>
        <w:top w:val="none" w:sz="0" w:space="0" w:color="auto"/>
        <w:left w:val="none" w:sz="0" w:space="0" w:color="auto"/>
        <w:bottom w:val="none" w:sz="0" w:space="0" w:color="auto"/>
        <w:right w:val="none" w:sz="0" w:space="0" w:color="auto"/>
      </w:divBdr>
    </w:div>
    <w:div w:id="240061688">
      <w:bodyDiv w:val="1"/>
      <w:marLeft w:val="0"/>
      <w:marRight w:val="0"/>
      <w:marTop w:val="0"/>
      <w:marBottom w:val="0"/>
      <w:divBdr>
        <w:top w:val="none" w:sz="0" w:space="0" w:color="auto"/>
        <w:left w:val="none" w:sz="0" w:space="0" w:color="auto"/>
        <w:bottom w:val="none" w:sz="0" w:space="0" w:color="auto"/>
        <w:right w:val="none" w:sz="0" w:space="0" w:color="auto"/>
      </w:divBdr>
    </w:div>
    <w:div w:id="284388679">
      <w:bodyDiv w:val="1"/>
      <w:marLeft w:val="0"/>
      <w:marRight w:val="0"/>
      <w:marTop w:val="0"/>
      <w:marBottom w:val="0"/>
      <w:divBdr>
        <w:top w:val="none" w:sz="0" w:space="0" w:color="auto"/>
        <w:left w:val="none" w:sz="0" w:space="0" w:color="auto"/>
        <w:bottom w:val="none" w:sz="0" w:space="0" w:color="auto"/>
        <w:right w:val="none" w:sz="0" w:space="0" w:color="auto"/>
      </w:divBdr>
    </w:div>
    <w:div w:id="290938090">
      <w:bodyDiv w:val="1"/>
      <w:marLeft w:val="0"/>
      <w:marRight w:val="0"/>
      <w:marTop w:val="0"/>
      <w:marBottom w:val="0"/>
      <w:divBdr>
        <w:top w:val="none" w:sz="0" w:space="0" w:color="auto"/>
        <w:left w:val="none" w:sz="0" w:space="0" w:color="auto"/>
        <w:bottom w:val="none" w:sz="0" w:space="0" w:color="auto"/>
        <w:right w:val="none" w:sz="0" w:space="0" w:color="auto"/>
      </w:divBdr>
    </w:div>
    <w:div w:id="301887904">
      <w:bodyDiv w:val="1"/>
      <w:marLeft w:val="0"/>
      <w:marRight w:val="0"/>
      <w:marTop w:val="0"/>
      <w:marBottom w:val="0"/>
      <w:divBdr>
        <w:top w:val="none" w:sz="0" w:space="0" w:color="auto"/>
        <w:left w:val="none" w:sz="0" w:space="0" w:color="auto"/>
        <w:bottom w:val="none" w:sz="0" w:space="0" w:color="auto"/>
        <w:right w:val="none" w:sz="0" w:space="0" w:color="auto"/>
      </w:divBdr>
    </w:div>
    <w:div w:id="331377062">
      <w:bodyDiv w:val="1"/>
      <w:marLeft w:val="0"/>
      <w:marRight w:val="0"/>
      <w:marTop w:val="45"/>
      <w:marBottom w:val="45"/>
      <w:divBdr>
        <w:top w:val="none" w:sz="0" w:space="0" w:color="auto"/>
        <w:left w:val="none" w:sz="0" w:space="0" w:color="auto"/>
        <w:bottom w:val="none" w:sz="0" w:space="0" w:color="auto"/>
        <w:right w:val="none" w:sz="0" w:space="0" w:color="auto"/>
      </w:divBdr>
      <w:divsChild>
        <w:div w:id="1234660427">
          <w:marLeft w:val="0"/>
          <w:marRight w:val="0"/>
          <w:marTop w:val="0"/>
          <w:marBottom w:val="0"/>
          <w:divBdr>
            <w:top w:val="none" w:sz="0" w:space="0" w:color="auto"/>
            <w:left w:val="none" w:sz="0" w:space="0" w:color="auto"/>
            <w:bottom w:val="none" w:sz="0" w:space="0" w:color="auto"/>
            <w:right w:val="none" w:sz="0" w:space="0" w:color="auto"/>
          </w:divBdr>
          <w:divsChild>
            <w:div w:id="1528522421">
              <w:marLeft w:val="0"/>
              <w:marRight w:val="0"/>
              <w:marTop w:val="0"/>
              <w:marBottom w:val="0"/>
              <w:divBdr>
                <w:top w:val="none" w:sz="0" w:space="0" w:color="auto"/>
                <w:left w:val="none" w:sz="0" w:space="0" w:color="auto"/>
                <w:bottom w:val="none" w:sz="0" w:space="0" w:color="auto"/>
                <w:right w:val="none" w:sz="0" w:space="0" w:color="auto"/>
              </w:divBdr>
              <w:divsChild>
                <w:div w:id="1828134586">
                  <w:marLeft w:val="2385"/>
                  <w:marRight w:val="3960"/>
                  <w:marTop w:val="0"/>
                  <w:marBottom w:val="0"/>
                  <w:divBdr>
                    <w:top w:val="none" w:sz="0" w:space="0" w:color="auto"/>
                    <w:left w:val="single" w:sz="6" w:space="0" w:color="D3E1F9"/>
                    <w:bottom w:val="none" w:sz="0" w:space="0" w:color="auto"/>
                    <w:right w:val="none" w:sz="0" w:space="0" w:color="auto"/>
                  </w:divBdr>
                  <w:divsChild>
                    <w:div w:id="71634097">
                      <w:marLeft w:val="0"/>
                      <w:marRight w:val="0"/>
                      <w:marTop w:val="0"/>
                      <w:marBottom w:val="0"/>
                      <w:divBdr>
                        <w:top w:val="none" w:sz="0" w:space="0" w:color="auto"/>
                        <w:left w:val="none" w:sz="0" w:space="0" w:color="auto"/>
                        <w:bottom w:val="none" w:sz="0" w:space="0" w:color="auto"/>
                        <w:right w:val="none" w:sz="0" w:space="0" w:color="auto"/>
                      </w:divBdr>
                      <w:divsChild>
                        <w:div w:id="191608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8428669">
      <w:bodyDiv w:val="1"/>
      <w:marLeft w:val="0"/>
      <w:marRight w:val="0"/>
      <w:marTop w:val="0"/>
      <w:marBottom w:val="0"/>
      <w:divBdr>
        <w:top w:val="none" w:sz="0" w:space="0" w:color="auto"/>
        <w:left w:val="none" w:sz="0" w:space="0" w:color="auto"/>
        <w:bottom w:val="none" w:sz="0" w:space="0" w:color="auto"/>
        <w:right w:val="none" w:sz="0" w:space="0" w:color="auto"/>
      </w:divBdr>
    </w:div>
    <w:div w:id="398942959">
      <w:bodyDiv w:val="1"/>
      <w:marLeft w:val="0"/>
      <w:marRight w:val="0"/>
      <w:marTop w:val="0"/>
      <w:marBottom w:val="0"/>
      <w:divBdr>
        <w:top w:val="none" w:sz="0" w:space="0" w:color="auto"/>
        <w:left w:val="none" w:sz="0" w:space="0" w:color="auto"/>
        <w:bottom w:val="none" w:sz="0" w:space="0" w:color="auto"/>
        <w:right w:val="none" w:sz="0" w:space="0" w:color="auto"/>
      </w:divBdr>
    </w:div>
    <w:div w:id="401682824">
      <w:bodyDiv w:val="1"/>
      <w:marLeft w:val="0"/>
      <w:marRight w:val="0"/>
      <w:marTop w:val="0"/>
      <w:marBottom w:val="0"/>
      <w:divBdr>
        <w:top w:val="none" w:sz="0" w:space="0" w:color="auto"/>
        <w:left w:val="none" w:sz="0" w:space="0" w:color="auto"/>
        <w:bottom w:val="none" w:sz="0" w:space="0" w:color="auto"/>
        <w:right w:val="none" w:sz="0" w:space="0" w:color="auto"/>
      </w:divBdr>
    </w:div>
    <w:div w:id="414016794">
      <w:bodyDiv w:val="1"/>
      <w:marLeft w:val="0"/>
      <w:marRight w:val="0"/>
      <w:marTop w:val="0"/>
      <w:marBottom w:val="0"/>
      <w:divBdr>
        <w:top w:val="none" w:sz="0" w:space="0" w:color="auto"/>
        <w:left w:val="none" w:sz="0" w:space="0" w:color="auto"/>
        <w:bottom w:val="none" w:sz="0" w:space="0" w:color="auto"/>
        <w:right w:val="none" w:sz="0" w:space="0" w:color="auto"/>
      </w:divBdr>
      <w:divsChild>
        <w:div w:id="708458187">
          <w:marLeft w:val="0"/>
          <w:marRight w:val="0"/>
          <w:marTop w:val="0"/>
          <w:marBottom w:val="0"/>
          <w:divBdr>
            <w:top w:val="none" w:sz="0" w:space="0" w:color="auto"/>
            <w:left w:val="none" w:sz="0" w:space="0" w:color="auto"/>
            <w:bottom w:val="none" w:sz="0" w:space="0" w:color="auto"/>
            <w:right w:val="none" w:sz="0" w:space="0" w:color="auto"/>
          </w:divBdr>
          <w:divsChild>
            <w:div w:id="800464439">
              <w:marLeft w:val="0"/>
              <w:marRight w:val="0"/>
              <w:marTop w:val="33"/>
              <w:marBottom w:val="0"/>
              <w:divBdr>
                <w:top w:val="single" w:sz="2" w:space="0" w:color="596380"/>
                <w:left w:val="single" w:sz="2" w:space="0" w:color="596380"/>
                <w:bottom w:val="single" w:sz="2" w:space="0" w:color="596380"/>
                <w:right w:val="single" w:sz="2" w:space="0" w:color="596380"/>
              </w:divBdr>
              <w:divsChild>
                <w:div w:id="2014985568">
                  <w:marLeft w:val="0"/>
                  <w:marRight w:val="0"/>
                  <w:marTop w:val="0"/>
                  <w:marBottom w:val="0"/>
                  <w:divBdr>
                    <w:top w:val="none" w:sz="0" w:space="0" w:color="auto"/>
                    <w:left w:val="none" w:sz="0" w:space="0" w:color="auto"/>
                    <w:bottom w:val="none" w:sz="0" w:space="0" w:color="auto"/>
                    <w:right w:val="none" w:sz="0" w:space="0" w:color="auto"/>
                  </w:divBdr>
                  <w:divsChild>
                    <w:div w:id="1719696052">
                      <w:marLeft w:val="0"/>
                      <w:marRight w:val="0"/>
                      <w:marTop w:val="0"/>
                      <w:marBottom w:val="0"/>
                      <w:divBdr>
                        <w:top w:val="none" w:sz="0" w:space="0" w:color="auto"/>
                        <w:left w:val="none" w:sz="0" w:space="0" w:color="auto"/>
                        <w:bottom w:val="none" w:sz="0" w:space="0" w:color="auto"/>
                        <w:right w:val="none" w:sz="0" w:space="0" w:color="auto"/>
                      </w:divBdr>
                      <w:divsChild>
                        <w:div w:id="643193405">
                          <w:marLeft w:val="0"/>
                          <w:marRight w:val="0"/>
                          <w:marTop w:val="0"/>
                          <w:marBottom w:val="0"/>
                          <w:divBdr>
                            <w:top w:val="none" w:sz="0" w:space="0" w:color="auto"/>
                            <w:left w:val="none" w:sz="0" w:space="0" w:color="auto"/>
                            <w:bottom w:val="none" w:sz="0" w:space="0" w:color="auto"/>
                            <w:right w:val="none" w:sz="0" w:space="0" w:color="auto"/>
                          </w:divBdr>
                          <w:divsChild>
                            <w:div w:id="2005743220">
                              <w:marLeft w:val="0"/>
                              <w:marRight w:val="0"/>
                              <w:marTop w:val="0"/>
                              <w:marBottom w:val="0"/>
                              <w:divBdr>
                                <w:top w:val="none" w:sz="0" w:space="0" w:color="auto"/>
                                <w:left w:val="none" w:sz="0" w:space="0" w:color="auto"/>
                                <w:bottom w:val="none" w:sz="0" w:space="0" w:color="auto"/>
                                <w:right w:val="none" w:sz="0" w:space="0" w:color="auto"/>
                              </w:divBdr>
                              <w:divsChild>
                                <w:div w:id="727194786">
                                  <w:marLeft w:val="55"/>
                                  <w:marRight w:val="55"/>
                                  <w:marTop w:val="55"/>
                                  <w:marBottom w:val="55"/>
                                  <w:divBdr>
                                    <w:top w:val="none" w:sz="0" w:space="0" w:color="auto"/>
                                    <w:left w:val="none" w:sz="0" w:space="0" w:color="auto"/>
                                    <w:bottom w:val="none" w:sz="0" w:space="0" w:color="auto"/>
                                    <w:right w:val="none" w:sz="0" w:space="0" w:color="auto"/>
                                  </w:divBdr>
                                  <w:divsChild>
                                    <w:div w:id="48779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8697782">
      <w:bodyDiv w:val="1"/>
      <w:marLeft w:val="0"/>
      <w:marRight w:val="0"/>
      <w:marTop w:val="0"/>
      <w:marBottom w:val="0"/>
      <w:divBdr>
        <w:top w:val="none" w:sz="0" w:space="0" w:color="auto"/>
        <w:left w:val="none" w:sz="0" w:space="0" w:color="auto"/>
        <w:bottom w:val="none" w:sz="0" w:space="0" w:color="auto"/>
        <w:right w:val="none" w:sz="0" w:space="0" w:color="auto"/>
      </w:divBdr>
    </w:div>
    <w:div w:id="429934477">
      <w:bodyDiv w:val="1"/>
      <w:marLeft w:val="0"/>
      <w:marRight w:val="0"/>
      <w:marTop w:val="0"/>
      <w:marBottom w:val="0"/>
      <w:divBdr>
        <w:top w:val="none" w:sz="0" w:space="0" w:color="auto"/>
        <w:left w:val="none" w:sz="0" w:space="0" w:color="auto"/>
        <w:bottom w:val="none" w:sz="0" w:space="0" w:color="auto"/>
        <w:right w:val="none" w:sz="0" w:space="0" w:color="auto"/>
      </w:divBdr>
    </w:div>
    <w:div w:id="455761419">
      <w:bodyDiv w:val="1"/>
      <w:marLeft w:val="0"/>
      <w:marRight w:val="0"/>
      <w:marTop w:val="0"/>
      <w:marBottom w:val="0"/>
      <w:divBdr>
        <w:top w:val="none" w:sz="0" w:space="0" w:color="auto"/>
        <w:left w:val="none" w:sz="0" w:space="0" w:color="auto"/>
        <w:bottom w:val="none" w:sz="0" w:space="0" w:color="auto"/>
        <w:right w:val="none" w:sz="0" w:space="0" w:color="auto"/>
      </w:divBdr>
    </w:div>
    <w:div w:id="459081145">
      <w:bodyDiv w:val="1"/>
      <w:marLeft w:val="0"/>
      <w:marRight w:val="0"/>
      <w:marTop w:val="0"/>
      <w:marBottom w:val="0"/>
      <w:divBdr>
        <w:top w:val="none" w:sz="0" w:space="0" w:color="auto"/>
        <w:left w:val="none" w:sz="0" w:space="0" w:color="auto"/>
        <w:bottom w:val="none" w:sz="0" w:space="0" w:color="auto"/>
        <w:right w:val="none" w:sz="0" w:space="0" w:color="auto"/>
      </w:divBdr>
    </w:div>
    <w:div w:id="494341178">
      <w:bodyDiv w:val="1"/>
      <w:marLeft w:val="0"/>
      <w:marRight w:val="0"/>
      <w:marTop w:val="0"/>
      <w:marBottom w:val="0"/>
      <w:divBdr>
        <w:top w:val="none" w:sz="0" w:space="0" w:color="auto"/>
        <w:left w:val="none" w:sz="0" w:space="0" w:color="auto"/>
        <w:bottom w:val="none" w:sz="0" w:space="0" w:color="auto"/>
        <w:right w:val="none" w:sz="0" w:space="0" w:color="auto"/>
      </w:divBdr>
    </w:div>
    <w:div w:id="514031238">
      <w:bodyDiv w:val="1"/>
      <w:marLeft w:val="0"/>
      <w:marRight w:val="0"/>
      <w:marTop w:val="0"/>
      <w:marBottom w:val="0"/>
      <w:divBdr>
        <w:top w:val="none" w:sz="0" w:space="0" w:color="auto"/>
        <w:left w:val="none" w:sz="0" w:space="0" w:color="auto"/>
        <w:bottom w:val="none" w:sz="0" w:space="0" w:color="auto"/>
        <w:right w:val="none" w:sz="0" w:space="0" w:color="auto"/>
      </w:divBdr>
    </w:div>
    <w:div w:id="529614231">
      <w:bodyDiv w:val="1"/>
      <w:marLeft w:val="0"/>
      <w:marRight w:val="0"/>
      <w:marTop w:val="0"/>
      <w:marBottom w:val="0"/>
      <w:divBdr>
        <w:top w:val="none" w:sz="0" w:space="0" w:color="auto"/>
        <w:left w:val="none" w:sz="0" w:space="0" w:color="auto"/>
        <w:bottom w:val="none" w:sz="0" w:space="0" w:color="auto"/>
        <w:right w:val="none" w:sz="0" w:space="0" w:color="auto"/>
      </w:divBdr>
    </w:div>
    <w:div w:id="530267629">
      <w:bodyDiv w:val="1"/>
      <w:marLeft w:val="0"/>
      <w:marRight w:val="0"/>
      <w:marTop w:val="0"/>
      <w:marBottom w:val="0"/>
      <w:divBdr>
        <w:top w:val="none" w:sz="0" w:space="0" w:color="auto"/>
        <w:left w:val="none" w:sz="0" w:space="0" w:color="auto"/>
        <w:bottom w:val="none" w:sz="0" w:space="0" w:color="auto"/>
        <w:right w:val="none" w:sz="0" w:space="0" w:color="auto"/>
      </w:divBdr>
    </w:div>
    <w:div w:id="534660672">
      <w:bodyDiv w:val="1"/>
      <w:marLeft w:val="0"/>
      <w:marRight w:val="0"/>
      <w:marTop w:val="0"/>
      <w:marBottom w:val="0"/>
      <w:divBdr>
        <w:top w:val="none" w:sz="0" w:space="0" w:color="auto"/>
        <w:left w:val="none" w:sz="0" w:space="0" w:color="auto"/>
        <w:bottom w:val="none" w:sz="0" w:space="0" w:color="auto"/>
        <w:right w:val="none" w:sz="0" w:space="0" w:color="auto"/>
      </w:divBdr>
    </w:div>
    <w:div w:id="536938640">
      <w:bodyDiv w:val="1"/>
      <w:marLeft w:val="0"/>
      <w:marRight w:val="0"/>
      <w:marTop w:val="0"/>
      <w:marBottom w:val="0"/>
      <w:divBdr>
        <w:top w:val="none" w:sz="0" w:space="0" w:color="auto"/>
        <w:left w:val="none" w:sz="0" w:space="0" w:color="auto"/>
        <w:bottom w:val="none" w:sz="0" w:space="0" w:color="auto"/>
        <w:right w:val="none" w:sz="0" w:space="0" w:color="auto"/>
      </w:divBdr>
    </w:div>
    <w:div w:id="563374885">
      <w:bodyDiv w:val="1"/>
      <w:marLeft w:val="0"/>
      <w:marRight w:val="0"/>
      <w:marTop w:val="0"/>
      <w:marBottom w:val="0"/>
      <w:divBdr>
        <w:top w:val="none" w:sz="0" w:space="0" w:color="auto"/>
        <w:left w:val="none" w:sz="0" w:space="0" w:color="auto"/>
        <w:bottom w:val="none" w:sz="0" w:space="0" w:color="auto"/>
        <w:right w:val="none" w:sz="0" w:space="0" w:color="auto"/>
      </w:divBdr>
    </w:div>
    <w:div w:id="580331081">
      <w:bodyDiv w:val="1"/>
      <w:marLeft w:val="0"/>
      <w:marRight w:val="0"/>
      <w:marTop w:val="0"/>
      <w:marBottom w:val="0"/>
      <w:divBdr>
        <w:top w:val="none" w:sz="0" w:space="0" w:color="auto"/>
        <w:left w:val="none" w:sz="0" w:space="0" w:color="auto"/>
        <w:bottom w:val="none" w:sz="0" w:space="0" w:color="auto"/>
        <w:right w:val="none" w:sz="0" w:space="0" w:color="auto"/>
      </w:divBdr>
    </w:div>
    <w:div w:id="613053636">
      <w:bodyDiv w:val="1"/>
      <w:marLeft w:val="0"/>
      <w:marRight w:val="0"/>
      <w:marTop w:val="0"/>
      <w:marBottom w:val="0"/>
      <w:divBdr>
        <w:top w:val="none" w:sz="0" w:space="0" w:color="auto"/>
        <w:left w:val="none" w:sz="0" w:space="0" w:color="auto"/>
        <w:bottom w:val="none" w:sz="0" w:space="0" w:color="auto"/>
        <w:right w:val="none" w:sz="0" w:space="0" w:color="auto"/>
      </w:divBdr>
    </w:div>
    <w:div w:id="626737903">
      <w:bodyDiv w:val="1"/>
      <w:marLeft w:val="0"/>
      <w:marRight w:val="0"/>
      <w:marTop w:val="0"/>
      <w:marBottom w:val="0"/>
      <w:divBdr>
        <w:top w:val="none" w:sz="0" w:space="0" w:color="auto"/>
        <w:left w:val="none" w:sz="0" w:space="0" w:color="auto"/>
        <w:bottom w:val="none" w:sz="0" w:space="0" w:color="auto"/>
        <w:right w:val="none" w:sz="0" w:space="0" w:color="auto"/>
      </w:divBdr>
    </w:div>
    <w:div w:id="628171307">
      <w:bodyDiv w:val="1"/>
      <w:marLeft w:val="0"/>
      <w:marRight w:val="0"/>
      <w:marTop w:val="0"/>
      <w:marBottom w:val="0"/>
      <w:divBdr>
        <w:top w:val="none" w:sz="0" w:space="0" w:color="auto"/>
        <w:left w:val="none" w:sz="0" w:space="0" w:color="auto"/>
        <w:bottom w:val="none" w:sz="0" w:space="0" w:color="auto"/>
        <w:right w:val="none" w:sz="0" w:space="0" w:color="auto"/>
      </w:divBdr>
    </w:div>
    <w:div w:id="641614608">
      <w:bodyDiv w:val="1"/>
      <w:marLeft w:val="0"/>
      <w:marRight w:val="0"/>
      <w:marTop w:val="0"/>
      <w:marBottom w:val="0"/>
      <w:divBdr>
        <w:top w:val="none" w:sz="0" w:space="0" w:color="auto"/>
        <w:left w:val="none" w:sz="0" w:space="0" w:color="auto"/>
        <w:bottom w:val="none" w:sz="0" w:space="0" w:color="auto"/>
        <w:right w:val="none" w:sz="0" w:space="0" w:color="auto"/>
      </w:divBdr>
    </w:div>
    <w:div w:id="645477552">
      <w:bodyDiv w:val="1"/>
      <w:marLeft w:val="0"/>
      <w:marRight w:val="0"/>
      <w:marTop w:val="0"/>
      <w:marBottom w:val="0"/>
      <w:divBdr>
        <w:top w:val="none" w:sz="0" w:space="0" w:color="auto"/>
        <w:left w:val="none" w:sz="0" w:space="0" w:color="auto"/>
        <w:bottom w:val="none" w:sz="0" w:space="0" w:color="auto"/>
        <w:right w:val="none" w:sz="0" w:space="0" w:color="auto"/>
      </w:divBdr>
    </w:div>
    <w:div w:id="657268292">
      <w:bodyDiv w:val="1"/>
      <w:marLeft w:val="0"/>
      <w:marRight w:val="0"/>
      <w:marTop w:val="0"/>
      <w:marBottom w:val="0"/>
      <w:divBdr>
        <w:top w:val="none" w:sz="0" w:space="0" w:color="auto"/>
        <w:left w:val="none" w:sz="0" w:space="0" w:color="auto"/>
        <w:bottom w:val="none" w:sz="0" w:space="0" w:color="auto"/>
        <w:right w:val="none" w:sz="0" w:space="0" w:color="auto"/>
      </w:divBdr>
    </w:div>
    <w:div w:id="675691294">
      <w:bodyDiv w:val="1"/>
      <w:marLeft w:val="0"/>
      <w:marRight w:val="0"/>
      <w:marTop w:val="45"/>
      <w:marBottom w:val="45"/>
      <w:divBdr>
        <w:top w:val="none" w:sz="0" w:space="0" w:color="auto"/>
        <w:left w:val="none" w:sz="0" w:space="0" w:color="auto"/>
        <w:bottom w:val="none" w:sz="0" w:space="0" w:color="auto"/>
        <w:right w:val="none" w:sz="0" w:space="0" w:color="auto"/>
      </w:divBdr>
      <w:divsChild>
        <w:div w:id="1347947739">
          <w:marLeft w:val="0"/>
          <w:marRight w:val="0"/>
          <w:marTop w:val="0"/>
          <w:marBottom w:val="0"/>
          <w:divBdr>
            <w:top w:val="none" w:sz="0" w:space="0" w:color="auto"/>
            <w:left w:val="none" w:sz="0" w:space="0" w:color="auto"/>
            <w:bottom w:val="none" w:sz="0" w:space="0" w:color="auto"/>
            <w:right w:val="none" w:sz="0" w:space="0" w:color="auto"/>
          </w:divBdr>
          <w:divsChild>
            <w:div w:id="1979262644">
              <w:marLeft w:val="0"/>
              <w:marRight w:val="0"/>
              <w:marTop w:val="0"/>
              <w:marBottom w:val="0"/>
              <w:divBdr>
                <w:top w:val="none" w:sz="0" w:space="0" w:color="auto"/>
                <w:left w:val="none" w:sz="0" w:space="0" w:color="auto"/>
                <w:bottom w:val="none" w:sz="0" w:space="0" w:color="auto"/>
                <w:right w:val="none" w:sz="0" w:space="0" w:color="auto"/>
              </w:divBdr>
              <w:divsChild>
                <w:div w:id="693504948">
                  <w:marLeft w:val="2385"/>
                  <w:marRight w:val="3960"/>
                  <w:marTop w:val="0"/>
                  <w:marBottom w:val="0"/>
                  <w:divBdr>
                    <w:top w:val="none" w:sz="0" w:space="0" w:color="auto"/>
                    <w:left w:val="single" w:sz="6" w:space="0" w:color="D3E1F9"/>
                    <w:bottom w:val="none" w:sz="0" w:space="0" w:color="auto"/>
                    <w:right w:val="none" w:sz="0" w:space="0" w:color="auto"/>
                  </w:divBdr>
                  <w:divsChild>
                    <w:div w:id="678701220">
                      <w:marLeft w:val="0"/>
                      <w:marRight w:val="0"/>
                      <w:marTop w:val="0"/>
                      <w:marBottom w:val="0"/>
                      <w:divBdr>
                        <w:top w:val="none" w:sz="0" w:space="0" w:color="auto"/>
                        <w:left w:val="none" w:sz="0" w:space="0" w:color="auto"/>
                        <w:bottom w:val="none" w:sz="0" w:space="0" w:color="auto"/>
                        <w:right w:val="none" w:sz="0" w:space="0" w:color="auto"/>
                      </w:divBdr>
                      <w:divsChild>
                        <w:div w:id="152975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557607">
      <w:bodyDiv w:val="1"/>
      <w:marLeft w:val="0"/>
      <w:marRight w:val="0"/>
      <w:marTop w:val="0"/>
      <w:marBottom w:val="0"/>
      <w:divBdr>
        <w:top w:val="none" w:sz="0" w:space="0" w:color="auto"/>
        <w:left w:val="none" w:sz="0" w:space="0" w:color="auto"/>
        <w:bottom w:val="none" w:sz="0" w:space="0" w:color="auto"/>
        <w:right w:val="none" w:sz="0" w:space="0" w:color="auto"/>
      </w:divBdr>
    </w:div>
    <w:div w:id="732316477">
      <w:bodyDiv w:val="1"/>
      <w:marLeft w:val="0"/>
      <w:marRight w:val="0"/>
      <w:marTop w:val="0"/>
      <w:marBottom w:val="0"/>
      <w:divBdr>
        <w:top w:val="none" w:sz="0" w:space="0" w:color="auto"/>
        <w:left w:val="none" w:sz="0" w:space="0" w:color="auto"/>
        <w:bottom w:val="none" w:sz="0" w:space="0" w:color="auto"/>
        <w:right w:val="none" w:sz="0" w:space="0" w:color="auto"/>
      </w:divBdr>
    </w:div>
    <w:div w:id="746462423">
      <w:bodyDiv w:val="1"/>
      <w:marLeft w:val="0"/>
      <w:marRight w:val="0"/>
      <w:marTop w:val="0"/>
      <w:marBottom w:val="0"/>
      <w:divBdr>
        <w:top w:val="none" w:sz="0" w:space="0" w:color="auto"/>
        <w:left w:val="none" w:sz="0" w:space="0" w:color="auto"/>
        <w:bottom w:val="none" w:sz="0" w:space="0" w:color="auto"/>
        <w:right w:val="none" w:sz="0" w:space="0" w:color="auto"/>
      </w:divBdr>
    </w:div>
    <w:div w:id="760446206">
      <w:bodyDiv w:val="1"/>
      <w:marLeft w:val="0"/>
      <w:marRight w:val="0"/>
      <w:marTop w:val="0"/>
      <w:marBottom w:val="0"/>
      <w:divBdr>
        <w:top w:val="none" w:sz="0" w:space="0" w:color="auto"/>
        <w:left w:val="none" w:sz="0" w:space="0" w:color="auto"/>
        <w:bottom w:val="none" w:sz="0" w:space="0" w:color="auto"/>
        <w:right w:val="none" w:sz="0" w:space="0" w:color="auto"/>
      </w:divBdr>
    </w:div>
    <w:div w:id="793865506">
      <w:bodyDiv w:val="1"/>
      <w:marLeft w:val="0"/>
      <w:marRight w:val="0"/>
      <w:marTop w:val="0"/>
      <w:marBottom w:val="0"/>
      <w:divBdr>
        <w:top w:val="none" w:sz="0" w:space="0" w:color="auto"/>
        <w:left w:val="none" w:sz="0" w:space="0" w:color="auto"/>
        <w:bottom w:val="none" w:sz="0" w:space="0" w:color="auto"/>
        <w:right w:val="none" w:sz="0" w:space="0" w:color="auto"/>
      </w:divBdr>
    </w:div>
    <w:div w:id="815536614">
      <w:bodyDiv w:val="1"/>
      <w:marLeft w:val="0"/>
      <w:marRight w:val="0"/>
      <w:marTop w:val="0"/>
      <w:marBottom w:val="0"/>
      <w:divBdr>
        <w:top w:val="none" w:sz="0" w:space="0" w:color="auto"/>
        <w:left w:val="none" w:sz="0" w:space="0" w:color="auto"/>
        <w:bottom w:val="none" w:sz="0" w:space="0" w:color="auto"/>
        <w:right w:val="none" w:sz="0" w:space="0" w:color="auto"/>
      </w:divBdr>
    </w:div>
    <w:div w:id="827750072">
      <w:bodyDiv w:val="1"/>
      <w:marLeft w:val="0"/>
      <w:marRight w:val="0"/>
      <w:marTop w:val="0"/>
      <w:marBottom w:val="0"/>
      <w:divBdr>
        <w:top w:val="none" w:sz="0" w:space="0" w:color="auto"/>
        <w:left w:val="none" w:sz="0" w:space="0" w:color="auto"/>
        <w:bottom w:val="none" w:sz="0" w:space="0" w:color="auto"/>
        <w:right w:val="none" w:sz="0" w:space="0" w:color="auto"/>
      </w:divBdr>
    </w:div>
    <w:div w:id="850995562">
      <w:bodyDiv w:val="1"/>
      <w:marLeft w:val="0"/>
      <w:marRight w:val="0"/>
      <w:marTop w:val="0"/>
      <w:marBottom w:val="0"/>
      <w:divBdr>
        <w:top w:val="none" w:sz="0" w:space="0" w:color="auto"/>
        <w:left w:val="none" w:sz="0" w:space="0" w:color="auto"/>
        <w:bottom w:val="none" w:sz="0" w:space="0" w:color="auto"/>
        <w:right w:val="none" w:sz="0" w:space="0" w:color="auto"/>
      </w:divBdr>
    </w:div>
    <w:div w:id="866721998">
      <w:bodyDiv w:val="1"/>
      <w:marLeft w:val="0"/>
      <w:marRight w:val="0"/>
      <w:marTop w:val="0"/>
      <w:marBottom w:val="0"/>
      <w:divBdr>
        <w:top w:val="none" w:sz="0" w:space="0" w:color="auto"/>
        <w:left w:val="none" w:sz="0" w:space="0" w:color="auto"/>
        <w:bottom w:val="none" w:sz="0" w:space="0" w:color="auto"/>
        <w:right w:val="none" w:sz="0" w:space="0" w:color="auto"/>
      </w:divBdr>
    </w:div>
    <w:div w:id="869269961">
      <w:bodyDiv w:val="1"/>
      <w:marLeft w:val="0"/>
      <w:marRight w:val="0"/>
      <w:marTop w:val="0"/>
      <w:marBottom w:val="0"/>
      <w:divBdr>
        <w:top w:val="none" w:sz="0" w:space="0" w:color="auto"/>
        <w:left w:val="none" w:sz="0" w:space="0" w:color="auto"/>
        <w:bottom w:val="none" w:sz="0" w:space="0" w:color="auto"/>
        <w:right w:val="none" w:sz="0" w:space="0" w:color="auto"/>
      </w:divBdr>
    </w:div>
    <w:div w:id="878130089">
      <w:bodyDiv w:val="1"/>
      <w:marLeft w:val="0"/>
      <w:marRight w:val="0"/>
      <w:marTop w:val="0"/>
      <w:marBottom w:val="0"/>
      <w:divBdr>
        <w:top w:val="none" w:sz="0" w:space="0" w:color="auto"/>
        <w:left w:val="none" w:sz="0" w:space="0" w:color="auto"/>
        <w:bottom w:val="none" w:sz="0" w:space="0" w:color="auto"/>
        <w:right w:val="none" w:sz="0" w:space="0" w:color="auto"/>
      </w:divBdr>
    </w:div>
    <w:div w:id="889463427">
      <w:bodyDiv w:val="1"/>
      <w:marLeft w:val="0"/>
      <w:marRight w:val="0"/>
      <w:marTop w:val="0"/>
      <w:marBottom w:val="0"/>
      <w:divBdr>
        <w:top w:val="none" w:sz="0" w:space="0" w:color="auto"/>
        <w:left w:val="none" w:sz="0" w:space="0" w:color="auto"/>
        <w:bottom w:val="none" w:sz="0" w:space="0" w:color="auto"/>
        <w:right w:val="none" w:sz="0" w:space="0" w:color="auto"/>
      </w:divBdr>
    </w:div>
    <w:div w:id="898633932">
      <w:bodyDiv w:val="1"/>
      <w:marLeft w:val="0"/>
      <w:marRight w:val="0"/>
      <w:marTop w:val="0"/>
      <w:marBottom w:val="0"/>
      <w:divBdr>
        <w:top w:val="none" w:sz="0" w:space="0" w:color="auto"/>
        <w:left w:val="none" w:sz="0" w:space="0" w:color="auto"/>
        <w:bottom w:val="none" w:sz="0" w:space="0" w:color="auto"/>
        <w:right w:val="none" w:sz="0" w:space="0" w:color="auto"/>
      </w:divBdr>
    </w:div>
    <w:div w:id="906692712">
      <w:bodyDiv w:val="1"/>
      <w:marLeft w:val="0"/>
      <w:marRight w:val="0"/>
      <w:marTop w:val="0"/>
      <w:marBottom w:val="0"/>
      <w:divBdr>
        <w:top w:val="none" w:sz="0" w:space="0" w:color="auto"/>
        <w:left w:val="none" w:sz="0" w:space="0" w:color="auto"/>
        <w:bottom w:val="none" w:sz="0" w:space="0" w:color="auto"/>
        <w:right w:val="none" w:sz="0" w:space="0" w:color="auto"/>
      </w:divBdr>
    </w:div>
    <w:div w:id="927275053">
      <w:bodyDiv w:val="1"/>
      <w:marLeft w:val="0"/>
      <w:marRight w:val="0"/>
      <w:marTop w:val="0"/>
      <w:marBottom w:val="0"/>
      <w:divBdr>
        <w:top w:val="none" w:sz="0" w:space="0" w:color="auto"/>
        <w:left w:val="none" w:sz="0" w:space="0" w:color="auto"/>
        <w:bottom w:val="none" w:sz="0" w:space="0" w:color="auto"/>
        <w:right w:val="none" w:sz="0" w:space="0" w:color="auto"/>
      </w:divBdr>
    </w:div>
    <w:div w:id="937757352">
      <w:bodyDiv w:val="1"/>
      <w:marLeft w:val="0"/>
      <w:marRight w:val="0"/>
      <w:marTop w:val="0"/>
      <w:marBottom w:val="0"/>
      <w:divBdr>
        <w:top w:val="none" w:sz="0" w:space="0" w:color="auto"/>
        <w:left w:val="none" w:sz="0" w:space="0" w:color="auto"/>
        <w:bottom w:val="none" w:sz="0" w:space="0" w:color="auto"/>
        <w:right w:val="none" w:sz="0" w:space="0" w:color="auto"/>
      </w:divBdr>
      <w:divsChild>
        <w:div w:id="2089769201">
          <w:marLeft w:val="0"/>
          <w:marRight w:val="0"/>
          <w:marTop w:val="100"/>
          <w:marBottom w:val="100"/>
          <w:divBdr>
            <w:top w:val="none" w:sz="0" w:space="0" w:color="auto"/>
            <w:left w:val="none" w:sz="0" w:space="0" w:color="auto"/>
            <w:bottom w:val="none" w:sz="0" w:space="0" w:color="auto"/>
            <w:right w:val="none" w:sz="0" w:space="0" w:color="auto"/>
          </w:divBdr>
          <w:divsChild>
            <w:div w:id="772214855">
              <w:marLeft w:val="0"/>
              <w:marRight w:val="0"/>
              <w:marTop w:val="0"/>
              <w:marBottom w:val="0"/>
              <w:divBdr>
                <w:top w:val="none" w:sz="0" w:space="0" w:color="auto"/>
                <w:left w:val="none" w:sz="0" w:space="0" w:color="auto"/>
                <w:bottom w:val="none" w:sz="0" w:space="0" w:color="auto"/>
                <w:right w:val="none" w:sz="0" w:space="0" w:color="auto"/>
              </w:divBdr>
              <w:divsChild>
                <w:div w:id="63965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472926">
      <w:bodyDiv w:val="1"/>
      <w:marLeft w:val="0"/>
      <w:marRight w:val="0"/>
      <w:marTop w:val="0"/>
      <w:marBottom w:val="0"/>
      <w:divBdr>
        <w:top w:val="none" w:sz="0" w:space="0" w:color="auto"/>
        <w:left w:val="none" w:sz="0" w:space="0" w:color="auto"/>
        <w:bottom w:val="none" w:sz="0" w:space="0" w:color="auto"/>
        <w:right w:val="none" w:sz="0" w:space="0" w:color="auto"/>
      </w:divBdr>
    </w:div>
    <w:div w:id="997920597">
      <w:bodyDiv w:val="1"/>
      <w:marLeft w:val="0"/>
      <w:marRight w:val="0"/>
      <w:marTop w:val="0"/>
      <w:marBottom w:val="0"/>
      <w:divBdr>
        <w:top w:val="none" w:sz="0" w:space="0" w:color="auto"/>
        <w:left w:val="none" w:sz="0" w:space="0" w:color="auto"/>
        <w:bottom w:val="none" w:sz="0" w:space="0" w:color="auto"/>
        <w:right w:val="none" w:sz="0" w:space="0" w:color="auto"/>
      </w:divBdr>
    </w:div>
    <w:div w:id="998533943">
      <w:bodyDiv w:val="1"/>
      <w:marLeft w:val="0"/>
      <w:marRight w:val="0"/>
      <w:marTop w:val="0"/>
      <w:marBottom w:val="0"/>
      <w:divBdr>
        <w:top w:val="none" w:sz="0" w:space="0" w:color="auto"/>
        <w:left w:val="none" w:sz="0" w:space="0" w:color="auto"/>
        <w:bottom w:val="none" w:sz="0" w:space="0" w:color="auto"/>
        <w:right w:val="none" w:sz="0" w:space="0" w:color="auto"/>
      </w:divBdr>
    </w:div>
    <w:div w:id="1000812390">
      <w:bodyDiv w:val="1"/>
      <w:marLeft w:val="0"/>
      <w:marRight w:val="0"/>
      <w:marTop w:val="0"/>
      <w:marBottom w:val="0"/>
      <w:divBdr>
        <w:top w:val="none" w:sz="0" w:space="0" w:color="auto"/>
        <w:left w:val="none" w:sz="0" w:space="0" w:color="auto"/>
        <w:bottom w:val="none" w:sz="0" w:space="0" w:color="auto"/>
        <w:right w:val="none" w:sz="0" w:space="0" w:color="auto"/>
      </w:divBdr>
    </w:div>
    <w:div w:id="1007244348">
      <w:bodyDiv w:val="1"/>
      <w:marLeft w:val="0"/>
      <w:marRight w:val="0"/>
      <w:marTop w:val="0"/>
      <w:marBottom w:val="0"/>
      <w:divBdr>
        <w:top w:val="none" w:sz="0" w:space="0" w:color="auto"/>
        <w:left w:val="none" w:sz="0" w:space="0" w:color="auto"/>
        <w:bottom w:val="none" w:sz="0" w:space="0" w:color="auto"/>
        <w:right w:val="none" w:sz="0" w:space="0" w:color="auto"/>
      </w:divBdr>
    </w:div>
    <w:div w:id="1071080628">
      <w:bodyDiv w:val="1"/>
      <w:marLeft w:val="0"/>
      <w:marRight w:val="0"/>
      <w:marTop w:val="0"/>
      <w:marBottom w:val="0"/>
      <w:divBdr>
        <w:top w:val="none" w:sz="0" w:space="0" w:color="auto"/>
        <w:left w:val="none" w:sz="0" w:space="0" w:color="auto"/>
        <w:bottom w:val="none" w:sz="0" w:space="0" w:color="auto"/>
        <w:right w:val="none" w:sz="0" w:space="0" w:color="auto"/>
      </w:divBdr>
    </w:div>
    <w:div w:id="1096242730">
      <w:bodyDiv w:val="1"/>
      <w:marLeft w:val="0"/>
      <w:marRight w:val="0"/>
      <w:marTop w:val="0"/>
      <w:marBottom w:val="0"/>
      <w:divBdr>
        <w:top w:val="none" w:sz="0" w:space="0" w:color="auto"/>
        <w:left w:val="none" w:sz="0" w:space="0" w:color="auto"/>
        <w:bottom w:val="none" w:sz="0" w:space="0" w:color="auto"/>
        <w:right w:val="none" w:sz="0" w:space="0" w:color="auto"/>
      </w:divBdr>
    </w:div>
    <w:div w:id="1124468826">
      <w:bodyDiv w:val="1"/>
      <w:marLeft w:val="0"/>
      <w:marRight w:val="0"/>
      <w:marTop w:val="0"/>
      <w:marBottom w:val="0"/>
      <w:divBdr>
        <w:top w:val="none" w:sz="0" w:space="0" w:color="auto"/>
        <w:left w:val="none" w:sz="0" w:space="0" w:color="auto"/>
        <w:bottom w:val="none" w:sz="0" w:space="0" w:color="auto"/>
        <w:right w:val="none" w:sz="0" w:space="0" w:color="auto"/>
      </w:divBdr>
    </w:div>
    <w:div w:id="1158501103">
      <w:bodyDiv w:val="1"/>
      <w:marLeft w:val="0"/>
      <w:marRight w:val="0"/>
      <w:marTop w:val="0"/>
      <w:marBottom w:val="0"/>
      <w:divBdr>
        <w:top w:val="none" w:sz="0" w:space="0" w:color="auto"/>
        <w:left w:val="none" w:sz="0" w:space="0" w:color="auto"/>
        <w:bottom w:val="none" w:sz="0" w:space="0" w:color="auto"/>
        <w:right w:val="none" w:sz="0" w:space="0" w:color="auto"/>
      </w:divBdr>
    </w:div>
    <w:div w:id="1202984063">
      <w:bodyDiv w:val="1"/>
      <w:marLeft w:val="0"/>
      <w:marRight w:val="0"/>
      <w:marTop w:val="0"/>
      <w:marBottom w:val="0"/>
      <w:divBdr>
        <w:top w:val="none" w:sz="0" w:space="0" w:color="auto"/>
        <w:left w:val="none" w:sz="0" w:space="0" w:color="auto"/>
        <w:bottom w:val="none" w:sz="0" w:space="0" w:color="auto"/>
        <w:right w:val="none" w:sz="0" w:space="0" w:color="auto"/>
      </w:divBdr>
    </w:div>
    <w:div w:id="1206139090">
      <w:bodyDiv w:val="1"/>
      <w:marLeft w:val="0"/>
      <w:marRight w:val="0"/>
      <w:marTop w:val="0"/>
      <w:marBottom w:val="0"/>
      <w:divBdr>
        <w:top w:val="none" w:sz="0" w:space="0" w:color="auto"/>
        <w:left w:val="none" w:sz="0" w:space="0" w:color="auto"/>
        <w:bottom w:val="none" w:sz="0" w:space="0" w:color="auto"/>
        <w:right w:val="none" w:sz="0" w:space="0" w:color="auto"/>
      </w:divBdr>
    </w:div>
    <w:div w:id="1221480457">
      <w:bodyDiv w:val="1"/>
      <w:marLeft w:val="0"/>
      <w:marRight w:val="0"/>
      <w:marTop w:val="0"/>
      <w:marBottom w:val="0"/>
      <w:divBdr>
        <w:top w:val="none" w:sz="0" w:space="0" w:color="auto"/>
        <w:left w:val="none" w:sz="0" w:space="0" w:color="auto"/>
        <w:bottom w:val="none" w:sz="0" w:space="0" w:color="auto"/>
        <w:right w:val="none" w:sz="0" w:space="0" w:color="auto"/>
      </w:divBdr>
    </w:div>
    <w:div w:id="1227649669">
      <w:bodyDiv w:val="1"/>
      <w:marLeft w:val="0"/>
      <w:marRight w:val="0"/>
      <w:marTop w:val="0"/>
      <w:marBottom w:val="0"/>
      <w:divBdr>
        <w:top w:val="none" w:sz="0" w:space="0" w:color="auto"/>
        <w:left w:val="none" w:sz="0" w:space="0" w:color="auto"/>
        <w:bottom w:val="none" w:sz="0" w:space="0" w:color="auto"/>
        <w:right w:val="none" w:sz="0" w:space="0" w:color="auto"/>
      </w:divBdr>
    </w:div>
    <w:div w:id="1231380481">
      <w:bodyDiv w:val="1"/>
      <w:marLeft w:val="0"/>
      <w:marRight w:val="0"/>
      <w:marTop w:val="0"/>
      <w:marBottom w:val="0"/>
      <w:divBdr>
        <w:top w:val="none" w:sz="0" w:space="0" w:color="auto"/>
        <w:left w:val="none" w:sz="0" w:space="0" w:color="auto"/>
        <w:bottom w:val="none" w:sz="0" w:space="0" w:color="auto"/>
        <w:right w:val="none" w:sz="0" w:space="0" w:color="auto"/>
      </w:divBdr>
    </w:div>
    <w:div w:id="1237202982">
      <w:bodyDiv w:val="1"/>
      <w:marLeft w:val="0"/>
      <w:marRight w:val="0"/>
      <w:marTop w:val="0"/>
      <w:marBottom w:val="0"/>
      <w:divBdr>
        <w:top w:val="none" w:sz="0" w:space="0" w:color="auto"/>
        <w:left w:val="none" w:sz="0" w:space="0" w:color="auto"/>
        <w:bottom w:val="none" w:sz="0" w:space="0" w:color="auto"/>
        <w:right w:val="none" w:sz="0" w:space="0" w:color="auto"/>
      </w:divBdr>
    </w:div>
    <w:div w:id="1237544802">
      <w:bodyDiv w:val="1"/>
      <w:marLeft w:val="0"/>
      <w:marRight w:val="0"/>
      <w:marTop w:val="0"/>
      <w:marBottom w:val="0"/>
      <w:divBdr>
        <w:top w:val="none" w:sz="0" w:space="0" w:color="auto"/>
        <w:left w:val="none" w:sz="0" w:space="0" w:color="auto"/>
        <w:bottom w:val="none" w:sz="0" w:space="0" w:color="auto"/>
        <w:right w:val="none" w:sz="0" w:space="0" w:color="auto"/>
      </w:divBdr>
    </w:div>
    <w:div w:id="1245341833">
      <w:bodyDiv w:val="1"/>
      <w:marLeft w:val="0"/>
      <w:marRight w:val="0"/>
      <w:marTop w:val="0"/>
      <w:marBottom w:val="0"/>
      <w:divBdr>
        <w:top w:val="none" w:sz="0" w:space="0" w:color="auto"/>
        <w:left w:val="none" w:sz="0" w:space="0" w:color="auto"/>
        <w:bottom w:val="none" w:sz="0" w:space="0" w:color="auto"/>
        <w:right w:val="none" w:sz="0" w:space="0" w:color="auto"/>
      </w:divBdr>
    </w:div>
    <w:div w:id="1249268261">
      <w:bodyDiv w:val="1"/>
      <w:marLeft w:val="0"/>
      <w:marRight w:val="0"/>
      <w:marTop w:val="0"/>
      <w:marBottom w:val="0"/>
      <w:divBdr>
        <w:top w:val="none" w:sz="0" w:space="0" w:color="auto"/>
        <w:left w:val="none" w:sz="0" w:space="0" w:color="auto"/>
        <w:bottom w:val="none" w:sz="0" w:space="0" w:color="auto"/>
        <w:right w:val="none" w:sz="0" w:space="0" w:color="auto"/>
      </w:divBdr>
    </w:div>
    <w:div w:id="1258753217">
      <w:bodyDiv w:val="1"/>
      <w:marLeft w:val="0"/>
      <w:marRight w:val="0"/>
      <w:marTop w:val="0"/>
      <w:marBottom w:val="0"/>
      <w:divBdr>
        <w:top w:val="none" w:sz="0" w:space="0" w:color="auto"/>
        <w:left w:val="none" w:sz="0" w:space="0" w:color="auto"/>
        <w:bottom w:val="none" w:sz="0" w:space="0" w:color="auto"/>
        <w:right w:val="none" w:sz="0" w:space="0" w:color="auto"/>
      </w:divBdr>
    </w:div>
    <w:div w:id="1324889309">
      <w:bodyDiv w:val="1"/>
      <w:marLeft w:val="0"/>
      <w:marRight w:val="0"/>
      <w:marTop w:val="0"/>
      <w:marBottom w:val="0"/>
      <w:divBdr>
        <w:top w:val="none" w:sz="0" w:space="0" w:color="auto"/>
        <w:left w:val="none" w:sz="0" w:space="0" w:color="auto"/>
        <w:bottom w:val="none" w:sz="0" w:space="0" w:color="auto"/>
        <w:right w:val="none" w:sz="0" w:space="0" w:color="auto"/>
      </w:divBdr>
      <w:divsChild>
        <w:div w:id="1024672067">
          <w:marLeft w:val="0"/>
          <w:marRight w:val="0"/>
          <w:marTop w:val="100"/>
          <w:marBottom w:val="100"/>
          <w:divBdr>
            <w:top w:val="none" w:sz="0" w:space="0" w:color="auto"/>
            <w:left w:val="none" w:sz="0" w:space="0" w:color="auto"/>
            <w:bottom w:val="none" w:sz="0" w:space="0" w:color="auto"/>
            <w:right w:val="none" w:sz="0" w:space="0" w:color="auto"/>
          </w:divBdr>
          <w:divsChild>
            <w:div w:id="1521626857">
              <w:marLeft w:val="0"/>
              <w:marRight w:val="0"/>
              <w:marTop w:val="0"/>
              <w:marBottom w:val="0"/>
              <w:divBdr>
                <w:top w:val="none" w:sz="0" w:space="0" w:color="auto"/>
                <w:left w:val="none" w:sz="0" w:space="0" w:color="auto"/>
                <w:bottom w:val="none" w:sz="0" w:space="0" w:color="auto"/>
                <w:right w:val="none" w:sz="0" w:space="0" w:color="auto"/>
              </w:divBdr>
              <w:divsChild>
                <w:div w:id="1938714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434775">
      <w:bodyDiv w:val="1"/>
      <w:marLeft w:val="0"/>
      <w:marRight w:val="0"/>
      <w:marTop w:val="0"/>
      <w:marBottom w:val="0"/>
      <w:divBdr>
        <w:top w:val="none" w:sz="0" w:space="0" w:color="auto"/>
        <w:left w:val="none" w:sz="0" w:space="0" w:color="auto"/>
        <w:bottom w:val="none" w:sz="0" w:space="0" w:color="auto"/>
        <w:right w:val="none" w:sz="0" w:space="0" w:color="auto"/>
      </w:divBdr>
    </w:div>
    <w:div w:id="1340042520">
      <w:bodyDiv w:val="1"/>
      <w:marLeft w:val="0"/>
      <w:marRight w:val="0"/>
      <w:marTop w:val="0"/>
      <w:marBottom w:val="0"/>
      <w:divBdr>
        <w:top w:val="none" w:sz="0" w:space="0" w:color="auto"/>
        <w:left w:val="none" w:sz="0" w:space="0" w:color="auto"/>
        <w:bottom w:val="none" w:sz="0" w:space="0" w:color="auto"/>
        <w:right w:val="none" w:sz="0" w:space="0" w:color="auto"/>
      </w:divBdr>
    </w:div>
    <w:div w:id="1341736550">
      <w:bodyDiv w:val="1"/>
      <w:marLeft w:val="0"/>
      <w:marRight w:val="0"/>
      <w:marTop w:val="0"/>
      <w:marBottom w:val="0"/>
      <w:divBdr>
        <w:top w:val="none" w:sz="0" w:space="0" w:color="auto"/>
        <w:left w:val="none" w:sz="0" w:space="0" w:color="auto"/>
        <w:bottom w:val="none" w:sz="0" w:space="0" w:color="auto"/>
        <w:right w:val="none" w:sz="0" w:space="0" w:color="auto"/>
      </w:divBdr>
      <w:divsChild>
        <w:div w:id="766392993">
          <w:marLeft w:val="0"/>
          <w:marRight w:val="0"/>
          <w:marTop w:val="0"/>
          <w:marBottom w:val="0"/>
          <w:divBdr>
            <w:top w:val="none" w:sz="0" w:space="0" w:color="auto"/>
            <w:left w:val="none" w:sz="0" w:space="0" w:color="auto"/>
            <w:bottom w:val="none" w:sz="0" w:space="0" w:color="auto"/>
            <w:right w:val="none" w:sz="0" w:space="0" w:color="auto"/>
          </w:divBdr>
          <w:divsChild>
            <w:div w:id="221715853">
              <w:marLeft w:val="0"/>
              <w:marRight w:val="0"/>
              <w:marTop w:val="33"/>
              <w:marBottom w:val="0"/>
              <w:divBdr>
                <w:top w:val="single" w:sz="2" w:space="0" w:color="596380"/>
                <w:left w:val="single" w:sz="2" w:space="0" w:color="596380"/>
                <w:bottom w:val="single" w:sz="2" w:space="0" w:color="596380"/>
                <w:right w:val="single" w:sz="2" w:space="0" w:color="596380"/>
              </w:divBdr>
              <w:divsChild>
                <w:div w:id="748036035">
                  <w:marLeft w:val="0"/>
                  <w:marRight w:val="0"/>
                  <w:marTop w:val="0"/>
                  <w:marBottom w:val="0"/>
                  <w:divBdr>
                    <w:top w:val="none" w:sz="0" w:space="0" w:color="auto"/>
                    <w:left w:val="none" w:sz="0" w:space="0" w:color="auto"/>
                    <w:bottom w:val="none" w:sz="0" w:space="0" w:color="auto"/>
                    <w:right w:val="none" w:sz="0" w:space="0" w:color="auto"/>
                  </w:divBdr>
                  <w:divsChild>
                    <w:div w:id="258609488">
                      <w:marLeft w:val="0"/>
                      <w:marRight w:val="0"/>
                      <w:marTop w:val="0"/>
                      <w:marBottom w:val="0"/>
                      <w:divBdr>
                        <w:top w:val="none" w:sz="0" w:space="0" w:color="auto"/>
                        <w:left w:val="none" w:sz="0" w:space="0" w:color="auto"/>
                        <w:bottom w:val="none" w:sz="0" w:space="0" w:color="auto"/>
                        <w:right w:val="none" w:sz="0" w:space="0" w:color="auto"/>
                      </w:divBdr>
                      <w:divsChild>
                        <w:div w:id="132139974">
                          <w:marLeft w:val="0"/>
                          <w:marRight w:val="0"/>
                          <w:marTop w:val="0"/>
                          <w:marBottom w:val="0"/>
                          <w:divBdr>
                            <w:top w:val="none" w:sz="0" w:space="0" w:color="auto"/>
                            <w:left w:val="none" w:sz="0" w:space="0" w:color="auto"/>
                            <w:bottom w:val="none" w:sz="0" w:space="0" w:color="auto"/>
                            <w:right w:val="none" w:sz="0" w:space="0" w:color="auto"/>
                          </w:divBdr>
                          <w:divsChild>
                            <w:div w:id="1018893457">
                              <w:marLeft w:val="0"/>
                              <w:marRight w:val="0"/>
                              <w:marTop w:val="0"/>
                              <w:marBottom w:val="0"/>
                              <w:divBdr>
                                <w:top w:val="none" w:sz="0" w:space="0" w:color="auto"/>
                                <w:left w:val="none" w:sz="0" w:space="0" w:color="auto"/>
                                <w:bottom w:val="none" w:sz="0" w:space="0" w:color="auto"/>
                                <w:right w:val="none" w:sz="0" w:space="0" w:color="auto"/>
                              </w:divBdr>
                              <w:divsChild>
                                <w:div w:id="1108699298">
                                  <w:marLeft w:val="55"/>
                                  <w:marRight w:val="55"/>
                                  <w:marTop w:val="55"/>
                                  <w:marBottom w:val="55"/>
                                  <w:divBdr>
                                    <w:top w:val="none" w:sz="0" w:space="0" w:color="auto"/>
                                    <w:left w:val="none" w:sz="0" w:space="0" w:color="auto"/>
                                    <w:bottom w:val="none" w:sz="0" w:space="0" w:color="auto"/>
                                    <w:right w:val="none" w:sz="0" w:space="0" w:color="auto"/>
                                  </w:divBdr>
                                  <w:divsChild>
                                    <w:div w:id="176226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0447452">
      <w:bodyDiv w:val="1"/>
      <w:marLeft w:val="0"/>
      <w:marRight w:val="0"/>
      <w:marTop w:val="0"/>
      <w:marBottom w:val="0"/>
      <w:divBdr>
        <w:top w:val="none" w:sz="0" w:space="0" w:color="auto"/>
        <w:left w:val="none" w:sz="0" w:space="0" w:color="auto"/>
        <w:bottom w:val="none" w:sz="0" w:space="0" w:color="auto"/>
        <w:right w:val="none" w:sz="0" w:space="0" w:color="auto"/>
      </w:divBdr>
    </w:div>
    <w:div w:id="1353801244">
      <w:bodyDiv w:val="1"/>
      <w:marLeft w:val="0"/>
      <w:marRight w:val="0"/>
      <w:marTop w:val="0"/>
      <w:marBottom w:val="0"/>
      <w:divBdr>
        <w:top w:val="none" w:sz="0" w:space="0" w:color="auto"/>
        <w:left w:val="none" w:sz="0" w:space="0" w:color="auto"/>
        <w:bottom w:val="none" w:sz="0" w:space="0" w:color="auto"/>
        <w:right w:val="none" w:sz="0" w:space="0" w:color="auto"/>
      </w:divBdr>
    </w:div>
    <w:div w:id="1365593241">
      <w:bodyDiv w:val="1"/>
      <w:marLeft w:val="0"/>
      <w:marRight w:val="0"/>
      <w:marTop w:val="0"/>
      <w:marBottom w:val="0"/>
      <w:divBdr>
        <w:top w:val="none" w:sz="0" w:space="0" w:color="auto"/>
        <w:left w:val="none" w:sz="0" w:space="0" w:color="auto"/>
        <w:bottom w:val="none" w:sz="0" w:space="0" w:color="auto"/>
        <w:right w:val="none" w:sz="0" w:space="0" w:color="auto"/>
      </w:divBdr>
    </w:div>
    <w:div w:id="1384981871">
      <w:bodyDiv w:val="1"/>
      <w:marLeft w:val="0"/>
      <w:marRight w:val="0"/>
      <w:marTop w:val="0"/>
      <w:marBottom w:val="0"/>
      <w:divBdr>
        <w:top w:val="none" w:sz="0" w:space="0" w:color="auto"/>
        <w:left w:val="none" w:sz="0" w:space="0" w:color="auto"/>
        <w:bottom w:val="none" w:sz="0" w:space="0" w:color="auto"/>
        <w:right w:val="none" w:sz="0" w:space="0" w:color="auto"/>
      </w:divBdr>
    </w:div>
    <w:div w:id="1398090878">
      <w:bodyDiv w:val="1"/>
      <w:marLeft w:val="0"/>
      <w:marRight w:val="0"/>
      <w:marTop w:val="0"/>
      <w:marBottom w:val="0"/>
      <w:divBdr>
        <w:top w:val="none" w:sz="0" w:space="0" w:color="auto"/>
        <w:left w:val="none" w:sz="0" w:space="0" w:color="auto"/>
        <w:bottom w:val="none" w:sz="0" w:space="0" w:color="auto"/>
        <w:right w:val="none" w:sz="0" w:space="0" w:color="auto"/>
      </w:divBdr>
    </w:div>
    <w:div w:id="1410230392">
      <w:bodyDiv w:val="1"/>
      <w:marLeft w:val="0"/>
      <w:marRight w:val="0"/>
      <w:marTop w:val="0"/>
      <w:marBottom w:val="0"/>
      <w:divBdr>
        <w:top w:val="none" w:sz="0" w:space="0" w:color="auto"/>
        <w:left w:val="none" w:sz="0" w:space="0" w:color="auto"/>
        <w:bottom w:val="none" w:sz="0" w:space="0" w:color="auto"/>
        <w:right w:val="none" w:sz="0" w:space="0" w:color="auto"/>
      </w:divBdr>
    </w:div>
    <w:div w:id="1413821722">
      <w:bodyDiv w:val="1"/>
      <w:marLeft w:val="0"/>
      <w:marRight w:val="0"/>
      <w:marTop w:val="0"/>
      <w:marBottom w:val="0"/>
      <w:divBdr>
        <w:top w:val="none" w:sz="0" w:space="0" w:color="auto"/>
        <w:left w:val="none" w:sz="0" w:space="0" w:color="auto"/>
        <w:bottom w:val="none" w:sz="0" w:space="0" w:color="auto"/>
        <w:right w:val="none" w:sz="0" w:space="0" w:color="auto"/>
      </w:divBdr>
    </w:div>
    <w:div w:id="1421439882">
      <w:bodyDiv w:val="1"/>
      <w:marLeft w:val="0"/>
      <w:marRight w:val="0"/>
      <w:marTop w:val="0"/>
      <w:marBottom w:val="0"/>
      <w:divBdr>
        <w:top w:val="none" w:sz="0" w:space="0" w:color="auto"/>
        <w:left w:val="none" w:sz="0" w:space="0" w:color="auto"/>
        <w:bottom w:val="none" w:sz="0" w:space="0" w:color="auto"/>
        <w:right w:val="none" w:sz="0" w:space="0" w:color="auto"/>
      </w:divBdr>
    </w:div>
    <w:div w:id="1424836146">
      <w:bodyDiv w:val="1"/>
      <w:marLeft w:val="0"/>
      <w:marRight w:val="0"/>
      <w:marTop w:val="0"/>
      <w:marBottom w:val="0"/>
      <w:divBdr>
        <w:top w:val="none" w:sz="0" w:space="0" w:color="auto"/>
        <w:left w:val="none" w:sz="0" w:space="0" w:color="auto"/>
        <w:bottom w:val="none" w:sz="0" w:space="0" w:color="auto"/>
        <w:right w:val="none" w:sz="0" w:space="0" w:color="auto"/>
      </w:divBdr>
    </w:div>
    <w:div w:id="1429153648">
      <w:bodyDiv w:val="1"/>
      <w:marLeft w:val="0"/>
      <w:marRight w:val="0"/>
      <w:marTop w:val="0"/>
      <w:marBottom w:val="0"/>
      <w:divBdr>
        <w:top w:val="none" w:sz="0" w:space="0" w:color="auto"/>
        <w:left w:val="none" w:sz="0" w:space="0" w:color="auto"/>
        <w:bottom w:val="none" w:sz="0" w:space="0" w:color="auto"/>
        <w:right w:val="none" w:sz="0" w:space="0" w:color="auto"/>
      </w:divBdr>
    </w:div>
    <w:div w:id="1458721794">
      <w:bodyDiv w:val="1"/>
      <w:marLeft w:val="0"/>
      <w:marRight w:val="0"/>
      <w:marTop w:val="0"/>
      <w:marBottom w:val="0"/>
      <w:divBdr>
        <w:top w:val="none" w:sz="0" w:space="0" w:color="auto"/>
        <w:left w:val="none" w:sz="0" w:space="0" w:color="auto"/>
        <w:bottom w:val="none" w:sz="0" w:space="0" w:color="auto"/>
        <w:right w:val="none" w:sz="0" w:space="0" w:color="auto"/>
      </w:divBdr>
    </w:div>
    <w:div w:id="1472359376">
      <w:bodyDiv w:val="1"/>
      <w:marLeft w:val="0"/>
      <w:marRight w:val="0"/>
      <w:marTop w:val="0"/>
      <w:marBottom w:val="0"/>
      <w:divBdr>
        <w:top w:val="none" w:sz="0" w:space="0" w:color="auto"/>
        <w:left w:val="none" w:sz="0" w:space="0" w:color="auto"/>
        <w:bottom w:val="none" w:sz="0" w:space="0" w:color="auto"/>
        <w:right w:val="none" w:sz="0" w:space="0" w:color="auto"/>
      </w:divBdr>
    </w:div>
    <w:div w:id="1488743183">
      <w:bodyDiv w:val="1"/>
      <w:marLeft w:val="0"/>
      <w:marRight w:val="0"/>
      <w:marTop w:val="45"/>
      <w:marBottom w:val="45"/>
      <w:divBdr>
        <w:top w:val="none" w:sz="0" w:space="0" w:color="auto"/>
        <w:left w:val="none" w:sz="0" w:space="0" w:color="auto"/>
        <w:bottom w:val="none" w:sz="0" w:space="0" w:color="auto"/>
        <w:right w:val="none" w:sz="0" w:space="0" w:color="auto"/>
      </w:divBdr>
      <w:divsChild>
        <w:div w:id="736321548">
          <w:marLeft w:val="0"/>
          <w:marRight w:val="0"/>
          <w:marTop w:val="0"/>
          <w:marBottom w:val="0"/>
          <w:divBdr>
            <w:top w:val="none" w:sz="0" w:space="0" w:color="auto"/>
            <w:left w:val="none" w:sz="0" w:space="0" w:color="auto"/>
            <w:bottom w:val="none" w:sz="0" w:space="0" w:color="auto"/>
            <w:right w:val="none" w:sz="0" w:space="0" w:color="auto"/>
          </w:divBdr>
          <w:divsChild>
            <w:div w:id="1772236447">
              <w:marLeft w:val="0"/>
              <w:marRight w:val="0"/>
              <w:marTop w:val="0"/>
              <w:marBottom w:val="0"/>
              <w:divBdr>
                <w:top w:val="none" w:sz="0" w:space="0" w:color="auto"/>
                <w:left w:val="none" w:sz="0" w:space="0" w:color="auto"/>
                <w:bottom w:val="none" w:sz="0" w:space="0" w:color="auto"/>
                <w:right w:val="none" w:sz="0" w:space="0" w:color="auto"/>
              </w:divBdr>
              <w:divsChild>
                <w:div w:id="472020059">
                  <w:marLeft w:val="2385"/>
                  <w:marRight w:val="3960"/>
                  <w:marTop w:val="0"/>
                  <w:marBottom w:val="0"/>
                  <w:divBdr>
                    <w:top w:val="none" w:sz="0" w:space="0" w:color="auto"/>
                    <w:left w:val="single" w:sz="6" w:space="0" w:color="D3E1F9"/>
                    <w:bottom w:val="none" w:sz="0" w:space="0" w:color="auto"/>
                    <w:right w:val="none" w:sz="0" w:space="0" w:color="auto"/>
                  </w:divBdr>
                  <w:divsChild>
                    <w:div w:id="1213689097">
                      <w:marLeft w:val="0"/>
                      <w:marRight w:val="0"/>
                      <w:marTop w:val="0"/>
                      <w:marBottom w:val="0"/>
                      <w:divBdr>
                        <w:top w:val="none" w:sz="0" w:space="0" w:color="auto"/>
                        <w:left w:val="none" w:sz="0" w:space="0" w:color="auto"/>
                        <w:bottom w:val="none" w:sz="0" w:space="0" w:color="auto"/>
                        <w:right w:val="none" w:sz="0" w:space="0" w:color="auto"/>
                      </w:divBdr>
                      <w:divsChild>
                        <w:div w:id="28693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1411397">
      <w:bodyDiv w:val="1"/>
      <w:marLeft w:val="0"/>
      <w:marRight w:val="0"/>
      <w:marTop w:val="0"/>
      <w:marBottom w:val="0"/>
      <w:divBdr>
        <w:top w:val="none" w:sz="0" w:space="0" w:color="auto"/>
        <w:left w:val="none" w:sz="0" w:space="0" w:color="auto"/>
        <w:bottom w:val="none" w:sz="0" w:space="0" w:color="auto"/>
        <w:right w:val="none" w:sz="0" w:space="0" w:color="auto"/>
      </w:divBdr>
    </w:div>
    <w:div w:id="1503663712">
      <w:bodyDiv w:val="1"/>
      <w:marLeft w:val="0"/>
      <w:marRight w:val="0"/>
      <w:marTop w:val="0"/>
      <w:marBottom w:val="0"/>
      <w:divBdr>
        <w:top w:val="none" w:sz="0" w:space="0" w:color="auto"/>
        <w:left w:val="none" w:sz="0" w:space="0" w:color="auto"/>
        <w:bottom w:val="none" w:sz="0" w:space="0" w:color="auto"/>
        <w:right w:val="none" w:sz="0" w:space="0" w:color="auto"/>
      </w:divBdr>
      <w:divsChild>
        <w:div w:id="645163308">
          <w:marLeft w:val="0"/>
          <w:marRight w:val="0"/>
          <w:marTop w:val="100"/>
          <w:marBottom w:val="100"/>
          <w:divBdr>
            <w:top w:val="none" w:sz="0" w:space="0" w:color="auto"/>
            <w:left w:val="none" w:sz="0" w:space="0" w:color="auto"/>
            <w:bottom w:val="none" w:sz="0" w:space="0" w:color="auto"/>
            <w:right w:val="none" w:sz="0" w:space="0" w:color="auto"/>
          </w:divBdr>
          <w:divsChild>
            <w:div w:id="66806168">
              <w:marLeft w:val="0"/>
              <w:marRight w:val="0"/>
              <w:marTop w:val="0"/>
              <w:marBottom w:val="0"/>
              <w:divBdr>
                <w:top w:val="none" w:sz="0" w:space="0" w:color="auto"/>
                <w:left w:val="none" w:sz="0" w:space="0" w:color="auto"/>
                <w:bottom w:val="none" w:sz="0" w:space="0" w:color="auto"/>
                <w:right w:val="none" w:sz="0" w:space="0" w:color="auto"/>
              </w:divBdr>
              <w:divsChild>
                <w:div w:id="380371341">
                  <w:marLeft w:val="0"/>
                  <w:marRight w:val="150"/>
                  <w:marTop w:val="0"/>
                  <w:marBottom w:val="0"/>
                  <w:divBdr>
                    <w:top w:val="none" w:sz="0" w:space="0" w:color="auto"/>
                    <w:left w:val="none" w:sz="0" w:space="0" w:color="auto"/>
                    <w:bottom w:val="none" w:sz="0" w:space="0" w:color="auto"/>
                    <w:right w:val="none" w:sz="0" w:space="0" w:color="auto"/>
                  </w:divBdr>
                  <w:divsChild>
                    <w:div w:id="205726863">
                      <w:marLeft w:val="0"/>
                      <w:marRight w:val="0"/>
                      <w:marTop w:val="0"/>
                      <w:marBottom w:val="75"/>
                      <w:divBdr>
                        <w:top w:val="single" w:sz="6" w:space="0" w:color="B8CDE3"/>
                        <w:left w:val="single" w:sz="6" w:space="0" w:color="B8CDE3"/>
                        <w:bottom w:val="single" w:sz="6" w:space="0" w:color="B8CDE3"/>
                        <w:right w:val="single" w:sz="6" w:space="0" w:color="B8CDE3"/>
                      </w:divBdr>
                      <w:divsChild>
                        <w:div w:id="927077337">
                          <w:marLeft w:val="0"/>
                          <w:marRight w:val="0"/>
                          <w:marTop w:val="75"/>
                          <w:marBottom w:val="75"/>
                          <w:divBdr>
                            <w:top w:val="none" w:sz="0" w:space="0" w:color="auto"/>
                            <w:left w:val="none" w:sz="0" w:space="0" w:color="auto"/>
                            <w:bottom w:val="none" w:sz="0" w:space="0" w:color="auto"/>
                            <w:right w:val="none" w:sz="0" w:space="0" w:color="auto"/>
                          </w:divBdr>
                          <w:divsChild>
                            <w:div w:id="792017746">
                              <w:marLeft w:val="75"/>
                              <w:marRight w:val="75"/>
                              <w:marTop w:val="30"/>
                              <w:marBottom w:val="30"/>
                              <w:divBdr>
                                <w:top w:val="none" w:sz="0" w:space="0" w:color="auto"/>
                                <w:left w:val="none" w:sz="0" w:space="0" w:color="auto"/>
                                <w:bottom w:val="none" w:sz="0" w:space="0" w:color="auto"/>
                                <w:right w:val="none" w:sz="0" w:space="0" w:color="auto"/>
                              </w:divBdr>
                            </w:div>
                            <w:div w:id="1541015217">
                              <w:marLeft w:val="75"/>
                              <w:marRight w:val="75"/>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061747">
      <w:bodyDiv w:val="1"/>
      <w:marLeft w:val="0"/>
      <w:marRight w:val="0"/>
      <w:marTop w:val="0"/>
      <w:marBottom w:val="0"/>
      <w:divBdr>
        <w:top w:val="none" w:sz="0" w:space="0" w:color="auto"/>
        <w:left w:val="none" w:sz="0" w:space="0" w:color="auto"/>
        <w:bottom w:val="none" w:sz="0" w:space="0" w:color="auto"/>
        <w:right w:val="none" w:sz="0" w:space="0" w:color="auto"/>
      </w:divBdr>
    </w:div>
    <w:div w:id="1512064070">
      <w:bodyDiv w:val="1"/>
      <w:marLeft w:val="0"/>
      <w:marRight w:val="0"/>
      <w:marTop w:val="0"/>
      <w:marBottom w:val="0"/>
      <w:divBdr>
        <w:top w:val="none" w:sz="0" w:space="0" w:color="auto"/>
        <w:left w:val="none" w:sz="0" w:space="0" w:color="auto"/>
        <w:bottom w:val="none" w:sz="0" w:space="0" w:color="auto"/>
        <w:right w:val="none" w:sz="0" w:space="0" w:color="auto"/>
      </w:divBdr>
    </w:div>
    <w:div w:id="1530608364">
      <w:bodyDiv w:val="1"/>
      <w:marLeft w:val="0"/>
      <w:marRight w:val="0"/>
      <w:marTop w:val="0"/>
      <w:marBottom w:val="0"/>
      <w:divBdr>
        <w:top w:val="none" w:sz="0" w:space="0" w:color="auto"/>
        <w:left w:val="none" w:sz="0" w:space="0" w:color="auto"/>
        <w:bottom w:val="none" w:sz="0" w:space="0" w:color="auto"/>
        <w:right w:val="none" w:sz="0" w:space="0" w:color="auto"/>
      </w:divBdr>
    </w:div>
    <w:div w:id="1535577854">
      <w:bodyDiv w:val="1"/>
      <w:marLeft w:val="0"/>
      <w:marRight w:val="0"/>
      <w:marTop w:val="0"/>
      <w:marBottom w:val="0"/>
      <w:divBdr>
        <w:top w:val="none" w:sz="0" w:space="0" w:color="auto"/>
        <w:left w:val="none" w:sz="0" w:space="0" w:color="auto"/>
        <w:bottom w:val="none" w:sz="0" w:space="0" w:color="auto"/>
        <w:right w:val="none" w:sz="0" w:space="0" w:color="auto"/>
      </w:divBdr>
    </w:div>
    <w:div w:id="1552231706">
      <w:bodyDiv w:val="1"/>
      <w:marLeft w:val="0"/>
      <w:marRight w:val="0"/>
      <w:marTop w:val="0"/>
      <w:marBottom w:val="0"/>
      <w:divBdr>
        <w:top w:val="none" w:sz="0" w:space="0" w:color="auto"/>
        <w:left w:val="none" w:sz="0" w:space="0" w:color="auto"/>
        <w:bottom w:val="none" w:sz="0" w:space="0" w:color="auto"/>
        <w:right w:val="none" w:sz="0" w:space="0" w:color="auto"/>
      </w:divBdr>
    </w:div>
    <w:div w:id="1570576146">
      <w:bodyDiv w:val="1"/>
      <w:marLeft w:val="0"/>
      <w:marRight w:val="0"/>
      <w:marTop w:val="0"/>
      <w:marBottom w:val="0"/>
      <w:divBdr>
        <w:top w:val="none" w:sz="0" w:space="0" w:color="auto"/>
        <w:left w:val="none" w:sz="0" w:space="0" w:color="auto"/>
        <w:bottom w:val="none" w:sz="0" w:space="0" w:color="auto"/>
        <w:right w:val="none" w:sz="0" w:space="0" w:color="auto"/>
      </w:divBdr>
    </w:div>
    <w:div w:id="1583374366">
      <w:bodyDiv w:val="1"/>
      <w:marLeft w:val="0"/>
      <w:marRight w:val="0"/>
      <w:marTop w:val="0"/>
      <w:marBottom w:val="0"/>
      <w:divBdr>
        <w:top w:val="none" w:sz="0" w:space="0" w:color="auto"/>
        <w:left w:val="none" w:sz="0" w:space="0" w:color="auto"/>
        <w:bottom w:val="none" w:sz="0" w:space="0" w:color="auto"/>
        <w:right w:val="none" w:sz="0" w:space="0" w:color="auto"/>
      </w:divBdr>
    </w:div>
    <w:div w:id="1591890373">
      <w:bodyDiv w:val="1"/>
      <w:marLeft w:val="0"/>
      <w:marRight w:val="0"/>
      <w:marTop w:val="0"/>
      <w:marBottom w:val="0"/>
      <w:divBdr>
        <w:top w:val="none" w:sz="0" w:space="0" w:color="auto"/>
        <w:left w:val="none" w:sz="0" w:space="0" w:color="auto"/>
        <w:bottom w:val="none" w:sz="0" w:space="0" w:color="auto"/>
        <w:right w:val="none" w:sz="0" w:space="0" w:color="auto"/>
      </w:divBdr>
    </w:div>
    <w:div w:id="1609968456">
      <w:bodyDiv w:val="1"/>
      <w:marLeft w:val="0"/>
      <w:marRight w:val="0"/>
      <w:marTop w:val="0"/>
      <w:marBottom w:val="0"/>
      <w:divBdr>
        <w:top w:val="none" w:sz="0" w:space="0" w:color="auto"/>
        <w:left w:val="none" w:sz="0" w:space="0" w:color="auto"/>
        <w:bottom w:val="none" w:sz="0" w:space="0" w:color="auto"/>
        <w:right w:val="none" w:sz="0" w:space="0" w:color="auto"/>
      </w:divBdr>
    </w:div>
    <w:div w:id="1647856395">
      <w:bodyDiv w:val="1"/>
      <w:marLeft w:val="0"/>
      <w:marRight w:val="0"/>
      <w:marTop w:val="0"/>
      <w:marBottom w:val="0"/>
      <w:divBdr>
        <w:top w:val="none" w:sz="0" w:space="0" w:color="auto"/>
        <w:left w:val="none" w:sz="0" w:space="0" w:color="auto"/>
        <w:bottom w:val="none" w:sz="0" w:space="0" w:color="auto"/>
        <w:right w:val="none" w:sz="0" w:space="0" w:color="auto"/>
      </w:divBdr>
    </w:div>
    <w:div w:id="1649356451">
      <w:bodyDiv w:val="1"/>
      <w:marLeft w:val="0"/>
      <w:marRight w:val="0"/>
      <w:marTop w:val="0"/>
      <w:marBottom w:val="0"/>
      <w:divBdr>
        <w:top w:val="none" w:sz="0" w:space="0" w:color="auto"/>
        <w:left w:val="none" w:sz="0" w:space="0" w:color="auto"/>
        <w:bottom w:val="none" w:sz="0" w:space="0" w:color="auto"/>
        <w:right w:val="none" w:sz="0" w:space="0" w:color="auto"/>
      </w:divBdr>
    </w:div>
    <w:div w:id="1656102664">
      <w:bodyDiv w:val="1"/>
      <w:marLeft w:val="0"/>
      <w:marRight w:val="0"/>
      <w:marTop w:val="0"/>
      <w:marBottom w:val="0"/>
      <w:divBdr>
        <w:top w:val="none" w:sz="0" w:space="0" w:color="auto"/>
        <w:left w:val="none" w:sz="0" w:space="0" w:color="auto"/>
        <w:bottom w:val="none" w:sz="0" w:space="0" w:color="auto"/>
        <w:right w:val="none" w:sz="0" w:space="0" w:color="auto"/>
      </w:divBdr>
    </w:div>
    <w:div w:id="1681005967">
      <w:bodyDiv w:val="1"/>
      <w:marLeft w:val="0"/>
      <w:marRight w:val="0"/>
      <w:marTop w:val="0"/>
      <w:marBottom w:val="0"/>
      <w:divBdr>
        <w:top w:val="none" w:sz="0" w:space="0" w:color="auto"/>
        <w:left w:val="none" w:sz="0" w:space="0" w:color="auto"/>
        <w:bottom w:val="none" w:sz="0" w:space="0" w:color="auto"/>
        <w:right w:val="none" w:sz="0" w:space="0" w:color="auto"/>
      </w:divBdr>
    </w:div>
    <w:div w:id="1705135524">
      <w:bodyDiv w:val="1"/>
      <w:marLeft w:val="0"/>
      <w:marRight w:val="0"/>
      <w:marTop w:val="0"/>
      <w:marBottom w:val="0"/>
      <w:divBdr>
        <w:top w:val="none" w:sz="0" w:space="0" w:color="auto"/>
        <w:left w:val="none" w:sz="0" w:space="0" w:color="auto"/>
        <w:bottom w:val="none" w:sz="0" w:space="0" w:color="auto"/>
        <w:right w:val="none" w:sz="0" w:space="0" w:color="auto"/>
      </w:divBdr>
    </w:div>
    <w:div w:id="1737125493">
      <w:bodyDiv w:val="1"/>
      <w:marLeft w:val="0"/>
      <w:marRight w:val="0"/>
      <w:marTop w:val="0"/>
      <w:marBottom w:val="0"/>
      <w:divBdr>
        <w:top w:val="none" w:sz="0" w:space="0" w:color="auto"/>
        <w:left w:val="none" w:sz="0" w:space="0" w:color="auto"/>
        <w:bottom w:val="none" w:sz="0" w:space="0" w:color="auto"/>
        <w:right w:val="none" w:sz="0" w:space="0" w:color="auto"/>
      </w:divBdr>
    </w:div>
    <w:div w:id="1740401578">
      <w:bodyDiv w:val="1"/>
      <w:marLeft w:val="0"/>
      <w:marRight w:val="0"/>
      <w:marTop w:val="0"/>
      <w:marBottom w:val="0"/>
      <w:divBdr>
        <w:top w:val="none" w:sz="0" w:space="0" w:color="auto"/>
        <w:left w:val="none" w:sz="0" w:space="0" w:color="auto"/>
        <w:bottom w:val="none" w:sz="0" w:space="0" w:color="auto"/>
        <w:right w:val="none" w:sz="0" w:space="0" w:color="auto"/>
      </w:divBdr>
    </w:div>
    <w:div w:id="1755475304">
      <w:bodyDiv w:val="1"/>
      <w:marLeft w:val="0"/>
      <w:marRight w:val="0"/>
      <w:marTop w:val="0"/>
      <w:marBottom w:val="0"/>
      <w:divBdr>
        <w:top w:val="none" w:sz="0" w:space="0" w:color="auto"/>
        <w:left w:val="none" w:sz="0" w:space="0" w:color="auto"/>
        <w:bottom w:val="none" w:sz="0" w:space="0" w:color="auto"/>
        <w:right w:val="none" w:sz="0" w:space="0" w:color="auto"/>
      </w:divBdr>
    </w:div>
    <w:div w:id="1759059028">
      <w:bodyDiv w:val="1"/>
      <w:marLeft w:val="0"/>
      <w:marRight w:val="0"/>
      <w:marTop w:val="0"/>
      <w:marBottom w:val="0"/>
      <w:divBdr>
        <w:top w:val="none" w:sz="0" w:space="0" w:color="auto"/>
        <w:left w:val="none" w:sz="0" w:space="0" w:color="auto"/>
        <w:bottom w:val="none" w:sz="0" w:space="0" w:color="auto"/>
        <w:right w:val="none" w:sz="0" w:space="0" w:color="auto"/>
      </w:divBdr>
    </w:div>
    <w:div w:id="1766027475">
      <w:bodyDiv w:val="1"/>
      <w:marLeft w:val="0"/>
      <w:marRight w:val="0"/>
      <w:marTop w:val="0"/>
      <w:marBottom w:val="0"/>
      <w:divBdr>
        <w:top w:val="none" w:sz="0" w:space="0" w:color="auto"/>
        <w:left w:val="none" w:sz="0" w:space="0" w:color="auto"/>
        <w:bottom w:val="none" w:sz="0" w:space="0" w:color="auto"/>
        <w:right w:val="none" w:sz="0" w:space="0" w:color="auto"/>
      </w:divBdr>
      <w:divsChild>
        <w:div w:id="873079076">
          <w:marLeft w:val="0"/>
          <w:marRight w:val="0"/>
          <w:marTop w:val="0"/>
          <w:marBottom w:val="0"/>
          <w:divBdr>
            <w:top w:val="none" w:sz="0" w:space="0" w:color="auto"/>
            <w:left w:val="none" w:sz="0" w:space="0" w:color="auto"/>
            <w:bottom w:val="none" w:sz="0" w:space="0" w:color="auto"/>
            <w:right w:val="none" w:sz="0" w:space="0" w:color="auto"/>
          </w:divBdr>
          <w:divsChild>
            <w:div w:id="1195654953">
              <w:marLeft w:val="0"/>
              <w:marRight w:val="0"/>
              <w:marTop w:val="33"/>
              <w:marBottom w:val="0"/>
              <w:divBdr>
                <w:top w:val="single" w:sz="2" w:space="0" w:color="596380"/>
                <w:left w:val="single" w:sz="2" w:space="0" w:color="596380"/>
                <w:bottom w:val="single" w:sz="2" w:space="0" w:color="596380"/>
                <w:right w:val="single" w:sz="2" w:space="0" w:color="596380"/>
              </w:divBdr>
              <w:divsChild>
                <w:div w:id="40983991">
                  <w:marLeft w:val="0"/>
                  <w:marRight w:val="0"/>
                  <w:marTop w:val="0"/>
                  <w:marBottom w:val="0"/>
                  <w:divBdr>
                    <w:top w:val="none" w:sz="0" w:space="0" w:color="auto"/>
                    <w:left w:val="none" w:sz="0" w:space="0" w:color="auto"/>
                    <w:bottom w:val="none" w:sz="0" w:space="0" w:color="auto"/>
                    <w:right w:val="none" w:sz="0" w:space="0" w:color="auto"/>
                  </w:divBdr>
                  <w:divsChild>
                    <w:div w:id="739444026">
                      <w:marLeft w:val="0"/>
                      <w:marRight w:val="0"/>
                      <w:marTop w:val="0"/>
                      <w:marBottom w:val="0"/>
                      <w:divBdr>
                        <w:top w:val="none" w:sz="0" w:space="0" w:color="auto"/>
                        <w:left w:val="none" w:sz="0" w:space="0" w:color="auto"/>
                        <w:bottom w:val="none" w:sz="0" w:space="0" w:color="auto"/>
                        <w:right w:val="none" w:sz="0" w:space="0" w:color="auto"/>
                      </w:divBdr>
                      <w:divsChild>
                        <w:div w:id="1848903762">
                          <w:marLeft w:val="0"/>
                          <w:marRight w:val="0"/>
                          <w:marTop w:val="0"/>
                          <w:marBottom w:val="0"/>
                          <w:divBdr>
                            <w:top w:val="none" w:sz="0" w:space="0" w:color="auto"/>
                            <w:left w:val="none" w:sz="0" w:space="0" w:color="auto"/>
                            <w:bottom w:val="none" w:sz="0" w:space="0" w:color="auto"/>
                            <w:right w:val="none" w:sz="0" w:space="0" w:color="auto"/>
                          </w:divBdr>
                          <w:divsChild>
                            <w:div w:id="328170874">
                              <w:marLeft w:val="0"/>
                              <w:marRight w:val="0"/>
                              <w:marTop w:val="0"/>
                              <w:marBottom w:val="0"/>
                              <w:divBdr>
                                <w:top w:val="none" w:sz="0" w:space="0" w:color="auto"/>
                                <w:left w:val="none" w:sz="0" w:space="0" w:color="auto"/>
                                <w:bottom w:val="none" w:sz="0" w:space="0" w:color="auto"/>
                                <w:right w:val="none" w:sz="0" w:space="0" w:color="auto"/>
                              </w:divBdr>
                              <w:divsChild>
                                <w:div w:id="683827167">
                                  <w:marLeft w:val="55"/>
                                  <w:marRight w:val="55"/>
                                  <w:marTop w:val="55"/>
                                  <w:marBottom w:val="55"/>
                                  <w:divBdr>
                                    <w:top w:val="none" w:sz="0" w:space="0" w:color="auto"/>
                                    <w:left w:val="none" w:sz="0" w:space="0" w:color="auto"/>
                                    <w:bottom w:val="none" w:sz="0" w:space="0" w:color="auto"/>
                                    <w:right w:val="none" w:sz="0" w:space="0" w:color="auto"/>
                                  </w:divBdr>
                                  <w:divsChild>
                                    <w:div w:id="64416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0588062">
      <w:bodyDiv w:val="1"/>
      <w:marLeft w:val="0"/>
      <w:marRight w:val="0"/>
      <w:marTop w:val="0"/>
      <w:marBottom w:val="0"/>
      <w:divBdr>
        <w:top w:val="none" w:sz="0" w:space="0" w:color="auto"/>
        <w:left w:val="none" w:sz="0" w:space="0" w:color="auto"/>
        <w:bottom w:val="none" w:sz="0" w:space="0" w:color="auto"/>
        <w:right w:val="none" w:sz="0" w:space="0" w:color="auto"/>
      </w:divBdr>
    </w:div>
    <w:div w:id="1815172868">
      <w:bodyDiv w:val="1"/>
      <w:marLeft w:val="0"/>
      <w:marRight w:val="0"/>
      <w:marTop w:val="0"/>
      <w:marBottom w:val="0"/>
      <w:divBdr>
        <w:top w:val="none" w:sz="0" w:space="0" w:color="auto"/>
        <w:left w:val="none" w:sz="0" w:space="0" w:color="auto"/>
        <w:bottom w:val="none" w:sz="0" w:space="0" w:color="auto"/>
        <w:right w:val="none" w:sz="0" w:space="0" w:color="auto"/>
      </w:divBdr>
    </w:div>
    <w:div w:id="1837846343">
      <w:bodyDiv w:val="1"/>
      <w:marLeft w:val="0"/>
      <w:marRight w:val="0"/>
      <w:marTop w:val="0"/>
      <w:marBottom w:val="0"/>
      <w:divBdr>
        <w:top w:val="none" w:sz="0" w:space="0" w:color="auto"/>
        <w:left w:val="none" w:sz="0" w:space="0" w:color="auto"/>
        <w:bottom w:val="none" w:sz="0" w:space="0" w:color="auto"/>
        <w:right w:val="none" w:sz="0" w:space="0" w:color="auto"/>
      </w:divBdr>
    </w:div>
    <w:div w:id="1857428725">
      <w:bodyDiv w:val="1"/>
      <w:marLeft w:val="0"/>
      <w:marRight w:val="0"/>
      <w:marTop w:val="0"/>
      <w:marBottom w:val="0"/>
      <w:divBdr>
        <w:top w:val="none" w:sz="0" w:space="0" w:color="auto"/>
        <w:left w:val="none" w:sz="0" w:space="0" w:color="auto"/>
        <w:bottom w:val="none" w:sz="0" w:space="0" w:color="auto"/>
        <w:right w:val="none" w:sz="0" w:space="0" w:color="auto"/>
      </w:divBdr>
    </w:div>
    <w:div w:id="1863588342">
      <w:bodyDiv w:val="1"/>
      <w:marLeft w:val="0"/>
      <w:marRight w:val="0"/>
      <w:marTop w:val="0"/>
      <w:marBottom w:val="0"/>
      <w:divBdr>
        <w:top w:val="none" w:sz="0" w:space="0" w:color="auto"/>
        <w:left w:val="none" w:sz="0" w:space="0" w:color="auto"/>
        <w:bottom w:val="none" w:sz="0" w:space="0" w:color="auto"/>
        <w:right w:val="none" w:sz="0" w:space="0" w:color="auto"/>
      </w:divBdr>
    </w:div>
    <w:div w:id="1865753050">
      <w:bodyDiv w:val="1"/>
      <w:marLeft w:val="0"/>
      <w:marRight w:val="0"/>
      <w:marTop w:val="0"/>
      <w:marBottom w:val="0"/>
      <w:divBdr>
        <w:top w:val="none" w:sz="0" w:space="0" w:color="auto"/>
        <w:left w:val="none" w:sz="0" w:space="0" w:color="auto"/>
        <w:bottom w:val="none" w:sz="0" w:space="0" w:color="auto"/>
        <w:right w:val="none" w:sz="0" w:space="0" w:color="auto"/>
      </w:divBdr>
    </w:div>
    <w:div w:id="1887177925">
      <w:bodyDiv w:val="1"/>
      <w:marLeft w:val="0"/>
      <w:marRight w:val="0"/>
      <w:marTop w:val="0"/>
      <w:marBottom w:val="0"/>
      <w:divBdr>
        <w:top w:val="none" w:sz="0" w:space="0" w:color="auto"/>
        <w:left w:val="none" w:sz="0" w:space="0" w:color="auto"/>
        <w:bottom w:val="none" w:sz="0" w:space="0" w:color="auto"/>
        <w:right w:val="none" w:sz="0" w:space="0" w:color="auto"/>
      </w:divBdr>
    </w:div>
    <w:div w:id="1894345890">
      <w:bodyDiv w:val="1"/>
      <w:marLeft w:val="0"/>
      <w:marRight w:val="0"/>
      <w:marTop w:val="0"/>
      <w:marBottom w:val="0"/>
      <w:divBdr>
        <w:top w:val="none" w:sz="0" w:space="0" w:color="auto"/>
        <w:left w:val="none" w:sz="0" w:space="0" w:color="auto"/>
        <w:bottom w:val="none" w:sz="0" w:space="0" w:color="auto"/>
        <w:right w:val="none" w:sz="0" w:space="0" w:color="auto"/>
      </w:divBdr>
    </w:div>
    <w:div w:id="1930573628">
      <w:bodyDiv w:val="1"/>
      <w:marLeft w:val="0"/>
      <w:marRight w:val="0"/>
      <w:marTop w:val="0"/>
      <w:marBottom w:val="0"/>
      <w:divBdr>
        <w:top w:val="none" w:sz="0" w:space="0" w:color="auto"/>
        <w:left w:val="none" w:sz="0" w:space="0" w:color="auto"/>
        <w:bottom w:val="none" w:sz="0" w:space="0" w:color="auto"/>
        <w:right w:val="none" w:sz="0" w:space="0" w:color="auto"/>
      </w:divBdr>
    </w:div>
    <w:div w:id="1930888112">
      <w:bodyDiv w:val="1"/>
      <w:marLeft w:val="0"/>
      <w:marRight w:val="0"/>
      <w:marTop w:val="0"/>
      <w:marBottom w:val="0"/>
      <w:divBdr>
        <w:top w:val="none" w:sz="0" w:space="0" w:color="auto"/>
        <w:left w:val="none" w:sz="0" w:space="0" w:color="auto"/>
        <w:bottom w:val="none" w:sz="0" w:space="0" w:color="auto"/>
        <w:right w:val="none" w:sz="0" w:space="0" w:color="auto"/>
      </w:divBdr>
    </w:div>
    <w:div w:id="1944652084">
      <w:bodyDiv w:val="1"/>
      <w:marLeft w:val="0"/>
      <w:marRight w:val="0"/>
      <w:marTop w:val="45"/>
      <w:marBottom w:val="45"/>
      <w:divBdr>
        <w:top w:val="none" w:sz="0" w:space="0" w:color="auto"/>
        <w:left w:val="none" w:sz="0" w:space="0" w:color="auto"/>
        <w:bottom w:val="none" w:sz="0" w:space="0" w:color="auto"/>
        <w:right w:val="none" w:sz="0" w:space="0" w:color="auto"/>
      </w:divBdr>
      <w:divsChild>
        <w:div w:id="229930545">
          <w:marLeft w:val="0"/>
          <w:marRight w:val="0"/>
          <w:marTop w:val="0"/>
          <w:marBottom w:val="0"/>
          <w:divBdr>
            <w:top w:val="none" w:sz="0" w:space="0" w:color="auto"/>
            <w:left w:val="none" w:sz="0" w:space="0" w:color="auto"/>
            <w:bottom w:val="none" w:sz="0" w:space="0" w:color="auto"/>
            <w:right w:val="none" w:sz="0" w:space="0" w:color="auto"/>
          </w:divBdr>
          <w:divsChild>
            <w:div w:id="1798525287">
              <w:marLeft w:val="0"/>
              <w:marRight w:val="0"/>
              <w:marTop w:val="0"/>
              <w:marBottom w:val="0"/>
              <w:divBdr>
                <w:top w:val="none" w:sz="0" w:space="0" w:color="auto"/>
                <w:left w:val="none" w:sz="0" w:space="0" w:color="auto"/>
                <w:bottom w:val="none" w:sz="0" w:space="0" w:color="auto"/>
                <w:right w:val="none" w:sz="0" w:space="0" w:color="auto"/>
              </w:divBdr>
              <w:divsChild>
                <w:div w:id="45952800">
                  <w:marLeft w:val="2385"/>
                  <w:marRight w:val="3960"/>
                  <w:marTop w:val="0"/>
                  <w:marBottom w:val="0"/>
                  <w:divBdr>
                    <w:top w:val="none" w:sz="0" w:space="0" w:color="auto"/>
                    <w:left w:val="single" w:sz="6" w:space="0" w:color="D3E1F9"/>
                    <w:bottom w:val="none" w:sz="0" w:space="0" w:color="auto"/>
                    <w:right w:val="none" w:sz="0" w:space="0" w:color="auto"/>
                  </w:divBdr>
                  <w:divsChild>
                    <w:div w:id="98183481">
                      <w:marLeft w:val="0"/>
                      <w:marRight w:val="0"/>
                      <w:marTop w:val="0"/>
                      <w:marBottom w:val="0"/>
                      <w:divBdr>
                        <w:top w:val="none" w:sz="0" w:space="0" w:color="auto"/>
                        <w:left w:val="none" w:sz="0" w:space="0" w:color="auto"/>
                        <w:bottom w:val="none" w:sz="0" w:space="0" w:color="auto"/>
                        <w:right w:val="none" w:sz="0" w:space="0" w:color="auto"/>
                      </w:divBdr>
                      <w:divsChild>
                        <w:div w:id="174348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80085">
      <w:bodyDiv w:val="1"/>
      <w:marLeft w:val="0"/>
      <w:marRight w:val="0"/>
      <w:marTop w:val="0"/>
      <w:marBottom w:val="0"/>
      <w:divBdr>
        <w:top w:val="none" w:sz="0" w:space="0" w:color="auto"/>
        <w:left w:val="none" w:sz="0" w:space="0" w:color="auto"/>
        <w:bottom w:val="none" w:sz="0" w:space="0" w:color="auto"/>
        <w:right w:val="none" w:sz="0" w:space="0" w:color="auto"/>
      </w:divBdr>
    </w:div>
    <w:div w:id="1962957532">
      <w:bodyDiv w:val="1"/>
      <w:marLeft w:val="0"/>
      <w:marRight w:val="0"/>
      <w:marTop w:val="0"/>
      <w:marBottom w:val="0"/>
      <w:divBdr>
        <w:top w:val="none" w:sz="0" w:space="0" w:color="auto"/>
        <w:left w:val="none" w:sz="0" w:space="0" w:color="auto"/>
        <w:bottom w:val="none" w:sz="0" w:space="0" w:color="auto"/>
        <w:right w:val="none" w:sz="0" w:space="0" w:color="auto"/>
      </w:divBdr>
    </w:div>
    <w:div w:id="1975063946">
      <w:bodyDiv w:val="1"/>
      <w:marLeft w:val="0"/>
      <w:marRight w:val="0"/>
      <w:marTop w:val="0"/>
      <w:marBottom w:val="0"/>
      <w:divBdr>
        <w:top w:val="none" w:sz="0" w:space="0" w:color="auto"/>
        <w:left w:val="none" w:sz="0" w:space="0" w:color="auto"/>
        <w:bottom w:val="none" w:sz="0" w:space="0" w:color="auto"/>
        <w:right w:val="none" w:sz="0" w:space="0" w:color="auto"/>
      </w:divBdr>
      <w:divsChild>
        <w:div w:id="1020199993">
          <w:marLeft w:val="0"/>
          <w:marRight w:val="0"/>
          <w:marTop w:val="100"/>
          <w:marBottom w:val="100"/>
          <w:divBdr>
            <w:top w:val="none" w:sz="0" w:space="0" w:color="auto"/>
            <w:left w:val="none" w:sz="0" w:space="0" w:color="auto"/>
            <w:bottom w:val="none" w:sz="0" w:space="0" w:color="auto"/>
            <w:right w:val="none" w:sz="0" w:space="0" w:color="auto"/>
          </w:divBdr>
          <w:divsChild>
            <w:div w:id="1600529769">
              <w:marLeft w:val="0"/>
              <w:marRight w:val="0"/>
              <w:marTop w:val="0"/>
              <w:marBottom w:val="0"/>
              <w:divBdr>
                <w:top w:val="none" w:sz="0" w:space="0" w:color="auto"/>
                <w:left w:val="none" w:sz="0" w:space="0" w:color="auto"/>
                <w:bottom w:val="none" w:sz="0" w:space="0" w:color="auto"/>
                <w:right w:val="none" w:sz="0" w:space="0" w:color="auto"/>
              </w:divBdr>
              <w:divsChild>
                <w:div w:id="2040859765">
                  <w:marLeft w:val="0"/>
                  <w:marRight w:val="150"/>
                  <w:marTop w:val="0"/>
                  <w:marBottom w:val="0"/>
                  <w:divBdr>
                    <w:top w:val="none" w:sz="0" w:space="0" w:color="auto"/>
                    <w:left w:val="none" w:sz="0" w:space="0" w:color="auto"/>
                    <w:bottom w:val="none" w:sz="0" w:space="0" w:color="auto"/>
                    <w:right w:val="none" w:sz="0" w:space="0" w:color="auto"/>
                  </w:divBdr>
                  <w:divsChild>
                    <w:div w:id="1308778259">
                      <w:marLeft w:val="0"/>
                      <w:marRight w:val="0"/>
                      <w:marTop w:val="0"/>
                      <w:marBottom w:val="75"/>
                      <w:divBdr>
                        <w:top w:val="single" w:sz="6" w:space="0" w:color="B8CDE3"/>
                        <w:left w:val="single" w:sz="6" w:space="0" w:color="B8CDE3"/>
                        <w:bottom w:val="single" w:sz="6" w:space="0" w:color="B8CDE3"/>
                        <w:right w:val="single" w:sz="6" w:space="0" w:color="B8CDE3"/>
                      </w:divBdr>
                      <w:divsChild>
                        <w:div w:id="1861624266">
                          <w:marLeft w:val="0"/>
                          <w:marRight w:val="0"/>
                          <w:marTop w:val="75"/>
                          <w:marBottom w:val="75"/>
                          <w:divBdr>
                            <w:top w:val="none" w:sz="0" w:space="0" w:color="auto"/>
                            <w:left w:val="none" w:sz="0" w:space="0" w:color="auto"/>
                            <w:bottom w:val="none" w:sz="0" w:space="0" w:color="auto"/>
                            <w:right w:val="none" w:sz="0" w:space="0" w:color="auto"/>
                          </w:divBdr>
                          <w:divsChild>
                            <w:div w:id="580069178">
                              <w:marLeft w:val="75"/>
                              <w:marRight w:val="75"/>
                              <w:marTop w:val="30"/>
                              <w:marBottom w:val="30"/>
                              <w:divBdr>
                                <w:top w:val="none" w:sz="0" w:space="0" w:color="auto"/>
                                <w:left w:val="none" w:sz="0" w:space="0" w:color="auto"/>
                                <w:bottom w:val="none" w:sz="0" w:space="0" w:color="auto"/>
                                <w:right w:val="none" w:sz="0" w:space="0" w:color="auto"/>
                              </w:divBdr>
                            </w:div>
                            <w:div w:id="1679692331">
                              <w:marLeft w:val="75"/>
                              <w:marRight w:val="75"/>
                              <w:marTop w:val="30"/>
                              <w:marBottom w:val="30"/>
                              <w:divBdr>
                                <w:top w:val="none" w:sz="0" w:space="0" w:color="auto"/>
                                <w:left w:val="none" w:sz="0" w:space="0" w:color="auto"/>
                                <w:bottom w:val="none" w:sz="0" w:space="0" w:color="auto"/>
                                <w:right w:val="none" w:sz="0" w:space="0" w:color="auto"/>
                              </w:divBdr>
                            </w:div>
                            <w:div w:id="2013335709">
                              <w:marLeft w:val="75"/>
                              <w:marRight w:val="75"/>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7781854">
      <w:bodyDiv w:val="1"/>
      <w:marLeft w:val="0"/>
      <w:marRight w:val="0"/>
      <w:marTop w:val="0"/>
      <w:marBottom w:val="0"/>
      <w:divBdr>
        <w:top w:val="none" w:sz="0" w:space="0" w:color="auto"/>
        <w:left w:val="none" w:sz="0" w:space="0" w:color="auto"/>
        <w:bottom w:val="none" w:sz="0" w:space="0" w:color="auto"/>
        <w:right w:val="none" w:sz="0" w:space="0" w:color="auto"/>
      </w:divBdr>
    </w:div>
    <w:div w:id="2049404230">
      <w:bodyDiv w:val="1"/>
      <w:marLeft w:val="0"/>
      <w:marRight w:val="0"/>
      <w:marTop w:val="0"/>
      <w:marBottom w:val="0"/>
      <w:divBdr>
        <w:top w:val="none" w:sz="0" w:space="0" w:color="auto"/>
        <w:left w:val="none" w:sz="0" w:space="0" w:color="auto"/>
        <w:bottom w:val="none" w:sz="0" w:space="0" w:color="auto"/>
        <w:right w:val="none" w:sz="0" w:space="0" w:color="auto"/>
      </w:divBdr>
    </w:div>
    <w:div w:id="2126266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515D4E-A455-456A-B1FD-3CEFBDA4C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438</TotalTime>
  <Pages>10</Pages>
  <Words>3995</Words>
  <Characters>27492</Characters>
  <Application>Microsoft Office Word</Application>
  <DocSecurity>0</DocSecurity>
  <Lines>229</Lines>
  <Paragraphs>62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1</vt:lpstr>
      <vt:lpstr>1</vt:lpstr>
    </vt:vector>
  </TitlesOfParts>
  <Company>DTM</Company>
  <LinksUpToDate>false</LinksUpToDate>
  <CharactersWithSpaces>31425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ozdoganas</dc:creator>
  <cp:lastModifiedBy>Koray Düğencioğlu</cp:lastModifiedBy>
  <cp:revision>336</cp:revision>
  <cp:lastPrinted>2018-04-16T11:29:00Z</cp:lastPrinted>
  <dcterms:created xsi:type="dcterms:W3CDTF">2017-05-22T08:50:00Z</dcterms:created>
  <dcterms:modified xsi:type="dcterms:W3CDTF">2018-07-31T08:44:00Z</dcterms:modified>
</cp:coreProperties>
</file>