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C16" w:rsidRDefault="00131D44" w:rsidP="001B02E4">
      <w:pPr>
        <w:pStyle w:val="Balk1"/>
        <w:spacing w:line="20" w:lineRule="atLeast"/>
        <w:rPr>
          <w:rFonts w:ascii="Times New Roman" w:hAnsi="Times New Roman" w:cs="Times New Roman"/>
          <w:bCs w:val="0"/>
          <w:sz w:val="24"/>
          <w:szCs w:val="24"/>
          <w:lang w:eastAsia="tr-TR"/>
        </w:rPr>
      </w:pPr>
      <w:bookmarkStart w:id="0" w:name="_Toc317854272"/>
      <w:r>
        <w:rPr>
          <w:rFonts w:ascii="Times New Roman" w:hAnsi="Times New Roman" w:cs="Times New Roman"/>
          <w:bCs w:val="0"/>
          <w:sz w:val="24"/>
          <w:szCs w:val="24"/>
          <w:lang w:eastAsia="tr-TR"/>
        </w:rPr>
        <w:t xml:space="preserve">2018/28 SAYILI </w:t>
      </w:r>
      <w:r w:rsidR="00B81FA6">
        <w:rPr>
          <w:rFonts w:ascii="Times New Roman" w:hAnsi="Times New Roman" w:cs="Times New Roman"/>
          <w:bCs w:val="0"/>
          <w:sz w:val="24"/>
          <w:szCs w:val="24"/>
          <w:lang w:eastAsia="tr-TR"/>
        </w:rPr>
        <w:t xml:space="preserve">İTHALATTA HAKSIZ REKABETİN ÖNLENMESİNE İLİŞKİN TEBLİĞE </w:t>
      </w:r>
      <w:r w:rsidR="007432BD">
        <w:rPr>
          <w:rFonts w:ascii="Times New Roman" w:hAnsi="Times New Roman" w:cs="Times New Roman"/>
          <w:bCs w:val="0"/>
          <w:sz w:val="24"/>
          <w:szCs w:val="24"/>
          <w:lang w:eastAsia="tr-TR"/>
        </w:rPr>
        <w:t>AİT</w:t>
      </w:r>
      <w:r w:rsidR="00B81FA6">
        <w:rPr>
          <w:rFonts w:ascii="Times New Roman" w:hAnsi="Times New Roman" w:cs="Times New Roman"/>
          <w:bCs w:val="0"/>
          <w:sz w:val="24"/>
          <w:szCs w:val="24"/>
          <w:lang w:eastAsia="tr-TR"/>
        </w:rPr>
        <w:t xml:space="preserve"> </w:t>
      </w:r>
      <w:r w:rsidR="000B4C2B">
        <w:rPr>
          <w:rFonts w:ascii="Times New Roman" w:hAnsi="Times New Roman" w:cs="Times New Roman"/>
          <w:bCs w:val="0"/>
          <w:sz w:val="24"/>
          <w:szCs w:val="24"/>
          <w:lang w:eastAsia="tr-TR"/>
        </w:rPr>
        <w:t>BİLGİLENDİRME RAPORU</w:t>
      </w:r>
      <w:bookmarkEnd w:id="0"/>
    </w:p>
    <w:p w:rsidR="000B4C2B" w:rsidRPr="000B4C2B" w:rsidRDefault="000B4C2B" w:rsidP="001B02E4">
      <w:pPr>
        <w:spacing w:line="20" w:lineRule="atLeast"/>
      </w:pPr>
    </w:p>
    <w:p w:rsidR="00630013" w:rsidRDefault="000B4C2B" w:rsidP="001B02E4">
      <w:pPr>
        <w:tabs>
          <w:tab w:val="left" w:pos="0"/>
        </w:tabs>
        <w:spacing w:line="20" w:lineRule="atLeast"/>
        <w:ind w:left="360" w:hanging="360"/>
        <w:jc w:val="both"/>
        <w:rPr>
          <w:b/>
        </w:rPr>
      </w:pPr>
      <w:r>
        <w:rPr>
          <w:b/>
        </w:rPr>
        <w:t>1. SORUŞTURMAYA</w:t>
      </w:r>
      <w:r w:rsidR="007C3DA7">
        <w:rPr>
          <w:b/>
        </w:rPr>
        <w:t xml:space="preserve"> İLİŞKİN GENEL BİLGİ VE İŞLEMLER</w:t>
      </w:r>
      <w:r w:rsidR="000B5C16">
        <w:rPr>
          <w:b/>
        </w:rPr>
        <w:tab/>
      </w:r>
    </w:p>
    <w:p w:rsidR="000B5C16" w:rsidRDefault="000B4C2B" w:rsidP="001B02E4">
      <w:pPr>
        <w:tabs>
          <w:tab w:val="left" w:pos="0"/>
        </w:tabs>
        <w:spacing w:line="20" w:lineRule="atLeast"/>
        <w:jc w:val="both"/>
        <w:rPr>
          <w:b/>
        </w:rPr>
      </w:pPr>
      <w:r>
        <w:rPr>
          <w:b/>
        </w:rPr>
        <w:t xml:space="preserve">1.1 </w:t>
      </w:r>
      <w:r w:rsidR="000B5C16" w:rsidRPr="000B5C16">
        <w:rPr>
          <w:b/>
        </w:rPr>
        <w:t xml:space="preserve">Mevcut </w:t>
      </w:r>
      <w:r w:rsidR="00B81FA6">
        <w:rPr>
          <w:b/>
        </w:rPr>
        <w:t>ö</w:t>
      </w:r>
      <w:r w:rsidR="00F655D1" w:rsidRPr="000B5C16">
        <w:rPr>
          <w:b/>
        </w:rPr>
        <w:t>nlem</w:t>
      </w:r>
      <w:r w:rsidR="00F655D1">
        <w:rPr>
          <w:b/>
        </w:rPr>
        <w:t xml:space="preserve"> v</w:t>
      </w:r>
      <w:r w:rsidR="00B81FA6">
        <w:rPr>
          <w:b/>
        </w:rPr>
        <w:t>e s</w:t>
      </w:r>
      <w:r w:rsidR="00F655D1" w:rsidRPr="000B5C16">
        <w:rPr>
          <w:b/>
        </w:rPr>
        <w:t>oruşturma</w:t>
      </w:r>
    </w:p>
    <w:p w:rsidR="00452830" w:rsidRPr="00080B6B" w:rsidRDefault="00452830" w:rsidP="001B02E4">
      <w:pPr>
        <w:pStyle w:val="Default"/>
        <w:spacing w:line="20" w:lineRule="atLeast"/>
        <w:jc w:val="both"/>
      </w:pPr>
      <w:bookmarkStart w:id="1" w:name="_Toc317854276"/>
      <w:r w:rsidRPr="007F4526">
        <w:rPr>
          <w:color w:val="auto"/>
          <w:szCs w:val="20"/>
        </w:rPr>
        <w:t>(1)</w:t>
      </w:r>
      <w:r>
        <w:rPr>
          <w:color w:val="auto"/>
          <w:szCs w:val="20"/>
        </w:rPr>
        <w:t xml:space="preserve"> </w:t>
      </w:r>
      <w:r w:rsidRPr="00080B6B">
        <w:t>Çin Halk Cumhuriyeti (ÇHC) menşeli</w:t>
      </w:r>
      <w:r w:rsidR="00604819">
        <w:t xml:space="preserve">  </w:t>
      </w:r>
      <w:r w:rsidR="00604819" w:rsidRPr="00604819">
        <w:t>6902.10.00.10.11 gümrük tarife istatistik pozisyonu</w:t>
      </w:r>
      <w:r w:rsidR="00604819">
        <w:t xml:space="preserve"> (GTİP)</w:t>
      </w:r>
      <w:r w:rsidR="00604819" w:rsidRPr="00604819">
        <w:t xml:space="preserve"> altında kayıtlı “kromit ateş tuğlalar”, 6902.10.00.10.12 </w:t>
      </w:r>
      <w:r w:rsidR="00604819">
        <w:t>GTİP</w:t>
      </w:r>
      <w:r w:rsidR="00604819" w:rsidRPr="00604819">
        <w:t xml:space="preserve"> altında kayıtlı “magnezit ateş tuğlalar”, 6902.10.00.10.13 </w:t>
      </w:r>
      <w:r w:rsidR="00604819">
        <w:t>GTİP</w:t>
      </w:r>
      <w:r w:rsidR="00604819" w:rsidRPr="00604819">
        <w:t xml:space="preserve"> altında kayıtlı “krom magnezit ateş tuğlalar” ve 6815.91 gümrük tarife pozisyonu</w:t>
      </w:r>
      <w:r w:rsidR="00604819">
        <w:t xml:space="preserve"> </w:t>
      </w:r>
      <w:r w:rsidR="00604819" w:rsidRPr="00080B6B">
        <w:t xml:space="preserve">(GTP) </w:t>
      </w:r>
      <w:r w:rsidR="00604819" w:rsidRPr="00604819">
        <w:t xml:space="preserve"> altında kayıtlı “magnezit, dolomit veya kromit içe</w:t>
      </w:r>
      <w:r w:rsidR="00604819">
        <w:t>renler (dolomit içerenler hariç)</w:t>
      </w:r>
      <w:r w:rsidR="00604819" w:rsidRPr="00604819">
        <w:t>”</w:t>
      </w:r>
      <w:r w:rsidR="00604819">
        <w:t xml:space="preserve"> ürününe yönelik olarak</w:t>
      </w:r>
      <w:r w:rsidRPr="00080B6B">
        <w:t xml:space="preserve"> 1/9/2007 tarihli ve 26630 sayılı Resmi Gazete'de yayımlanan İthalatta Haksız Rekabetin Önlenmesine İlişkin Tebliğ (Tebliğ No:2007/11)  ile 145 ABD Doları/Ton tutarında dampinge karşı önlem yürürlüğe konulmuştur.</w:t>
      </w:r>
    </w:p>
    <w:p w:rsidR="00452830" w:rsidRPr="00080B6B" w:rsidRDefault="00452830" w:rsidP="001B02E4">
      <w:pPr>
        <w:autoSpaceDE w:val="0"/>
        <w:autoSpaceDN w:val="0"/>
        <w:adjustRightInd w:val="0"/>
        <w:spacing w:line="20" w:lineRule="atLeast"/>
        <w:jc w:val="both"/>
      </w:pPr>
    </w:p>
    <w:p w:rsidR="00452830" w:rsidRPr="00080B6B" w:rsidRDefault="00452830" w:rsidP="001B02E4">
      <w:pPr>
        <w:autoSpaceDE w:val="0"/>
        <w:autoSpaceDN w:val="0"/>
        <w:adjustRightInd w:val="0"/>
        <w:spacing w:line="20" w:lineRule="atLeast"/>
        <w:jc w:val="both"/>
      </w:pPr>
      <w:r w:rsidRPr="00080B6B">
        <w:t xml:space="preserve">(2) 2007/11 sayılı Tebliğ ile 6815.91 </w:t>
      </w:r>
      <w:r w:rsidR="00604819">
        <w:t>GTP</w:t>
      </w:r>
      <w:r w:rsidRPr="00080B6B">
        <w:t xml:space="preserve"> altında sınıflandırılan “magnezit, </w:t>
      </w:r>
      <w:r w:rsidR="00604819">
        <w:t>dolomit veya kromit içerenler” için</w:t>
      </w:r>
      <w:r w:rsidRPr="00080B6B">
        <w:t xml:space="preserve"> “dolomit içerenler hariç” olarak yürürlüğe konulan dampinge karşı önlemin kapsamı, 18/4/2009 tarihli ve 27204 sayılı Resmi Gazete’de yayımlanan İthalatta Haksız Rekabetin Önlenmesine İlişkin Tebliğ (Tebliğ No:2009/11)</w:t>
      </w:r>
      <w:r w:rsidRPr="00080B6B">
        <w:rPr>
          <w:sz w:val="16"/>
          <w:szCs w:val="16"/>
        </w:rPr>
        <w:t xml:space="preserve"> </w:t>
      </w:r>
      <w:r w:rsidRPr="00080B6B">
        <w:t>ile “magnezyum oksit esaslı, 3mm ile 30mm arası kalınlıklarda yapı levhaları” da hariç olacak şekilde değiştirilmiştir.</w:t>
      </w:r>
    </w:p>
    <w:p w:rsidR="00452830" w:rsidRPr="00080B6B" w:rsidRDefault="00452830" w:rsidP="001B02E4">
      <w:pPr>
        <w:autoSpaceDE w:val="0"/>
        <w:autoSpaceDN w:val="0"/>
        <w:adjustRightInd w:val="0"/>
        <w:spacing w:line="20" w:lineRule="atLeast"/>
        <w:jc w:val="both"/>
      </w:pPr>
    </w:p>
    <w:p w:rsidR="00452830" w:rsidRPr="00080B6B" w:rsidRDefault="00452830" w:rsidP="001B02E4">
      <w:pPr>
        <w:autoSpaceDE w:val="0"/>
        <w:autoSpaceDN w:val="0"/>
        <w:adjustRightInd w:val="0"/>
        <w:spacing w:line="20" w:lineRule="atLeast"/>
        <w:jc w:val="both"/>
      </w:pPr>
      <w:r w:rsidRPr="00080B6B">
        <w:t>(3) Söz konusu önlemin yürürlük süresi, yürütülen nihai gözden geçirme soruşturması (NGGS) sonucunda 15/3/2013 tarihli ve 28588 sayılı Resmi Gazete’de yayımlanan İthalatta Haksız Rekabetin Önlenmesine İlişkin sayılı Tebliğ (Tebliğ No:2013/5) ile 5 yıl daha uzatılmıştır.</w:t>
      </w:r>
    </w:p>
    <w:p w:rsidR="00452830" w:rsidRPr="00080B6B" w:rsidRDefault="00452830" w:rsidP="001B02E4">
      <w:pPr>
        <w:autoSpaceDE w:val="0"/>
        <w:autoSpaceDN w:val="0"/>
        <w:adjustRightInd w:val="0"/>
        <w:spacing w:line="20" w:lineRule="atLeast"/>
        <w:jc w:val="both"/>
      </w:pPr>
    </w:p>
    <w:p w:rsidR="00452830" w:rsidRPr="00080B6B" w:rsidRDefault="00452830" w:rsidP="001B02E4">
      <w:pPr>
        <w:spacing w:line="20" w:lineRule="atLeast"/>
        <w:jc w:val="both"/>
        <w:rPr>
          <w:bCs/>
          <w:szCs w:val="20"/>
        </w:rPr>
      </w:pPr>
      <w:r w:rsidRPr="00080B6B">
        <w:t>(4) 1</w:t>
      </w:r>
      <w:r w:rsidRPr="00080B6B">
        <w:rPr>
          <w:szCs w:val="20"/>
        </w:rPr>
        <w:t>1/7/2017 tarihli ve 30121 sayılı Resmi Gazete</w:t>
      </w:r>
      <w:r w:rsidRPr="00080B6B">
        <w:rPr>
          <w:bCs/>
          <w:szCs w:val="20"/>
        </w:rPr>
        <w:t xml:space="preserve">'de yayımlanan </w:t>
      </w:r>
      <w:r w:rsidRPr="00080B6B">
        <w:rPr>
          <w:bCs/>
        </w:rPr>
        <w:t xml:space="preserve">İthalatta Haksız Rekabetin Önlemesine İlişkin </w:t>
      </w:r>
      <w:r w:rsidRPr="00080B6B">
        <w:rPr>
          <w:bCs/>
          <w:szCs w:val="20"/>
        </w:rPr>
        <w:t xml:space="preserve">Tebliğ </w:t>
      </w:r>
      <w:r w:rsidRPr="00080B6B">
        <w:t>(Tebliğ No:2017/19)</w:t>
      </w:r>
      <w:r w:rsidRPr="00080B6B">
        <w:rPr>
          <w:bCs/>
          <w:szCs w:val="20"/>
        </w:rPr>
        <w:t xml:space="preserve"> ile söz konusu ürüne ilişkin önlemin 15/3/2018 tarihinde sona ereceği ve yerli üretim dalının mevzuatta öngörülen sürede yeterli delillerle desteklenmiş bir başvuru ile NGGS açılması talebinde bulunabileceği duyurulmuştur.</w:t>
      </w:r>
    </w:p>
    <w:p w:rsidR="00452830" w:rsidRPr="00080B6B" w:rsidRDefault="00452830" w:rsidP="001B02E4">
      <w:pPr>
        <w:autoSpaceDE w:val="0"/>
        <w:autoSpaceDN w:val="0"/>
        <w:adjustRightInd w:val="0"/>
        <w:spacing w:line="20" w:lineRule="atLeast"/>
        <w:jc w:val="both"/>
        <w:rPr>
          <w:color w:val="000000"/>
        </w:rPr>
      </w:pPr>
    </w:p>
    <w:p w:rsidR="00452830" w:rsidRDefault="00452830" w:rsidP="00B81FA6">
      <w:pPr>
        <w:spacing w:line="20" w:lineRule="atLeast"/>
        <w:jc w:val="both"/>
        <w:rPr>
          <w:szCs w:val="20"/>
        </w:rPr>
      </w:pPr>
      <w:r w:rsidRPr="00080B6B">
        <w:rPr>
          <w:bCs/>
        </w:rPr>
        <w:t>(5) Yerli üreticiler Kümaş Manyezit Sanayi A.Ş. (Kümaş) ve Haznedar Refrakter Sanayi A.Ş. (Haznedar)</w:t>
      </w:r>
      <w:r>
        <w:rPr>
          <w:bCs/>
        </w:rPr>
        <w:t xml:space="preserve"> firmaları</w:t>
      </w:r>
      <w:r w:rsidRPr="00080B6B">
        <w:rPr>
          <w:bCs/>
        </w:rPr>
        <w:t xml:space="preserve"> </w:t>
      </w:r>
      <w:r>
        <w:rPr>
          <w:bCs/>
        </w:rPr>
        <w:t xml:space="preserve">tarafından </w:t>
      </w:r>
      <w:r w:rsidRPr="00080B6B">
        <w:rPr>
          <w:bCs/>
        </w:rPr>
        <w:t>önlemin yürürlükten kalkması halinde mezkûr üründe dampingin ve zararın devam edeceği veya y</w:t>
      </w:r>
      <w:r>
        <w:rPr>
          <w:bCs/>
        </w:rPr>
        <w:t xml:space="preserve">eniden oluşacağı iddiasıyla yapılan ve önlem </w:t>
      </w:r>
      <w:r w:rsidRPr="00080B6B">
        <w:rPr>
          <w:bCs/>
        </w:rPr>
        <w:t xml:space="preserve">konusu ürünün diğer yerli üreticileri Sörmaş Söğüt Refrakter Malzemeleri A.Ş. (Sörmaş) ve Konya Selçuklu Krom Magnezit Tuğla Sanayii A.Ş. tarafından </w:t>
      </w:r>
      <w:r>
        <w:rPr>
          <w:bCs/>
        </w:rPr>
        <w:t xml:space="preserve">desteklenen başvuru üzerine 2/3/2018 tarihli ve 30348 sayılı Resmi Gazete’de yayımlanan </w:t>
      </w:r>
      <w:r w:rsidRPr="00080B6B">
        <w:rPr>
          <w:bCs/>
        </w:rPr>
        <w:t xml:space="preserve">İthalatta Haksız Rekabetin Önlemesine İlişkin </w:t>
      </w:r>
      <w:r w:rsidRPr="00080B6B">
        <w:rPr>
          <w:bCs/>
          <w:szCs w:val="20"/>
        </w:rPr>
        <w:t xml:space="preserve">Tebliğ </w:t>
      </w:r>
      <w:r>
        <w:t>(Tebliğ No:2018/4</w:t>
      </w:r>
      <w:r w:rsidRPr="00080B6B">
        <w:t>)</w:t>
      </w:r>
      <w:r>
        <w:t xml:space="preserve"> ile başlatılan NGGS, </w:t>
      </w:r>
      <w:r w:rsidRPr="000B5C16">
        <w:rPr>
          <w:szCs w:val="20"/>
        </w:rPr>
        <w:t xml:space="preserve">T.C. </w:t>
      </w:r>
      <w:r w:rsidR="00B81FA6">
        <w:rPr>
          <w:szCs w:val="20"/>
        </w:rPr>
        <w:t>Ticaret</w:t>
      </w:r>
      <w:r w:rsidRPr="000B5C16">
        <w:rPr>
          <w:szCs w:val="20"/>
        </w:rPr>
        <w:t xml:space="preserve"> Bakanlığı</w:t>
      </w:r>
      <w:r>
        <w:rPr>
          <w:szCs w:val="20"/>
        </w:rPr>
        <w:t xml:space="preserve"> (Bakanlık) </w:t>
      </w:r>
      <w:r w:rsidRPr="000B5C16">
        <w:rPr>
          <w:szCs w:val="20"/>
        </w:rPr>
        <w:t xml:space="preserve">İthalat Genel Müdürlüğü (Genel Müdürlük) tarafından yürütülerek </w:t>
      </w:r>
      <w:r w:rsidRPr="00452830">
        <w:rPr>
          <w:szCs w:val="20"/>
        </w:rPr>
        <w:t>tamamlanmıştır.</w:t>
      </w:r>
    </w:p>
    <w:p w:rsidR="00452830" w:rsidRDefault="00452830" w:rsidP="001B02E4">
      <w:pPr>
        <w:spacing w:line="20" w:lineRule="atLeast"/>
        <w:jc w:val="both"/>
        <w:rPr>
          <w:szCs w:val="20"/>
        </w:rPr>
      </w:pPr>
    </w:p>
    <w:p w:rsidR="00DC4ED0" w:rsidRPr="00DC4ED0" w:rsidRDefault="000B4C2B" w:rsidP="001B02E4">
      <w:pPr>
        <w:spacing w:line="20" w:lineRule="atLeast"/>
        <w:jc w:val="both"/>
        <w:rPr>
          <w:b/>
        </w:rPr>
      </w:pPr>
      <w:r>
        <w:rPr>
          <w:b/>
        </w:rPr>
        <w:t xml:space="preserve">1.2 </w:t>
      </w:r>
      <w:r w:rsidR="00DC4ED0" w:rsidRPr="00DC4ED0">
        <w:rPr>
          <w:b/>
        </w:rPr>
        <w:t xml:space="preserve">Yerli </w:t>
      </w:r>
      <w:r w:rsidR="00B81FA6">
        <w:rPr>
          <w:b/>
        </w:rPr>
        <w:t>üretim d</w:t>
      </w:r>
      <w:r w:rsidR="00F655D1" w:rsidRPr="00DC4ED0">
        <w:rPr>
          <w:b/>
        </w:rPr>
        <w:t>alı</w:t>
      </w:r>
      <w:r w:rsidR="00F655D1">
        <w:rPr>
          <w:b/>
        </w:rPr>
        <w:t>nın</w:t>
      </w:r>
      <w:r w:rsidR="00B81FA6">
        <w:rPr>
          <w:b/>
        </w:rPr>
        <w:t xml:space="preserve"> temsil n</w:t>
      </w:r>
      <w:r w:rsidR="00F655D1" w:rsidRPr="00DC4ED0">
        <w:rPr>
          <w:b/>
        </w:rPr>
        <w:t>iteliği</w:t>
      </w:r>
      <w:bookmarkEnd w:id="1"/>
    </w:p>
    <w:p w:rsidR="00E75026" w:rsidRPr="00F71920" w:rsidRDefault="00DC4ED0" w:rsidP="001B02E4">
      <w:pPr>
        <w:spacing w:line="20" w:lineRule="atLeast"/>
        <w:jc w:val="both"/>
        <w:rPr>
          <w:szCs w:val="20"/>
        </w:rPr>
      </w:pPr>
      <w:r w:rsidRPr="00DC4ED0">
        <w:rPr>
          <w:szCs w:val="20"/>
        </w:rPr>
        <w:t xml:space="preserve">(1) </w:t>
      </w:r>
      <w:r w:rsidR="00E75026" w:rsidRPr="00DB77A8">
        <w:rPr>
          <w:szCs w:val="20"/>
        </w:rPr>
        <w:t xml:space="preserve">Başvuru aşamasında ve soruşturma müddetince delillerin incelenmesi neticesinde, </w:t>
      </w:r>
      <w:r w:rsidR="00E75026">
        <w:rPr>
          <w:szCs w:val="20"/>
        </w:rPr>
        <w:t>başvuru sahibi</w:t>
      </w:r>
      <w:r w:rsidR="00E75026" w:rsidRPr="00DB77A8">
        <w:rPr>
          <w:szCs w:val="20"/>
        </w:rPr>
        <w:t xml:space="preserve"> yerli </w:t>
      </w:r>
      <w:r w:rsidR="00E75026">
        <w:rPr>
          <w:szCs w:val="20"/>
        </w:rPr>
        <w:t>üreticilerin Yönetmeliğin 18 inci ve 20 nci maddeleri</w:t>
      </w:r>
      <w:r w:rsidR="00E75026" w:rsidRPr="00DB77A8">
        <w:rPr>
          <w:szCs w:val="20"/>
        </w:rPr>
        <w:t xml:space="preserve"> çerçevesinde yerli üretim dalı</w:t>
      </w:r>
      <w:r w:rsidR="00E75026">
        <w:rPr>
          <w:szCs w:val="20"/>
        </w:rPr>
        <w:t>nı temsil niteliğini haiz oldukları</w:t>
      </w:r>
      <w:r w:rsidR="00E75026" w:rsidRPr="00DB77A8">
        <w:rPr>
          <w:szCs w:val="20"/>
        </w:rPr>
        <w:t xml:space="preserve"> anlaşılmıştır. Bahse konu yerli üretici</w:t>
      </w:r>
      <w:r w:rsidR="00E75026">
        <w:rPr>
          <w:szCs w:val="20"/>
        </w:rPr>
        <w:t>ler</w:t>
      </w:r>
      <w:r w:rsidR="00E75026" w:rsidRPr="00DB77A8">
        <w:rPr>
          <w:szCs w:val="20"/>
        </w:rPr>
        <w:t xml:space="preserve"> bu </w:t>
      </w:r>
      <w:r w:rsidR="00E75026">
        <w:rPr>
          <w:szCs w:val="20"/>
        </w:rPr>
        <w:t xml:space="preserve">raporun </w:t>
      </w:r>
      <w:r w:rsidR="00E75026" w:rsidRPr="00DB77A8">
        <w:rPr>
          <w:szCs w:val="20"/>
        </w:rPr>
        <w:t xml:space="preserve">geri kalan kısımlarında “yerli </w:t>
      </w:r>
      <w:r w:rsidR="00E75026">
        <w:rPr>
          <w:szCs w:val="20"/>
        </w:rPr>
        <w:t>üretim dalı” olarak anılacaktır.</w:t>
      </w:r>
    </w:p>
    <w:p w:rsidR="00452830" w:rsidRDefault="00452830" w:rsidP="001B02E4">
      <w:pPr>
        <w:spacing w:line="20" w:lineRule="atLeast"/>
        <w:jc w:val="both"/>
        <w:rPr>
          <w:szCs w:val="20"/>
        </w:rPr>
      </w:pPr>
    </w:p>
    <w:p w:rsidR="004A59C6" w:rsidRPr="00656016" w:rsidRDefault="000B4C2B" w:rsidP="001B02E4">
      <w:pPr>
        <w:keepNext/>
        <w:spacing w:line="20" w:lineRule="atLeast"/>
        <w:outlineLvl w:val="1"/>
        <w:rPr>
          <w:b/>
        </w:rPr>
      </w:pPr>
      <w:r>
        <w:rPr>
          <w:b/>
        </w:rPr>
        <w:lastRenderedPageBreak/>
        <w:t xml:space="preserve">1.3 </w:t>
      </w:r>
      <w:r w:rsidR="004A59C6" w:rsidRPr="00656016">
        <w:rPr>
          <w:b/>
        </w:rPr>
        <w:t xml:space="preserve">Gözden </w:t>
      </w:r>
      <w:r w:rsidR="00B81FA6">
        <w:rPr>
          <w:b/>
        </w:rPr>
        <w:t>geçirme d</w:t>
      </w:r>
      <w:r w:rsidR="000861D2" w:rsidRPr="00656016">
        <w:rPr>
          <w:b/>
        </w:rPr>
        <w:t xml:space="preserve">önemi </w:t>
      </w:r>
    </w:p>
    <w:p w:rsidR="00E75026" w:rsidRDefault="00EA13DB" w:rsidP="001B02E4">
      <w:pPr>
        <w:spacing w:line="20" w:lineRule="atLeast"/>
        <w:jc w:val="both"/>
      </w:pPr>
      <w:r>
        <w:t>(</w:t>
      </w:r>
      <w:r w:rsidRPr="00EA13DB">
        <w:t xml:space="preserve">1) </w:t>
      </w:r>
      <w:bookmarkStart w:id="2" w:name="_Toc317854277"/>
      <w:r w:rsidR="00E75026" w:rsidRPr="00E75026">
        <w:t>Önlemin yürürlükten kalkması durumunda, dampingin ve zararın devamı veya yeniden meydana gelmesinin muhtemel olup olmadığının tespiti için 1/1/2015–31/12/2017 arasındaki dönem gözden geçirme dönemi olarak alınmıştır.</w:t>
      </w:r>
    </w:p>
    <w:p w:rsidR="00B81FA6" w:rsidRDefault="00B81FA6" w:rsidP="001B02E4">
      <w:pPr>
        <w:spacing w:line="20" w:lineRule="atLeast"/>
        <w:jc w:val="both"/>
      </w:pPr>
    </w:p>
    <w:p w:rsidR="00B81FA6" w:rsidRDefault="00B81FA6" w:rsidP="001B02E4">
      <w:pPr>
        <w:spacing w:line="20" w:lineRule="atLeast"/>
        <w:jc w:val="both"/>
      </w:pPr>
    </w:p>
    <w:p w:rsidR="00B81FA6" w:rsidRDefault="00B81FA6" w:rsidP="001B02E4">
      <w:pPr>
        <w:spacing w:line="20" w:lineRule="atLeast"/>
        <w:jc w:val="both"/>
      </w:pPr>
    </w:p>
    <w:p w:rsidR="00DC4ED0" w:rsidRPr="00DC4ED0" w:rsidRDefault="000B4C2B" w:rsidP="001B02E4">
      <w:pPr>
        <w:spacing w:line="20" w:lineRule="atLeast"/>
        <w:jc w:val="both"/>
        <w:rPr>
          <w:b/>
        </w:rPr>
      </w:pPr>
      <w:r>
        <w:rPr>
          <w:b/>
        </w:rPr>
        <w:t xml:space="preserve">1.4 </w:t>
      </w:r>
      <w:r w:rsidR="00DC4ED0" w:rsidRPr="00DC4ED0">
        <w:rPr>
          <w:b/>
        </w:rPr>
        <w:t xml:space="preserve">İlgili </w:t>
      </w:r>
      <w:r w:rsidR="00B81FA6">
        <w:rPr>
          <w:b/>
        </w:rPr>
        <w:t>tarafların b</w:t>
      </w:r>
      <w:r w:rsidR="000861D2">
        <w:rPr>
          <w:b/>
        </w:rPr>
        <w:t>ilgilendirilmesi v</w:t>
      </w:r>
      <w:r w:rsidR="00B81FA6">
        <w:rPr>
          <w:b/>
        </w:rPr>
        <w:t>e toplanan bilgilerin d</w:t>
      </w:r>
      <w:r w:rsidR="000861D2" w:rsidRPr="00DC4ED0">
        <w:rPr>
          <w:b/>
        </w:rPr>
        <w:t>eğerlendirilmesi</w:t>
      </w:r>
      <w:bookmarkEnd w:id="2"/>
    </w:p>
    <w:p w:rsidR="00E75026" w:rsidRPr="00E75026" w:rsidRDefault="00E75026" w:rsidP="001B02E4">
      <w:pPr>
        <w:spacing w:line="20" w:lineRule="atLeast"/>
        <w:jc w:val="both"/>
        <w:rPr>
          <w:szCs w:val="20"/>
        </w:rPr>
      </w:pPr>
      <w:r w:rsidRPr="00E75026">
        <w:rPr>
          <w:szCs w:val="20"/>
        </w:rPr>
        <w:t>(1) Soruşturma açılmasını müteakip, önlem konusu ürünün Bakanlık tarafından bilinen önlem konusu ülkedeki üreticilerine/ihracatçılarına, Türkiye’de yerleşik ithalatçılarına ve ayrıca ÇHC’de yerleşik diğer üreticilere/ihracatçılara iletilebilmesini teminen ÇHC’nin Ankara’daki Büyükelçiliğine soruşturmanın açılışına ilişkin bildirimde bulunulmuştur.</w:t>
      </w:r>
    </w:p>
    <w:p w:rsidR="00E75026" w:rsidRPr="00E75026" w:rsidRDefault="00E75026" w:rsidP="001B02E4">
      <w:pPr>
        <w:spacing w:line="20" w:lineRule="atLeast"/>
        <w:ind w:firstLine="708"/>
        <w:jc w:val="both"/>
        <w:rPr>
          <w:szCs w:val="20"/>
        </w:rPr>
      </w:pPr>
    </w:p>
    <w:p w:rsidR="00E75026" w:rsidRPr="00E75026" w:rsidRDefault="00E75026" w:rsidP="001B02E4">
      <w:pPr>
        <w:spacing w:line="20" w:lineRule="atLeast"/>
        <w:jc w:val="both"/>
        <w:rPr>
          <w:szCs w:val="20"/>
        </w:rPr>
      </w:pPr>
      <w:r w:rsidRPr="00E75026">
        <w:rPr>
          <w:szCs w:val="20"/>
        </w:rPr>
        <w:t xml:space="preserve">(2) Bildirimde, soruşturma açılış Tebliğine, başvurunun gizli olmayan metnine ve soru formlarına nereden erişileceği hususunda bilgi verilmiştir. </w:t>
      </w:r>
    </w:p>
    <w:p w:rsidR="00E75026" w:rsidRPr="00E75026" w:rsidRDefault="00E75026" w:rsidP="001B02E4">
      <w:pPr>
        <w:spacing w:line="20" w:lineRule="atLeast"/>
        <w:ind w:firstLine="708"/>
        <w:jc w:val="both"/>
        <w:rPr>
          <w:szCs w:val="20"/>
        </w:rPr>
      </w:pPr>
    </w:p>
    <w:p w:rsidR="00E75026" w:rsidRPr="00E75026" w:rsidRDefault="00E75026" w:rsidP="001B02E4">
      <w:pPr>
        <w:spacing w:line="20" w:lineRule="atLeast"/>
        <w:jc w:val="both"/>
        <w:rPr>
          <w:szCs w:val="20"/>
        </w:rPr>
      </w:pPr>
      <w:r w:rsidRPr="00E75026">
        <w:rPr>
          <w:szCs w:val="20"/>
        </w:rPr>
        <w:t>(3) Taraflara soru formunu yanıtlamaları için posta süresi dâhil 37 gün süre tanınmıştır. Ayrıca, ilgili tarafların süre uzatımı yönündeki makul talepleri karşılanmıştır.</w:t>
      </w:r>
    </w:p>
    <w:p w:rsidR="00E75026" w:rsidRPr="00E75026" w:rsidRDefault="00E75026" w:rsidP="001B02E4">
      <w:pPr>
        <w:spacing w:line="20" w:lineRule="atLeast"/>
        <w:ind w:firstLine="708"/>
        <w:jc w:val="both"/>
        <w:rPr>
          <w:szCs w:val="20"/>
        </w:rPr>
      </w:pPr>
    </w:p>
    <w:p w:rsidR="00E75026" w:rsidRPr="00E75026" w:rsidRDefault="00E75026" w:rsidP="001B02E4">
      <w:pPr>
        <w:spacing w:line="20" w:lineRule="atLeast"/>
        <w:jc w:val="both"/>
        <w:rPr>
          <w:szCs w:val="20"/>
        </w:rPr>
      </w:pPr>
      <w:r w:rsidRPr="00E75026">
        <w:rPr>
          <w:szCs w:val="20"/>
        </w:rPr>
        <w:t xml:space="preserve">(4) Yerli üretim dalı, soruşturma süresi boyunca Bakanlık ile işbirliği içinde olmuş ve gerektiğinde talep edilen ilave bilgileri temin etmiştir. </w:t>
      </w:r>
    </w:p>
    <w:p w:rsidR="00E75026" w:rsidRPr="00E75026" w:rsidRDefault="00E75026" w:rsidP="001B02E4">
      <w:pPr>
        <w:spacing w:line="20" w:lineRule="atLeast"/>
        <w:ind w:firstLine="708"/>
        <w:jc w:val="both"/>
        <w:rPr>
          <w:szCs w:val="20"/>
        </w:rPr>
      </w:pPr>
    </w:p>
    <w:p w:rsidR="00E75026" w:rsidRPr="00E75026" w:rsidRDefault="00E75026" w:rsidP="001B02E4">
      <w:pPr>
        <w:spacing w:line="20" w:lineRule="atLeast"/>
        <w:jc w:val="both"/>
        <w:rPr>
          <w:szCs w:val="20"/>
        </w:rPr>
      </w:pPr>
      <w:r w:rsidRPr="00E75026">
        <w:rPr>
          <w:szCs w:val="20"/>
        </w:rPr>
        <w:t xml:space="preserve">(5) İthalat gerçekleştirdiği tespit edilen ve kendisine soru formu gönderilmiş olan  firmaların sekiz  tanesinden  soru formuna cevap alınmıştır. </w:t>
      </w:r>
    </w:p>
    <w:p w:rsidR="00E75026" w:rsidRPr="00E75026" w:rsidRDefault="00E75026" w:rsidP="001B02E4">
      <w:pPr>
        <w:spacing w:line="20" w:lineRule="atLeast"/>
        <w:ind w:firstLine="708"/>
        <w:jc w:val="both"/>
        <w:rPr>
          <w:szCs w:val="20"/>
        </w:rPr>
      </w:pPr>
    </w:p>
    <w:p w:rsidR="00E75026" w:rsidRPr="00E75026" w:rsidRDefault="00E75026" w:rsidP="001B02E4">
      <w:pPr>
        <w:spacing w:line="20" w:lineRule="atLeast"/>
        <w:jc w:val="both"/>
        <w:rPr>
          <w:szCs w:val="20"/>
        </w:rPr>
      </w:pPr>
      <w:r w:rsidRPr="00E75026">
        <w:rPr>
          <w:szCs w:val="20"/>
        </w:rPr>
        <w:t xml:space="preserve">(6) Üretici/İhracatçı soru formu ile tacir soru formuna ilişkin olarak üretici/ihracatçı firmaların hiçbirinden cevap alınmamıştır. </w:t>
      </w:r>
    </w:p>
    <w:p w:rsidR="00E75026" w:rsidRPr="00E75026" w:rsidRDefault="00E75026" w:rsidP="001B02E4">
      <w:pPr>
        <w:spacing w:line="20" w:lineRule="atLeast"/>
        <w:ind w:firstLine="708"/>
        <w:jc w:val="both"/>
        <w:rPr>
          <w:szCs w:val="20"/>
        </w:rPr>
      </w:pPr>
    </w:p>
    <w:p w:rsidR="00E75026" w:rsidRPr="00E75026" w:rsidRDefault="00E75026" w:rsidP="001B02E4">
      <w:pPr>
        <w:spacing w:line="20" w:lineRule="atLeast"/>
        <w:jc w:val="both"/>
        <w:rPr>
          <w:szCs w:val="20"/>
        </w:rPr>
      </w:pPr>
      <w:r w:rsidRPr="00E75026">
        <w:rPr>
          <w:szCs w:val="20"/>
        </w:rPr>
        <w:t xml:space="preserve">(7) Soruşturma sonucunda alınacak karara esas teşkil edecek bilgi, bulgu, tespit ve değerlendirmeleri içeren “nihai bildirim raporu” soruşturma sırasında işbirliğinde bulunan ithalatçılara, üretici/ihracatçılara, yerli üreticilere, soruşturma sırasında görüş bildiren diğer ilgili taraflara ve ÇHC’nin Ankara’daki Büyükelçiliğine iletilmiştir. Tüm ilgili taraflara nihai bildirime ilişkin görüş bildirmeleri için yeterli süre tanınmıştır. </w:t>
      </w:r>
    </w:p>
    <w:p w:rsidR="00E75026" w:rsidRPr="00E75026" w:rsidRDefault="00E75026" w:rsidP="001B02E4">
      <w:pPr>
        <w:spacing w:line="20" w:lineRule="atLeast"/>
        <w:ind w:firstLine="708"/>
        <w:jc w:val="both"/>
        <w:rPr>
          <w:szCs w:val="20"/>
        </w:rPr>
      </w:pPr>
      <w:r w:rsidRPr="00E75026">
        <w:rPr>
          <w:szCs w:val="20"/>
        </w:rPr>
        <w:tab/>
      </w:r>
    </w:p>
    <w:p w:rsidR="00E75026" w:rsidRPr="00E75026" w:rsidRDefault="00E75026" w:rsidP="001B02E4">
      <w:pPr>
        <w:spacing w:line="20" w:lineRule="atLeast"/>
        <w:jc w:val="both"/>
        <w:rPr>
          <w:szCs w:val="20"/>
        </w:rPr>
      </w:pPr>
      <w:r w:rsidRPr="00E75026">
        <w:rPr>
          <w:szCs w:val="20"/>
        </w:rPr>
        <w:t>(8) Nihai bildirim sonrasında, ilgili tarafların nihai bildirime ilişkin görüş ve savlarını sözlü olarak da sunmalarına imkân tanımak amacıyla 19 Haziran 2018 tarihinde kamu dinleme toplantısı düzenlenmiştir.</w:t>
      </w:r>
    </w:p>
    <w:p w:rsidR="00E75026" w:rsidRPr="00E75026" w:rsidRDefault="00E75026" w:rsidP="001B02E4">
      <w:pPr>
        <w:spacing w:line="20" w:lineRule="atLeast"/>
        <w:ind w:firstLine="708"/>
        <w:jc w:val="both"/>
        <w:rPr>
          <w:szCs w:val="20"/>
        </w:rPr>
      </w:pPr>
    </w:p>
    <w:p w:rsidR="00E75026" w:rsidRPr="00E75026" w:rsidRDefault="00E75026" w:rsidP="001B02E4">
      <w:pPr>
        <w:spacing w:line="20" w:lineRule="atLeast"/>
        <w:jc w:val="both"/>
        <w:rPr>
          <w:szCs w:val="20"/>
        </w:rPr>
      </w:pPr>
      <w:r w:rsidRPr="00E75026">
        <w:rPr>
          <w:szCs w:val="20"/>
        </w:rPr>
        <w:t>(9) İlgili taraflardan alınan bilgi ve belgelerin gizli olmayan nüshaları talep eden ilgili tarafların bilgisine sunulmak üzere hazır tutulmuştur. Bunun yanı sıra, yerli üreticiler tarafından sunulan başvurunun gizli olmayan nüshaları da soruşturma boyunca soruşturmaya ait web sayfasında hazır tutulmuştur.</w:t>
      </w:r>
    </w:p>
    <w:p w:rsidR="00E75026" w:rsidRPr="00E75026" w:rsidRDefault="00E75026" w:rsidP="001B02E4">
      <w:pPr>
        <w:spacing w:line="20" w:lineRule="atLeast"/>
        <w:ind w:firstLine="708"/>
        <w:jc w:val="both"/>
        <w:rPr>
          <w:szCs w:val="20"/>
        </w:rPr>
      </w:pPr>
    </w:p>
    <w:p w:rsidR="00C9134A" w:rsidRDefault="00E75026" w:rsidP="001B02E4">
      <w:pPr>
        <w:spacing w:line="20" w:lineRule="atLeast"/>
        <w:jc w:val="both"/>
        <w:rPr>
          <w:szCs w:val="20"/>
        </w:rPr>
      </w:pPr>
      <w:r w:rsidRPr="00E75026">
        <w:rPr>
          <w:szCs w:val="20"/>
        </w:rPr>
        <w:t xml:space="preserve">(10) Tarafların soruşturma boyunca ortaya koyduğu tüm bilgi, belge ve görüşler incelenmiş, mezkûr görüşlerden mevzuat kapsamında değerlendirilebilecek olanlarına bu </w:t>
      </w:r>
      <w:r>
        <w:rPr>
          <w:szCs w:val="20"/>
        </w:rPr>
        <w:t>raporun</w:t>
      </w:r>
      <w:r w:rsidRPr="00E75026">
        <w:rPr>
          <w:szCs w:val="20"/>
        </w:rPr>
        <w:t xml:space="preserve"> ilgili bölümlerinde değinilmiştir.</w:t>
      </w:r>
    </w:p>
    <w:p w:rsidR="00E75026" w:rsidRDefault="00E75026" w:rsidP="001B02E4">
      <w:pPr>
        <w:spacing w:line="20" w:lineRule="atLeast"/>
        <w:ind w:firstLine="708"/>
        <w:jc w:val="both"/>
      </w:pPr>
    </w:p>
    <w:p w:rsidR="001A5EA8" w:rsidRDefault="000B4C2B" w:rsidP="001B02E4">
      <w:pPr>
        <w:keepNext/>
        <w:spacing w:line="20" w:lineRule="atLeast"/>
        <w:outlineLvl w:val="0"/>
        <w:rPr>
          <w:b/>
        </w:rPr>
      </w:pPr>
      <w:bookmarkStart w:id="3" w:name="_Toc317854281"/>
      <w:r>
        <w:rPr>
          <w:b/>
        </w:rPr>
        <w:t xml:space="preserve">2. </w:t>
      </w:r>
      <w:r w:rsidR="00EE6B4F">
        <w:rPr>
          <w:b/>
        </w:rPr>
        <w:t xml:space="preserve">ÖNLEM </w:t>
      </w:r>
      <w:r w:rsidRPr="001A5EA8">
        <w:rPr>
          <w:b/>
        </w:rPr>
        <w:t>KONUSU ÜRÜN VE BENZER ÜRÜN</w:t>
      </w:r>
      <w:bookmarkEnd w:id="3"/>
    </w:p>
    <w:p w:rsidR="00EE6B4F" w:rsidRDefault="00EA13DB" w:rsidP="001B02E4">
      <w:pPr>
        <w:spacing w:line="20" w:lineRule="atLeast"/>
        <w:jc w:val="both"/>
        <w:rPr>
          <w:noProof/>
        </w:rPr>
      </w:pPr>
      <w:r>
        <w:rPr>
          <w:noProof/>
        </w:rPr>
        <w:t xml:space="preserve">(1) </w:t>
      </w:r>
      <w:r w:rsidR="00EE6B4F">
        <w:rPr>
          <w:noProof/>
        </w:rPr>
        <w:t xml:space="preserve">Önleme tabi ürün, 6902.10.00.10.11 GTİP altında kayıtlı “kromit ateş tuğlalar”, 6902.10.00.10.12 GTİP altında kayıtlı “magnezit ateş tuğlalar”, 6902.10.00.10.13 GTİP </w:t>
      </w:r>
      <w:r w:rsidR="00EE6B4F">
        <w:rPr>
          <w:noProof/>
        </w:rPr>
        <w:lastRenderedPageBreak/>
        <w:t>altında kayıtlı “krom magnezit ateş tuğlalar” ve 6815.91 GTP altında kayıtlı “magnezit, dolomit veya kromit içerenler (dolomit içerenler hariç; magnezyum oksit esaslı, 3mm ile 30 mm arası kalınlıklarda yapı levhaları hariç)”dir. Önlem konusu ürünün bir alt tipi olan magnezit karbon tuğlalar, %80–%95 oranında magnezit (sinter magnezit, ergitilmiş magnezit veya deniz suyu magneziti) ve %5–%20 oranında grafit ilave edilerek üretilmektedir. Tuğlaların şekillendirilmesi sırasında %3-%4 oranında katı/sıvı reçine bağlayıcı olarak ilave edilmektedir. Ayrıca, teknik ihtiyaca göre %2-%4 oranında metalik alüminyum veya metalik silis ilave edilebilir. Hazırlanan karışımlar mikserde karıştırıldıktan sonra 1250–2500 tonluk preslerde şekillendir</w:t>
      </w:r>
      <w:r w:rsidR="00AE7CCD">
        <w:rPr>
          <w:noProof/>
        </w:rPr>
        <w:t>ilmektedir. Sonrasında 230–320˚</w:t>
      </w:r>
      <w:r w:rsidR="00EE6B4F">
        <w:rPr>
          <w:noProof/>
        </w:rPr>
        <w:t>C’deki temper fırınlarda temperlenmektedir. Magnezit karbon tuğlalar, %3-6 porozite içermekte olup yoğunlukları 2.85–3.05 g/cm3 aralığındadır. Ayrıca 300–500 kg/cm2 soğukta kırılma mukavemetlerine sahiptirler.</w:t>
      </w:r>
    </w:p>
    <w:p w:rsidR="00EE6B4F" w:rsidRDefault="00EE6B4F" w:rsidP="001B02E4">
      <w:pPr>
        <w:spacing w:line="20" w:lineRule="atLeast"/>
        <w:jc w:val="both"/>
        <w:rPr>
          <w:noProof/>
        </w:rPr>
      </w:pPr>
    </w:p>
    <w:p w:rsidR="00EE6B4F" w:rsidRDefault="00EE6B4F" w:rsidP="001B02E4">
      <w:pPr>
        <w:spacing w:line="20" w:lineRule="atLeast"/>
        <w:jc w:val="both"/>
        <w:rPr>
          <w:noProof/>
        </w:rPr>
      </w:pPr>
      <w:r>
        <w:rPr>
          <w:noProof/>
        </w:rPr>
        <w:t>(2) Önlem konusu ürünün bir diğer alt tipi olan magnezit tuğlalar, farklı tane boyutlarındaki magnezitin (sinter magnezit, deniz suyu magneziti veya ergitilmiş magnezit)  uygun bağlayıcılar ile mikserde karıştırılıp 1250–2500 ton kapasiteli preslerde şekillendirilmesi ile üretilmektedir. Şek</w:t>
      </w:r>
      <w:r w:rsidR="00AE7CCD">
        <w:rPr>
          <w:noProof/>
        </w:rPr>
        <w:t>illendirilen tuğlalar 1500–1750 ˚</w:t>
      </w:r>
      <w:r>
        <w:rPr>
          <w:noProof/>
        </w:rPr>
        <w:t>C’deki tünel fırınlarda pişirilmektedir. Pişmiş magnezit tuğlalar %12-%20 porozite içermekte olup yoğunlukları 2.90–3.10 g/cm3 aralığındadır. Ayrıca 400–800 kg/cm2 soğukta kırılma mukavemetlerine sahiptirler.</w:t>
      </w:r>
    </w:p>
    <w:p w:rsidR="00EE6B4F" w:rsidRDefault="00EE6B4F" w:rsidP="001B02E4">
      <w:pPr>
        <w:spacing w:line="20" w:lineRule="atLeast"/>
        <w:jc w:val="both"/>
        <w:rPr>
          <w:noProof/>
        </w:rPr>
      </w:pPr>
    </w:p>
    <w:p w:rsidR="00EE6B4F" w:rsidRDefault="00EE6B4F" w:rsidP="001B02E4">
      <w:pPr>
        <w:spacing w:line="20" w:lineRule="atLeast"/>
        <w:jc w:val="both"/>
        <w:rPr>
          <w:noProof/>
        </w:rPr>
      </w:pPr>
      <w:r>
        <w:rPr>
          <w:noProof/>
        </w:rPr>
        <w:t>(3) Önlem konusu ürünün bir diğer alt tipi olan magnezit krom tuğlalar, %40–%90 oranında farklı tane boyutlarındaki magnezitin (sinter magnezit, deniz suyu magneziti veya ergitil</w:t>
      </w:r>
      <w:r w:rsidR="00AE7CCD">
        <w:rPr>
          <w:noProof/>
        </w:rPr>
        <w:t xml:space="preserve">miş magnezit) </w:t>
      </w:r>
      <w:r>
        <w:rPr>
          <w:noProof/>
        </w:rPr>
        <w:t xml:space="preserve">%10–%60 oranında kromit veya oksikromun uygun bağlayıcılar ile mikserde karıştırılıp 1250–2500 ton kapasiteli preslerde şekillendirilmesi ile üretilir. Şekillendirilen tuğlalar 1500– 750 </w:t>
      </w:r>
      <w:r w:rsidR="00AE7CCD">
        <w:rPr>
          <w:noProof/>
        </w:rPr>
        <w:t>˚</w:t>
      </w:r>
      <w:r>
        <w:rPr>
          <w:noProof/>
        </w:rPr>
        <w:t>C’deki tünel fırınlarda pişirilmektedir. Pişmiş magnezit krom tuğlalar %14-%20 porozite içermekte olup yoğunlukları 2.90–3.30 g/cm3 aralığındadır. Ayrıca 400–800 kg/cm2 soğukta kırılma mukavemetlerine sahiptirler.</w:t>
      </w:r>
    </w:p>
    <w:p w:rsidR="00EE6B4F" w:rsidRDefault="00EE6B4F" w:rsidP="001B02E4">
      <w:pPr>
        <w:spacing w:line="20" w:lineRule="atLeast"/>
        <w:jc w:val="both"/>
        <w:rPr>
          <w:noProof/>
        </w:rPr>
      </w:pPr>
    </w:p>
    <w:p w:rsidR="00EE6B4F" w:rsidRDefault="00EE6B4F" w:rsidP="001B02E4">
      <w:pPr>
        <w:spacing w:line="20" w:lineRule="atLeast"/>
        <w:jc w:val="both"/>
        <w:rPr>
          <w:noProof/>
        </w:rPr>
      </w:pPr>
      <w:r>
        <w:rPr>
          <w:noProof/>
        </w:rPr>
        <w:t>(4) Önlem konusu ürünün bir diğer alt tipi olan magnezit spinel tuğlalar %78–%94 oranında farklı tane boyutlarındaki magnezitin (sinter magnezit, deniz suyu magneziti veya ergitilmiş magnezit)  %6–%22 oranında alumina magnesia spinelin uygun bağlayıcılar ile mikserde karıştırılıp 1250–2500 ton kapasiteli preslerde şekillendirilmesi ile üretilir. Şeki</w:t>
      </w:r>
      <w:r w:rsidR="00AE7CCD">
        <w:rPr>
          <w:noProof/>
        </w:rPr>
        <w:t>llendirilen tuğlalar 1500–1750 ˚</w:t>
      </w:r>
      <w:r>
        <w:rPr>
          <w:noProof/>
        </w:rPr>
        <w:t>C’deki tünel fırınlarda pişirilmektedir. Pişmiş magnezit spinel tuğlalar %15-% 20 porozite içermekte olup yoğunlukları 2.80–3.05 g/cm3 aralığındadır. Ayrıca 350–800 kg/cm2 soğukta kırılma mukavemetlerine sahiptirler.</w:t>
      </w:r>
    </w:p>
    <w:p w:rsidR="00EE6B4F" w:rsidRDefault="00EE6B4F" w:rsidP="001B02E4">
      <w:pPr>
        <w:spacing w:line="20" w:lineRule="atLeast"/>
        <w:jc w:val="both"/>
        <w:rPr>
          <w:noProof/>
        </w:rPr>
      </w:pPr>
    </w:p>
    <w:p w:rsidR="00EE6B4F" w:rsidRDefault="00EE6B4F" w:rsidP="001B02E4">
      <w:pPr>
        <w:spacing w:line="20" w:lineRule="atLeast"/>
        <w:jc w:val="both"/>
        <w:rPr>
          <w:noProof/>
        </w:rPr>
      </w:pPr>
      <w:r>
        <w:rPr>
          <w:noProof/>
        </w:rPr>
        <w:t>(5) Magnezit karbon tuğlalar, genel olarak çelik sanayinde pota, elektrik ark ocağı ve konverterlerde kullanılmaktadır. Magnezit tuğlalarının kullanıldığı sektörler ise çelik, çimento, demir dışı metaller, cam ve kireç üretim sanayileridir. Magnezit kom tuğlalar çelik sektöründe kurşun ve bakır dökümü ile çimento sektöründe kullanılmaktadır. Magnezit spinel tuğlalar ise çimento ve kireç sanayiinde, döner ve dikey fırınlarda kullanılmaktadır.</w:t>
      </w:r>
    </w:p>
    <w:p w:rsidR="00EE6B4F" w:rsidRDefault="00EE6B4F" w:rsidP="001B02E4">
      <w:pPr>
        <w:spacing w:line="20" w:lineRule="atLeast"/>
        <w:jc w:val="both"/>
        <w:rPr>
          <w:noProof/>
        </w:rPr>
      </w:pPr>
    </w:p>
    <w:p w:rsidR="00EE6B4F" w:rsidRDefault="00EE6B4F" w:rsidP="001B02E4">
      <w:pPr>
        <w:spacing w:line="20" w:lineRule="atLeast"/>
        <w:jc w:val="both"/>
        <w:rPr>
          <w:noProof/>
        </w:rPr>
      </w:pPr>
      <w:r>
        <w:rPr>
          <w:noProof/>
        </w:rPr>
        <w:t xml:space="preserve"> (6) Yerli üretim dalı tarafından üretilen ateş tuğlaları ile önlem konusu ülke menşeli ateş tuğlalarının benzer ürün olduğu tespiti, İthalatta Haksız Rekabetin Önlenmesine İlişkin Tebliğ (Tebliğ No:2007/11) ile sonuçlandırılan önleme esas soruşturmada (esas soruşturma) yapılmıştır. Bu soruşturmada ise, yerli üretim dalı tarafından üretilen ateş tuğlaları ile önlem konusu ülkeden ithal edilen önleme konu ürünün işlevsel özellikleri, fiziksel özellikleri, kullanım alanları, dağıtım kanalları, kullanıcıların ürünü algılaması ve ürünlerin birbirini ikame edebilmeleri açısından benzer ürün olma durumlarını ortadan kaldıracak bir değişiklik </w:t>
      </w:r>
      <w:r>
        <w:rPr>
          <w:noProof/>
        </w:rPr>
        <w:lastRenderedPageBreak/>
        <w:t>olduğuna dair bir tespitte bulunulmamıştır.  Bu nedenle, söz konusu ürünlerin benzer ürün olduğu tespiti geçerliliğini korumaktadır.</w:t>
      </w:r>
    </w:p>
    <w:p w:rsidR="00EE6B4F" w:rsidRDefault="00EE6B4F" w:rsidP="001B02E4">
      <w:pPr>
        <w:spacing w:line="20" w:lineRule="atLeast"/>
        <w:jc w:val="both"/>
        <w:rPr>
          <w:noProof/>
        </w:rPr>
      </w:pPr>
    </w:p>
    <w:p w:rsidR="00EA13DB" w:rsidRDefault="00EE6B4F" w:rsidP="001B02E4">
      <w:pPr>
        <w:spacing w:line="20" w:lineRule="atLeast"/>
        <w:jc w:val="both"/>
        <w:rPr>
          <w:noProof/>
        </w:rPr>
      </w:pPr>
      <w:r>
        <w:rPr>
          <w:noProof/>
        </w:rPr>
        <w:t>(7) Önlem konusu ürün ile ilgili açıklamalar genel içeriklidir ve bilgilendirme amacını taşımaktadır.</w:t>
      </w:r>
    </w:p>
    <w:p w:rsidR="00EE6B4F" w:rsidRPr="00551AAB" w:rsidRDefault="00EE6B4F" w:rsidP="001B02E4">
      <w:pPr>
        <w:spacing w:line="20" w:lineRule="atLeast"/>
        <w:jc w:val="both"/>
      </w:pPr>
    </w:p>
    <w:p w:rsidR="00F32FD2" w:rsidRPr="0053312B" w:rsidRDefault="000B4C2B" w:rsidP="001B02E4">
      <w:pPr>
        <w:pStyle w:val="Balk1"/>
        <w:spacing w:line="20" w:lineRule="atLeast"/>
        <w:jc w:val="left"/>
        <w:rPr>
          <w:rFonts w:ascii="Times New Roman" w:hAnsi="Times New Roman" w:cs="Times New Roman"/>
          <w:bCs w:val="0"/>
          <w:sz w:val="24"/>
          <w:szCs w:val="24"/>
          <w:lang w:eastAsia="tr-TR"/>
        </w:rPr>
      </w:pPr>
      <w:bookmarkStart w:id="4" w:name="_Toc317854284"/>
      <w:r>
        <w:rPr>
          <w:rFonts w:ascii="Times New Roman" w:hAnsi="Times New Roman" w:cs="Times New Roman"/>
          <w:bCs w:val="0"/>
          <w:sz w:val="24"/>
          <w:szCs w:val="24"/>
          <w:lang w:eastAsia="tr-TR"/>
        </w:rPr>
        <w:t xml:space="preserve">3. </w:t>
      </w:r>
      <w:r w:rsidRPr="0053312B">
        <w:rPr>
          <w:rFonts w:ascii="Times New Roman" w:hAnsi="Times New Roman" w:cs="Times New Roman"/>
          <w:bCs w:val="0"/>
          <w:sz w:val="24"/>
          <w:szCs w:val="24"/>
          <w:lang w:eastAsia="tr-TR"/>
        </w:rPr>
        <w:t xml:space="preserve">DAMPİNGİN DEVAMI </w:t>
      </w:r>
      <w:r>
        <w:rPr>
          <w:rFonts w:ascii="Times New Roman" w:hAnsi="Times New Roman" w:cs="Times New Roman"/>
          <w:bCs w:val="0"/>
          <w:sz w:val="24"/>
          <w:szCs w:val="24"/>
          <w:lang w:eastAsia="tr-TR"/>
        </w:rPr>
        <w:t xml:space="preserve">VEYA </w:t>
      </w:r>
      <w:r w:rsidRPr="0053312B">
        <w:rPr>
          <w:rFonts w:ascii="Times New Roman" w:hAnsi="Times New Roman" w:cs="Times New Roman"/>
          <w:bCs w:val="0"/>
          <w:sz w:val="24"/>
          <w:szCs w:val="24"/>
          <w:lang w:eastAsia="tr-TR"/>
        </w:rPr>
        <w:t>YENİDEN MEYDANA GELMESİ İHTİMALİ</w:t>
      </w:r>
      <w:bookmarkEnd w:id="4"/>
    </w:p>
    <w:p w:rsidR="00146208" w:rsidRPr="00146208" w:rsidRDefault="000B4C2B" w:rsidP="001B02E4">
      <w:pPr>
        <w:keepNext/>
        <w:spacing w:line="20" w:lineRule="atLeast"/>
        <w:outlineLvl w:val="1"/>
        <w:rPr>
          <w:b/>
        </w:rPr>
      </w:pPr>
      <w:bookmarkStart w:id="5" w:name="_Toc317854285"/>
      <w:r>
        <w:rPr>
          <w:b/>
        </w:rPr>
        <w:t xml:space="preserve">3.1 </w:t>
      </w:r>
      <w:r w:rsidR="00146208" w:rsidRPr="00146208">
        <w:rPr>
          <w:b/>
        </w:rPr>
        <w:t xml:space="preserve">Genel </w:t>
      </w:r>
      <w:r w:rsidR="00B81FA6">
        <w:rPr>
          <w:b/>
        </w:rPr>
        <w:t>a</w:t>
      </w:r>
      <w:r w:rsidR="000861D2" w:rsidRPr="00146208">
        <w:rPr>
          <w:b/>
        </w:rPr>
        <w:t>çıklamalar</w:t>
      </w:r>
      <w:bookmarkEnd w:id="5"/>
      <w:r w:rsidR="000861D2" w:rsidRPr="00146208">
        <w:rPr>
          <w:b/>
        </w:rPr>
        <w:t xml:space="preserve"> </w:t>
      </w:r>
    </w:p>
    <w:p w:rsidR="00C16541" w:rsidRDefault="00146208" w:rsidP="001B02E4">
      <w:pPr>
        <w:spacing w:line="20" w:lineRule="atLeast"/>
        <w:jc w:val="both"/>
        <w:outlineLvl w:val="0"/>
        <w:rPr>
          <w:bCs/>
          <w:szCs w:val="20"/>
        </w:rPr>
      </w:pPr>
      <w:r w:rsidRPr="00146208">
        <w:rPr>
          <w:bCs/>
          <w:szCs w:val="20"/>
        </w:rPr>
        <w:t>(1</w:t>
      </w:r>
      <w:r w:rsidRPr="00146208">
        <w:rPr>
          <w:szCs w:val="20"/>
        </w:rPr>
        <w:t xml:space="preserve">) </w:t>
      </w:r>
      <w:r w:rsidR="00C16541" w:rsidRPr="009D25BB">
        <w:rPr>
          <w:bCs/>
          <w:szCs w:val="20"/>
        </w:rPr>
        <w:t xml:space="preserve">Yönetmeliğin 35 inci maddesi çerçevesinde </w:t>
      </w:r>
      <w:r w:rsidR="00C16541">
        <w:rPr>
          <w:bCs/>
          <w:szCs w:val="20"/>
        </w:rPr>
        <w:t>önlemin</w:t>
      </w:r>
      <w:r w:rsidR="00C16541" w:rsidRPr="009D25BB">
        <w:rPr>
          <w:bCs/>
          <w:szCs w:val="20"/>
        </w:rPr>
        <w:t xml:space="preserve"> yürürlükten kalkması halinde dampingin devam etmesinin veya yeniden meydana gelmesinin muhtemel olup olmadığı incelenmiştir. </w:t>
      </w:r>
    </w:p>
    <w:p w:rsidR="00C16541" w:rsidRDefault="00C16541" w:rsidP="001B02E4">
      <w:pPr>
        <w:spacing w:line="20" w:lineRule="atLeast"/>
        <w:ind w:firstLine="709"/>
        <w:jc w:val="both"/>
        <w:outlineLvl w:val="0"/>
        <w:rPr>
          <w:bCs/>
        </w:rPr>
      </w:pPr>
      <w:r w:rsidRPr="00344B7E">
        <w:rPr>
          <w:bCs/>
        </w:rPr>
        <w:t xml:space="preserve"> </w:t>
      </w:r>
    </w:p>
    <w:p w:rsidR="00C16541" w:rsidRPr="00344B7E" w:rsidRDefault="00C16541" w:rsidP="001B02E4">
      <w:pPr>
        <w:spacing w:line="20" w:lineRule="atLeast"/>
        <w:jc w:val="both"/>
        <w:outlineLvl w:val="0"/>
        <w:rPr>
          <w:bCs/>
        </w:rPr>
      </w:pPr>
      <w:r w:rsidRPr="00344B7E">
        <w:rPr>
          <w:bCs/>
        </w:rPr>
        <w:t>(</w:t>
      </w:r>
      <w:r>
        <w:rPr>
          <w:bCs/>
        </w:rPr>
        <w:t>2</w:t>
      </w:r>
      <w:r w:rsidRPr="00344B7E">
        <w:t>)</w:t>
      </w:r>
      <w:r>
        <w:t xml:space="preserve"> Yönetmeliğin 41 inci maddesi çerçevesinde</w:t>
      </w:r>
      <w:r w:rsidRPr="0074251B">
        <w:t xml:space="preserve"> </w:t>
      </w:r>
      <w:r>
        <w:t>s</w:t>
      </w:r>
      <w:r w:rsidRPr="0074251B">
        <w:t>oruşturma sırasında yeni</w:t>
      </w:r>
      <w:r>
        <w:t>den</w:t>
      </w:r>
      <w:r w:rsidRPr="0074251B">
        <w:t xml:space="preserve"> damping marjı</w:t>
      </w:r>
      <w:r>
        <w:t xml:space="preserve"> hesaplanmamış, esas soruşturmada </w:t>
      </w:r>
      <w:r w:rsidRPr="0074251B">
        <w:t>h</w:t>
      </w:r>
      <w:r>
        <w:t>esaplanmış olan damping marjı</w:t>
      </w:r>
      <w:r w:rsidRPr="0074251B">
        <w:t xml:space="preserve"> gösterge olarak dikkate alınmıştır.</w:t>
      </w:r>
    </w:p>
    <w:p w:rsidR="00642A1A" w:rsidRDefault="00642A1A" w:rsidP="001B02E4">
      <w:pPr>
        <w:spacing w:line="20" w:lineRule="atLeast"/>
        <w:ind w:firstLine="709"/>
        <w:jc w:val="both"/>
        <w:outlineLvl w:val="0"/>
        <w:rPr>
          <w:bCs/>
          <w:szCs w:val="20"/>
        </w:rPr>
      </w:pPr>
    </w:p>
    <w:p w:rsidR="009610F2" w:rsidRDefault="000B4C2B" w:rsidP="001B02E4">
      <w:pPr>
        <w:pStyle w:val="Balk2"/>
        <w:pBdr>
          <w:top w:val="none" w:sz="0" w:space="0" w:color="auto"/>
          <w:left w:val="none" w:sz="0" w:space="0" w:color="auto"/>
          <w:bottom w:val="none" w:sz="0" w:space="0" w:color="auto"/>
          <w:right w:val="none" w:sz="0" w:space="0" w:color="auto"/>
        </w:pBdr>
        <w:spacing w:line="20" w:lineRule="atLeast"/>
        <w:jc w:val="left"/>
        <w:rPr>
          <w:rFonts w:ascii="Times New Roman" w:hAnsi="Times New Roman"/>
          <w:sz w:val="24"/>
          <w:szCs w:val="24"/>
        </w:rPr>
      </w:pPr>
      <w:bookmarkStart w:id="6" w:name="_Toc239562553"/>
      <w:r>
        <w:rPr>
          <w:rFonts w:ascii="Times New Roman" w:hAnsi="Times New Roman"/>
          <w:sz w:val="24"/>
          <w:szCs w:val="24"/>
        </w:rPr>
        <w:t xml:space="preserve">3.2 </w:t>
      </w:r>
      <w:r w:rsidR="00B81FA6">
        <w:rPr>
          <w:rFonts w:ascii="Times New Roman" w:hAnsi="Times New Roman"/>
          <w:sz w:val="24"/>
          <w:szCs w:val="24"/>
        </w:rPr>
        <w:t>Esas s</w:t>
      </w:r>
      <w:r w:rsidR="00250D34">
        <w:rPr>
          <w:rFonts w:ascii="Times New Roman" w:hAnsi="Times New Roman"/>
          <w:sz w:val="24"/>
          <w:szCs w:val="24"/>
        </w:rPr>
        <w:t>oruşturma</w:t>
      </w:r>
      <w:r w:rsidR="009610F2">
        <w:rPr>
          <w:rFonts w:ascii="Times New Roman" w:hAnsi="Times New Roman"/>
          <w:sz w:val="24"/>
          <w:szCs w:val="24"/>
        </w:rPr>
        <w:t>d</w:t>
      </w:r>
      <w:r w:rsidR="00250D34">
        <w:rPr>
          <w:rFonts w:ascii="Times New Roman" w:hAnsi="Times New Roman"/>
          <w:sz w:val="24"/>
          <w:szCs w:val="24"/>
        </w:rPr>
        <w:t>a</w:t>
      </w:r>
      <w:r w:rsidR="00B81FA6">
        <w:rPr>
          <w:rFonts w:ascii="Times New Roman" w:hAnsi="Times New Roman"/>
          <w:sz w:val="24"/>
          <w:szCs w:val="24"/>
        </w:rPr>
        <w:t xml:space="preserve"> tespit edilen damping m</w:t>
      </w:r>
      <w:r w:rsidR="009610F2" w:rsidRPr="00595D1A">
        <w:rPr>
          <w:rFonts w:ascii="Times New Roman" w:hAnsi="Times New Roman"/>
          <w:sz w:val="24"/>
          <w:szCs w:val="24"/>
        </w:rPr>
        <w:t>arj</w:t>
      </w:r>
      <w:bookmarkEnd w:id="6"/>
      <w:r w:rsidR="009610F2">
        <w:rPr>
          <w:rFonts w:ascii="Times New Roman" w:hAnsi="Times New Roman"/>
          <w:sz w:val="24"/>
          <w:szCs w:val="24"/>
        </w:rPr>
        <w:t>ları</w:t>
      </w:r>
    </w:p>
    <w:p w:rsidR="005E5061" w:rsidRPr="00465AF9" w:rsidRDefault="00EA13DB" w:rsidP="001B02E4">
      <w:pPr>
        <w:spacing w:line="20" w:lineRule="atLeast"/>
        <w:jc w:val="both"/>
      </w:pPr>
      <w:r w:rsidRPr="007545D0">
        <w:rPr>
          <w:bCs/>
        </w:rPr>
        <w:t xml:space="preserve">(1) </w:t>
      </w:r>
      <w:r w:rsidR="005E5061" w:rsidRPr="00465AF9">
        <w:t xml:space="preserve">Esas soruşturmada </w:t>
      </w:r>
      <w:r w:rsidR="005E5061">
        <w:t>tespit edilen damping marjı</w:t>
      </w:r>
      <w:r w:rsidR="005E5061" w:rsidRPr="00465AF9">
        <w:t xml:space="preserve">, önlemin uygulanmadığı ortamda ihracatçı firmaların davranışlarını ve </w:t>
      </w:r>
      <w:r w:rsidR="005E5061">
        <w:t>dampinge konu ithalatın muhtemel seviyesini</w:t>
      </w:r>
      <w:r w:rsidR="005E5061" w:rsidRPr="00465AF9">
        <w:t xml:space="preserve"> göstermesi açısından önem taşımaktadır. </w:t>
      </w:r>
    </w:p>
    <w:p w:rsidR="005E5061" w:rsidRPr="00C8797E" w:rsidRDefault="005E5061" w:rsidP="001B02E4">
      <w:pPr>
        <w:spacing w:line="20" w:lineRule="atLeast"/>
        <w:jc w:val="both"/>
        <w:rPr>
          <w:highlight w:val="yellow"/>
        </w:rPr>
      </w:pPr>
    </w:p>
    <w:p w:rsidR="005E5061" w:rsidRDefault="005E5061" w:rsidP="001B02E4">
      <w:pPr>
        <w:pStyle w:val="Balk2"/>
        <w:pBdr>
          <w:top w:val="none" w:sz="0" w:space="0" w:color="auto"/>
          <w:left w:val="none" w:sz="0" w:space="0" w:color="auto"/>
          <w:bottom w:val="none" w:sz="0" w:space="0" w:color="auto"/>
          <w:right w:val="none" w:sz="0" w:space="0" w:color="auto"/>
        </w:pBdr>
        <w:spacing w:line="20" w:lineRule="atLeast"/>
        <w:jc w:val="both"/>
        <w:rPr>
          <w:rFonts w:ascii="Times New Roman" w:hAnsi="Times New Roman"/>
          <w:b w:val="0"/>
          <w:sz w:val="24"/>
          <w:szCs w:val="24"/>
        </w:rPr>
      </w:pPr>
      <w:r w:rsidRPr="00EF0050">
        <w:rPr>
          <w:rFonts w:ascii="Times New Roman" w:hAnsi="Times New Roman"/>
          <w:b w:val="0"/>
          <w:sz w:val="24"/>
          <w:szCs w:val="24"/>
        </w:rPr>
        <w:t xml:space="preserve">(2) Buna göre, </w:t>
      </w:r>
      <w:r w:rsidRPr="00DD37EE">
        <w:rPr>
          <w:rFonts w:ascii="Times New Roman" w:hAnsi="Times New Roman"/>
          <w:b w:val="0"/>
          <w:sz w:val="24"/>
          <w:szCs w:val="24"/>
        </w:rPr>
        <w:t xml:space="preserve">İthalatta Haksız </w:t>
      </w:r>
      <w:r>
        <w:rPr>
          <w:rFonts w:ascii="Times New Roman" w:hAnsi="Times New Roman"/>
          <w:b w:val="0"/>
          <w:sz w:val="24"/>
          <w:szCs w:val="24"/>
        </w:rPr>
        <w:t xml:space="preserve">Rekabetin Önlenmesine İlişkin </w:t>
      </w:r>
      <w:r w:rsidRPr="00DD37EE">
        <w:rPr>
          <w:rFonts w:ascii="Times New Roman" w:hAnsi="Times New Roman"/>
          <w:b w:val="0"/>
          <w:sz w:val="24"/>
          <w:szCs w:val="24"/>
        </w:rPr>
        <w:t xml:space="preserve">Tebliğ (Tebliğ No:2007/11) </w:t>
      </w:r>
      <w:r w:rsidRPr="00EF0050">
        <w:rPr>
          <w:rFonts w:ascii="Times New Roman" w:hAnsi="Times New Roman"/>
          <w:b w:val="0"/>
          <w:sz w:val="24"/>
          <w:szCs w:val="24"/>
        </w:rPr>
        <w:t>ile tamamlanan esas soruşturmada</w:t>
      </w:r>
      <w:r>
        <w:rPr>
          <w:rFonts w:ascii="Times New Roman" w:hAnsi="Times New Roman"/>
          <w:b w:val="0"/>
          <w:sz w:val="24"/>
          <w:szCs w:val="24"/>
        </w:rPr>
        <w:t xml:space="preserve"> nispi olarak</w:t>
      </w:r>
      <w:r w:rsidRPr="00EF0050">
        <w:rPr>
          <w:rFonts w:ascii="Times New Roman" w:hAnsi="Times New Roman"/>
          <w:b w:val="0"/>
          <w:sz w:val="24"/>
          <w:szCs w:val="24"/>
        </w:rPr>
        <w:t xml:space="preserve"> </w:t>
      </w:r>
      <w:r>
        <w:rPr>
          <w:rFonts w:ascii="Times New Roman" w:hAnsi="Times New Roman"/>
          <w:b w:val="0"/>
          <w:sz w:val="24"/>
          <w:szCs w:val="24"/>
        </w:rPr>
        <w:t xml:space="preserve">ÇHC için </w:t>
      </w:r>
      <w:r w:rsidRPr="00EF0050">
        <w:rPr>
          <w:rFonts w:ascii="Times New Roman" w:hAnsi="Times New Roman"/>
          <w:b w:val="0"/>
          <w:sz w:val="24"/>
          <w:szCs w:val="24"/>
        </w:rPr>
        <w:t>CIF ihraç fiyatının %</w:t>
      </w:r>
      <w:r>
        <w:rPr>
          <w:rFonts w:ascii="Times New Roman" w:hAnsi="Times New Roman"/>
          <w:b w:val="0"/>
          <w:sz w:val="24"/>
          <w:szCs w:val="24"/>
        </w:rPr>
        <w:t>5</w:t>
      </w:r>
      <w:r w:rsidRPr="00EF0050">
        <w:rPr>
          <w:rFonts w:ascii="Times New Roman" w:hAnsi="Times New Roman"/>
          <w:b w:val="0"/>
          <w:sz w:val="24"/>
          <w:szCs w:val="24"/>
        </w:rPr>
        <w:t>3</w:t>
      </w:r>
      <w:r>
        <w:rPr>
          <w:rFonts w:ascii="Times New Roman" w:hAnsi="Times New Roman"/>
          <w:b w:val="0"/>
          <w:sz w:val="24"/>
          <w:szCs w:val="24"/>
        </w:rPr>
        <w:t>,7</w:t>
      </w:r>
      <w:r w:rsidRPr="00EF0050">
        <w:rPr>
          <w:rFonts w:ascii="Times New Roman" w:hAnsi="Times New Roman"/>
          <w:b w:val="0"/>
          <w:sz w:val="24"/>
          <w:szCs w:val="24"/>
        </w:rPr>
        <w:t>’</w:t>
      </w:r>
      <w:r>
        <w:rPr>
          <w:rFonts w:ascii="Times New Roman" w:hAnsi="Times New Roman"/>
          <w:b w:val="0"/>
          <w:sz w:val="24"/>
          <w:szCs w:val="24"/>
        </w:rPr>
        <w:t>si oranında</w:t>
      </w:r>
      <w:r w:rsidRPr="00EF0050">
        <w:rPr>
          <w:rFonts w:ascii="Times New Roman" w:hAnsi="Times New Roman"/>
          <w:b w:val="0"/>
          <w:sz w:val="24"/>
          <w:szCs w:val="24"/>
        </w:rPr>
        <w:t>;</w:t>
      </w:r>
      <w:r>
        <w:rPr>
          <w:rFonts w:ascii="Times New Roman" w:hAnsi="Times New Roman"/>
          <w:b w:val="0"/>
          <w:sz w:val="24"/>
          <w:szCs w:val="24"/>
        </w:rPr>
        <w:t xml:space="preserve"> mutlak olarak ise </w:t>
      </w:r>
      <w:r w:rsidRPr="00FD12E1">
        <w:rPr>
          <w:rFonts w:ascii="Times New Roman" w:hAnsi="Times New Roman"/>
          <w:b w:val="0"/>
          <w:sz w:val="24"/>
          <w:szCs w:val="24"/>
        </w:rPr>
        <w:t>285 ABD Doları/Ton</w:t>
      </w:r>
      <w:r w:rsidRPr="00EF0050">
        <w:rPr>
          <w:rFonts w:ascii="Times New Roman" w:hAnsi="Times New Roman"/>
          <w:b w:val="0"/>
          <w:sz w:val="24"/>
          <w:szCs w:val="24"/>
        </w:rPr>
        <w:t xml:space="preserve"> </w:t>
      </w:r>
      <w:r>
        <w:rPr>
          <w:rFonts w:ascii="Times New Roman" w:hAnsi="Times New Roman"/>
          <w:b w:val="0"/>
          <w:sz w:val="24"/>
          <w:szCs w:val="24"/>
        </w:rPr>
        <w:t>tutarında damping marjı</w:t>
      </w:r>
      <w:r w:rsidRPr="00EF0050">
        <w:rPr>
          <w:rFonts w:ascii="Times New Roman" w:hAnsi="Times New Roman"/>
          <w:b w:val="0"/>
          <w:sz w:val="24"/>
          <w:szCs w:val="24"/>
        </w:rPr>
        <w:t xml:space="preserve"> belirlenmiştir.</w:t>
      </w:r>
    </w:p>
    <w:p w:rsidR="005E5061" w:rsidRDefault="005E5061" w:rsidP="001B02E4">
      <w:pPr>
        <w:pStyle w:val="Balk2"/>
        <w:pBdr>
          <w:top w:val="none" w:sz="0" w:space="0" w:color="auto"/>
          <w:left w:val="none" w:sz="0" w:space="0" w:color="auto"/>
          <w:bottom w:val="none" w:sz="0" w:space="0" w:color="auto"/>
          <w:right w:val="none" w:sz="0" w:space="0" w:color="auto"/>
        </w:pBdr>
        <w:spacing w:line="20" w:lineRule="atLeast"/>
        <w:jc w:val="left"/>
        <w:rPr>
          <w:rFonts w:ascii="Times New Roman" w:hAnsi="Times New Roman"/>
          <w:sz w:val="24"/>
          <w:szCs w:val="24"/>
        </w:rPr>
      </w:pPr>
    </w:p>
    <w:p w:rsidR="005E5061" w:rsidRPr="001F5049" w:rsidRDefault="005E5061" w:rsidP="001B02E4">
      <w:pPr>
        <w:pStyle w:val="Balk2"/>
        <w:pBdr>
          <w:top w:val="none" w:sz="0" w:space="0" w:color="auto"/>
          <w:left w:val="none" w:sz="0" w:space="0" w:color="auto"/>
          <w:bottom w:val="none" w:sz="0" w:space="0" w:color="auto"/>
          <w:right w:val="none" w:sz="0" w:space="0" w:color="auto"/>
        </w:pBdr>
        <w:spacing w:line="20" w:lineRule="atLeast"/>
        <w:jc w:val="left"/>
        <w:rPr>
          <w:rFonts w:ascii="Times New Roman" w:hAnsi="Times New Roman"/>
          <w:sz w:val="24"/>
          <w:szCs w:val="24"/>
        </w:rPr>
      </w:pPr>
      <w:r w:rsidRPr="005E5061">
        <w:rPr>
          <w:rFonts w:ascii="Times New Roman" w:hAnsi="Times New Roman"/>
          <w:sz w:val="24"/>
          <w:szCs w:val="24"/>
        </w:rPr>
        <w:t>3.3</w:t>
      </w:r>
      <w:r w:rsidRPr="005E5061">
        <w:rPr>
          <w:rFonts w:ascii="Times New Roman" w:hAnsi="Times New Roman"/>
          <w:b w:val="0"/>
          <w:bCs/>
          <w:sz w:val="24"/>
          <w:szCs w:val="24"/>
        </w:rPr>
        <w:t xml:space="preserve"> </w:t>
      </w:r>
      <w:r w:rsidR="00B81FA6">
        <w:rPr>
          <w:rFonts w:ascii="Times New Roman" w:hAnsi="Times New Roman"/>
          <w:sz w:val="24"/>
          <w:szCs w:val="24"/>
        </w:rPr>
        <w:t>Üçüncü ülkelerce uygulanan ticaret p</w:t>
      </w:r>
      <w:r w:rsidRPr="00684B84">
        <w:rPr>
          <w:rFonts w:ascii="Times New Roman" w:hAnsi="Times New Roman"/>
          <w:sz w:val="24"/>
          <w:szCs w:val="24"/>
        </w:rPr>
        <w:t>oli</w:t>
      </w:r>
      <w:r w:rsidR="00B81FA6">
        <w:rPr>
          <w:rFonts w:ascii="Times New Roman" w:hAnsi="Times New Roman"/>
          <w:sz w:val="24"/>
          <w:szCs w:val="24"/>
        </w:rPr>
        <w:t>tikası ö</w:t>
      </w:r>
      <w:r>
        <w:rPr>
          <w:rFonts w:ascii="Times New Roman" w:hAnsi="Times New Roman"/>
          <w:sz w:val="24"/>
          <w:szCs w:val="24"/>
        </w:rPr>
        <w:t>nlemleri</w:t>
      </w:r>
    </w:p>
    <w:p w:rsidR="005E5061" w:rsidRPr="001361BC" w:rsidRDefault="005E5061" w:rsidP="001B02E4">
      <w:pPr>
        <w:keepNext/>
        <w:spacing w:after="100" w:afterAutospacing="1" w:line="20" w:lineRule="atLeast"/>
        <w:jc w:val="both"/>
        <w:outlineLvl w:val="1"/>
        <w:rPr>
          <w:lang w:eastAsia="en-US"/>
        </w:rPr>
      </w:pPr>
      <w:r>
        <w:rPr>
          <w:b/>
          <w:szCs w:val="20"/>
        </w:rPr>
        <w:t>(</w:t>
      </w:r>
      <w:r w:rsidRPr="00146208">
        <w:rPr>
          <w:szCs w:val="20"/>
        </w:rPr>
        <w:t>1)</w:t>
      </w:r>
      <w:r>
        <w:rPr>
          <w:szCs w:val="20"/>
        </w:rPr>
        <w:t xml:space="preserve"> </w:t>
      </w:r>
      <w:r w:rsidRPr="008D5444">
        <w:rPr>
          <w:lang w:eastAsia="en-US"/>
        </w:rPr>
        <w:t>Brezilya tarafından</w:t>
      </w:r>
      <w:r w:rsidRPr="008D5444">
        <w:rPr>
          <w:vertAlign w:val="superscript"/>
          <w:lang w:eastAsia="en-US"/>
        </w:rPr>
        <w:footnoteReference w:id="1"/>
      </w:r>
      <w:r w:rsidRPr="008D5444">
        <w:rPr>
          <w:lang w:eastAsia="en-US"/>
        </w:rPr>
        <w:t xml:space="preserve"> 19/12/2013 tarihinde, Amerika Birleşik Devletleri (ABD) tarafından</w:t>
      </w:r>
      <w:r w:rsidRPr="008D5444">
        <w:rPr>
          <w:vertAlign w:val="superscript"/>
          <w:lang w:eastAsia="en-US"/>
        </w:rPr>
        <w:footnoteReference w:id="2"/>
      </w:r>
      <w:r w:rsidRPr="008D5444">
        <w:rPr>
          <w:lang w:eastAsia="en-US"/>
        </w:rPr>
        <w:t xml:space="preserve"> ise 6/1/2017 tarihinde ÇHC menşeli “ateş tuğlaları” ithalatına yönelik olarak dampinge karşı önlemler yürürlüğe konulmuştur.</w:t>
      </w:r>
    </w:p>
    <w:p w:rsidR="00146208" w:rsidRPr="00146208" w:rsidRDefault="000B4C2B" w:rsidP="001B02E4">
      <w:pPr>
        <w:pStyle w:val="Balk1"/>
        <w:spacing w:line="20" w:lineRule="atLeast"/>
        <w:jc w:val="left"/>
        <w:rPr>
          <w:rFonts w:ascii="Times New Roman" w:hAnsi="Times New Roman" w:cs="Times New Roman"/>
          <w:bCs w:val="0"/>
          <w:sz w:val="24"/>
          <w:szCs w:val="24"/>
          <w:lang w:eastAsia="tr-TR"/>
        </w:rPr>
      </w:pPr>
      <w:bookmarkStart w:id="7" w:name="_Toc317854286"/>
      <w:r>
        <w:rPr>
          <w:rFonts w:ascii="Times New Roman" w:hAnsi="Times New Roman" w:cs="Times New Roman"/>
          <w:bCs w:val="0"/>
          <w:sz w:val="24"/>
          <w:szCs w:val="24"/>
          <w:lang w:eastAsia="tr-TR"/>
        </w:rPr>
        <w:t xml:space="preserve">4. ZARARIN DEVAMI VEYA YENİDEN </w:t>
      </w:r>
      <w:bookmarkEnd w:id="7"/>
      <w:r>
        <w:rPr>
          <w:rFonts w:ascii="Times New Roman" w:hAnsi="Times New Roman" w:cs="Times New Roman"/>
          <w:bCs w:val="0"/>
          <w:sz w:val="24"/>
          <w:szCs w:val="24"/>
          <w:lang w:eastAsia="tr-TR"/>
        </w:rPr>
        <w:t>MEYDANA GELMESİ İHTİMALİ</w:t>
      </w:r>
    </w:p>
    <w:p w:rsidR="00146208" w:rsidRPr="00146208" w:rsidRDefault="000B4C2B" w:rsidP="001B02E4">
      <w:pPr>
        <w:keepNext/>
        <w:spacing w:line="20" w:lineRule="atLeast"/>
        <w:outlineLvl w:val="1"/>
        <w:rPr>
          <w:b/>
        </w:rPr>
      </w:pPr>
      <w:bookmarkStart w:id="8" w:name="_Toc317854287"/>
      <w:r>
        <w:rPr>
          <w:b/>
        </w:rPr>
        <w:t xml:space="preserve">4.1 </w:t>
      </w:r>
      <w:r w:rsidR="000861D2">
        <w:rPr>
          <w:b/>
        </w:rPr>
        <w:t>Genel A</w:t>
      </w:r>
      <w:r w:rsidR="00146208" w:rsidRPr="00146208">
        <w:rPr>
          <w:b/>
        </w:rPr>
        <w:t>çıklamalar</w:t>
      </w:r>
      <w:bookmarkEnd w:id="8"/>
    </w:p>
    <w:p w:rsidR="00A5627B" w:rsidRPr="00A26D25" w:rsidRDefault="00146208" w:rsidP="001B02E4">
      <w:pPr>
        <w:spacing w:line="20" w:lineRule="atLeast"/>
        <w:jc w:val="both"/>
        <w:rPr>
          <w:szCs w:val="20"/>
        </w:rPr>
      </w:pPr>
      <w:r w:rsidRPr="00146208">
        <w:rPr>
          <w:szCs w:val="20"/>
        </w:rPr>
        <w:t xml:space="preserve">(1) </w:t>
      </w:r>
      <w:bookmarkStart w:id="9" w:name="_Toc239562545"/>
      <w:r w:rsidR="00A5627B" w:rsidRPr="00146208">
        <w:rPr>
          <w:szCs w:val="20"/>
        </w:rPr>
        <w:t>Yönetmeli</w:t>
      </w:r>
      <w:r w:rsidR="00A5627B">
        <w:rPr>
          <w:szCs w:val="20"/>
        </w:rPr>
        <w:t>ğin</w:t>
      </w:r>
      <w:r w:rsidR="00A5627B" w:rsidRPr="00146208">
        <w:rPr>
          <w:szCs w:val="20"/>
        </w:rPr>
        <w:t xml:space="preserve"> 35 inci maddesi çerçevesinde </w:t>
      </w:r>
      <w:r w:rsidR="00A5627B">
        <w:rPr>
          <w:szCs w:val="20"/>
        </w:rPr>
        <w:t>önlem</w:t>
      </w:r>
      <w:r w:rsidR="00A5627B" w:rsidRPr="00146208">
        <w:rPr>
          <w:szCs w:val="20"/>
        </w:rPr>
        <w:t xml:space="preserve">in yürürlükte olduğu dönemde, </w:t>
      </w:r>
      <w:r w:rsidR="00A5627B">
        <w:rPr>
          <w:szCs w:val="20"/>
        </w:rPr>
        <w:t>yerli üretim dalındaki</w:t>
      </w:r>
      <w:r w:rsidR="00A5627B" w:rsidRPr="00146208">
        <w:rPr>
          <w:szCs w:val="20"/>
        </w:rPr>
        <w:t xml:space="preserve"> zarar durumu ve önlem</w:t>
      </w:r>
      <w:r w:rsidR="00A5627B">
        <w:rPr>
          <w:szCs w:val="20"/>
        </w:rPr>
        <w:t>in</w:t>
      </w:r>
      <w:r w:rsidR="00A5627B" w:rsidRPr="00146208">
        <w:rPr>
          <w:szCs w:val="20"/>
        </w:rPr>
        <w:t xml:space="preserve"> yürürlükten kalkması halinde zarara etki edebilecek muhtemel gelişmeler incelenmiştir. </w:t>
      </w:r>
      <w:r w:rsidR="00A5627B" w:rsidRPr="000F061D">
        <w:t xml:space="preserve">Bu </w:t>
      </w:r>
      <w:r w:rsidR="00A5627B" w:rsidRPr="009D25BB">
        <w:t xml:space="preserve">çerçevede, ithalatın miktarı ve muhtemel gelişimi, </w:t>
      </w:r>
      <w:r w:rsidR="00A5627B">
        <w:t xml:space="preserve">ithalatın </w:t>
      </w:r>
      <w:r w:rsidR="00A5627B" w:rsidRPr="009D25BB">
        <w:t>fiyatlarının gelişimi, fiyat baskısı ve kırılması</w:t>
      </w:r>
      <w:r w:rsidR="00A5627B">
        <w:t>, Türkiye toplam benzer mal tüketimi ve pazar payları</w:t>
      </w:r>
      <w:r w:rsidR="00A5627B" w:rsidRPr="009D25BB">
        <w:t xml:space="preserve"> ile </w:t>
      </w:r>
      <w:r w:rsidR="00A5627B">
        <w:t xml:space="preserve">yerli üretim dalının </w:t>
      </w:r>
      <w:r w:rsidR="00A5627B" w:rsidRPr="009D25BB">
        <w:t>ekon</w:t>
      </w:r>
      <w:r w:rsidR="00A5627B">
        <w:t xml:space="preserve">omik göstergeleri incelenmiştir. </w:t>
      </w:r>
      <w:r w:rsidR="00A5627B" w:rsidRPr="00A26D25">
        <w:rPr>
          <w:szCs w:val="20"/>
        </w:rPr>
        <w:t>İthalat veriler</w:t>
      </w:r>
      <w:r w:rsidR="00A5627B">
        <w:rPr>
          <w:szCs w:val="20"/>
        </w:rPr>
        <w:t xml:space="preserve">i incelenirken, 2015-2017 </w:t>
      </w:r>
      <w:r w:rsidR="00A5627B" w:rsidRPr="00A26D25">
        <w:rPr>
          <w:szCs w:val="20"/>
        </w:rPr>
        <w:t xml:space="preserve">dönemi </w:t>
      </w:r>
      <w:r w:rsidR="00A5627B">
        <w:rPr>
          <w:szCs w:val="20"/>
        </w:rPr>
        <w:t>verileri dikkate alınmıştır.</w:t>
      </w:r>
    </w:p>
    <w:p w:rsidR="00A5627B" w:rsidRDefault="00A5627B" w:rsidP="001B02E4">
      <w:pPr>
        <w:spacing w:line="20" w:lineRule="atLeast"/>
        <w:ind w:firstLine="700"/>
        <w:jc w:val="both"/>
        <w:rPr>
          <w:szCs w:val="20"/>
        </w:rPr>
      </w:pPr>
    </w:p>
    <w:p w:rsidR="00825B57" w:rsidRDefault="00A5627B" w:rsidP="001B02E4">
      <w:pPr>
        <w:spacing w:line="20" w:lineRule="atLeast"/>
        <w:jc w:val="both"/>
        <w:rPr>
          <w:bCs/>
          <w:noProof/>
        </w:rPr>
      </w:pPr>
      <w:r w:rsidRPr="00822A6F">
        <w:rPr>
          <w:szCs w:val="20"/>
        </w:rPr>
        <w:t xml:space="preserve">(2) </w:t>
      </w:r>
      <w:r w:rsidRPr="00822A6F">
        <w:rPr>
          <w:bCs/>
          <w:noProof/>
        </w:rPr>
        <w:t xml:space="preserve">Önlem konusu ürünün genel ithalatı ve önleme konu ülkeden yapılan ithalatının incelenmesinde TÜİK verileri </w:t>
      </w:r>
      <w:r w:rsidRPr="00F96C64">
        <w:rPr>
          <w:bCs/>
          <w:noProof/>
        </w:rPr>
        <w:t>kullanılmıştır.</w:t>
      </w:r>
      <w:bookmarkEnd w:id="9"/>
    </w:p>
    <w:p w:rsidR="00B81FA6" w:rsidRPr="00AE7CCD" w:rsidRDefault="00B81FA6" w:rsidP="001B02E4">
      <w:pPr>
        <w:spacing w:line="20" w:lineRule="atLeast"/>
        <w:jc w:val="both"/>
      </w:pPr>
    </w:p>
    <w:p w:rsidR="00A5627B" w:rsidRPr="00874394" w:rsidRDefault="000B4C2B" w:rsidP="00B81FA6">
      <w:pPr>
        <w:keepNext/>
        <w:spacing w:line="20" w:lineRule="atLeast"/>
        <w:jc w:val="both"/>
        <w:outlineLvl w:val="1"/>
        <w:rPr>
          <w:b/>
          <w:iCs/>
        </w:rPr>
      </w:pPr>
      <w:r>
        <w:rPr>
          <w:b/>
          <w:iCs/>
        </w:rPr>
        <w:t xml:space="preserve">4.2 </w:t>
      </w:r>
      <w:r w:rsidR="00B81FA6">
        <w:rPr>
          <w:b/>
          <w:iCs/>
        </w:rPr>
        <w:t>Genel i</w:t>
      </w:r>
      <w:r w:rsidR="00A5627B" w:rsidRPr="00874394">
        <w:rPr>
          <w:b/>
          <w:iCs/>
        </w:rPr>
        <w:t>thalat</w:t>
      </w:r>
      <w:r w:rsidR="00B81FA6">
        <w:rPr>
          <w:b/>
          <w:iCs/>
        </w:rPr>
        <w:t xml:space="preserve">ın mutlak gelişimi </w:t>
      </w:r>
    </w:p>
    <w:p w:rsidR="00A5627B" w:rsidRPr="002859E3" w:rsidRDefault="00A5627B" w:rsidP="001B02E4">
      <w:pPr>
        <w:spacing w:line="20" w:lineRule="atLeast"/>
        <w:jc w:val="both"/>
        <w:rPr>
          <w:bCs/>
        </w:rPr>
      </w:pPr>
      <w:r w:rsidRPr="001B37CB">
        <w:rPr>
          <w:bCs/>
        </w:rPr>
        <w:t xml:space="preserve">(1) </w:t>
      </w:r>
      <w:r>
        <w:rPr>
          <w:bCs/>
        </w:rPr>
        <w:t>Önlem</w:t>
      </w:r>
      <w:r w:rsidRPr="00E17D54">
        <w:rPr>
          <w:bCs/>
        </w:rPr>
        <w:t xml:space="preserve"> konusu ürünün genel ithalatı incelendiğinde, 2015 yılında miktar temelinde 10.954.651 Kg olan genel ithalat, 2016 yılında 12.913.673 Kg’ye, 2017 yılında ise 14.658.471 Kg’ye yükselmiştir. Değer olarak ise, 2015 yılında 12.292.103 ABD Doları olan genel ithalat, </w:t>
      </w:r>
      <w:r w:rsidRPr="00E17D54">
        <w:rPr>
          <w:bCs/>
        </w:rPr>
        <w:lastRenderedPageBreak/>
        <w:t>2016 yılında 12.919.716 ABD Doları’na, 2017 yılında ise 14.022.908 ABD Doları’na yükselmiştir. Genel ithalatın birim fiyatları, 2015-2017 dönemindeki yıllarda sırasıyla 1,12 ABD Doları/Kg, 1 ABD Doları/Kg ve 0,96 ABD Doları/Kg olarak gerçekleşmiştir.</w:t>
      </w:r>
      <w:r>
        <w:rPr>
          <w:bCs/>
        </w:rPr>
        <w:t xml:space="preserve"> </w:t>
      </w:r>
    </w:p>
    <w:p w:rsidR="00B81FA6" w:rsidRDefault="00B81FA6" w:rsidP="001B02E4">
      <w:pPr>
        <w:keepNext/>
        <w:spacing w:line="20" w:lineRule="atLeast"/>
        <w:jc w:val="both"/>
        <w:outlineLvl w:val="1"/>
        <w:rPr>
          <w:bCs/>
        </w:rPr>
      </w:pPr>
    </w:p>
    <w:p w:rsidR="00825B57" w:rsidRPr="00693DA3" w:rsidRDefault="000B4C2B" w:rsidP="00B81FA6">
      <w:pPr>
        <w:keepNext/>
        <w:spacing w:line="20" w:lineRule="atLeast"/>
        <w:jc w:val="both"/>
        <w:outlineLvl w:val="1"/>
        <w:rPr>
          <w:b/>
          <w:iCs/>
        </w:rPr>
      </w:pPr>
      <w:r>
        <w:rPr>
          <w:b/>
          <w:iCs/>
        </w:rPr>
        <w:t xml:space="preserve">4.3 </w:t>
      </w:r>
      <w:r w:rsidR="00B81FA6">
        <w:rPr>
          <w:b/>
          <w:iCs/>
        </w:rPr>
        <w:t>Önlem k</w:t>
      </w:r>
      <w:r w:rsidR="00825B57" w:rsidRPr="00693DA3">
        <w:rPr>
          <w:b/>
          <w:iCs/>
        </w:rPr>
        <w:t xml:space="preserve">onusu </w:t>
      </w:r>
      <w:r w:rsidR="00B81FA6">
        <w:rPr>
          <w:b/>
          <w:iCs/>
        </w:rPr>
        <w:t>ü</w:t>
      </w:r>
      <w:r w:rsidR="00825B57" w:rsidRPr="00693DA3">
        <w:rPr>
          <w:b/>
          <w:iCs/>
        </w:rPr>
        <w:t>lke</w:t>
      </w:r>
      <w:r w:rsidR="00B81FA6">
        <w:rPr>
          <w:b/>
          <w:iCs/>
        </w:rPr>
        <w:t xml:space="preserve"> menşeli ithalatın mutlak gelişimi</w:t>
      </w:r>
    </w:p>
    <w:p w:rsidR="00825B57" w:rsidRDefault="00825B57" w:rsidP="001B02E4">
      <w:pPr>
        <w:spacing w:line="20" w:lineRule="atLeast"/>
        <w:jc w:val="both"/>
        <w:rPr>
          <w:bCs/>
        </w:rPr>
      </w:pPr>
      <w:r w:rsidRPr="00693DA3">
        <w:rPr>
          <w:bCs/>
        </w:rPr>
        <w:t xml:space="preserve">(1) </w:t>
      </w:r>
      <w:r>
        <w:rPr>
          <w:bCs/>
        </w:rPr>
        <w:t xml:space="preserve">ÇHC menşeli ithalatın gelişimi incelendiğinde, 2015 yılında miktar temelinde </w:t>
      </w:r>
      <w:r w:rsidRPr="00725021">
        <w:rPr>
          <w:bCs/>
        </w:rPr>
        <w:t>2.001.291</w:t>
      </w:r>
      <w:r>
        <w:rPr>
          <w:bCs/>
        </w:rPr>
        <w:t xml:space="preserve"> Kg olan ithalat, 2016 yılında </w:t>
      </w:r>
      <w:r w:rsidRPr="00725021">
        <w:rPr>
          <w:bCs/>
        </w:rPr>
        <w:t>2.584.099</w:t>
      </w:r>
      <w:r>
        <w:rPr>
          <w:bCs/>
        </w:rPr>
        <w:t xml:space="preserve"> Kg’ye, 2017 yılında </w:t>
      </w:r>
      <w:r w:rsidRPr="00725021">
        <w:rPr>
          <w:bCs/>
        </w:rPr>
        <w:t>4.316.876</w:t>
      </w:r>
      <w:r>
        <w:rPr>
          <w:bCs/>
        </w:rPr>
        <w:t xml:space="preserve"> Kg’ye yükselmiştir. Değer olarak incelendiğinde, 2015 yılında </w:t>
      </w:r>
      <w:r w:rsidRPr="00725021">
        <w:rPr>
          <w:bCs/>
        </w:rPr>
        <w:t xml:space="preserve">1.871.802 </w:t>
      </w:r>
      <w:r>
        <w:rPr>
          <w:bCs/>
        </w:rPr>
        <w:t xml:space="preserve">ABD Doları olarak gerçekleşen ÇHC menşeli ithalatın değeri, 2016 yılında </w:t>
      </w:r>
      <w:r w:rsidRPr="00725021">
        <w:rPr>
          <w:bCs/>
        </w:rPr>
        <w:t>2.305.548</w:t>
      </w:r>
      <w:r>
        <w:rPr>
          <w:bCs/>
        </w:rPr>
        <w:t xml:space="preserve"> ABD Doları’na, 2017 yılında ise </w:t>
      </w:r>
      <w:r w:rsidRPr="00725021">
        <w:rPr>
          <w:bCs/>
        </w:rPr>
        <w:t>4.298.045</w:t>
      </w:r>
      <w:r>
        <w:rPr>
          <w:bCs/>
        </w:rPr>
        <w:t xml:space="preserve"> ABD Doları’na yükselmiştir. Önlem konusu ülke menşeli ithalatın birim fiyatları 2015-2017 dönemindeki yıllarda sırasıyla </w:t>
      </w:r>
      <w:r w:rsidRPr="00517E06">
        <w:rPr>
          <w:bCs/>
        </w:rPr>
        <w:t>0,94</w:t>
      </w:r>
      <w:r>
        <w:rPr>
          <w:bCs/>
        </w:rPr>
        <w:t xml:space="preserve"> ABD Doları/Kg, </w:t>
      </w:r>
      <w:r w:rsidRPr="00517E06">
        <w:rPr>
          <w:bCs/>
        </w:rPr>
        <w:t>0,89</w:t>
      </w:r>
      <w:r>
        <w:rPr>
          <w:bCs/>
        </w:rPr>
        <w:t xml:space="preserve"> ABD Doları/Kg,</w:t>
      </w:r>
      <w:r w:rsidRPr="00517E06">
        <w:t xml:space="preserve"> </w:t>
      </w:r>
      <w:r w:rsidRPr="00517E06">
        <w:rPr>
          <w:bCs/>
        </w:rPr>
        <w:t>1,00</w:t>
      </w:r>
      <w:r>
        <w:rPr>
          <w:bCs/>
        </w:rPr>
        <w:t xml:space="preserve"> ABD Doları/Kg olarak gerçekleşmiştir. ÇHC menşeli ithalatın genel ithalat içinde miktar temelindeki payı 2015 yılında %18,3 iken, 2016 yılında %20’ye, 2017 yılında ise %29,4’e yükselmiştir. </w:t>
      </w:r>
    </w:p>
    <w:p w:rsidR="00825B57" w:rsidRDefault="00825B57" w:rsidP="001B02E4">
      <w:pPr>
        <w:spacing w:line="20" w:lineRule="atLeast"/>
        <w:ind w:firstLine="708"/>
        <w:jc w:val="both"/>
        <w:rPr>
          <w:bCs/>
        </w:rPr>
      </w:pPr>
    </w:p>
    <w:p w:rsidR="00825B57" w:rsidRDefault="00825B57" w:rsidP="001B02E4">
      <w:pPr>
        <w:spacing w:line="20" w:lineRule="atLeast"/>
        <w:jc w:val="both"/>
        <w:rPr>
          <w:bCs/>
        </w:rPr>
      </w:pPr>
      <w:r>
        <w:rPr>
          <w:bCs/>
        </w:rPr>
        <w:t>(2</w:t>
      </w:r>
      <w:r w:rsidRPr="00693DA3">
        <w:rPr>
          <w:bCs/>
        </w:rPr>
        <w:t>)</w:t>
      </w:r>
      <w:r>
        <w:rPr>
          <w:bCs/>
        </w:rPr>
        <w:t xml:space="preserve"> ÇHC menşeli ateş tuğlaları ithalatın birim fiyatları ile ÇHC’nin tüm dünyaya gerçekleştirmiş olduğu önlem konusu ürün ithalatı incelendiğinde, ÇHC’nin Türkiye’ye gerçekleştirdiği ithalatın birim fiyatlarının  tüm dünyaya yaptığı ihracatın birim fiyatlarının üzerinde gerçekleştiği gözlemlenmiştir. Söz konusu durum ithalatçıların soru formu cevaplarıyla birlikte ele alındığında, yürürlüğe konulan dampinge karşı önlemin etkisiyle söz konusu ülkeden gerçekleştirilen ateş tuğlaları ithalatının ürün kompozisyonun</w:t>
      </w:r>
      <w:r w:rsidR="00D5271D">
        <w:rPr>
          <w:bCs/>
        </w:rPr>
        <w:t>un</w:t>
      </w:r>
      <w:r>
        <w:rPr>
          <w:bCs/>
        </w:rPr>
        <w:t xml:space="preserve"> görece yüksek birim fiyatlı nitelikli ürünlere doğru kaydığı değerlendirilmiştir. </w:t>
      </w:r>
    </w:p>
    <w:p w:rsidR="00825B57" w:rsidRPr="005E2EBA" w:rsidRDefault="00825B57" w:rsidP="001B02E4">
      <w:pPr>
        <w:spacing w:line="20" w:lineRule="atLeast"/>
        <w:jc w:val="both"/>
        <w:rPr>
          <w:bCs/>
        </w:rPr>
      </w:pPr>
    </w:p>
    <w:p w:rsidR="00825B57" w:rsidRPr="004E5672" w:rsidRDefault="000B4C2B" w:rsidP="00B81FA6">
      <w:pPr>
        <w:spacing w:line="20" w:lineRule="atLeast"/>
        <w:jc w:val="both"/>
      </w:pPr>
      <w:r>
        <w:rPr>
          <w:b/>
          <w:iCs/>
        </w:rPr>
        <w:t xml:space="preserve">4.4 </w:t>
      </w:r>
      <w:bookmarkStart w:id="10" w:name="_Toc239562546"/>
      <w:r w:rsidR="00825B57">
        <w:rPr>
          <w:b/>
          <w:iCs/>
        </w:rPr>
        <w:t>Diğer ü</w:t>
      </w:r>
      <w:r w:rsidR="00825B57" w:rsidRPr="00260B5F">
        <w:rPr>
          <w:b/>
          <w:iCs/>
        </w:rPr>
        <w:t>lke</w:t>
      </w:r>
      <w:r w:rsidR="00825B57">
        <w:rPr>
          <w:b/>
          <w:iCs/>
        </w:rPr>
        <w:t xml:space="preserve">lerden </w:t>
      </w:r>
      <w:r w:rsidR="00B81FA6">
        <w:rPr>
          <w:b/>
          <w:iCs/>
        </w:rPr>
        <w:t xml:space="preserve">gerçekleşen </w:t>
      </w:r>
      <w:r w:rsidR="00825B57">
        <w:rPr>
          <w:b/>
          <w:iCs/>
        </w:rPr>
        <w:t>i</w:t>
      </w:r>
      <w:r w:rsidR="00825B57" w:rsidRPr="00260B5F">
        <w:rPr>
          <w:b/>
          <w:iCs/>
        </w:rPr>
        <w:t>thalat</w:t>
      </w:r>
      <w:r w:rsidR="00B81FA6">
        <w:rPr>
          <w:b/>
          <w:iCs/>
        </w:rPr>
        <w:t>ın mutlak gelişimi</w:t>
      </w:r>
      <w:r w:rsidR="00825B57">
        <w:rPr>
          <w:b/>
          <w:iCs/>
        </w:rPr>
        <w:t xml:space="preserve"> </w:t>
      </w:r>
    </w:p>
    <w:p w:rsidR="00825B57" w:rsidRDefault="00825B57" w:rsidP="001B02E4">
      <w:pPr>
        <w:spacing w:line="20" w:lineRule="atLeast"/>
        <w:jc w:val="both"/>
        <w:rPr>
          <w:bCs/>
        </w:rPr>
      </w:pPr>
      <w:r>
        <w:t>(1</w:t>
      </w:r>
      <w:r w:rsidRPr="006A2832">
        <w:t xml:space="preserve">) </w:t>
      </w:r>
      <w:r>
        <w:rPr>
          <w:bCs/>
        </w:rPr>
        <w:t>Önlem</w:t>
      </w:r>
      <w:r w:rsidRPr="005E566D">
        <w:rPr>
          <w:bCs/>
        </w:rPr>
        <w:t xml:space="preserve"> konusu ülke ÇHC dışındaki üçüncü ülkelerden gerçekleştirilen </w:t>
      </w:r>
      <w:r>
        <w:rPr>
          <w:bCs/>
        </w:rPr>
        <w:t>önlem</w:t>
      </w:r>
      <w:r w:rsidRPr="005E566D">
        <w:rPr>
          <w:bCs/>
        </w:rPr>
        <w:t xml:space="preserve"> konusu ürün ithalatının gelişimi incelendiğinde, 2015 yılında miktar temelinde 8.953.360 Kg olan ithalat, 2016 yılında 10.329.574 Kg’ye, 2017 yılında 10.341.595 Kg’ye yükselmiştir. Değer olarak ise, 2015 yılında 10.420.301 ABD Doları olarak gerçekleşen söz konusu ithalat, 2016 yılında 10.614.168 ABD Doları’na yükselirken, 2017 yılında 9.724.863 ABD Doları’na gerilemiştir. Üçüncü ülkelerden gerçekleştirilen ithalatın birim fiyatları ise, 2015 yılında 1,16 ABD Doları/Kg, 2016 yılında 1,03 ABD Doları/Kg, 2017 yılında 0,94 ABD Doları/Kg olarak gerçekleşmiştir. Söz konuşu ithalatın genel ithalat içinde miktar temelindeki payı, 2015 yılında %81,7 iken, 2016 yılında  %80’e, 2017 yılında ise %70,6’ya gerilemiştir. </w:t>
      </w:r>
    </w:p>
    <w:p w:rsidR="00522819" w:rsidRDefault="00522819" w:rsidP="001B02E4">
      <w:pPr>
        <w:spacing w:line="20" w:lineRule="atLeast"/>
        <w:jc w:val="both"/>
      </w:pPr>
    </w:p>
    <w:p w:rsidR="001D1913" w:rsidRPr="00A520D7" w:rsidRDefault="000B4C2B" w:rsidP="00B81FA6">
      <w:pPr>
        <w:spacing w:line="20" w:lineRule="atLeast"/>
        <w:jc w:val="both"/>
        <w:rPr>
          <w:iCs/>
        </w:rPr>
      </w:pPr>
      <w:r>
        <w:rPr>
          <w:b/>
          <w:bCs/>
          <w:iCs/>
        </w:rPr>
        <w:t xml:space="preserve">4.5 </w:t>
      </w:r>
      <w:bookmarkEnd w:id="10"/>
      <w:r w:rsidR="00B81FA6">
        <w:rPr>
          <w:b/>
          <w:bCs/>
          <w:iCs/>
        </w:rPr>
        <w:t>Önlem konusu ithalatın n</w:t>
      </w:r>
      <w:r w:rsidR="001D1913">
        <w:rPr>
          <w:b/>
          <w:bCs/>
          <w:iCs/>
        </w:rPr>
        <w:t>ispi gelişimi</w:t>
      </w:r>
    </w:p>
    <w:p w:rsidR="00EE3E79" w:rsidRDefault="00EE3E79" w:rsidP="001B02E4">
      <w:pPr>
        <w:spacing w:line="20" w:lineRule="atLeast"/>
        <w:jc w:val="both"/>
        <w:rPr>
          <w:noProof/>
        </w:rPr>
      </w:pPr>
      <w:r>
        <w:rPr>
          <w:noProof/>
        </w:rPr>
        <w:t>(1) Önlem konusu ithalatın nispi olarak gelişimini görebilmek için, önlem konusu ülkeden gerçekleştirilen ithalatın toplam Türkiye benzer mal tüketimi içindeki payı incelenmiştir. Bu bağlamda, öncelikle başvuru sahibi firma ve başvuruyu destekleyen firmanın (Sörmaş) yurt içi satış miktarı ile genel ithalat miktarı toplanarak ilgili dönemlerde Türkiye toplam benzer mal tüketimi elde edilmiştir. Söz konusu yurt içi satış miktarlarının ve önlem konusu ülkeden gerçekleştirilen ithalat miktarının toplam tüketime oranlanmasıyla da pazar p</w:t>
      </w:r>
      <w:r w:rsidR="006A606C">
        <w:rPr>
          <w:noProof/>
        </w:rPr>
        <w:t xml:space="preserve">ayları hesaplanmıştır. </w:t>
      </w:r>
    </w:p>
    <w:p w:rsidR="00EE3E79" w:rsidRDefault="00EE3E79" w:rsidP="001B02E4">
      <w:pPr>
        <w:spacing w:line="20" w:lineRule="atLeast"/>
        <w:rPr>
          <w:noProof/>
        </w:rPr>
      </w:pPr>
    </w:p>
    <w:p w:rsidR="00EE3E79" w:rsidRDefault="00EE3E79" w:rsidP="001D5B1E">
      <w:pPr>
        <w:spacing w:line="20" w:lineRule="atLeast"/>
        <w:jc w:val="both"/>
        <w:rPr>
          <w:noProof/>
        </w:rPr>
      </w:pPr>
      <w:r>
        <w:rPr>
          <w:noProof/>
        </w:rPr>
        <w:t>(2) Buna göre, 2015 yılında 100 birim olan yurt içi tüketim endeksi, 2016 yılında 118’e, 2017 yılında 137’ye yükselmiştir. Yerli üretim dalının pazar payı endeksi 2015 yılında 100 birim olarak kabul edildiğinde, 2016 yılında 98’e gerilemiş, 2017 yılında ise 102’ye yükselmiştir. ÇHC’nin pazar payı endeksi 2015 yılında 100 birim iken, 2016 yılında 110’a, 2017 yılında 157’ye yükselmiştir. Önlem konusu ülke haricindeki ülkelerin pazar payı endekslerine bakıldığında ise, 2015 yılında 100 birim olarak kabul edilen pazar payı endeksi, 2016 yılında 98’e, 2017 yılında 84’e gerilemiştir. Başvuruy</w:t>
      </w:r>
      <w:r w:rsidR="001D5B1E">
        <w:rPr>
          <w:noProof/>
        </w:rPr>
        <w:t xml:space="preserve">u destekleyen yerli üreticinin </w:t>
      </w:r>
      <w:r>
        <w:rPr>
          <w:noProof/>
        </w:rPr>
        <w:t xml:space="preserve">pazar payı </w:t>
      </w:r>
      <w:r>
        <w:rPr>
          <w:noProof/>
        </w:rPr>
        <w:lastRenderedPageBreak/>
        <w:t>endeksi ise, 2015 yılında 100 birim iken, 2016 yılında 109’a yükselmiş, 2017 yılında 95’e gerilemiştir.</w:t>
      </w:r>
    </w:p>
    <w:p w:rsidR="00EE3E79" w:rsidRDefault="00EE3E79" w:rsidP="001B02E4">
      <w:pPr>
        <w:spacing w:line="20" w:lineRule="atLeast"/>
        <w:jc w:val="both"/>
        <w:rPr>
          <w:noProof/>
        </w:rPr>
      </w:pPr>
    </w:p>
    <w:p w:rsidR="00B81FA6" w:rsidRDefault="00B81FA6" w:rsidP="001B02E4">
      <w:pPr>
        <w:spacing w:line="20" w:lineRule="atLeast"/>
        <w:jc w:val="both"/>
        <w:rPr>
          <w:b/>
          <w:bCs/>
        </w:rPr>
      </w:pPr>
    </w:p>
    <w:p w:rsidR="00B81FA6" w:rsidRDefault="00B81FA6" w:rsidP="001B02E4">
      <w:pPr>
        <w:spacing w:line="20" w:lineRule="atLeast"/>
        <w:jc w:val="both"/>
        <w:rPr>
          <w:b/>
          <w:bCs/>
        </w:rPr>
      </w:pPr>
    </w:p>
    <w:p w:rsidR="004405B3" w:rsidRPr="00777DDE" w:rsidRDefault="000B4C2B" w:rsidP="001B02E4">
      <w:pPr>
        <w:spacing w:line="20" w:lineRule="atLeast"/>
        <w:jc w:val="both"/>
        <w:rPr>
          <w:b/>
          <w:bCs/>
        </w:rPr>
      </w:pPr>
      <w:r>
        <w:rPr>
          <w:b/>
          <w:bCs/>
        </w:rPr>
        <w:t xml:space="preserve">4.6 </w:t>
      </w:r>
      <w:r w:rsidR="004405B3" w:rsidRPr="00777DDE">
        <w:rPr>
          <w:b/>
          <w:bCs/>
        </w:rPr>
        <w:t xml:space="preserve">Fiyat </w:t>
      </w:r>
      <w:r w:rsidR="00B81FA6">
        <w:rPr>
          <w:b/>
          <w:bCs/>
        </w:rPr>
        <w:t>k</w:t>
      </w:r>
      <w:r w:rsidR="00CA7563" w:rsidRPr="00777DDE">
        <w:rPr>
          <w:b/>
          <w:bCs/>
        </w:rPr>
        <w:t xml:space="preserve">ırılması </w:t>
      </w:r>
      <w:r w:rsidR="00B81FA6">
        <w:rPr>
          <w:b/>
          <w:bCs/>
        </w:rPr>
        <w:t>ve b</w:t>
      </w:r>
      <w:r w:rsidR="006A606C">
        <w:rPr>
          <w:b/>
          <w:bCs/>
        </w:rPr>
        <w:t>askısı</w:t>
      </w:r>
    </w:p>
    <w:p w:rsidR="006A606C" w:rsidRPr="006A606C" w:rsidRDefault="006A606C" w:rsidP="001B02E4">
      <w:pPr>
        <w:spacing w:line="20" w:lineRule="atLeast"/>
        <w:jc w:val="both"/>
        <w:rPr>
          <w:bCs/>
        </w:rPr>
      </w:pPr>
      <w:r w:rsidRPr="00147107">
        <w:rPr>
          <w:bCs/>
        </w:rPr>
        <w:t>(1)</w:t>
      </w:r>
      <w:r>
        <w:rPr>
          <w:bCs/>
        </w:rPr>
        <w:t xml:space="preserve"> </w:t>
      </w:r>
      <w:r w:rsidRPr="00746751">
        <w:rPr>
          <w:bCs/>
        </w:rPr>
        <w:t xml:space="preserve">İthalatta Haksız Rekabetin Önlenmesi Hakkında Yönetmeliğin 17 nci maddesinin ilgili hükümleri çerçevesinde, </w:t>
      </w:r>
      <w:r>
        <w:rPr>
          <w:bCs/>
        </w:rPr>
        <w:t>önlem</w:t>
      </w:r>
      <w:r w:rsidRPr="00746751">
        <w:rPr>
          <w:bCs/>
        </w:rPr>
        <w:t xml:space="preserve"> konusu ÇHC menşeli ithalatın yerli üretim dalının satış fiyatları üzerindeki etkisi değerlendirilirken ÇHC’den gerçekleştirilen ithalatın yerli üretim dalının fiyatlarını kırıp kırmadığı incelenmiştir. Fiyat kırılması, ithal ürün fiyatının Türkiye piyasasında yerli üretim dalının yurt içi satış fiyatının yüzde olarak ne kadar altında kaldığını göstermektedir. Bu kapsamda, fiyat kırılması hesaplanırken, yerli üretim dalının yıllık ortalama yurt içi satış fiyatı ile </w:t>
      </w:r>
      <w:r>
        <w:rPr>
          <w:bCs/>
        </w:rPr>
        <w:t>önlem</w:t>
      </w:r>
      <w:r w:rsidRPr="00746751">
        <w:rPr>
          <w:bCs/>
        </w:rPr>
        <w:t xml:space="preserve"> konusu ürünün Türkiye pazarına ağırlıklı ortalama giriş fiyatı karşılaştırılmıştır. İthal ürünün Türkiye pazarına ağırlıklı ortalama giriş fiyatı tespit edilirken, CIF ithalat fiyatının üzerine gümrükleme masrafları (CIF ithalat kıymetinin %2’si) ve %2 oranında gümrük vergisi eklenmiştir. Dampinge karşı önlemin söz konusu olmadığı bir ortamda </w:t>
      </w:r>
      <w:r>
        <w:rPr>
          <w:bCs/>
        </w:rPr>
        <w:t>önlem</w:t>
      </w:r>
      <w:r w:rsidRPr="00746751">
        <w:rPr>
          <w:bCs/>
        </w:rPr>
        <w:t xml:space="preserve"> konusu ülke menşeli ürünün Türkiye pazarına giriş fiyatının hangi düzeyde olacağına ilişkin değerlendirmeyi mümkün kılmak amacıyla anılan fiyata dampinge karşı </w:t>
      </w:r>
      <w:r w:rsidRPr="007D2863">
        <w:rPr>
          <w:bCs/>
        </w:rPr>
        <w:t>önlem tutarı eklenmemiştir.</w:t>
      </w:r>
      <w:r>
        <w:rPr>
          <w:bCs/>
        </w:rPr>
        <w:t xml:space="preserve"> </w:t>
      </w:r>
      <w:r>
        <w:t>Bu çerçevede</w:t>
      </w:r>
      <w:r w:rsidRPr="000468D9">
        <w:t xml:space="preserve"> </w:t>
      </w:r>
      <w:r w:rsidRPr="000468D9">
        <w:rPr>
          <w:bCs/>
          <w:color w:val="000000"/>
        </w:rPr>
        <w:t>yapılan hesaplamalar sonucunda,</w:t>
      </w:r>
      <w:r>
        <w:rPr>
          <w:bCs/>
          <w:color w:val="000000"/>
        </w:rPr>
        <w:t xml:space="preserve"> 2017 yılında ÇHC menşeli ithalatın birim fiyatlarının, yerli üretim dalının birim fiyatlarını kırmadığı görülmüştür.</w:t>
      </w:r>
    </w:p>
    <w:p w:rsidR="006A606C" w:rsidRDefault="006A606C" w:rsidP="001B02E4">
      <w:pPr>
        <w:spacing w:line="20" w:lineRule="atLeast"/>
        <w:jc w:val="both"/>
        <w:rPr>
          <w:b/>
          <w:bCs/>
        </w:rPr>
      </w:pPr>
    </w:p>
    <w:p w:rsidR="006A606C" w:rsidRPr="00E05592" w:rsidRDefault="006A606C" w:rsidP="00C6326F">
      <w:pPr>
        <w:spacing w:line="20" w:lineRule="atLeast"/>
        <w:jc w:val="both"/>
        <w:rPr>
          <w:bCs/>
        </w:rPr>
      </w:pPr>
      <w:r>
        <w:rPr>
          <w:bCs/>
        </w:rPr>
        <w:t>(2</w:t>
      </w:r>
      <w:r w:rsidRPr="00147107">
        <w:rPr>
          <w:bCs/>
        </w:rPr>
        <w:t>)</w:t>
      </w:r>
      <w:r>
        <w:rPr>
          <w:bCs/>
        </w:rPr>
        <w:t xml:space="preserve"> </w:t>
      </w:r>
      <w:r w:rsidRPr="00447EC1">
        <w:rPr>
          <w:bCs/>
          <w:color w:val="000000"/>
        </w:rPr>
        <w:t>Fiyat baskısı</w:t>
      </w:r>
      <w:r>
        <w:rPr>
          <w:bCs/>
          <w:color w:val="000000"/>
        </w:rPr>
        <w:t xml:space="preserve"> ise,</w:t>
      </w:r>
      <w:r w:rsidRPr="00447EC1">
        <w:rPr>
          <w:bCs/>
          <w:color w:val="000000"/>
        </w:rPr>
        <w:t xml:space="preserve"> y</w:t>
      </w:r>
      <w:r>
        <w:rPr>
          <w:bCs/>
          <w:color w:val="000000"/>
        </w:rPr>
        <w:t>erli üretim dalının fiyatının</w:t>
      </w:r>
      <w:r w:rsidRPr="00447EC1">
        <w:rPr>
          <w:bCs/>
          <w:color w:val="000000"/>
        </w:rPr>
        <w:t xml:space="preserve"> dampingli ithalat sebebiyle baskı </w:t>
      </w:r>
      <w:r>
        <w:rPr>
          <w:bCs/>
          <w:color w:val="000000"/>
        </w:rPr>
        <w:t>altında bulunması ve fiyatını</w:t>
      </w:r>
      <w:r w:rsidRPr="00447EC1">
        <w:rPr>
          <w:bCs/>
          <w:color w:val="000000"/>
        </w:rPr>
        <w:t xml:space="preserve"> makul kâr elde edecek şekilde belirleyememesi durumun</w:t>
      </w:r>
      <w:r>
        <w:rPr>
          <w:bCs/>
          <w:color w:val="000000"/>
        </w:rPr>
        <w:t>u</w:t>
      </w:r>
      <w:r w:rsidRPr="00447EC1">
        <w:rPr>
          <w:bCs/>
          <w:color w:val="000000"/>
        </w:rPr>
        <w:t xml:space="preserve"> </w:t>
      </w:r>
      <w:r>
        <w:rPr>
          <w:bCs/>
          <w:color w:val="000000"/>
        </w:rPr>
        <w:t xml:space="preserve">işaret etmektedir. </w:t>
      </w:r>
      <w:r w:rsidRPr="00447EC1">
        <w:rPr>
          <w:bCs/>
          <w:color w:val="000000"/>
        </w:rPr>
        <w:t xml:space="preserve">Bu kapsamda, </w:t>
      </w:r>
      <w:r>
        <w:rPr>
          <w:bCs/>
          <w:color w:val="000000"/>
        </w:rPr>
        <w:t xml:space="preserve">önlem </w:t>
      </w:r>
      <w:r w:rsidRPr="00447EC1">
        <w:rPr>
          <w:bCs/>
          <w:color w:val="000000"/>
        </w:rPr>
        <w:t>konu</w:t>
      </w:r>
      <w:r>
        <w:rPr>
          <w:bCs/>
          <w:color w:val="000000"/>
        </w:rPr>
        <w:t>su</w:t>
      </w:r>
      <w:r w:rsidRPr="00447EC1">
        <w:rPr>
          <w:bCs/>
          <w:color w:val="000000"/>
        </w:rPr>
        <w:t xml:space="preserve"> ürünün</w:t>
      </w:r>
      <w:r>
        <w:rPr>
          <w:bCs/>
          <w:color w:val="000000"/>
        </w:rPr>
        <w:t xml:space="preserve"> CIF ithalat fiyatının üzerine</w:t>
      </w:r>
      <w:r w:rsidRPr="008D53F3">
        <w:rPr>
          <w:bCs/>
          <w:color w:val="000000"/>
        </w:rPr>
        <w:t xml:space="preserve"> gümrükleme masrafları (CIF</w:t>
      </w:r>
      <w:r>
        <w:rPr>
          <w:bCs/>
          <w:color w:val="000000"/>
        </w:rPr>
        <w:t xml:space="preserve"> ithalat</w:t>
      </w:r>
      <w:r w:rsidRPr="008D53F3">
        <w:rPr>
          <w:bCs/>
          <w:color w:val="000000"/>
        </w:rPr>
        <w:t xml:space="preserve"> </w:t>
      </w:r>
      <w:r w:rsidRPr="005E3831">
        <w:rPr>
          <w:bCs/>
          <w:color w:val="000000"/>
        </w:rPr>
        <w:t>kıymetinin %2’si)</w:t>
      </w:r>
      <w:r>
        <w:rPr>
          <w:bCs/>
          <w:color w:val="000000"/>
        </w:rPr>
        <w:t xml:space="preserve"> ve %2 oranında gümrük vergisi</w:t>
      </w:r>
      <w:r w:rsidRPr="00447EC1">
        <w:rPr>
          <w:bCs/>
          <w:color w:val="000000"/>
        </w:rPr>
        <w:t xml:space="preserve"> </w:t>
      </w:r>
      <w:r>
        <w:rPr>
          <w:bCs/>
          <w:color w:val="000000"/>
        </w:rPr>
        <w:t xml:space="preserve">eklenerek bulunan </w:t>
      </w:r>
      <w:r w:rsidRPr="00447EC1">
        <w:rPr>
          <w:bCs/>
          <w:color w:val="000000"/>
        </w:rPr>
        <w:t xml:space="preserve">Türkiye pazarına giriş fiyatı ile yerli üreticinin </w:t>
      </w:r>
      <w:r>
        <w:rPr>
          <w:bCs/>
          <w:color w:val="000000"/>
        </w:rPr>
        <w:t xml:space="preserve">ticari </w:t>
      </w:r>
      <w:r w:rsidRPr="005E3831">
        <w:rPr>
          <w:bCs/>
          <w:color w:val="000000"/>
        </w:rPr>
        <w:t xml:space="preserve">maliyetine </w:t>
      </w:r>
      <w:r w:rsidRPr="00447EC1">
        <w:rPr>
          <w:bCs/>
          <w:color w:val="000000"/>
        </w:rPr>
        <w:t>makul bir kâr oranı ekle</w:t>
      </w:r>
      <w:r>
        <w:rPr>
          <w:bCs/>
          <w:color w:val="000000"/>
        </w:rPr>
        <w:t>nerek</w:t>
      </w:r>
      <w:r w:rsidRPr="00447EC1">
        <w:rPr>
          <w:bCs/>
          <w:color w:val="000000"/>
        </w:rPr>
        <w:t xml:space="preserve"> bulunan olması gereken</w:t>
      </w:r>
      <w:r>
        <w:rPr>
          <w:bCs/>
          <w:color w:val="000000"/>
        </w:rPr>
        <w:t xml:space="preserve"> yurt içi satış</w:t>
      </w:r>
      <w:r w:rsidRPr="00447EC1">
        <w:rPr>
          <w:bCs/>
          <w:color w:val="000000"/>
        </w:rPr>
        <w:t xml:space="preserve"> fiyat</w:t>
      </w:r>
      <w:r>
        <w:rPr>
          <w:bCs/>
          <w:color w:val="000000"/>
        </w:rPr>
        <w:t>ı</w:t>
      </w:r>
      <w:r w:rsidRPr="00447EC1">
        <w:rPr>
          <w:bCs/>
          <w:color w:val="000000"/>
        </w:rPr>
        <w:t xml:space="preserve"> </w:t>
      </w:r>
      <w:r w:rsidRPr="00166ECF">
        <w:rPr>
          <w:bCs/>
          <w:color w:val="000000"/>
        </w:rPr>
        <w:t>karşılaştırılmıştır.</w:t>
      </w:r>
      <w:r w:rsidR="00E05592">
        <w:t xml:space="preserve"> </w:t>
      </w:r>
      <w:r w:rsidRPr="00B5388D">
        <w:t xml:space="preserve">Bu çerçevede </w:t>
      </w:r>
      <w:r w:rsidRPr="00B5388D">
        <w:rPr>
          <w:bCs/>
          <w:color w:val="000000"/>
        </w:rPr>
        <w:t xml:space="preserve">yapılan hesaplamalar sonucunda, ÇHC menşeli ithalatın birim fiyatlarının, yerli üretim dalının birim fiyatlarını </w:t>
      </w:r>
      <w:r>
        <w:rPr>
          <w:bCs/>
          <w:color w:val="000000"/>
        </w:rPr>
        <w:t xml:space="preserve">2017 yılında </w:t>
      </w:r>
      <w:r w:rsidR="00E05592">
        <w:rPr>
          <w:bCs/>
          <w:color w:val="000000"/>
        </w:rPr>
        <w:t>%0-%10</w:t>
      </w:r>
      <w:r>
        <w:rPr>
          <w:bCs/>
          <w:color w:val="000000"/>
        </w:rPr>
        <w:t xml:space="preserve"> oranın</w:t>
      </w:r>
      <w:r w:rsidRPr="00B5388D">
        <w:rPr>
          <w:bCs/>
          <w:color w:val="000000"/>
        </w:rPr>
        <w:t>da baskı altında tuttuğu görülmüştür.</w:t>
      </w:r>
    </w:p>
    <w:p w:rsidR="006A606C" w:rsidRPr="000C0BAE" w:rsidRDefault="006A606C" w:rsidP="001B02E4">
      <w:pPr>
        <w:spacing w:line="20" w:lineRule="atLeast"/>
        <w:ind w:firstLine="708"/>
        <w:jc w:val="both"/>
        <w:rPr>
          <w:b/>
          <w:bCs/>
          <w:lang w:eastAsia="en-US"/>
        </w:rPr>
      </w:pPr>
    </w:p>
    <w:p w:rsidR="00D23F2A" w:rsidRDefault="000B4C2B" w:rsidP="001B02E4">
      <w:pPr>
        <w:spacing w:line="20" w:lineRule="atLeast"/>
        <w:jc w:val="both"/>
        <w:rPr>
          <w:b/>
        </w:rPr>
      </w:pPr>
      <w:r>
        <w:rPr>
          <w:b/>
        </w:rPr>
        <w:t xml:space="preserve">4.7 </w:t>
      </w:r>
      <w:r w:rsidR="00690110" w:rsidRPr="00C9531E">
        <w:rPr>
          <w:b/>
        </w:rPr>
        <w:t xml:space="preserve">Yerli </w:t>
      </w:r>
      <w:r w:rsidR="00911F8C">
        <w:rPr>
          <w:b/>
        </w:rPr>
        <w:t>üretim dalının ekonomik g</w:t>
      </w:r>
      <w:r w:rsidR="000861D2" w:rsidRPr="00C9531E">
        <w:rPr>
          <w:b/>
        </w:rPr>
        <w:t>östergeleri</w:t>
      </w:r>
    </w:p>
    <w:p w:rsidR="0036450D" w:rsidRDefault="0036450D" w:rsidP="001B02E4">
      <w:pPr>
        <w:spacing w:line="20" w:lineRule="atLeast"/>
        <w:jc w:val="both"/>
      </w:pPr>
      <w:r w:rsidRPr="0036450D">
        <w:rPr>
          <w:bCs/>
          <w:noProof/>
        </w:rPr>
        <w:t xml:space="preserve">(1) </w:t>
      </w:r>
      <w:r w:rsidR="006C3588" w:rsidRPr="00CF3C80">
        <w:t xml:space="preserve">Yerli üretim dalının ekonomik göstergeleri, gözden geçirme dönemi olan </w:t>
      </w:r>
      <w:r w:rsidR="006C3588" w:rsidRPr="00CF3C80">
        <w:rPr>
          <w:bCs/>
        </w:rPr>
        <w:t xml:space="preserve">2015-2017 dönemini </w:t>
      </w:r>
      <w:r w:rsidR="006C3588" w:rsidRPr="00CF3C80">
        <w:t xml:space="preserve">içerecek şekilde incelenmiştir. Ekonomik göstergeler arasında yer alan tüm parasal değerler dönemsel karşılaştırmanın daha sağlıklı bir şekilde yapılabilmesi için TÜİK’ten temin edilen Üretici Fiyatları Endeksi (ÜFE) kullanılarak enflasyondan arındırılmış, böylelikle reel değerlere ulaşılmıştır. Reel değerler endekslenerek zarar inceleme dönemindeki eğilim analiz </w:t>
      </w:r>
      <w:r w:rsidR="006C3588" w:rsidRPr="00166ECF">
        <w:t>edilmiştir</w:t>
      </w:r>
      <w:r w:rsidR="006C3588">
        <w:t>.</w:t>
      </w:r>
    </w:p>
    <w:p w:rsidR="006C3588" w:rsidRPr="00482312" w:rsidRDefault="006C3588" w:rsidP="001B02E4">
      <w:pPr>
        <w:spacing w:line="20" w:lineRule="atLeast"/>
        <w:jc w:val="both"/>
        <w:rPr>
          <w:bCs/>
          <w:spacing w:val="-2"/>
        </w:rPr>
      </w:pPr>
    </w:p>
    <w:p w:rsidR="006C3588" w:rsidRPr="00CF3C80" w:rsidRDefault="0036450D" w:rsidP="001B02E4">
      <w:pPr>
        <w:spacing w:line="20" w:lineRule="atLeast"/>
        <w:contextualSpacing/>
        <w:jc w:val="both"/>
        <w:rPr>
          <w:b/>
          <w:bCs/>
        </w:rPr>
      </w:pPr>
      <w:r w:rsidRPr="00077B00">
        <w:rPr>
          <w:b/>
          <w:bCs/>
        </w:rPr>
        <w:t xml:space="preserve">a) </w:t>
      </w:r>
      <w:r w:rsidR="006C3588" w:rsidRPr="00CF3C80">
        <w:rPr>
          <w:b/>
          <w:bCs/>
        </w:rPr>
        <w:t>Üretim, kapasite ve kapasite kullanım oranı</w:t>
      </w:r>
    </w:p>
    <w:p w:rsidR="006C3588" w:rsidRPr="005E5217" w:rsidRDefault="006C3588" w:rsidP="001B02E4">
      <w:pPr>
        <w:tabs>
          <w:tab w:val="left" w:pos="993"/>
        </w:tabs>
        <w:spacing w:line="20" w:lineRule="atLeast"/>
        <w:contextualSpacing/>
        <w:jc w:val="both"/>
        <w:rPr>
          <w:b/>
          <w:bCs/>
        </w:rPr>
      </w:pPr>
      <w:r w:rsidRPr="0036450D">
        <w:rPr>
          <w:bCs/>
          <w:noProof/>
        </w:rPr>
        <w:t xml:space="preserve">(1) </w:t>
      </w:r>
      <w:r w:rsidRPr="00CF3C80">
        <w:t xml:space="preserve">Yerli üretim dalının </w:t>
      </w:r>
      <w:r>
        <w:t>önlem</w:t>
      </w:r>
      <w:r w:rsidRPr="00CF3C80">
        <w:t xml:space="preserve"> konusu ürüne ilişkin üretim miktarı endeksi 2015 yılında 100 birim kabul edildiğinde, 2016 yılında 123’e, 2017 yılında ise 132’ye yükseldiği gözlenmiştir.</w:t>
      </w:r>
    </w:p>
    <w:p w:rsidR="006C3588" w:rsidRPr="00CF3C80" w:rsidRDefault="006C3588" w:rsidP="001B02E4">
      <w:pPr>
        <w:tabs>
          <w:tab w:val="left" w:pos="993"/>
        </w:tabs>
        <w:spacing w:line="20" w:lineRule="atLeast"/>
        <w:contextualSpacing/>
        <w:jc w:val="both"/>
        <w:rPr>
          <w:b/>
          <w:bCs/>
        </w:rPr>
      </w:pPr>
    </w:p>
    <w:p w:rsidR="006C3588" w:rsidRDefault="006C3588" w:rsidP="001B02E4">
      <w:pPr>
        <w:tabs>
          <w:tab w:val="left" w:pos="993"/>
        </w:tabs>
        <w:spacing w:line="20" w:lineRule="atLeast"/>
        <w:contextualSpacing/>
        <w:jc w:val="both"/>
      </w:pPr>
      <w:r>
        <w:t xml:space="preserve">(2) </w:t>
      </w:r>
      <w:r w:rsidRPr="00CF3C80">
        <w:t xml:space="preserve">Yerli üretim dalının 2015 yılında 100 birim kabul edilen üretim kapasitesi endeksi, 2016 ve 2017 yıllarında 100 olarak sabit kalmıştır. Kapasite kullanım oranı (KKO) endeksi ise 2015 yılında 100 iken, 2016 yılında 123’e, 2017 </w:t>
      </w:r>
      <w:r w:rsidR="0087093A">
        <w:t>yılında ise 132’ye yükselmiştir.</w:t>
      </w:r>
    </w:p>
    <w:p w:rsidR="00066DB9" w:rsidRPr="00CF3C80" w:rsidRDefault="00066DB9" w:rsidP="001B02E4">
      <w:pPr>
        <w:tabs>
          <w:tab w:val="left" w:pos="993"/>
        </w:tabs>
        <w:spacing w:line="20" w:lineRule="atLeast"/>
        <w:contextualSpacing/>
        <w:jc w:val="both"/>
      </w:pPr>
    </w:p>
    <w:p w:rsidR="006C3588" w:rsidRDefault="0087093A" w:rsidP="001B02E4">
      <w:pPr>
        <w:spacing w:line="20" w:lineRule="atLeast"/>
        <w:contextualSpacing/>
        <w:jc w:val="both"/>
        <w:rPr>
          <w:b/>
          <w:bCs/>
        </w:rPr>
      </w:pPr>
      <w:r>
        <w:rPr>
          <w:b/>
          <w:bCs/>
        </w:rPr>
        <w:t xml:space="preserve">b) </w:t>
      </w:r>
      <w:r w:rsidR="006C3588" w:rsidRPr="00CF3C80">
        <w:rPr>
          <w:b/>
          <w:bCs/>
        </w:rPr>
        <w:t>Yurt içi satışlar ve ihracat</w:t>
      </w:r>
    </w:p>
    <w:p w:rsidR="006C3588" w:rsidRPr="006C3588" w:rsidRDefault="006C3588" w:rsidP="001B02E4">
      <w:pPr>
        <w:spacing w:line="20" w:lineRule="atLeast"/>
        <w:contextualSpacing/>
        <w:jc w:val="both"/>
        <w:rPr>
          <w:b/>
          <w:bCs/>
        </w:rPr>
      </w:pPr>
      <w:r w:rsidRPr="0036450D">
        <w:rPr>
          <w:bCs/>
          <w:noProof/>
        </w:rPr>
        <w:t xml:space="preserve">(1) </w:t>
      </w:r>
      <w:r w:rsidRPr="00CF3C80">
        <w:t>Yerli üretim dalının ilgili üründe 2015 yılında 100 birim olan yurt içi satış miktar endeksi, 2016 yılında 116’ya, 2017 yılında ise 139’a yükselmiştir.</w:t>
      </w:r>
    </w:p>
    <w:p w:rsidR="006C3588" w:rsidRPr="00CF3C80" w:rsidRDefault="006C3588" w:rsidP="001B02E4">
      <w:pPr>
        <w:tabs>
          <w:tab w:val="left" w:pos="720"/>
          <w:tab w:val="left" w:pos="1418"/>
        </w:tabs>
        <w:spacing w:line="20" w:lineRule="atLeast"/>
        <w:jc w:val="both"/>
      </w:pPr>
    </w:p>
    <w:p w:rsidR="006C3588" w:rsidRDefault="006C3588" w:rsidP="001B02E4">
      <w:pPr>
        <w:tabs>
          <w:tab w:val="left" w:pos="720"/>
          <w:tab w:val="left" w:pos="1418"/>
        </w:tabs>
        <w:spacing w:line="20" w:lineRule="atLeast"/>
        <w:contextualSpacing/>
        <w:jc w:val="both"/>
      </w:pPr>
      <w:r>
        <w:t xml:space="preserve">(2) </w:t>
      </w:r>
      <w:r w:rsidRPr="00CF3C80">
        <w:t>2015 yılında 100 birim olan yurt dışı satış miktar endeksi 2016 yılında 85’e düşerken, 2017 yılında 93’e yükselmiştir.</w:t>
      </w:r>
    </w:p>
    <w:p w:rsidR="00911F8C" w:rsidRDefault="00911F8C" w:rsidP="001B02E4">
      <w:pPr>
        <w:tabs>
          <w:tab w:val="left" w:pos="720"/>
          <w:tab w:val="left" w:pos="1418"/>
        </w:tabs>
        <w:spacing w:line="20" w:lineRule="atLeast"/>
        <w:contextualSpacing/>
        <w:jc w:val="both"/>
      </w:pPr>
    </w:p>
    <w:p w:rsidR="00911F8C" w:rsidRDefault="00911F8C" w:rsidP="001B02E4">
      <w:pPr>
        <w:tabs>
          <w:tab w:val="left" w:pos="720"/>
          <w:tab w:val="left" w:pos="1418"/>
        </w:tabs>
        <w:spacing w:line="20" w:lineRule="atLeast"/>
        <w:contextualSpacing/>
        <w:jc w:val="both"/>
      </w:pPr>
    </w:p>
    <w:p w:rsidR="006C3588" w:rsidRPr="00CF3C80" w:rsidRDefault="006C3588" w:rsidP="001B02E4">
      <w:pPr>
        <w:tabs>
          <w:tab w:val="left" w:pos="720"/>
          <w:tab w:val="left" w:pos="1418"/>
        </w:tabs>
        <w:spacing w:line="20" w:lineRule="atLeast"/>
        <w:contextualSpacing/>
        <w:jc w:val="both"/>
      </w:pPr>
    </w:p>
    <w:p w:rsidR="006C3588" w:rsidRPr="00CF3C80" w:rsidRDefault="0087093A" w:rsidP="001B02E4">
      <w:pPr>
        <w:spacing w:line="20" w:lineRule="atLeast"/>
        <w:contextualSpacing/>
        <w:jc w:val="both"/>
        <w:rPr>
          <w:b/>
          <w:bCs/>
        </w:rPr>
      </w:pPr>
      <w:r>
        <w:rPr>
          <w:b/>
          <w:bCs/>
        </w:rPr>
        <w:t xml:space="preserve">c) </w:t>
      </w:r>
      <w:r w:rsidR="006C3588" w:rsidRPr="00CF3C80">
        <w:rPr>
          <w:b/>
          <w:bCs/>
        </w:rPr>
        <w:t>Yurt içi fiyatlar</w:t>
      </w:r>
    </w:p>
    <w:p w:rsidR="006C3588" w:rsidRDefault="006C3588" w:rsidP="001B02E4">
      <w:pPr>
        <w:tabs>
          <w:tab w:val="left" w:pos="709"/>
        </w:tabs>
        <w:spacing w:line="20" w:lineRule="atLeast"/>
        <w:jc w:val="both"/>
      </w:pPr>
      <w:r w:rsidRPr="0036450D">
        <w:rPr>
          <w:bCs/>
          <w:noProof/>
        </w:rPr>
        <w:t xml:space="preserve">(1) </w:t>
      </w:r>
      <w:r w:rsidRPr="00CF3C80">
        <w:t>Yerli üretim dalının ilgili üründe ağırlıklı ortalama yurt içi birim satış fiyatı endeksi, 2015 yılında 100 birim olarak alındığında, 2016 yılında 104’e, 2017 yılında ise 114’e yükseldiği görülmüştür.</w:t>
      </w:r>
    </w:p>
    <w:p w:rsidR="006C3588" w:rsidRPr="006C3588" w:rsidRDefault="006C3588" w:rsidP="001B02E4">
      <w:pPr>
        <w:tabs>
          <w:tab w:val="left" w:pos="709"/>
        </w:tabs>
        <w:spacing w:line="20" w:lineRule="atLeast"/>
        <w:jc w:val="both"/>
      </w:pPr>
    </w:p>
    <w:p w:rsidR="006C3588" w:rsidRPr="00CF3C80" w:rsidRDefault="0087093A" w:rsidP="001B02E4">
      <w:pPr>
        <w:spacing w:line="20" w:lineRule="atLeast"/>
        <w:jc w:val="both"/>
        <w:rPr>
          <w:b/>
          <w:bCs/>
        </w:rPr>
      </w:pPr>
      <w:r>
        <w:rPr>
          <w:b/>
          <w:bCs/>
        </w:rPr>
        <w:t xml:space="preserve">ç) </w:t>
      </w:r>
      <w:r w:rsidR="006C3588" w:rsidRPr="00CF3C80">
        <w:rPr>
          <w:b/>
          <w:bCs/>
        </w:rPr>
        <w:t>Maliyetler ve kârlılık</w:t>
      </w:r>
    </w:p>
    <w:p w:rsidR="006C3588" w:rsidRPr="00CF3C80" w:rsidRDefault="006C3588" w:rsidP="001B02E4">
      <w:pPr>
        <w:spacing w:line="20" w:lineRule="atLeast"/>
        <w:jc w:val="both"/>
        <w:rPr>
          <w:b/>
          <w:bCs/>
        </w:rPr>
      </w:pPr>
      <w:r w:rsidRPr="0036450D">
        <w:rPr>
          <w:bCs/>
          <w:noProof/>
        </w:rPr>
        <w:t xml:space="preserve">(1) </w:t>
      </w:r>
      <w:r w:rsidRPr="00CF3C80">
        <w:t>Yerli üretim dalının ilgili üründe ağırlıklı ortalama birim ticari maliyeti 2015 yılında 100 birim iken, 2016 yılında</w:t>
      </w:r>
      <w:r>
        <w:t xml:space="preserve"> 84’e, 2017 yılında ise 83’e</w:t>
      </w:r>
      <w:r w:rsidRPr="00CF3C80">
        <w:t xml:space="preserve"> gerilemiştir.</w:t>
      </w:r>
    </w:p>
    <w:p w:rsidR="006C3588" w:rsidRPr="00CF3C80" w:rsidRDefault="006C3588" w:rsidP="001B02E4">
      <w:pPr>
        <w:spacing w:line="20" w:lineRule="atLeast"/>
        <w:jc w:val="both"/>
      </w:pPr>
      <w:r w:rsidRPr="00CF3C80">
        <w:t xml:space="preserve">                       </w:t>
      </w:r>
    </w:p>
    <w:p w:rsidR="006C3588" w:rsidRPr="00CF3C80" w:rsidRDefault="006C3588" w:rsidP="001B02E4">
      <w:pPr>
        <w:spacing w:line="20" w:lineRule="atLeast"/>
        <w:jc w:val="both"/>
      </w:pPr>
      <w:r>
        <w:t xml:space="preserve">(2) </w:t>
      </w:r>
      <w:r w:rsidRPr="00CF3C80">
        <w:t>Yerli üretim dalının ilgili üründe ticari maliyetleri ve ortalama yurt içi satış fiyatları dikkate alınarak hesaplanan yurt içi ürün birim kârlılık endeksi 2015 yılında -100 birim ka</w:t>
      </w:r>
      <w:r>
        <w:t>bul edildiğinde, 2016 yılında -24’e, 2017 yılında 12’ye</w:t>
      </w:r>
      <w:r w:rsidRPr="00CF3C80">
        <w:t xml:space="preserve"> yükselmiştir.</w:t>
      </w:r>
    </w:p>
    <w:p w:rsidR="006C3588" w:rsidRPr="00CF3C80" w:rsidRDefault="006C3588" w:rsidP="001B02E4">
      <w:pPr>
        <w:spacing w:line="20" w:lineRule="atLeast"/>
        <w:jc w:val="both"/>
        <w:rPr>
          <w:b/>
          <w:bCs/>
        </w:rPr>
      </w:pPr>
    </w:p>
    <w:p w:rsidR="006C3588" w:rsidRPr="00CF3C80" w:rsidRDefault="0087093A" w:rsidP="001B02E4">
      <w:pPr>
        <w:spacing w:line="20" w:lineRule="atLeast"/>
        <w:contextualSpacing/>
        <w:jc w:val="both"/>
        <w:rPr>
          <w:b/>
          <w:bCs/>
        </w:rPr>
      </w:pPr>
      <w:r>
        <w:rPr>
          <w:b/>
          <w:bCs/>
        </w:rPr>
        <w:t xml:space="preserve">d) </w:t>
      </w:r>
      <w:r w:rsidR="006C3588" w:rsidRPr="00CF3C80">
        <w:rPr>
          <w:b/>
          <w:bCs/>
        </w:rPr>
        <w:t>Pazar payı</w:t>
      </w:r>
    </w:p>
    <w:p w:rsidR="006C3588" w:rsidRDefault="00813031" w:rsidP="001B02E4">
      <w:pPr>
        <w:spacing w:line="20" w:lineRule="atLeast"/>
        <w:jc w:val="both"/>
      </w:pPr>
      <w:r>
        <w:t>(1</w:t>
      </w:r>
      <w:r w:rsidR="006C3588">
        <w:t xml:space="preserve">) </w:t>
      </w:r>
      <w:r w:rsidR="006C3588" w:rsidRPr="00CF3C80">
        <w:t xml:space="preserve">Yerli üretim dalının pazar payı endeksi, 2015 yılında 100 iken, 2016 yılında 98’e düşmüş, 2017 yılında 102’ye yükselmiştir. </w:t>
      </w:r>
    </w:p>
    <w:p w:rsidR="006C3588" w:rsidRPr="00A45131" w:rsidRDefault="006C3588" w:rsidP="001B02E4">
      <w:pPr>
        <w:spacing w:line="20" w:lineRule="atLeast"/>
        <w:ind w:firstLine="708"/>
        <w:jc w:val="both"/>
      </w:pPr>
    </w:p>
    <w:p w:rsidR="006C3588" w:rsidRPr="00CF3C80" w:rsidRDefault="0087093A" w:rsidP="001B02E4">
      <w:pPr>
        <w:spacing w:line="20" w:lineRule="atLeast"/>
        <w:contextualSpacing/>
        <w:jc w:val="both"/>
        <w:rPr>
          <w:b/>
          <w:bCs/>
        </w:rPr>
      </w:pPr>
      <w:r>
        <w:rPr>
          <w:b/>
          <w:bCs/>
        </w:rPr>
        <w:t xml:space="preserve">e) </w:t>
      </w:r>
      <w:r w:rsidR="006C3588" w:rsidRPr="00CF3C80">
        <w:rPr>
          <w:b/>
          <w:bCs/>
        </w:rPr>
        <w:t>Stoklar</w:t>
      </w:r>
    </w:p>
    <w:p w:rsidR="006C3588" w:rsidRPr="00CF3C80" w:rsidRDefault="00813031" w:rsidP="001B02E4">
      <w:pPr>
        <w:spacing w:line="20" w:lineRule="atLeast"/>
        <w:jc w:val="both"/>
      </w:pPr>
      <w:r w:rsidRPr="0036450D">
        <w:rPr>
          <w:bCs/>
          <w:noProof/>
        </w:rPr>
        <w:t>(1)</w:t>
      </w:r>
      <w:r>
        <w:rPr>
          <w:bCs/>
          <w:noProof/>
        </w:rPr>
        <w:t xml:space="preserve"> </w:t>
      </w:r>
      <w:r w:rsidR="006C3588" w:rsidRPr="00CF3C80">
        <w:t>Yerli üretim dalının ilgili üründeki stok verileri incelendiğinde 2015 yılında 100 birim olan stok miktar endeksi, 2016 yılında 135’e yükselirken, 2017 yılında 98’e gerilemiştir.</w:t>
      </w:r>
    </w:p>
    <w:p w:rsidR="006C3588" w:rsidRPr="00CF3C80" w:rsidRDefault="006C3588" w:rsidP="001B02E4">
      <w:pPr>
        <w:spacing w:line="20" w:lineRule="atLeast"/>
        <w:jc w:val="both"/>
        <w:rPr>
          <w:b/>
          <w:bCs/>
        </w:rPr>
      </w:pPr>
    </w:p>
    <w:p w:rsidR="006C3588" w:rsidRPr="00CF3C80" w:rsidRDefault="0087093A" w:rsidP="001B02E4">
      <w:pPr>
        <w:spacing w:line="20" w:lineRule="atLeast"/>
        <w:contextualSpacing/>
        <w:jc w:val="both"/>
        <w:rPr>
          <w:b/>
          <w:bCs/>
        </w:rPr>
      </w:pPr>
      <w:r>
        <w:rPr>
          <w:b/>
          <w:bCs/>
        </w:rPr>
        <w:t xml:space="preserve">f) </w:t>
      </w:r>
      <w:r w:rsidR="006C3588" w:rsidRPr="00CF3C80">
        <w:rPr>
          <w:b/>
          <w:bCs/>
        </w:rPr>
        <w:t>İstihdam ve ücretler</w:t>
      </w:r>
    </w:p>
    <w:p w:rsidR="006C3588" w:rsidRPr="00CF3C80" w:rsidRDefault="00813031" w:rsidP="001B02E4">
      <w:pPr>
        <w:spacing w:line="20" w:lineRule="atLeast"/>
        <w:jc w:val="both"/>
      </w:pPr>
      <w:r w:rsidRPr="0036450D">
        <w:rPr>
          <w:bCs/>
          <w:noProof/>
        </w:rPr>
        <w:t>(1)</w:t>
      </w:r>
      <w:r>
        <w:rPr>
          <w:bCs/>
          <w:noProof/>
        </w:rPr>
        <w:t xml:space="preserve"> </w:t>
      </w:r>
      <w:r w:rsidR="006C3588" w:rsidRPr="00CF3C80">
        <w:t>Yerli üretim dalının ilgili üründe çalışan toplam direk işçi sayısı endeksi 2015 yılında 100 birim iken, 2016 yılında 102’ye, 2017 yılında ise 110’a yükselmiştir.</w:t>
      </w:r>
    </w:p>
    <w:p w:rsidR="006C3588" w:rsidRPr="00CF3C80" w:rsidRDefault="006C3588" w:rsidP="001B02E4">
      <w:pPr>
        <w:spacing w:line="20" w:lineRule="atLeast"/>
        <w:ind w:firstLine="708"/>
        <w:jc w:val="both"/>
      </w:pPr>
    </w:p>
    <w:p w:rsidR="006C3588" w:rsidRPr="00CF3C80" w:rsidRDefault="00813031" w:rsidP="001B02E4">
      <w:pPr>
        <w:spacing w:line="20" w:lineRule="atLeast"/>
        <w:jc w:val="both"/>
      </w:pPr>
      <w:r>
        <w:t xml:space="preserve">(2) </w:t>
      </w:r>
      <w:r w:rsidR="006C3588" w:rsidRPr="00CF3C80">
        <w:t>Yerli üretim dalının aylık brüt işçi ücreti endeksi 2015 yılında 100 birim olarak alındığında, 2016 yılında 117’ye yükselirken, 2017 yılında 114’e gerilemiştir.</w:t>
      </w:r>
    </w:p>
    <w:p w:rsidR="006C3588" w:rsidRPr="00CF3C80" w:rsidRDefault="006C3588" w:rsidP="001B02E4">
      <w:pPr>
        <w:spacing w:line="20" w:lineRule="atLeast"/>
        <w:jc w:val="both"/>
        <w:rPr>
          <w:b/>
          <w:bCs/>
        </w:rPr>
      </w:pPr>
    </w:p>
    <w:p w:rsidR="006C3588" w:rsidRPr="00CF3C80" w:rsidRDefault="0087093A" w:rsidP="001B02E4">
      <w:pPr>
        <w:spacing w:line="20" w:lineRule="atLeast"/>
        <w:contextualSpacing/>
        <w:jc w:val="both"/>
        <w:rPr>
          <w:b/>
          <w:bCs/>
        </w:rPr>
      </w:pPr>
      <w:r>
        <w:rPr>
          <w:b/>
          <w:bCs/>
        </w:rPr>
        <w:t xml:space="preserve">g) </w:t>
      </w:r>
      <w:r w:rsidR="006C3588" w:rsidRPr="00CF3C80">
        <w:rPr>
          <w:b/>
          <w:bCs/>
        </w:rPr>
        <w:t>Verimlilik</w:t>
      </w:r>
    </w:p>
    <w:p w:rsidR="006C3588" w:rsidRPr="00CF3C80" w:rsidRDefault="00BA2D6C" w:rsidP="001B02E4">
      <w:pPr>
        <w:spacing w:line="20" w:lineRule="atLeast"/>
        <w:jc w:val="both"/>
      </w:pPr>
      <w:r>
        <w:t>(1)</w:t>
      </w:r>
      <w:r w:rsidR="006C3588" w:rsidRPr="00CF3C80">
        <w:t xml:space="preserve"> Yerli üretim dalının ilgili ürün üretiminde çalışan işçi başına verimlilik endeksi 2015 yılında 100 birim iken, 2016 yılında 121’e yükselmiş, 2017 yılında ise 120’ye gerilemiştir.</w:t>
      </w:r>
    </w:p>
    <w:p w:rsidR="0087093A" w:rsidRDefault="0087093A" w:rsidP="001B02E4">
      <w:pPr>
        <w:spacing w:line="20" w:lineRule="atLeast"/>
        <w:jc w:val="both"/>
      </w:pPr>
    </w:p>
    <w:p w:rsidR="006C3588" w:rsidRPr="00E22CBA" w:rsidRDefault="0087093A" w:rsidP="001B02E4">
      <w:pPr>
        <w:spacing w:line="20" w:lineRule="atLeast"/>
        <w:jc w:val="both"/>
        <w:rPr>
          <w:b/>
          <w:bCs/>
        </w:rPr>
      </w:pPr>
      <w:r>
        <w:rPr>
          <w:b/>
          <w:bCs/>
        </w:rPr>
        <w:t xml:space="preserve">ğ) </w:t>
      </w:r>
      <w:r w:rsidR="006C3588" w:rsidRPr="00E22CBA">
        <w:rPr>
          <w:b/>
          <w:bCs/>
        </w:rPr>
        <w:t>Ürün nakit akışı</w:t>
      </w:r>
    </w:p>
    <w:p w:rsidR="006C3588" w:rsidRDefault="00BA2D6C" w:rsidP="001B02E4">
      <w:pPr>
        <w:spacing w:line="20" w:lineRule="atLeast"/>
        <w:jc w:val="both"/>
      </w:pPr>
      <w:r w:rsidRPr="0036450D">
        <w:rPr>
          <w:bCs/>
          <w:noProof/>
        </w:rPr>
        <w:t>(1)</w:t>
      </w:r>
      <w:r>
        <w:rPr>
          <w:bCs/>
          <w:noProof/>
        </w:rPr>
        <w:t xml:space="preserve"> </w:t>
      </w:r>
      <w:r w:rsidR="006C3588" w:rsidRPr="00E22CBA">
        <w:t>Yerli üretim dalının 2015 yılında -100 birim olan ürün nakit akışı endeksi, 2016 yılında -46’ya, 2017 yılında ise 31’e yükselmiştir.</w:t>
      </w:r>
    </w:p>
    <w:p w:rsidR="006C3588" w:rsidRPr="00CF3C80" w:rsidRDefault="006C3588" w:rsidP="001B02E4">
      <w:pPr>
        <w:spacing w:line="20" w:lineRule="atLeast"/>
        <w:ind w:firstLine="708"/>
        <w:jc w:val="both"/>
      </w:pPr>
    </w:p>
    <w:p w:rsidR="006C3588" w:rsidRPr="00000F02" w:rsidRDefault="0087093A" w:rsidP="001B02E4">
      <w:pPr>
        <w:spacing w:line="20" w:lineRule="atLeast"/>
        <w:contextualSpacing/>
        <w:jc w:val="both"/>
        <w:rPr>
          <w:b/>
          <w:bCs/>
        </w:rPr>
      </w:pPr>
      <w:r>
        <w:rPr>
          <w:b/>
          <w:bCs/>
        </w:rPr>
        <w:t xml:space="preserve">h) </w:t>
      </w:r>
      <w:r w:rsidR="006C3588" w:rsidRPr="00000F02">
        <w:rPr>
          <w:b/>
          <w:bCs/>
        </w:rPr>
        <w:t>Yatırımların geri dönüş oranı</w:t>
      </w:r>
    </w:p>
    <w:p w:rsidR="0087093A" w:rsidRDefault="00BA2D6C" w:rsidP="00066DB9">
      <w:pPr>
        <w:spacing w:line="20" w:lineRule="atLeast"/>
        <w:jc w:val="both"/>
      </w:pPr>
      <w:r w:rsidRPr="0036450D">
        <w:rPr>
          <w:bCs/>
          <w:noProof/>
        </w:rPr>
        <w:t>(1)</w:t>
      </w:r>
      <w:r>
        <w:rPr>
          <w:bCs/>
          <w:noProof/>
        </w:rPr>
        <w:t xml:space="preserve"> </w:t>
      </w:r>
      <w:r w:rsidR="006C3588" w:rsidRPr="00000F02">
        <w:t>Yerli üretim dalının bütün faaliyetleri ile ilgili olarak, 2015 yılı itibariyle -100 olan yatırımların geri dönüş oranı endeksi (Kâr/Özkaynak), 2016 yılında -100, 2017 yılında ise -14 olarak gerçekleşmiştir.</w:t>
      </w:r>
    </w:p>
    <w:p w:rsidR="0087093A" w:rsidRPr="00CF3C80" w:rsidRDefault="0087093A" w:rsidP="001B02E4">
      <w:pPr>
        <w:spacing w:line="20" w:lineRule="atLeast"/>
        <w:jc w:val="both"/>
        <w:rPr>
          <w:b/>
          <w:bCs/>
        </w:rPr>
      </w:pPr>
    </w:p>
    <w:p w:rsidR="006C3588" w:rsidRPr="00CF3C80" w:rsidRDefault="0087093A" w:rsidP="001B02E4">
      <w:pPr>
        <w:spacing w:line="20" w:lineRule="atLeast"/>
        <w:jc w:val="both"/>
        <w:rPr>
          <w:b/>
          <w:color w:val="000000"/>
        </w:rPr>
      </w:pPr>
      <w:r>
        <w:rPr>
          <w:b/>
          <w:color w:val="000000"/>
        </w:rPr>
        <w:t xml:space="preserve">ı) </w:t>
      </w:r>
      <w:r w:rsidR="006C3588" w:rsidRPr="00CF3C80">
        <w:rPr>
          <w:b/>
          <w:color w:val="000000"/>
        </w:rPr>
        <w:t>Büyüme</w:t>
      </w:r>
    </w:p>
    <w:p w:rsidR="00BA2D6C" w:rsidRDefault="00BA2D6C" w:rsidP="001B02E4">
      <w:pPr>
        <w:spacing w:line="20" w:lineRule="atLeast"/>
        <w:jc w:val="both"/>
        <w:rPr>
          <w:color w:val="000000"/>
        </w:rPr>
      </w:pPr>
      <w:r w:rsidRPr="0036450D">
        <w:rPr>
          <w:bCs/>
          <w:noProof/>
        </w:rPr>
        <w:t>(1)</w:t>
      </w:r>
      <w:r>
        <w:rPr>
          <w:bCs/>
          <w:noProof/>
        </w:rPr>
        <w:t xml:space="preserve"> </w:t>
      </w:r>
      <w:r w:rsidR="006C3588" w:rsidRPr="00BA2D6C">
        <w:rPr>
          <w:color w:val="000000"/>
        </w:rPr>
        <w:t xml:space="preserve">Yerli üretim dalının bütün faaliyetleri ile ilgili olarak aktif büyüklüğü reel olarak </w:t>
      </w:r>
      <w:r w:rsidR="006C3588" w:rsidRPr="00CF3C80">
        <w:t xml:space="preserve">2015 yılında </w:t>
      </w:r>
      <w:r w:rsidR="006C3588" w:rsidRPr="00BA2D6C">
        <w:rPr>
          <w:color w:val="000000"/>
        </w:rPr>
        <w:t>100 iken, 2016 yılında 115’e yükselmiş, 2017 yılında ise 110’a gerilemiştir.</w:t>
      </w:r>
    </w:p>
    <w:p w:rsidR="00BA2D6C" w:rsidRPr="00BA2D6C" w:rsidRDefault="00BA2D6C" w:rsidP="001B02E4">
      <w:pPr>
        <w:spacing w:line="20" w:lineRule="atLeast"/>
        <w:jc w:val="both"/>
        <w:rPr>
          <w:color w:val="000000"/>
        </w:rPr>
      </w:pPr>
    </w:p>
    <w:p w:rsidR="006C3588" w:rsidRPr="00CF3C80" w:rsidRDefault="0087093A" w:rsidP="001B02E4">
      <w:pPr>
        <w:spacing w:line="20" w:lineRule="atLeast"/>
        <w:contextualSpacing/>
        <w:jc w:val="both"/>
        <w:rPr>
          <w:b/>
        </w:rPr>
      </w:pPr>
      <w:r>
        <w:rPr>
          <w:b/>
        </w:rPr>
        <w:t xml:space="preserve">i) </w:t>
      </w:r>
      <w:r w:rsidR="006C3588" w:rsidRPr="00CF3C80">
        <w:rPr>
          <w:b/>
        </w:rPr>
        <w:t>Sermaye artırma yeteneği</w:t>
      </w:r>
    </w:p>
    <w:p w:rsidR="006C3588" w:rsidRPr="00CF3C80" w:rsidRDefault="00BA2D6C" w:rsidP="00911F8C">
      <w:pPr>
        <w:spacing w:line="20" w:lineRule="atLeast"/>
        <w:jc w:val="both"/>
      </w:pPr>
      <w:r w:rsidRPr="0036450D">
        <w:rPr>
          <w:bCs/>
          <w:noProof/>
        </w:rPr>
        <w:t>(1)</w:t>
      </w:r>
      <w:r>
        <w:rPr>
          <w:bCs/>
          <w:noProof/>
        </w:rPr>
        <w:t xml:space="preserve"> </w:t>
      </w:r>
      <w:r w:rsidR="006C3588" w:rsidRPr="00CF3C80">
        <w:t>Yerli üretim dalının sermaye artırma yeteneğini görebilmek amacıyla yerli üretim dalının bütün faaliyetlerinde kullanılan öz sermayesinin gelişimi incelenmiştir. Buna göre, 2015 yılında 100 birim olan öz s</w:t>
      </w:r>
      <w:r w:rsidR="006C3588">
        <w:t>ermaye endeksi, 2016 yılında -116’ya gerilerken</w:t>
      </w:r>
      <w:r w:rsidR="006C3588" w:rsidRPr="00CF3C80">
        <w:t xml:space="preserve">, </w:t>
      </w:r>
      <w:r w:rsidR="006C3588">
        <w:t>2017 yılında 160’a</w:t>
      </w:r>
      <w:r w:rsidR="00911F8C">
        <w:t xml:space="preserve"> yükselmiştir.</w:t>
      </w:r>
    </w:p>
    <w:p w:rsidR="006C3588" w:rsidRPr="00CF3C80" w:rsidRDefault="0087093A" w:rsidP="001B02E4">
      <w:pPr>
        <w:spacing w:line="20" w:lineRule="atLeast"/>
        <w:jc w:val="both"/>
        <w:rPr>
          <w:b/>
        </w:rPr>
      </w:pPr>
      <w:r>
        <w:rPr>
          <w:b/>
        </w:rPr>
        <w:t xml:space="preserve">j) </w:t>
      </w:r>
      <w:r w:rsidR="006C3588" w:rsidRPr="00CF3C80">
        <w:rPr>
          <w:b/>
        </w:rPr>
        <w:t>Yatırımlardaki artış</w:t>
      </w:r>
    </w:p>
    <w:p w:rsidR="006C3588" w:rsidRPr="00CF3C80" w:rsidRDefault="00BA2D6C" w:rsidP="001B02E4">
      <w:pPr>
        <w:spacing w:line="20" w:lineRule="atLeast"/>
        <w:jc w:val="both"/>
        <w:rPr>
          <w:bCs/>
        </w:rPr>
      </w:pPr>
      <w:r w:rsidRPr="0036450D">
        <w:rPr>
          <w:bCs/>
          <w:noProof/>
        </w:rPr>
        <w:t>(1)</w:t>
      </w:r>
      <w:r>
        <w:rPr>
          <w:bCs/>
          <w:noProof/>
        </w:rPr>
        <w:t xml:space="preserve"> </w:t>
      </w:r>
      <w:r w:rsidR="006C3588" w:rsidRPr="00CF3C80">
        <w:rPr>
          <w:bCs/>
        </w:rPr>
        <w:t xml:space="preserve"> Yerli üretim dalının </w:t>
      </w:r>
      <w:r w:rsidR="006C3588" w:rsidRPr="00CF3C80">
        <w:t xml:space="preserve">2015 yılında </w:t>
      </w:r>
      <w:r w:rsidR="006C3588" w:rsidRPr="00CF3C80">
        <w:rPr>
          <w:bCs/>
        </w:rPr>
        <w:t>100 birim olan tevsi yatırımlar endeksi, 2016 yılında 79’a, 2017 yılında ise 11’e düşmüştür.</w:t>
      </w:r>
    </w:p>
    <w:p w:rsidR="006C3588" w:rsidRPr="00CF3C80" w:rsidRDefault="006C3588" w:rsidP="001B02E4">
      <w:pPr>
        <w:spacing w:line="20" w:lineRule="atLeast"/>
        <w:ind w:firstLine="708"/>
        <w:jc w:val="both"/>
        <w:rPr>
          <w:bCs/>
        </w:rPr>
      </w:pPr>
    </w:p>
    <w:p w:rsidR="006C3588" w:rsidRDefault="00BA2D6C" w:rsidP="001B02E4">
      <w:pPr>
        <w:spacing w:line="20" w:lineRule="atLeast"/>
        <w:jc w:val="both"/>
      </w:pPr>
      <w:r>
        <w:t xml:space="preserve">(2) </w:t>
      </w:r>
      <w:r w:rsidR="006C3588" w:rsidRPr="00CF3C80">
        <w:t>Yerli üretim dalının yenileme yatırımları endeksi ise 2015 yılında 100 iken, 2016 yılında 69’a, 2017 yılında ise 47’ye gerilemiştir.</w:t>
      </w:r>
    </w:p>
    <w:p w:rsidR="006C3588" w:rsidRDefault="006C3588" w:rsidP="001B02E4">
      <w:pPr>
        <w:spacing w:line="20" w:lineRule="atLeast"/>
        <w:ind w:firstLine="708"/>
        <w:jc w:val="both"/>
      </w:pPr>
    </w:p>
    <w:p w:rsidR="006C3588" w:rsidRDefault="0087093A" w:rsidP="001B02E4">
      <w:pPr>
        <w:pStyle w:val="Balk2"/>
        <w:pBdr>
          <w:top w:val="none" w:sz="0" w:space="0" w:color="auto"/>
          <w:left w:val="none" w:sz="0" w:space="0" w:color="auto"/>
          <w:bottom w:val="none" w:sz="0" w:space="0" w:color="auto"/>
          <w:right w:val="none" w:sz="0" w:space="0" w:color="auto"/>
        </w:pBdr>
        <w:spacing w:line="20" w:lineRule="atLeast"/>
        <w:jc w:val="left"/>
        <w:rPr>
          <w:rFonts w:ascii="Times New Roman" w:hAnsi="Times New Roman"/>
          <w:sz w:val="24"/>
          <w:szCs w:val="24"/>
        </w:rPr>
      </w:pPr>
      <w:r>
        <w:rPr>
          <w:rFonts w:ascii="Times New Roman" w:hAnsi="Times New Roman"/>
          <w:sz w:val="24"/>
          <w:szCs w:val="24"/>
        </w:rPr>
        <w:t xml:space="preserve">k) </w:t>
      </w:r>
      <w:r w:rsidR="006C3588">
        <w:rPr>
          <w:rFonts w:ascii="Times New Roman" w:hAnsi="Times New Roman"/>
          <w:sz w:val="24"/>
          <w:szCs w:val="24"/>
        </w:rPr>
        <w:t>Esas soruşturmada t</w:t>
      </w:r>
      <w:r w:rsidR="006C3588" w:rsidRPr="00595D1A">
        <w:rPr>
          <w:rFonts w:ascii="Times New Roman" w:hAnsi="Times New Roman"/>
          <w:sz w:val="24"/>
          <w:szCs w:val="24"/>
        </w:rPr>
        <w:t xml:space="preserve">espit edilen </w:t>
      </w:r>
      <w:r w:rsidR="006C3588">
        <w:rPr>
          <w:rFonts w:ascii="Times New Roman" w:hAnsi="Times New Roman"/>
          <w:sz w:val="24"/>
          <w:szCs w:val="24"/>
        </w:rPr>
        <w:t>d</w:t>
      </w:r>
      <w:r w:rsidR="006C3588" w:rsidRPr="00595D1A">
        <w:rPr>
          <w:rFonts w:ascii="Times New Roman" w:hAnsi="Times New Roman"/>
          <w:sz w:val="24"/>
          <w:szCs w:val="24"/>
        </w:rPr>
        <w:t xml:space="preserve">amping </w:t>
      </w:r>
      <w:r w:rsidR="006C3588">
        <w:rPr>
          <w:rFonts w:ascii="Times New Roman" w:hAnsi="Times New Roman"/>
          <w:sz w:val="24"/>
          <w:szCs w:val="24"/>
        </w:rPr>
        <w:t>m</w:t>
      </w:r>
      <w:r w:rsidR="006C3588" w:rsidRPr="00595D1A">
        <w:rPr>
          <w:rFonts w:ascii="Times New Roman" w:hAnsi="Times New Roman"/>
          <w:sz w:val="24"/>
          <w:szCs w:val="24"/>
        </w:rPr>
        <w:t>arj</w:t>
      </w:r>
      <w:r w:rsidR="006C3588">
        <w:rPr>
          <w:rFonts w:ascii="Times New Roman" w:hAnsi="Times New Roman"/>
          <w:sz w:val="24"/>
          <w:szCs w:val="24"/>
        </w:rPr>
        <w:t>ının seviyesi</w:t>
      </w:r>
    </w:p>
    <w:p w:rsidR="006C3588" w:rsidRDefault="0087093A" w:rsidP="001B02E4">
      <w:pPr>
        <w:spacing w:line="20" w:lineRule="atLeast"/>
        <w:jc w:val="both"/>
      </w:pPr>
      <w:r w:rsidRPr="0036450D">
        <w:rPr>
          <w:bCs/>
          <w:noProof/>
        </w:rPr>
        <w:t>(1)</w:t>
      </w:r>
      <w:r>
        <w:rPr>
          <w:bCs/>
          <w:noProof/>
        </w:rPr>
        <w:t xml:space="preserve"> </w:t>
      </w:r>
      <w:r w:rsidRPr="00CF3C80">
        <w:rPr>
          <w:bCs/>
        </w:rPr>
        <w:t xml:space="preserve"> </w:t>
      </w:r>
      <w:r w:rsidR="006C3588" w:rsidRPr="00DD37EE">
        <w:t xml:space="preserve">İthalatta Haksız </w:t>
      </w:r>
      <w:r w:rsidR="006C3588">
        <w:t xml:space="preserve">Rekabetin Önlenmesine İlişkin </w:t>
      </w:r>
      <w:r w:rsidR="006C3588" w:rsidRPr="00DD37EE">
        <w:t xml:space="preserve">Tebliğ (Tebliğ No:2007/11) </w:t>
      </w:r>
      <w:r w:rsidR="006C3588" w:rsidRPr="00EF0050">
        <w:t>ile tamamlanan esas soruşturmada</w:t>
      </w:r>
      <w:r w:rsidR="006C3588">
        <w:t xml:space="preserve"> nispi olarak</w:t>
      </w:r>
      <w:r w:rsidR="006C3588" w:rsidRPr="00EF0050">
        <w:t xml:space="preserve"> </w:t>
      </w:r>
      <w:r w:rsidR="006C3588">
        <w:t xml:space="preserve">ÇHC için </w:t>
      </w:r>
      <w:r w:rsidR="006C3588" w:rsidRPr="00EF0050">
        <w:t>CIF ihraç fiyatının %</w:t>
      </w:r>
      <w:r w:rsidR="006C3588">
        <w:t>5</w:t>
      </w:r>
      <w:r w:rsidR="006C3588" w:rsidRPr="00EF0050">
        <w:t>3</w:t>
      </w:r>
      <w:r w:rsidR="006C3588">
        <w:t>,7</w:t>
      </w:r>
      <w:r w:rsidR="006C3588" w:rsidRPr="00EF0050">
        <w:t>’</w:t>
      </w:r>
      <w:r w:rsidR="006C3588">
        <w:t>si oranında</w:t>
      </w:r>
      <w:r w:rsidR="006C3588" w:rsidRPr="00EF0050">
        <w:t>;</w:t>
      </w:r>
      <w:r w:rsidR="006C3588">
        <w:t xml:space="preserve"> mutlak olarak ise </w:t>
      </w:r>
      <w:r w:rsidR="006C3588" w:rsidRPr="00FD12E1">
        <w:t>285 ABD Doları/Ton</w:t>
      </w:r>
      <w:r w:rsidR="006C3588" w:rsidRPr="00EF0050">
        <w:t xml:space="preserve"> </w:t>
      </w:r>
      <w:r w:rsidR="006C3588">
        <w:t>tutarında damping marjı</w:t>
      </w:r>
      <w:r w:rsidR="006C3588" w:rsidRPr="00EF0050">
        <w:t xml:space="preserve"> belirlenmiştir.</w:t>
      </w:r>
    </w:p>
    <w:p w:rsidR="0087093A" w:rsidRPr="0087093A" w:rsidRDefault="0087093A" w:rsidP="001B02E4">
      <w:pPr>
        <w:spacing w:line="20" w:lineRule="atLeast"/>
        <w:jc w:val="both"/>
        <w:rPr>
          <w:b/>
        </w:rPr>
      </w:pPr>
    </w:p>
    <w:p w:rsidR="00577439" w:rsidRDefault="00577439" w:rsidP="001B02E4">
      <w:pPr>
        <w:spacing w:line="20" w:lineRule="atLeast"/>
        <w:jc w:val="both"/>
        <w:rPr>
          <w:b/>
        </w:rPr>
      </w:pPr>
      <w:r w:rsidRPr="00577439">
        <w:rPr>
          <w:b/>
        </w:rPr>
        <w:t xml:space="preserve">4.8 </w:t>
      </w:r>
      <w:r w:rsidR="00D151DD" w:rsidRPr="00577439">
        <w:rPr>
          <w:b/>
        </w:rPr>
        <w:t>Yerli</w:t>
      </w:r>
      <w:r w:rsidR="00D151DD" w:rsidRPr="00D151DD">
        <w:rPr>
          <w:b/>
        </w:rPr>
        <w:t xml:space="preserve"> </w:t>
      </w:r>
      <w:r w:rsidR="00911F8C">
        <w:rPr>
          <w:b/>
        </w:rPr>
        <w:t>üretim dalının ekonomik göstergelerin d</w:t>
      </w:r>
      <w:r w:rsidR="000861D2" w:rsidRPr="00D151DD">
        <w:rPr>
          <w:b/>
        </w:rPr>
        <w:t>eğerlendirilmesi</w:t>
      </w:r>
    </w:p>
    <w:p w:rsidR="00066DB9" w:rsidRDefault="0087093A" w:rsidP="001D5B1E">
      <w:pPr>
        <w:keepNext/>
        <w:jc w:val="both"/>
        <w:outlineLvl w:val="1"/>
        <w:rPr>
          <w:bCs/>
        </w:rPr>
      </w:pPr>
      <w:r w:rsidRPr="000B0EBF">
        <w:rPr>
          <w:bCs/>
        </w:rPr>
        <w:t>(1) Yerli üretim dalının 2015-2017 yıllarını kapsayan gözden geçirme dönemindeki ekonomik göstergeleri incelendiğinde, üretim, yurt içi satışlar, KKO, istihdam ve ürün nakit akışı gibi temel ekonomik göstergelerinde artış yaşandığı ve ekonomik göstergelerin genel olarak olumlu seyrettiği gözlenmiştir. Yerli üretim dalının stokları 2017 yılında azalmıştır. Bununla birlikte, yerli üretim dalının yurt içi satışlardan ürün karı 2015 ve 2016 yıllarında</w:t>
      </w:r>
      <w:r w:rsidR="00066DB9">
        <w:rPr>
          <w:bCs/>
        </w:rPr>
        <w:t>,</w:t>
      </w:r>
      <w:r w:rsidRPr="000B0EBF">
        <w:rPr>
          <w:bCs/>
        </w:rPr>
        <w:t xml:space="preserve"> </w:t>
      </w:r>
      <w:r w:rsidR="00066DB9">
        <w:rPr>
          <w:bCs/>
        </w:rPr>
        <w:t>yatırımların geri dönüş oranı ise gözden geçirme dönemi boyunca</w:t>
      </w:r>
      <w:r w:rsidR="00066DB9" w:rsidRPr="000B0EBF">
        <w:rPr>
          <w:bCs/>
        </w:rPr>
        <w:t xml:space="preserve"> negatif olarak gerçekleşmiştir.</w:t>
      </w:r>
    </w:p>
    <w:p w:rsidR="00066DB9" w:rsidRDefault="00066DB9" w:rsidP="00066DB9">
      <w:pPr>
        <w:keepNext/>
        <w:ind w:firstLine="708"/>
        <w:jc w:val="both"/>
        <w:outlineLvl w:val="1"/>
        <w:rPr>
          <w:bCs/>
        </w:rPr>
      </w:pPr>
    </w:p>
    <w:p w:rsidR="0087093A" w:rsidRDefault="00066DB9" w:rsidP="00066DB9">
      <w:pPr>
        <w:keepNext/>
        <w:spacing w:line="20" w:lineRule="atLeast"/>
        <w:jc w:val="both"/>
        <w:outlineLvl w:val="1"/>
        <w:rPr>
          <w:bCs/>
        </w:rPr>
      </w:pPr>
      <w:r w:rsidRPr="006E3D54">
        <w:rPr>
          <w:bCs/>
        </w:rPr>
        <w:t xml:space="preserve"> </w:t>
      </w:r>
      <w:r w:rsidR="0087093A" w:rsidRPr="006E3D54">
        <w:rPr>
          <w:bCs/>
        </w:rPr>
        <w:t>(2)</w:t>
      </w:r>
      <w:r w:rsidR="0087093A">
        <w:rPr>
          <w:bCs/>
        </w:rPr>
        <w:t xml:space="preserve"> Türkiye Çelik Üreticileri Derneği ve Vesuvius İstanbul Refrakter San. ve Tic. A.Ş. firması Genel Müdürlüğe sundukları yazılı görüşlerinde, yerli üretim dalının ekonomik göstergelerinin zararın varlığına işaret etmediğini iddia etmişlerdir. NGGS’lerde, halihazırda yerli üretim dalında zararın mevcut olup olmadığından ziyade, yürürlükte bulunan dampinge karşı önlemin kaldırılması halinde zararın devam etme veya yeniden meydana gelmesi hususlarına ilişkin değerlendirme yapılmaktadır.</w:t>
      </w:r>
    </w:p>
    <w:p w:rsidR="0087093A" w:rsidRDefault="0087093A" w:rsidP="001B02E4">
      <w:pPr>
        <w:keepNext/>
        <w:spacing w:line="20" w:lineRule="atLeast"/>
        <w:jc w:val="both"/>
        <w:outlineLvl w:val="1"/>
        <w:rPr>
          <w:bCs/>
        </w:rPr>
      </w:pPr>
    </w:p>
    <w:p w:rsidR="00852B5B" w:rsidRDefault="00577439" w:rsidP="00852B5B">
      <w:pPr>
        <w:tabs>
          <w:tab w:val="left" w:pos="709"/>
        </w:tabs>
        <w:spacing w:line="20" w:lineRule="atLeast"/>
        <w:jc w:val="both"/>
        <w:rPr>
          <w:b/>
          <w:bCs/>
        </w:rPr>
      </w:pPr>
      <w:r w:rsidRPr="001C15D8">
        <w:rPr>
          <w:b/>
          <w:bCs/>
        </w:rPr>
        <w:t>5. DAMPİNGİN VE ZARARIN DEVAMI VEYA YENİDEN MEYDANA GELMESİ İHTİMALİNİN DEĞERLENDİRİLMESİ</w:t>
      </w:r>
    </w:p>
    <w:p w:rsidR="00C6326F" w:rsidRPr="00C6326F" w:rsidRDefault="00C6326F" w:rsidP="00C6326F">
      <w:pPr>
        <w:tabs>
          <w:tab w:val="left" w:pos="709"/>
        </w:tabs>
        <w:spacing w:line="20" w:lineRule="atLeast"/>
        <w:rPr>
          <w:b/>
          <w:bCs/>
        </w:rPr>
      </w:pPr>
      <w:r>
        <w:rPr>
          <w:b/>
          <w:bCs/>
        </w:rPr>
        <w:t>5.1</w:t>
      </w:r>
      <w:r w:rsidRPr="00C6326F">
        <w:t xml:space="preserve"> </w:t>
      </w:r>
      <w:r w:rsidRPr="00C6326F">
        <w:rPr>
          <w:b/>
          <w:bCs/>
        </w:rPr>
        <w:t>Genel açıklamalar</w:t>
      </w:r>
    </w:p>
    <w:p w:rsidR="00C6326F" w:rsidRPr="00C6326F" w:rsidRDefault="00C6326F" w:rsidP="00C6326F">
      <w:pPr>
        <w:spacing w:line="20" w:lineRule="atLeast"/>
        <w:jc w:val="both"/>
        <w:rPr>
          <w:bCs/>
        </w:rPr>
      </w:pPr>
      <w:r w:rsidRPr="00C6326F">
        <w:t>(1)</w:t>
      </w:r>
      <w:r>
        <w:rPr>
          <w:bCs/>
        </w:rPr>
        <w:t xml:space="preserve"> </w:t>
      </w:r>
      <w:r w:rsidRPr="00C6326F">
        <w:rPr>
          <w:bCs/>
        </w:rPr>
        <w:t>Yönetmeliğin 35 inci maddesi hükümleri gereğince, önlemin yürürlükten kalkması halinde dampingin ve zararın devam etmesinin veya yeniden meydana gelmesinin muhtemel olu</w:t>
      </w:r>
      <w:r w:rsidR="004F1677">
        <w:rPr>
          <w:bCs/>
        </w:rPr>
        <w:t xml:space="preserve">p olmadığı değerlendirilmiştir. </w:t>
      </w:r>
      <w:r w:rsidRPr="004F1677">
        <w:rPr>
          <w:bCs/>
        </w:rPr>
        <w:t>Bu çerçevede, önleme tabi ülkelerdeki kapasite</w:t>
      </w:r>
      <w:r w:rsidR="004F1677" w:rsidRPr="004F1677">
        <w:rPr>
          <w:bCs/>
        </w:rPr>
        <w:t xml:space="preserve"> ve ihracat potansiyeli, diğer ülkeler tarafından uygulanan ticaret politikası önlemleri, esas soruşturmada tespit edilen damping marjının seviyesi, ithalatın mutlak ve nispi gelişimi,  ithalatın fiyat etkisi, yerli üretim dalının ekonomik göstergeleri ile </w:t>
      </w:r>
      <w:r w:rsidRPr="004F1677">
        <w:rPr>
          <w:bCs/>
        </w:rPr>
        <w:t>talebi etkileyen unsurlar incelenmiştir.</w:t>
      </w:r>
    </w:p>
    <w:p w:rsidR="00C6326F" w:rsidRPr="00C6326F" w:rsidRDefault="00C6326F" w:rsidP="00C6326F">
      <w:pPr>
        <w:spacing w:line="20" w:lineRule="atLeast"/>
        <w:jc w:val="both"/>
        <w:rPr>
          <w:bCs/>
        </w:rPr>
      </w:pPr>
    </w:p>
    <w:p w:rsidR="00C6326F" w:rsidRDefault="00C6326F" w:rsidP="00527318">
      <w:pPr>
        <w:pStyle w:val="Balk1"/>
        <w:tabs>
          <w:tab w:val="left" w:pos="709"/>
        </w:tabs>
        <w:jc w:val="both"/>
        <w:rPr>
          <w:rFonts w:ascii="Times New Roman" w:hAnsi="Times New Roman" w:cs="Times New Roman"/>
          <w:sz w:val="24"/>
        </w:rPr>
      </w:pPr>
      <w:r w:rsidRPr="003A51A5">
        <w:rPr>
          <w:rFonts w:ascii="Times New Roman" w:hAnsi="Times New Roman" w:cs="Times New Roman"/>
          <w:noProof/>
          <w:sz w:val="24"/>
          <w:szCs w:val="24"/>
        </w:rPr>
        <w:t>5.2</w:t>
      </w:r>
      <w:r>
        <w:rPr>
          <w:rFonts w:ascii="Times New Roman" w:hAnsi="Times New Roman" w:cs="Times New Roman"/>
          <w:b w:val="0"/>
          <w:noProof/>
          <w:sz w:val="24"/>
          <w:szCs w:val="24"/>
        </w:rPr>
        <w:t xml:space="preserve"> </w:t>
      </w:r>
      <w:r w:rsidRPr="003A51A5">
        <w:rPr>
          <w:rFonts w:ascii="Times New Roman" w:hAnsi="Times New Roman" w:cs="Times New Roman"/>
          <w:sz w:val="24"/>
        </w:rPr>
        <w:t xml:space="preserve">Dampingin devamı veya yeniden meydana gelme ihtimali </w:t>
      </w:r>
    </w:p>
    <w:p w:rsidR="00417C14" w:rsidRPr="006E3D54" w:rsidRDefault="00417C14" w:rsidP="001B02E4">
      <w:pPr>
        <w:spacing w:line="20" w:lineRule="atLeast"/>
        <w:jc w:val="both"/>
      </w:pPr>
      <w:r>
        <w:rPr>
          <w:bCs/>
        </w:rPr>
        <w:t>(</w:t>
      </w:r>
      <w:r w:rsidRPr="006E3D54">
        <w:rPr>
          <w:bCs/>
        </w:rPr>
        <w:t>1)</w:t>
      </w:r>
      <w:r w:rsidRPr="006E3D54">
        <w:rPr>
          <w:bCs/>
          <w:sz w:val="16"/>
          <w:szCs w:val="16"/>
        </w:rPr>
        <w:t xml:space="preserve"> </w:t>
      </w:r>
      <w:r>
        <w:rPr>
          <w:bCs/>
        </w:rPr>
        <w:t>Önlem</w:t>
      </w:r>
      <w:r w:rsidRPr="006E3D54">
        <w:rPr>
          <w:bCs/>
        </w:rPr>
        <w:t xml:space="preserve"> konusu ülkenin ihracat kabiliyetine ilişkin değerlendirmeler, International Trade Center (Uluslararası Ticaret Merkezi-UTM)’ın dış ticaret verileri kullanılarak </w:t>
      </w:r>
      <w:r w:rsidRPr="006E3D54">
        <w:t xml:space="preserve">yapılmıştır. Söz konusu istatistik verileri </w:t>
      </w:r>
      <w:r>
        <w:t>önlem</w:t>
      </w:r>
      <w:r w:rsidRPr="006E3D54">
        <w:t xml:space="preserve"> konusu ülke ÇHC’nin inceleme konusu üründeki üretim ve ihracat kapasitesine ilişkin önemli bir gösterge teşkil etmektedir. </w:t>
      </w:r>
    </w:p>
    <w:p w:rsidR="00417C14" w:rsidRPr="006E3D54" w:rsidRDefault="00417C14" w:rsidP="001B02E4">
      <w:pPr>
        <w:spacing w:line="20" w:lineRule="atLeast"/>
        <w:ind w:firstLine="708"/>
        <w:jc w:val="both"/>
      </w:pPr>
    </w:p>
    <w:p w:rsidR="00417C14" w:rsidRPr="006E3D54" w:rsidRDefault="00417C14" w:rsidP="001B02E4">
      <w:pPr>
        <w:spacing w:line="20" w:lineRule="atLeast"/>
        <w:jc w:val="both"/>
        <w:rPr>
          <w:bCs/>
        </w:rPr>
      </w:pPr>
      <w:r w:rsidRPr="006E3D54">
        <w:rPr>
          <w:bCs/>
        </w:rPr>
        <w:lastRenderedPageBreak/>
        <w:t xml:space="preserve">(2) UTM’nin verilerine göre ÇHC, 6902.10 ve 6815.91 GTP’leri altında yer alan ateş tuğlalarının dünyadaki ana tedarikçi ülkesi durumundadır. ÇHC’nin 6902.10 GTP altında bulunan ateş tuğlaları ihracatına bakıldığında, bahse konu ülkenin tüm dünyaya 2014 yılında 845.634.000 ABD Doları, 2015 yılında 640.031.000 ABD Doları, 603.307.000 ABD Doları değerinde ihracat gerçekleştirdiği görülmektedir. Miktar olarak ise, ÇHC tüm dünyaya 2014 yılında 998.719 Ton ihracat gerçekleştirirken, söz konusu miktar 2015 yılında 824.551 Ton’a gerilemiş, 2016 yılında ise 857.654 Ton’a yükselmiştir. </w:t>
      </w:r>
      <w:r>
        <w:rPr>
          <w:bCs/>
        </w:rPr>
        <w:t>Önlem</w:t>
      </w:r>
      <w:r w:rsidRPr="006E3D54">
        <w:rPr>
          <w:bCs/>
        </w:rPr>
        <w:t xml:space="preserve"> konusu ülkenin tüm dünyaya gerçekleştirdiği ihracatın birim fiyatları incelendiğinde, 2014 yılında 847 ABD Doları/Ton olan söz konusu birim fiyat, 2015 yılında 776 ABD Doları/Ton’a, 2016 yılında ise 703 ABD Doları/Ton’a dü</w:t>
      </w:r>
      <w:r>
        <w:rPr>
          <w:bCs/>
        </w:rPr>
        <w:t>ş</w:t>
      </w:r>
      <w:r w:rsidRPr="006E3D54">
        <w:rPr>
          <w:bCs/>
        </w:rPr>
        <w:t xml:space="preserve">müştür. ÇHC’nin değer temelinde tüm dünya ihracatından aldığı pay ise 2014 yılında %43,4, 2015 yılında %41,6 ve 2016 yılında ise %42,2 olarak gerçekleşmiştir. </w:t>
      </w:r>
    </w:p>
    <w:p w:rsidR="00417C14" w:rsidRPr="006E3D54" w:rsidRDefault="00417C14" w:rsidP="001B02E4">
      <w:pPr>
        <w:spacing w:line="20" w:lineRule="atLeast"/>
        <w:ind w:firstLine="708"/>
        <w:jc w:val="both"/>
        <w:rPr>
          <w:bCs/>
        </w:rPr>
      </w:pPr>
    </w:p>
    <w:p w:rsidR="00417C14" w:rsidRDefault="00417C14" w:rsidP="001D5B1E">
      <w:pPr>
        <w:spacing w:line="20" w:lineRule="atLeast"/>
        <w:jc w:val="both"/>
        <w:rPr>
          <w:bCs/>
        </w:rPr>
      </w:pPr>
      <w:r w:rsidRPr="006E3D54">
        <w:rPr>
          <w:bCs/>
        </w:rPr>
        <w:t xml:space="preserve">(3) ÇHC’nin 6815.91 GTP altında bulunan ateş tuğlaları ihracatı incelendiğinde, söz konusu ülke tüm dünyaya 2014 yılında 273.136.000 ABD Doları değerinde ihracat gerçekleştirirken, 2015 yılında 262.779.000 ABD Doları, 2016 yılında ise 245,550 ABD Doları ihracat gerçekleştirmiştir. Miktar temelinde incelendiğinde, ÇHC’nin tüm dünyaya 2014 yılında 343.809 Ton olan ihracatı, 2015 yılında 334.203 Ton’a gerilerken, 2016 yılında 346.091 Ton’a yükselmiştir. </w:t>
      </w:r>
      <w:r>
        <w:rPr>
          <w:bCs/>
        </w:rPr>
        <w:t>Önlem</w:t>
      </w:r>
      <w:r w:rsidRPr="006E3D54">
        <w:rPr>
          <w:bCs/>
        </w:rPr>
        <w:t xml:space="preserve"> konusu ülkenin tüm dünyaya gerçekleştirdiği ihracatın birim fiyatları incelendiğinde, bahse konu fiyatların 2014 yılında 794 ABD Doları/Ton iken, 2015 yılında 786</w:t>
      </w:r>
      <w:r w:rsidRPr="006E3D54">
        <w:rPr>
          <w:bCs/>
          <w:sz w:val="2"/>
          <w:szCs w:val="2"/>
        </w:rPr>
        <w:t xml:space="preserve"> </w:t>
      </w:r>
      <w:r w:rsidRPr="006E3D54">
        <w:rPr>
          <w:bCs/>
        </w:rPr>
        <w:t>ABD Doları/Ton’a, 2016 yılında ise 709 ABD Doları/Ton’a gerilediği görülmektedir. ÇHC’nin değer olarak dünya ihracatından aldığı pay ise 2014 yılında %60,7, 2015 yılında %55 ve 2016 yılın</w:t>
      </w:r>
      <w:r w:rsidR="001D5B1E">
        <w:rPr>
          <w:bCs/>
        </w:rPr>
        <w:t>da %62,3 olarak gerçekleşmiştir.</w:t>
      </w:r>
    </w:p>
    <w:p w:rsidR="00C6326F" w:rsidRPr="001D5B1E" w:rsidRDefault="00C6326F" w:rsidP="001D5B1E">
      <w:pPr>
        <w:spacing w:line="20" w:lineRule="atLeast"/>
        <w:jc w:val="both"/>
        <w:rPr>
          <w:bCs/>
        </w:rPr>
      </w:pPr>
    </w:p>
    <w:p w:rsidR="00417C14" w:rsidRDefault="004E2BD0" w:rsidP="001B02E4">
      <w:pPr>
        <w:keepNext/>
        <w:spacing w:after="100" w:afterAutospacing="1" w:line="20" w:lineRule="atLeast"/>
        <w:jc w:val="both"/>
        <w:outlineLvl w:val="1"/>
        <w:rPr>
          <w:lang w:eastAsia="en-US"/>
        </w:rPr>
      </w:pPr>
      <w:r w:rsidRPr="00417C14">
        <w:rPr>
          <w:bCs/>
        </w:rPr>
        <w:t xml:space="preserve"> </w:t>
      </w:r>
      <w:r w:rsidR="00417C14" w:rsidRPr="00417C14">
        <w:rPr>
          <w:bCs/>
        </w:rPr>
        <w:t>(</w:t>
      </w:r>
      <w:r>
        <w:rPr>
          <w:bCs/>
          <w:noProof/>
        </w:rPr>
        <w:t>4</w:t>
      </w:r>
      <w:r w:rsidR="00417C14" w:rsidRPr="00417C14">
        <w:rPr>
          <w:bCs/>
          <w:noProof/>
        </w:rPr>
        <w:t xml:space="preserve">) </w:t>
      </w:r>
      <w:r w:rsidR="00417C14" w:rsidRPr="00417C14">
        <w:rPr>
          <w:bCs/>
          <w:lang w:eastAsia="en-US"/>
        </w:rPr>
        <w:t>Brezilya tarafından</w:t>
      </w:r>
      <w:r w:rsidR="00417C14" w:rsidRPr="008D5444">
        <w:rPr>
          <w:vertAlign w:val="superscript"/>
          <w:lang w:eastAsia="en-US"/>
        </w:rPr>
        <w:footnoteReference w:id="3"/>
      </w:r>
      <w:r w:rsidR="00417C14" w:rsidRPr="008D5444">
        <w:rPr>
          <w:lang w:eastAsia="en-US"/>
        </w:rPr>
        <w:t xml:space="preserve"> 19/12/2013 tarihinde, Amerika Birleşik Devletleri (ABD) tarafından</w:t>
      </w:r>
      <w:r w:rsidR="00417C14" w:rsidRPr="008D5444">
        <w:rPr>
          <w:vertAlign w:val="superscript"/>
          <w:lang w:eastAsia="en-US"/>
        </w:rPr>
        <w:footnoteReference w:id="4"/>
      </w:r>
      <w:r w:rsidR="00417C14" w:rsidRPr="008D5444">
        <w:rPr>
          <w:lang w:eastAsia="en-US"/>
        </w:rPr>
        <w:t xml:space="preserve"> ise 6/1/2017 tarihinde ÇHC menşeli “ateş tuğlaları” ithalatına yönelik olarak dampinge karşı önlemler yürürlüğe konulmuştur.</w:t>
      </w:r>
    </w:p>
    <w:p w:rsidR="004E2BD0" w:rsidRDefault="004E2BD0" w:rsidP="004E2BD0">
      <w:pPr>
        <w:keepNext/>
        <w:spacing w:after="100" w:afterAutospacing="1" w:line="20" w:lineRule="atLeast"/>
        <w:jc w:val="both"/>
        <w:outlineLvl w:val="1"/>
        <w:rPr>
          <w:lang w:eastAsia="en-US"/>
        </w:rPr>
      </w:pPr>
      <w:r>
        <w:rPr>
          <w:lang w:eastAsia="en-US"/>
        </w:rPr>
        <w:t>(5</w:t>
      </w:r>
      <w:r w:rsidR="00527318" w:rsidRPr="00527318">
        <w:rPr>
          <w:lang w:eastAsia="en-US"/>
        </w:rPr>
        <w:t>) İthalatta Haksız Rekabetin Önlenmesine İlişkin Tebliğ (Tebliğ No:2007/11) ile tamamlanan esas soruşturmada nispi olarak ÇHC için CIF ihraç fiyatının %53,7’si oranında; mutlak olarak ise 285 ABD Doları/Ton tutarında damping marjı belirlenmiştir.</w:t>
      </w:r>
    </w:p>
    <w:p w:rsidR="004E2BD0" w:rsidRDefault="004E2BD0" w:rsidP="004E2BD0">
      <w:pPr>
        <w:pStyle w:val="GvdeMetni"/>
        <w:widowControl w:val="0"/>
        <w:shd w:val="clear" w:color="auto" w:fill="auto"/>
        <w:tabs>
          <w:tab w:val="left" w:pos="990"/>
          <w:tab w:val="left" w:pos="1620"/>
          <w:tab w:val="left" w:pos="2268"/>
          <w:tab w:val="left" w:pos="2410"/>
        </w:tabs>
        <w:suppressAutoHyphens/>
        <w:autoSpaceDE w:val="0"/>
        <w:autoSpaceDN w:val="0"/>
        <w:rPr>
          <w:color w:val="auto"/>
        </w:rPr>
      </w:pPr>
      <w:r w:rsidRPr="00C15E39">
        <w:rPr>
          <w:color w:val="auto"/>
        </w:rPr>
        <w:t>(</w:t>
      </w:r>
      <w:r>
        <w:rPr>
          <w:color w:val="auto"/>
        </w:rPr>
        <w:t>6</w:t>
      </w:r>
      <w:r w:rsidRPr="00C15E39">
        <w:rPr>
          <w:color w:val="auto"/>
        </w:rPr>
        <w:t xml:space="preserve">) Bu bölümde incelenen verilerin bir bütün olarak değerlendirilmesi neticesinde, meri önlemin yürürlükten kalkması halinde </w:t>
      </w:r>
      <w:r>
        <w:rPr>
          <w:color w:val="auto"/>
        </w:rPr>
        <w:t>dampingin</w:t>
      </w:r>
      <w:r w:rsidRPr="00C15E39">
        <w:rPr>
          <w:color w:val="auto"/>
        </w:rPr>
        <w:t xml:space="preserve"> devam etmesinin veya yeniden meydana gelmesinin muhtemel olduğu değerlendirilmektedir. </w:t>
      </w:r>
    </w:p>
    <w:p w:rsidR="00622B5B" w:rsidRDefault="00622B5B" w:rsidP="004E2BD0">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D06874" w:rsidRDefault="00D06874" w:rsidP="00D06874">
      <w:pPr>
        <w:pStyle w:val="Balk1"/>
        <w:tabs>
          <w:tab w:val="left" w:pos="709"/>
        </w:tabs>
        <w:jc w:val="both"/>
        <w:rPr>
          <w:rFonts w:ascii="Times New Roman" w:hAnsi="Times New Roman" w:cs="Times New Roman"/>
          <w:sz w:val="24"/>
        </w:rPr>
      </w:pPr>
      <w:r w:rsidRPr="003A51A5">
        <w:rPr>
          <w:rFonts w:ascii="Times New Roman" w:hAnsi="Times New Roman" w:cs="Times New Roman"/>
          <w:noProof/>
          <w:sz w:val="24"/>
          <w:szCs w:val="24"/>
        </w:rPr>
        <w:t>5.</w:t>
      </w:r>
      <w:r>
        <w:rPr>
          <w:rFonts w:ascii="Times New Roman" w:hAnsi="Times New Roman" w:cs="Times New Roman"/>
          <w:noProof/>
          <w:sz w:val="24"/>
          <w:szCs w:val="24"/>
        </w:rPr>
        <w:t>3</w:t>
      </w:r>
      <w:r>
        <w:rPr>
          <w:rFonts w:ascii="Times New Roman" w:hAnsi="Times New Roman" w:cs="Times New Roman"/>
          <w:b w:val="0"/>
          <w:noProof/>
          <w:sz w:val="24"/>
          <w:szCs w:val="24"/>
        </w:rPr>
        <w:t xml:space="preserve"> </w:t>
      </w:r>
      <w:r>
        <w:rPr>
          <w:rFonts w:ascii="Times New Roman" w:hAnsi="Times New Roman" w:cs="Times New Roman"/>
          <w:sz w:val="24"/>
        </w:rPr>
        <w:t>Zararın</w:t>
      </w:r>
      <w:r w:rsidRPr="003A51A5">
        <w:rPr>
          <w:rFonts w:ascii="Times New Roman" w:hAnsi="Times New Roman" w:cs="Times New Roman"/>
          <w:sz w:val="24"/>
        </w:rPr>
        <w:t xml:space="preserve"> devamı veya yeniden meydana gelme ihtimali </w:t>
      </w:r>
    </w:p>
    <w:p w:rsidR="00D06874" w:rsidRDefault="00D06874" w:rsidP="004F1677">
      <w:pPr>
        <w:pStyle w:val="GvdeMetni"/>
        <w:widowControl w:val="0"/>
        <w:shd w:val="clear" w:color="auto" w:fill="auto"/>
        <w:tabs>
          <w:tab w:val="left" w:pos="990"/>
          <w:tab w:val="left" w:pos="1620"/>
          <w:tab w:val="left" w:pos="2268"/>
          <w:tab w:val="left" w:pos="2410"/>
        </w:tabs>
        <w:suppressAutoHyphens/>
        <w:autoSpaceDE w:val="0"/>
        <w:autoSpaceDN w:val="0"/>
        <w:rPr>
          <w:color w:val="auto"/>
        </w:rPr>
      </w:pPr>
      <w:r w:rsidRPr="00D06874">
        <w:rPr>
          <w:color w:val="auto"/>
          <w:szCs w:val="20"/>
        </w:rPr>
        <w:t xml:space="preserve">(1) </w:t>
      </w:r>
      <w:r w:rsidRPr="00D06874">
        <w:rPr>
          <w:color w:val="auto"/>
        </w:rPr>
        <w:t>ÇHC menşeli ateş tuğlaları ithalatının, yürürlükteki önleme rağmen, miktar olarak 2016 yılında %29, 2017 yılında ise %67 oranında art</w:t>
      </w:r>
      <w:r w:rsidR="004F1677">
        <w:rPr>
          <w:color w:val="auto"/>
        </w:rPr>
        <w:t xml:space="preserve">ış kaydettiği, </w:t>
      </w:r>
      <w:r w:rsidRPr="00D06874">
        <w:rPr>
          <w:color w:val="auto"/>
        </w:rPr>
        <w:t>2015 yılında mezkur ülke menşeli ithalatın genel ithalat içindeki payı %18,3 ik</w:t>
      </w:r>
      <w:r w:rsidR="004F1677">
        <w:rPr>
          <w:color w:val="auto"/>
        </w:rPr>
        <w:t>en, 2017 yılında %29,4’e yükseldiği</w:t>
      </w:r>
      <w:r w:rsidRPr="00D06874">
        <w:rPr>
          <w:color w:val="auto"/>
        </w:rPr>
        <w:t>, yerli üretim dalının pazar payı</w:t>
      </w:r>
      <w:r w:rsidR="004F1677">
        <w:rPr>
          <w:color w:val="auto"/>
        </w:rPr>
        <w:t>nın</w:t>
      </w:r>
      <w:r w:rsidRPr="00D06874">
        <w:rPr>
          <w:color w:val="auto"/>
        </w:rPr>
        <w:t xml:space="preserve"> 2016 yılında %2 oranında azalma, 2017 yılın</w:t>
      </w:r>
      <w:r w:rsidR="004F1677">
        <w:rPr>
          <w:color w:val="auto"/>
        </w:rPr>
        <w:t>da %3 oranında artış kaydettiği, buna karşılık</w:t>
      </w:r>
      <w:r w:rsidRPr="00D06874">
        <w:rPr>
          <w:color w:val="auto"/>
        </w:rPr>
        <w:t xml:space="preserve"> söz konusu iki yılda ÇHC menşeli ithalatın pazar payının sırasıyla %10 v</w:t>
      </w:r>
      <w:r w:rsidR="004F1677">
        <w:rPr>
          <w:color w:val="auto"/>
        </w:rPr>
        <w:t>e %44 oranında artış kaydettiği gözlenmiştir.</w:t>
      </w:r>
    </w:p>
    <w:p w:rsidR="00D06874" w:rsidRDefault="00D06874" w:rsidP="004E2BD0">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D06874" w:rsidRDefault="00D06874" w:rsidP="00171022">
      <w:pPr>
        <w:pStyle w:val="GvdeMetni"/>
        <w:widowControl w:val="0"/>
        <w:shd w:val="clear" w:color="auto" w:fill="auto"/>
        <w:tabs>
          <w:tab w:val="left" w:pos="990"/>
          <w:tab w:val="left" w:pos="1620"/>
          <w:tab w:val="left" w:pos="2268"/>
          <w:tab w:val="left" w:pos="2410"/>
        </w:tabs>
        <w:suppressAutoHyphens/>
        <w:autoSpaceDE w:val="0"/>
        <w:autoSpaceDN w:val="0"/>
        <w:rPr>
          <w:color w:val="auto"/>
        </w:rPr>
      </w:pPr>
      <w:r>
        <w:rPr>
          <w:color w:val="auto"/>
        </w:rPr>
        <w:t>(2)</w:t>
      </w:r>
      <w:r w:rsidR="004F1677">
        <w:rPr>
          <w:color w:val="auto"/>
        </w:rPr>
        <w:t xml:space="preserve"> </w:t>
      </w:r>
      <w:r w:rsidR="004F1677">
        <w:rPr>
          <w:bCs/>
          <w:color w:val="000000"/>
        </w:rPr>
        <w:t>Önlem konusu ülke</w:t>
      </w:r>
      <w:r w:rsidR="004F1677" w:rsidRPr="00B5388D">
        <w:rPr>
          <w:bCs/>
          <w:color w:val="000000"/>
        </w:rPr>
        <w:t xml:space="preserve"> menşeli ithalatın birim fiyatlarının, yerli üretim dalının birim fiyatlarını </w:t>
      </w:r>
      <w:r w:rsidR="004F1677">
        <w:rPr>
          <w:bCs/>
          <w:color w:val="000000"/>
        </w:rPr>
        <w:t xml:space="preserve">2017 yılında önemli seviyede </w:t>
      </w:r>
      <w:r w:rsidR="004F1677" w:rsidRPr="00B5388D">
        <w:rPr>
          <w:bCs/>
          <w:color w:val="000000"/>
        </w:rPr>
        <w:t>baskı altında tuttuğu</w:t>
      </w:r>
      <w:r w:rsidR="004F1677">
        <w:rPr>
          <w:bCs/>
          <w:color w:val="000000"/>
        </w:rPr>
        <w:t xml:space="preserve"> değerlendirilmiştir.</w:t>
      </w:r>
    </w:p>
    <w:p w:rsidR="00D06874" w:rsidRDefault="00D06874" w:rsidP="004E2BD0">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D06874" w:rsidRDefault="00D06874" w:rsidP="004F1677">
      <w:pPr>
        <w:pStyle w:val="GvdeMetni"/>
        <w:widowControl w:val="0"/>
        <w:shd w:val="clear" w:color="auto" w:fill="auto"/>
        <w:tabs>
          <w:tab w:val="left" w:pos="990"/>
          <w:tab w:val="left" w:pos="1620"/>
          <w:tab w:val="left" w:pos="2268"/>
          <w:tab w:val="left" w:pos="2410"/>
        </w:tabs>
        <w:suppressAutoHyphens/>
        <w:autoSpaceDE w:val="0"/>
        <w:autoSpaceDN w:val="0"/>
        <w:rPr>
          <w:color w:val="auto"/>
        </w:rPr>
      </w:pPr>
      <w:r>
        <w:rPr>
          <w:color w:val="auto"/>
        </w:rPr>
        <w:lastRenderedPageBreak/>
        <w:t>(3) Ö</w:t>
      </w:r>
      <w:r w:rsidRPr="00D06874">
        <w:rPr>
          <w:color w:val="auto"/>
        </w:rPr>
        <w:t>nlem konusu ateş tuğlalarına ilişkin olarak yerli üretim dalının yu</w:t>
      </w:r>
      <w:r w:rsidR="006A1230">
        <w:rPr>
          <w:color w:val="auto"/>
        </w:rPr>
        <w:t>rt içi satışlardan ürün kârının 2015 ve 2016 yıllarında,</w:t>
      </w:r>
      <w:r w:rsidRPr="00D06874">
        <w:rPr>
          <w:color w:val="auto"/>
        </w:rPr>
        <w:t xml:space="preserve"> ya</w:t>
      </w:r>
      <w:r w:rsidR="006A1230">
        <w:rPr>
          <w:color w:val="auto"/>
        </w:rPr>
        <w:t>tırımların geri dönüş oranının ise</w:t>
      </w:r>
      <w:r w:rsidRPr="00D06874">
        <w:rPr>
          <w:color w:val="auto"/>
        </w:rPr>
        <w:t xml:space="preserve"> gözden geçirme dönemi boyunca negatif bir seyir izle</w:t>
      </w:r>
      <w:r w:rsidR="004F1677">
        <w:rPr>
          <w:color w:val="auto"/>
        </w:rPr>
        <w:t>diği</w:t>
      </w:r>
      <w:r w:rsidRPr="00D06874">
        <w:rPr>
          <w:color w:val="auto"/>
        </w:rPr>
        <w:t xml:space="preserve"> ve verimliliğinin 2017 yılında bir önc</w:t>
      </w:r>
      <w:r w:rsidR="004F1677">
        <w:rPr>
          <w:color w:val="auto"/>
        </w:rPr>
        <w:t>eki yıla göre azalma kaydettiği tespit edilmiştir.</w:t>
      </w:r>
    </w:p>
    <w:p w:rsidR="00D06874" w:rsidRDefault="00D06874" w:rsidP="00D06874">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D06874" w:rsidRPr="008D5444" w:rsidRDefault="00D06874" w:rsidP="00D06874">
      <w:pPr>
        <w:pStyle w:val="Default"/>
        <w:spacing w:line="20" w:lineRule="atLeast"/>
        <w:jc w:val="both"/>
      </w:pPr>
      <w:r>
        <w:rPr>
          <w:lang w:eastAsia="en-US"/>
        </w:rPr>
        <w:t>(4) Önlem</w:t>
      </w:r>
      <w:r w:rsidRPr="008D5444">
        <w:rPr>
          <w:lang w:eastAsia="en-US"/>
        </w:rPr>
        <w:t xml:space="preserve"> konusu ateş tuğlalarını kullanan başlıca sektörlerden biri olan demir-çelik sektörünün gelişiminin incelenmesinin, ateş tuğlalarına olan talebin analiz edilmesinde önemli bir unsur olduğu değerlendirilmektedir.</w:t>
      </w:r>
      <w:r w:rsidRPr="008D5444">
        <w:rPr>
          <w:bCs/>
        </w:rPr>
        <w:t xml:space="preserve"> Dünya Çelik Birliği (World Steel Association) verilerine göre 2018 yılında dünya çelik talebinin bir önceki yıla göre %1,6 oranında artması beklenmektedir.</w:t>
      </w:r>
      <w:r w:rsidRPr="008D5444">
        <w:rPr>
          <w:vertAlign w:val="superscript"/>
        </w:rPr>
        <w:t xml:space="preserve"> </w:t>
      </w:r>
      <w:r w:rsidRPr="008D5444">
        <w:rPr>
          <w:vertAlign w:val="superscript"/>
        </w:rPr>
        <w:footnoteReference w:id="5"/>
      </w:r>
      <w:r w:rsidRPr="008D5444">
        <w:t xml:space="preserve"> </w:t>
      </w:r>
      <w:r>
        <w:t>Önlem</w:t>
      </w:r>
      <w:r w:rsidRPr="008D5444">
        <w:t xml:space="preserve"> konusu ürünü kullanan bir diğer başlıca sektör olan çimento sektörü incelendiğinde ise, Dünya Çimento Birliği (World Cement Association)’ne göre 2018 yılında küresel çimento tüketiminin %1,5 oranında artması beklenmektedir.</w:t>
      </w:r>
      <w:r w:rsidRPr="008D5444">
        <w:rPr>
          <w:vertAlign w:val="superscript"/>
        </w:rPr>
        <w:footnoteReference w:id="6"/>
      </w:r>
    </w:p>
    <w:p w:rsidR="00D06874" w:rsidRPr="008D5444" w:rsidRDefault="00D06874" w:rsidP="00D06874">
      <w:pPr>
        <w:autoSpaceDE w:val="0"/>
        <w:autoSpaceDN w:val="0"/>
        <w:adjustRightInd w:val="0"/>
        <w:spacing w:line="20" w:lineRule="atLeast"/>
        <w:jc w:val="both"/>
        <w:rPr>
          <w:color w:val="000000"/>
          <w:lang w:eastAsia="en-US"/>
        </w:rPr>
      </w:pPr>
    </w:p>
    <w:p w:rsidR="00D06874" w:rsidRDefault="00D06874" w:rsidP="00D06874">
      <w:pPr>
        <w:autoSpaceDE w:val="0"/>
        <w:autoSpaceDN w:val="0"/>
        <w:adjustRightInd w:val="0"/>
        <w:spacing w:line="20" w:lineRule="atLeast"/>
        <w:jc w:val="both"/>
        <w:rPr>
          <w:color w:val="000000"/>
        </w:rPr>
      </w:pPr>
      <w:r w:rsidRPr="008D5444">
        <w:rPr>
          <w:bCs/>
          <w:color w:val="000000"/>
          <w:lang w:eastAsia="en-US"/>
        </w:rPr>
        <w:t>(</w:t>
      </w:r>
      <w:r>
        <w:rPr>
          <w:bCs/>
          <w:color w:val="000000"/>
          <w:lang w:eastAsia="en-US"/>
        </w:rPr>
        <w:t>5</w:t>
      </w:r>
      <w:r w:rsidRPr="008D5444">
        <w:rPr>
          <w:color w:val="000000"/>
          <w:lang w:eastAsia="en-US"/>
        </w:rPr>
        <w:t>)</w:t>
      </w:r>
      <w:r>
        <w:rPr>
          <w:color w:val="000000"/>
          <w:lang w:eastAsia="en-US"/>
        </w:rPr>
        <w:t xml:space="preserve"> Fiyatın, talebi etkileyen başlıca unsurlardan</w:t>
      </w:r>
      <w:r w:rsidRPr="008D5444">
        <w:rPr>
          <w:color w:val="000000"/>
          <w:lang w:eastAsia="en-US"/>
        </w:rPr>
        <w:t xml:space="preserve"> olduğu sektörden edinilen bilgilerden anlaşılmaktadır. Özellikle ÇHC’nin de bu konuda nispeten avantajlı olduğu genel ithalat istatistikleri incelendiğinde görülmektedir. </w:t>
      </w:r>
      <w:r w:rsidRPr="008D5444">
        <w:rPr>
          <w:color w:val="000000"/>
        </w:rPr>
        <w:t xml:space="preserve">Dolayısıyla, ÇHC menşeli </w:t>
      </w:r>
      <w:r>
        <w:rPr>
          <w:color w:val="000000"/>
        </w:rPr>
        <w:t>önlem</w:t>
      </w:r>
      <w:r w:rsidRPr="008D5444">
        <w:rPr>
          <w:color w:val="000000"/>
        </w:rPr>
        <w:t xml:space="preserve"> konusu ürün ithalatının birim fiyatının 2015 ve 2016 yıllarında genel ithalatın altında seyrettiği ve gözden geçirme döneminin tamamında </w:t>
      </w:r>
      <w:r>
        <w:rPr>
          <w:color w:val="000000"/>
        </w:rPr>
        <w:t>önlem</w:t>
      </w:r>
      <w:r w:rsidRPr="008D5444">
        <w:rPr>
          <w:color w:val="000000"/>
        </w:rPr>
        <w:t xml:space="preserve"> konusu ürünün ithalatında en büyük paya sahip olan Almanya menşeli ithalatın birim fiyatlarının altında gerçekleştiği hususları da göz önünde bulundurulduğunda, ÇHC menşeli ateş tuğlalarına yönelik önlemin yürürlükten kalkması durumunda bu ülke menşeli ürünlere ciddi talep gelebileceği ve yerli üretim dalında zararın oluşmasına yol açacağı muhtemeldir.</w:t>
      </w:r>
    </w:p>
    <w:p w:rsidR="00D06874" w:rsidRDefault="00D06874" w:rsidP="00D06874">
      <w:pPr>
        <w:autoSpaceDE w:val="0"/>
        <w:autoSpaceDN w:val="0"/>
        <w:adjustRightInd w:val="0"/>
        <w:spacing w:line="20" w:lineRule="atLeast"/>
        <w:ind w:firstLine="708"/>
        <w:jc w:val="both"/>
        <w:rPr>
          <w:color w:val="000000"/>
        </w:rPr>
      </w:pPr>
    </w:p>
    <w:p w:rsidR="00D06874" w:rsidRPr="001D5B1E" w:rsidRDefault="00D06874" w:rsidP="00D06874">
      <w:pPr>
        <w:autoSpaceDE w:val="0"/>
        <w:autoSpaceDN w:val="0"/>
        <w:adjustRightInd w:val="0"/>
        <w:spacing w:line="20" w:lineRule="atLeast"/>
        <w:jc w:val="both"/>
        <w:rPr>
          <w:bCs/>
        </w:rPr>
      </w:pPr>
      <w:r w:rsidRPr="008D5444">
        <w:rPr>
          <w:bCs/>
          <w:color w:val="000000"/>
          <w:lang w:eastAsia="en-US"/>
        </w:rPr>
        <w:t>(</w:t>
      </w:r>
      <w:r>
        <w:rPr>
          <w:bCs/>
          <w:color w:val="000000"/>
          <w:lang w:eastAsia="en-US"/>
        </w:rPr>
        <w:t>6</w:t>
      </w:r>
      <w:r w:rsidRPr="008D5444">
        <w:rPr>
          <w:color w:val="000000"/>
          <w:lang w:eastAsia="en-US"/>
        </w:rPr>
        <w:t>)</w:t>
      </w:r>
      <w:r>
        <w:rPr>
          <w:color w:val="000000"/>
          <w:lang w:eastAsia="en-US"/>
        </w:rPr>
        <w:t xml:space="preserve"> </w:t>
      </w:r>
      <w:r>
        <w:rPr>
          <w:bCs/>
        </w:rPr>
        <w:t xml:space="preserve">Vesuvius İstanbul Refrakter San. ve Tic. A.Ş. firması nihai bildirim raporunun yayımlanması sonrası Genel Müdürlüğe sunduğu yazılı görüşlerinde, Türkiye’nin ÇHC için önemli bir pazar olmadığını ve mevcut önlemin kaldırılması durumunda Türkiye pazarında ÇHC menşeli ürünlere talep artışı yaşanmayacağını iddia etmiştir. </w:t>
      </w:r>
      <w:r w:rsidRPr="008D5444">
        <w:rPr>
          <w:bCs/>
        </w:rPr>
        <w:t>Dünya Çelik Bi</w:t>
      </w:r>
      <w:r>
        <w:rPr>
          <w:bCs/>
        </w:rPr>
        <w:t xml:space="preserve">rliği’ne </w:t>
      </w:r>
      <w:r w:rsidRPr="008D5444">
        <w:rPr>
          <w:bCs/>
        </w:rPr>
        <w:t>göre</w:t>
      </w:r>
      <w:r>
        <w:rPr>
          <w:bCs/>
        </w:rPr>
        <w:t xml:space="preserve"> 2018 ve 2019 yıllarında Türkiye’nin çelik talebinin istikrarlı bir biçimde artması beklenmektedir.</w:t>
      </w:r>
      <w:r>
        <w:rPr>
          <w:rStyle w:val="DipnotBavurusu"/>
          <w:bCs/>
        </w:rPr>
        <w:footnoteReference w:id="7"/>
      </w:r>
      <w:r>
        <w:rPr>
          <w:bCs/>
        </w:rPr>
        <w:t xml:space="preserve"> Çelik sektörünün önlem konusu ateş tuğlalarını kullanan başlıca sektör olduğu bilgisi bağlamında, 2018-2019 döneminde çelik sektöründe yaşanacak talep artışı ve buna bağlı olarak üretim artışının, Türkiye pazarında ateş tuğlalarına olan talebi arttıracağı değerlendirilmektedir. ÇHC’li ihracatçıların Türkiye pazarında deneyimli oldukları ve dağıtım kanallarına sahip oldukları dikkate alındığında,  önlemin kaldırılması durumunda söz konusu ülke menşeli önlem konusu ürüne olan talebin artabileceği değerlendirilmiştir.  </w:t>
      </w:r>
    </w:p>
    <w:p w:rsidR="00622B5B" w:rsidRDefault="00622B5B" w:rsidP="004E2BD0">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911F8C" w:rsidRDefault="002F201D" w:rsidP="00D96C88">
      <w:pPr>
        <w:tabs>
          <w:tab w:val="left" w:pos="709"/>
        </w:tabs>
        <w:jc w:val="both"/>
      </w:pPr>
      <w:r w:rsidRPr="00C15E39">
        <w:t>(</w:t>
      </w:r>
      <w:r>
        <w:t>7</w:t>
      </w:r>
      <w:r w:rsidRPr="00C15E39">
        <w:t>) Bu bölümde incelenen verilerin bir bütün olarak değerlendirilmesi neticesinde, meri önlemin yürürlükten kalkması halinde zararın devam etmesinin veya yeniden meydana gelmesinin muhtemel olduğu değerlendirilmektedir.</w:t>
      </w:r>
    </w:p>
    <w:p w:rsidR="00911F8C" w:rsidRDefault="00911F8C" w:rsidP="00D96C88">
      <w:pPr>
        <w:tabs>
          <w:tab w:val="left" w:pos="709"/>
        </w:tabs>
        <w:jc w:val="both"/>
      </w:pPr>
    </w:p>
    <w:p w:rsidR="00FA16AC" w:rsidRPr="00911F8C" w:rsidRDefault="00E0696E" w:rsidP="00911F8C">
      <w:pPr>
        <w:tabs>
          <w:tab w:val="left" w:pos="709"/>
        </w:tabs>
        <w:jc w:val="both"/>
      </w:pPr>
      <w:r w:rsidRPr="00E0696E">
        <w:rPr>
          <w:b/>
          <w:bCs/>
        </w:rPr>
        <w:t>6</w:t>
      </w:r>
      <w:r w:rsidR="00911F8C">
        <w:rPr>
          <w:b/>
          <w:bCs/>
        </w:rPr>
        <w:t>.</w:t>
      </w:r>
      <w:r>
        <w:rPr>
          <w:bCs/>
        </w:rPr>
        <w:t xml:space="preserve"> </w:t>
      </w:r>
      <w:r w:rsidR="00D96C88">
        <w:rPr>
          <w:b/>
          <w:bCs/>
        </w:rPr>
        <w:t>SONUÇ</w:t>
      </w:r>
    </w:p>
    <w:p w:rsidR="00395C88" w:rsidRDefault="00395C88" w:rsidP="001B02E4">
      <w:pPr>
        <w:tabs>
          <w:tab w:val="left" w:pos="709"/>
        </w:tabs>
        <w:spacing w:line="20" w:lineRule="atLeast"/>
        <w:jc w:val="both"/>
        <w:rPr>
          <w:bCs/>
        </w:rPr>
      </w:pPr>
      <w:r>
        <w:t xml:space="preserve">(1) </w:t>
      </w:r>
      <w:r w:rsidRPr="00FA16AC">
        <w:rPr>
          <w:bCs/>
        </w:rPr>
        <w:t xml:space="preserve">Yürütülen soruşturma sonucunda, yürürlükteki </w:t>
      </w:r>
      <w:r>
        <w:rPr>
          <w:bCs/>
        </w:rPr>
        <w:t>önlemin</w:t>
      </w:r>
      <w:r w:rsidRPr="00FA16AC">
        <w:rPr>
          <w:bCs/>
        </w:rPr>
        <w:t xml:space="preserve"> ortadan kalkması durumunda dampingin ve zararın devam etmesinin veya yeniden meyda</w:t>
      </w:r>
      <w:r>
        <w:rPr>
          <w:bCs/>
        </w:rPr>
        <w:t>na gelmesinin muhtemel olduğu değerlendirilmiştir.</w:t>
      </w:r>
    </w:p>
    <w:p w:rsidR="004A6237" w:rsidRPr="004A6237" w:rsidRDefault="004A6237" w:rsidP="001B02E4">
      <w:pPr>
        <w:tabs>
          <w:tab w:val="left" w:pos="709"/>
        </w:tabs>
        <w:spacing w:line="20" w:lineRule="atLeast"/>
        <w:jc w:val="both"/>
        <w:rPr>
          <w:bCs/>
        </w:rPr>
      </w:pPr>
    </w:p>
    <w:p w:rsidR="00556BAA" w:rsidRDefault="00395C88" w:rsidP="00D96C88">
      <w:pPr>
        <w:pStyle w:val="GvdeMetniGirintisi3"/>
        <w:spacing w:after="240" w:line="20" w:lineRule="atLeast"/>
        <w:ind w:left="0" w:firstLine="0"/>
      </w:pPr>
      <w:r>
        <w:lastRenderedPageBreak/>
        <w:t xml:space="preserve">(2) </w:t>
      </w:r>
      <w:r w:rsidR="000A7259">
        <w:t>S</w:t>
      </w:r>
      <w:r w:rsidR="000A7259" w:rsidRPr="000A7259">
        <w:t xml:space="preserve">oruşturma neticesinde ulaşılan tespitleri değerlendiren Kurul’un kararı ve </w:t>
      </w:r>
      <w:r w:rsidR="00D96C88">
        <w:t xml:space="preserve">Ticaret </w:t>
      </w:r>
      <w:r w:rsidR="000A7259" w:rsidRPr="000A7259">
        <w:t>Bakanı</w:t>
      </w:r>
      <w:r w:rsidR="00D96C88">
        <w:t>’</w:t>
      </w:r>
      <w:r w:rsidR="000A7259" w:rsidRPr="000A7259">
        <w:t xml:space="preserve">nın onayı ile </w:t>
      </w:r>
      <w:r w:rsidR="004A6237" w:rsidRPr="00941CF9">
        <w:rPr>
          <w:lang w:eastAsia="tr-TR"/>
        </w:rPr>
        <w:t>15/3/2013 tarihli ve 28588 sayılı Resmî Gazete’de yayımlanan İthalatta Haksız</w:t>
      </w:r>
      <w:r w:rsidR="004A6237">
        <w:rPr>
          <w:lang w:eastAsia="tr-TR"/>
        </w:rPr>
        <w:t xml:space="preserve"> Rekabetin Önlenmesine İlişkin </w:t>
      </w:r>
      <w:r w:rsidR="004A6237" w:rsidRPr="00941CF9">
        <w:rPr>
          <w:lang w:eastAsia="tr-TR"/>
        </w:rPr>
        <w:t>Tebliğ (Tebliğ No:2013/5)</w:t>
      </w:r>
      <w:r w:rsidR="004A6237">
        <w:rPr>
          <w:lang w:eastAsia="tr-TR"/>
        </w:rPr>
        <w:t xml:space="preserve"> </w:t>
      </w:r>
      <w:r w:rsidR="000A7259" w:rsidRPr="000A7259">
        <w:t>kapsamında uygulanmakta olan dampinge karşı önlemin</w:t>
      </w:r>
      <w:r w:rsidR="004A6237">
        <w:t>, aşağıda gösterildiği şekilde,</w:t>
      </w:r>
      <w:r w:rsidR="000A7259" w:rsidRPr="000A7259">
        <w:t xml:space="preserve"> mevcut haliyle uygulanmaya devam edilmesine karar verilmiştir</w:t>
      </w:r>
      <w:r w:rsidR="000A7259">
        <w:t>.</w:t>
      </w:r>
    </w:p>
    <w:p w:rsidR="00D96C88" w:rsidRDefault="00D96C88" w:rsidP="00D96C88">
      <w:pPr>
        <w:pStyle w:val="GvdeMetniGirintisi3"/>
        <w:spacing w:after="240" w:line="20" w:lineRule="atLeast"/>
        <w:ind w:left="0" w:firstLine="0"/>
      </w:pPr>
    </w:p>
    <w:tbl>
      <w:tblPr>
        <w:tblStyle w:val="TabloKlavuzu"/>
        <w:tblpPr w:leftFromText="141" w:rightFromText="141" w:vertAnchor="text" w:horzAnchor="margin" w:tblpY="90"/>
        <w:tblW w:w="9634" w:type="dxa"/>
        <w:tblLook w:val="04A0" w:firstRow="1" w:lastRow="0" w:firstColumn="1" w:lastColumn="0" w:noHBand="0" w:noVBand="1"/>
      </w:tblPr>
      <w:tblGrid>
        <w:gridCol w:w="1980"/>
        <w:gridCol w:w="4394"/>
        <w:gridCol w:w="1701"/>
        <w:gridCol w:w="1559"/>
      </w:tblGrid>
      <w:tr w:rsidR="004A6237" w:rsidRPr="00E50C2B" w:rsidTr="0013508F">
        <w:trPr>
          <w:trHeight w:val="557"/>
        </w:trPr>
        <w:tc>
          <w:tcPr>
            <w:tcW w:w="1980" w:type="dxa"/>
            <w:vAlign w:val="center"/>
          </w:tcPr>
          <w:p w:rsidR="004A6237" w:rsidRPr="00E50C2B" w:rsidRDefault="006824E8" w:rsidP="001B02E4">
            <w:pPr>
              <w:tabs>
                <w:tab w:val="left" w:pos="566"/>
              </w:tabs>
              <w:spacing w:line="20" w:lineRule="atLeast"/>
              <w:jc w:val="center"/>
              <w:rPr>
                <w:b/>
                <w:bCs/>
              </w:rPr>
            </w:pPr>
            <w:r>
              <w:rPr>
                <w:b/>
                <w:bCs/>
              </w:rPr>
              <w:t>GTİP/GTP</w:t>
            </w:r>
          </w:p>
        </w:tc>
        <w:tc>
          <w:tcPr>
            <w:tcW w:w="4394" w:type="dxa"/>
            <w:vAlign w:val="center"/>
          </w:tcPr>
          <w:p w:rsidR="004A6237" w:rsidRPr="00E50C2B" w:rsidRDefault="004A6237" w:rsidP="001B02E4">
            <w:pPr>
              <w:tabs>
                <w:tab w:val="left" w:pos="566"/>
              </w:tabs>
              <w:spacing w:line="20" w:lineRule="atLeast"/>
              <w:jc w:val="center"/>
              <w:rPr>
                <w:b/>
                <w:bCs/>
              </w:rPr>
            </w:pPr>
            <w:r w:rsidRPr="00E50C2B">
              <w:rPr>
                <w:b/>
                <w:bCs/>
              </w:rPr>
              <w:t>Eşya Tanımı</w:t>
            </w:r>
          </w:p>
        </w:tc>
        <w:tc>
          <w:tcPr>
            <w:tcW w:w="1701" w:type="dxa"/>
            <w:vAlign w:val="center"/>
          </w:tcPr>
          <w:p w:rsidR="004A6237" w:rsidRPr="00E50C2B" w:rsidRDefault="004A6237" w:rsidP="001B02E4">
            <w:pPr>
              <w:tabs>
                <w:tab w:val="left" w:pos="566"/>
              </w:tabs>
              <w:spacing w:line="20" w:lineRule="atLeast"/>
              <w:jc w:val="center"/>
              <w:rPr>
                <w:b/>
                <w:bCs/>
              </w:rPr>
            </w:pPr>
            <w:r w:rsidRPr="00E50C2B">
              <w:rPr>
                <w:b/>
                <w:bCs/>
              </w:rPr>
              <w:t>Menşe Ülke</w:t>
            </w:r>
          </w:p>
        </w:tc>
        <w:tc>
          <w:tcPr>
            <w:tcW w:w="1559" w:type="dxa"/>
            <w:vAlign w:val="center"/>
          </w:tcPr>
          <w:p w:rsidR="004A6237" w:rsidRPr="00E50C2B" w:rsidRDefault="004A6237" w:rsidP="001B02E4">
            <w:pPr>
              <w:tabs>
                <w:tab w:val="left" w:pos="566"/>
              </w:tabs>
              <w:spacing w:line="20" w:lineRule="atLeast"/>
              <w:jc w:val="center"/>
              <w:rPr>
                <w:b/>
                <w:bCs/>
              </w:rPr>
            </w:pPr>
            <w:r w:rsidRPr="00E50C2B">
              <w:rPr>
                <w:b/>
                <w:bCs/>
              </w:rPr>
              <w:t>Dampinge Karşı Önlem</w:t>
            </w:r>
          </w:p>
        </w:tc>
      </w:tr>
      <w:tr w:rsidR="004A6237" w:rsidRPr="00E50C2B" w:rsidTr="0013508F">
        <w:trPr>
          <w:trHeight w:val="411"/>
        </w:trPr>
        <w:tc>
          <w:tcPr>
            <w:tcW w:w="1980" w:type="dxa"/>
            <w:vAlign w:val="center"/>
          </w:tcPr>
          <w:p w:rsidR="004A6237" w:rsidRPr="00E50C2B" w:rsidRDefault="004A6237" w:rsidP="001B02E4">
            <w:pPr>
              <w:tabs>
                <w:tab w:val="left" w:pos="566"/>
              </w:tabs>
              <w:spacing w:line="20" w:lineRule="atLeast"/>
              <w:jc w:val="center"/>
            </w:pPr>
            <w:r w:rsidRPr="00E50C2B">
              <w:t>6902.10.00.10.11</w:t>
            </w:r>
          </w:p>
        </w:tc>
        <w:tc>
          <w:tcPr>
            <w:tcW w:w="4394" w:type="dxa"/>
            <w:vAlign w:val="center"/>
          </w:tcPr>
          <w:p w:rsidR="004A6237" w:rsidRPr="00E50C2B" w:rsidRDefault="004A6237" w:rsidP="001B02E4">
            <w:pPr>
              <w:tabs>
                <w:tab w:val="left" w:pos="566"/>
              </w:tabs>
              <w:spacing w:line="20" w:lineRule="atLeast"/>
              <w:jc w:val="both"/>
            </w:pPr>
            <w:r w:rsidRPr="00E50C2B">
              <w:t>Kromit ateş tuğlalar</w:t>
            </w:r>
          </w:p>
        </w:tc>
        <w:tc>
          <w:tcPr>
            <w:tcW w:w="1701" w:type="dxa"/>
            <w:vMerge w:val="restart"/>
            <w:vAlign w:val="center"/>
          </w:tcPr>
          <w:p w:rsidR="004A6237" w:rsidRPr="00E50C2B" w:rsidRDefault="004A6237" w:rsidP="001B02E4">
            <w:pPr>
              <w:tabs>
                <w:tab w:val="left" w:pos="566"/>
              </w:tabs>
              <w:spacing w:line="20" w:lineRule="atLeast"/>
              <w:jc w:val="center"/>
            </w:pPr>
            <w:r w:rsidRPr="00E50C2B">
              <w:t>Çin Halk Cumhuriyeti</w:t>
            </w:r>
          </w:p>
        </w:tc>
        <w:tc>
          <w:tcPr>
            <w:tcW w:w="1559" w:type="dxa"/>
            <w:vMerge w:val="restart"/>
            <w:vAlign w:val="center"/>
          </w:tcPr>
          <w:p w:rsidR="004A6237" w:rsidRPr="00E50C2B" w:rsidRDefault="004A6237" w:rsidP="001B02E4">
            <w:pPr>
              <w:tabs>
                <w:tab w:val="left" w:pos="566"/>
              </w:tabs>
              <w:spacing w:line="20" w:lineRule="atLeast"/>
              <w:jc w:val="center"/>
            </w:pPr>
            <w:r w:rsidRPr="00E50C2B">
              <w:t>145 ABD Doları/Ton</w:t>
            </w:r>
          </w:p>
        </w:tc>
      </w:tr>
      <w:tr w:rsidR="004A6237" w:rsidRPr="00E50C2B" w:rsidTr="0013508F">
        <w:trPr>
          <w:trHeight w:val="417"/>
        </w:trPr>
        <w:tc>
          <w:tcPr>
            <w:tcW w:w="1980" w:type="dxa"/>
            <w:vAlign w:val="center"/>
          </w:tcPr>
          <w:p w:rsidR="004A6237" w:rsidRPr="00E50C2B" w:rsidRDefault="004A6237" w:rsidP="001B02E4">
            <w:pPr>
              <w:tabs>
                <w:tab w:val="left" w:pos="566"/>
              </w:tabs>
              <w:spacing w:line="20" w:lineRule="atLeast"/>
              <w:jc w:val="center"/>
            </w:pPr>
            <w:r w:rsidRPr="00E50C2B">
              <w:t>6902.10.00.10.12</w:t>
            </w:r>
          </w:p>
        </w:tc>
        <w:tc>
          <w:tcPr>
            <w:tcW w:w="4394" w:type="dxa"/>
            <w:vAlign w:val="center"/>
          </w:tcPr>
          <w:p w:rsidR="004A6237" w:rsidRPr="00E50C2B" w:rsidRDefault="004A6237" w:rsidP="001B02E4">
            <w:pPr>
              <w:tabs>
                <w:tab w:val="left" w:pos="566"/>
              </w:tabs>
              <w:spacing w:line="20" w:lineRule="atLeast"/>
              <w:jc w:val="both"/>
            </w:pPr>
            <w:r w:rsidRPr="00E50C2B">
              <w:t>Magnezit ateş tuğlalar</w:t>
            </w:r>
          </w:p>
        </w:tc>
        <w:tc>
          <w:tcPr>
            <w:tcW w:w="1701" w:type="dxa"/>
            <w:vMerge/>
            <w:vAlign w:val="center"/>
          </w:tcPr>
          <w:p w:rsidR="004A6237" w:rsidRPr="00E50C2B" w:rsidRDefault="004A6237" w:rsidP="001B02E4">
            <w:pPr>
              <w:tabs>
                <w:tab w:val="left" w:pos="566"/>
              </w:tabs>
              <w:spacing w:line="20" w:lineRule="atLeast"/>
              <w:jc w:val="both"/>
            </w:pPr>
          </w:p>
        </w:tc>
        <w:tc>
          <w:tcPr>
            <w:tcW w:w="1559" w:type="dxa"/>
            <w:vMerge/>
            <w:vAlign w:val="center"/>
          </w:tcPr>
          <w:p w:rsidR="004A6237" w:rsidRPr="00E50C2B" w:rsidRDefault="004A6237" w:rsidP="001B02E4">
            <w:pPr>
              <w:tabs>
                <w:tab w:val="left" w:pos="566"/>
              </w:tabs>
              <w:spacing w:line="20" w:lineRule="atLeast"/>
              <w:jc w:val="both"/>
            </w:pPr>
          </w:p>
        </w:tc>
      </w:tr>
      <w:tr w:rsidR="004A6237" w:rsidRPr="00E50C2B" w:rsidTr="0013508F">
        <w:trPr>
          <w:trHeight w:val="423"/>
        </w:trPr>
        <w:tc>
          <w:tcPr>
            <w:tcW w:w="1980" w:type="dxa"/>
            <w:vAlign w:val="center"/>
          </w:tcPr>
          <w:p w:rsidR="004A6237" w:rsidRPr="00E50C2B" w:rsidRDefault="004A6237" w:rsidP="001B02E4">
            <w:pPr>
              <w:tabs>
                <w:tab w:val="left" w:pos="566"/>
              </w:tabs>
              <w:spacing w:line="20" w:lineRule="atLeast"/>
              <w:jc w:val="center"/>
            </w:pPr>
            <w:r w:rsidRPr="00E50C2B">
              <w:t>6902.10.00.10.13</w:t>
            </w:r>
          </w:p>
        </w:tc>
        <w:tc>
          <w:tcPr>
            <w:tcW w:w="4394" w:type="dxa"/>
            <w:vAlign w:val="center"/>
          </w:tcPr>
          <w:p w:rsidR="004A6237" w:rsidRPr="00E50C2B" w:rsidRDefault="004A6237" w:rsidP="001B02E4">
            <w:pPr>
              <w:tabs>
                <w:tab w:val="left" w:pos="566"/>
              </w:tabs>
              <w:spacing w:line="20" w:lineRule="atLeast"/>
              <w:jc w:val="both"/>
            </w:pPr>
            <w:r w:rsidRPr="00E50C2B">
              <w:t>Krom magnezit ateş tuğlalar</w:t>
            </w:r>
          </w:p>
        </w:tc>
        <w:tc>
          <w:tcPr>
            <w:tcW w:w="1701" w:type="dxa"/>
            <w:vMerge/>
            <w:vAlign w:val="center"/>
          </w:tcPr>
          <w:p w:rsidR="004A6237" w:rsidRPr="00E50C2B" w:rsidRDefault="004A6237" w:rsidP="001B02E4">
            <w:pPr>
              <w:tabs>
                <w:tab w:val="left" w:pos="566"/>
              </w:tabs>
              <w:spacing w:line="20" w:lineRule="atLeast"/>
              <w:jc w:val="both"/>
            </w:pPr>
          </w:p>
        </w:tc>
        <w:tc>
          <w:tcPr>
            <w:tcW w:w="1559" w:type="dxa"/>
            <w:vMerge/>
            <w:vAlign w:val="center"/>
          </w:tcPr>
          <w:p w:rsidR="004A6237" w:rsidRPr="00E50C2B" w:rsidRDefault="004A6237" w:rsidP="001B02E4">
            <w:pPr>
              <w:tabs>
                <w:tab w:val="left" w:pos="566"/>
              </w:tabs>
              <w:spacing w:line="20" w:lineRule="atLeast"/>
              <w:jc w:val="both"/>
            </w:pPr>
          </w:p>
        </w:tc>
      </w:tr>
      <w:tr w:rsidR="004A6237" w:rsidRPr="00E50C2B" w:rsidTr="0013508F">
        <w:tc>
          <w:tcPr>
            <w:tcW w:w="1980" w:type="dxa"/>
            <w:vAlign w:val="center"/>
          </w:tcPr>
          <w:p w:rsidR="004A6237" w:rsidRPr="00E50C2B" w:rsidRDefault="004A6237" w:rsidP="001B02E4">
            <w:pPr>
              <w:tabs>
                <w:tab w:val="left" w:pos="566"/>
              </w:tabs>
              <w:spacing w:line="20" w:lineRule="atLeast"/>
              <w:jc w:val="center"/>
            </w:pPr>
            <w:r w:rsidRPr="00E50C2B">
              <w:t>6815.91</w:t>
            </w:r>
          </w:p>
        </w:tc>
        <w:tc>
          <w:tcPr>
            <w:tcW w:w="4394" w:type="dxa"/>
            <w:vAlign w:val="center"/>
          </w:tcPr>
          <w:p w:rsidR="004A6237" w:rsidRPr="00E50C2B" w:rsidRDefault="004A6237" w:rsidP="001B02E4">
            <w:pPr>
              <w:tabs>
                <w:tab w:val="left" w:pos="566"/>
              </w:tabs>
              <w:spacing w:line="20" w:lineRule="atLeast"/>
              <w:jc w:val="both"/>
            </w:pPr>
            <w:r w:rsidRPr="00E50C2B">
              <w:t>Magnezit, dolomit veya kromit içerenler (dolomit içerenler hariç; magnezyum oksit esaslı, 3mm ile 30 mm arası kalınlıklarda yapı levhaları hariç)</w:t>
            </w:r>
          </w:p>
        </w:tc>
        <w:tc>
          <w:tcPr>
            <w:tcW w:w="1701" w:type="dxa"/>
            <w:vMerge/>
            <w:vAlign w:val="center"/>
          </w:tcPr>
          <w:p w:rsidR="004A6237" w:rsidRPr="00E50C2B" w:rsidRDefault="004A6237" w:rsidP="001B02E4">
            <w:pPr>
              <w:tabs>
                <w:tab w:val="left" w:pos="566"/>
              </w:tabs>
              <w:spacing w:line="20" w:lineRule="atLeast"/>
              <w:jc w:val="both"/>
            </w:pPr>
          </w:p>
        </w:tc>
        <w:tc>
          <w:tcPr>
            <w:tcW w:w="1559" w:type="dxa"/>
            <w:vMerge/>
            <w:vAlign w:val="center"/>
          </w:tcPr>
          <w:p w:rsidR="004A6237" w:rsidRPr="00E50C2B" w:rsidRDefault="004A6237" w:rsidP="001B02E4">
            <w:pPr>
              <w:tabs>
                <w:tab w:val="left" w:pos="566"/>
              </w:tabs>
              <w:spacing w:line="20" w:lineRule="atLeast"/>
              <w:jc w:val="both"/>
            </w:pPr>
          </w:p>
        </w:tc>
      </w:tr>
    </w:tbl>
    <w:p w:rsidR="00F32B27" w:rsidRDefault="00F32B27" w:rsidP="001B02E4">
      <w:pPr>
        <w:pStyle w:val="GvdeMetniGirintisi3"/>
        <w:spacing w:after="240" w:line="20" w:lineRule="atLeast"/>
        <w:ind w:left="0" w:firstLine="0"/>
      </w:pPr>
    </w:p>
    <w:p w:rsidR="00F32B27" w:rsidRPr="00FE0A36" w:rsidRDefault="00F32B27" w:rsidP="001B02E4">
      <w:pPr>
        <w:pStyle w:val="GvdeMetniGirintisi3"/>
        <w:spacing w:after="240" w:line="20" w:lineRule="atLeast"/>
        <w:ind w:left="0" w:firstLine="0"/>
      </w:pPr>
    </w:p>
    <w:p w:rsidR="00FF26EF" w:rsidRPr="00595779" w:rsidRDefault="00FF26EF" w:rsidP="001B02E4">
      <w:pPr>
        <w:spacing w:line="20" w:lineRule="atLeast"/>
        <w:jc w:val="both"/>
        <w:rPr>
          <w:sz w:val="18"/>
        </w:rPr>
      </w:pPr>
    </w:p>
    <w:p w:rsidR="00E934D8" w:rsidRDefault="00E934D8" w:rsidP="001B02E4">
      <w:pPr>
        <w:tabs>
          <w:tab w:val="left" w:pos="709"/>
        </w:tabs>
        <w:spacing w:line="20" w:lineRule="atLeast"/>
        <w:jc w:val="both"/>
        <w:rPr>
          <w:bCs/>
        </w:rPr>
      </w:pPr>
    </w:p>
    <w:sectPr w:rsidR="00E934D8" w:rsidSect="008C2EF8">
      <w:headerReference w:type="default" r:id="rId8"/>
      <w:footerReference w:type="even" r:id="rId9"/>
      <w:headerReference w:type="first" r:id="rId10"/>
      <w:footerReference w:type="first" r:id="rId11"/>
      <w:pgSz w:w="11906" w:h="16838" w:code="9"/>
      <w:pgMar w:top="1417" w:right="1417" w:bottom="1417" w:left="1417"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5FBE" w:rsidRDefault="00A65FBE">
      <w:r>
        <w:separator/>
      </w:r>
    </w:p>
  </w:endnote>
  <w:endnote w:type="continuationSeparator" w:id="0">
    <w:p w:rsidR="00A65FBE" w:rsidRDefault="00A65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Garamond">
    <w:panose1 w:val="02020404030301010803"/>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A2"/>
    <w:family w:val="swiss"/>
    <w:pitch w:val="variable"/>
    <w:sig w:usb0="E5002EFF" w:usb1="C000605B" w:usb2="00000029" w:usb3="00000000" w:csb0="000101FF" w:csb1="00000000"/>
  </w:font>
  <w:font w:name="Verdana">
    <w:panose1 w:val="020B0604030504040204"/>
    <w:charset w:val="A2"/>
    <w:family w:val="swiss"/>
    <w:pitch w:val="variable"/>
    <w:sig w:usb0="A10006FF" w:usb1="4000205B" w:usb2="0000001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C2B" w:rsidRDefault="000B4C2B">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0B4C2B" w:rsidRDefault="000B4C2B">
    <w:pPr>
      <w:pStyle w:val="Altbilgi"/>
      <w:ind w:right="360"/>
    </w:pPr>
  </w:p>
  <w:p w:rsidR="000B4C2B" w:rsidRDefault="000B4C2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C2B" w:rsidRDefault="000B4C2B">
    <w:pPr>
      <w:pStyle w:val="Altbilgi"/>
      <w:jc w:val="right"/>
    </w:pPr>
  </w:p>
  <w:p w:rsidR="000B4C2B" w:rsidRDefault="000B4C2B" w:rsidP="00B67991">
    <w:pPr>
      <w:pStyle w:val="Altbilgi"/>
      <w:tabs>
        <w:tab w:val="clear" w:pos="4536"/>
        <w:tab w:val="clear" w:pos="9072"/>
        <w:tab w:val="left" w:pos="838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5FBE" w:rsidRDefault="00A65FBE">
      <w:r>
        <w:separator/>
      </w:r>
    </w:p>
  </w:footnote>
  <w:footnote w:type="continuationSeparator" w:id="0">
    <w:p w:rsidR="00A65FBE" w:rsidRDefault="00A65FBE">
      <w:r>
        <w:continuationSeparator/>
      </w:r>
    </w:p>
  </w:footnote>
  <w:footnote w:id="1">
    <w:p w:rsidR="005E5061" w:rsidRPr="00815121" w:rsidRDefault="005E5061" w:rsidP="005E5061">
      <w:pPr>
        <w:pStyle w:val="DipnotMetni"/>
        <w:jc w:val="both"/>
        <w:rPr>
          <w:sz w:val="18"/>
          <w:szCs w:val="18"/>
        </w:rPr>
      </w:pPr>
      <w:r>
        <w:rPr>
          <w:rStyle w:val="DipnotBavurusu"/>
        </w:rPr>
        <w:footnoteRef/>
      </w:r>
      <w:r>
        <w:t xml:space="preserve"> </w:t>
      </w:r>
      <w:r>
        <w:rPr>
          <w:sz w:val="18"/>
          <w:szCs w:val="18"/>
        </w:rPr>
        <w:t>Brezilya’nın Ocak-Haziran 2017</w:t>
      </w:r>
      <w:r w:rsidRPr="00815121">
        <w:rPr>
          <w:sz w:val="18"/>
          <w:szCs w:val="18"/>
        </w:rPr>
        <w:t xml:space="preserve"> dönemini kapsayan 6 aylık Dünya </w:t>
      </w:r>
      <w:r>
        <w:rPr>
          <w:sz w:val="18"/>
          <w:szCs w:val="18"/>
        </w:rPr>
        <w:t>Ticaret Örgütü Bildirimi, syf.14</w:t>
      </w:r>
      <w:r w:rsidRPr="00815121">
        <w:rPr>
          <w:sz w:val="18"/>
          <w:szCs w:val="18"/>
        </w:rPr>
        <w:t xml:space="preserve"> (Belge No: </w:t>
      </w:r>
      <w:r>
        <w:rPr>
          <w:sz w:val="18"/>
          <w:szCs w:val="18"/>
        </w:rPr>
        <w:t>G/ADP/N/300</w:t>
      </w:r>
      <w:r w:rsidRPr="00815121">
        <w:rPr>
          <w:sz w:val="18"/>
          <w:szCs w:val="18"/>
        </w:rPr>
        <w:t>/BRA)</w:t>
      </w:r>
    </w:p>
  </w:footnote>
  <w:footnote w:id="2">
    <w:p w:rsidR="005E5061" w:rsidRPr="00815121" w:rsidRDefault="005E5061" w:rsidP="005E5061">
      <w:pPr>
        <w:pStyle w:val="DipnotMetni"/>
        <w:jc w:val="both"/>
        <w:rPr>
          <w:sz w:val="18"/>
          <w:szCs w:val="18"/>
        </w:rPr>
      </w:pPr>
      <w:r>
        <w:rPr>
          <w:rStyle w:val="DipnotBavurusu"/>
        </w:rPr>
        <w:footnoteRef/>
      </w:r>
      <w:r>
        <w:rPr>
          <w:sz w:val="18"/>
          <w:szCs w:val="18"/>
        </w:rPr>
        <w:t xml:space="preserve"> ABD’nin Ocak-Haziran 2017</w:t>
      </w:r>
      <w:r w:rsidRPr="00815121">
        <w:rPr>
          <w:sz w:val="18"/>
          <w:szCs w:val="18"/>
        </w:rPr>
        <w:t xml:space="preserve"> dönemini kapsayan 6 aylık Dünya </w:t>
      </w:r>
      <w:r>
        <w:rPr>
          <w:sz w:val="18"/>
          <w:szCs w:val="18"/>
        </w:rPr>
        <w:t>Ticaret Örgütü Bildirimi, syf.23</w:t>
      </w:r>
      <w:r w:rsidRPr="00815121">
        <w:rPr>
          <w:sz w:val="18"/>
          <w:szCs w:val="18"/>
        </w:rPr>
        <w:t xml:space="preserve"> (Belge No: </w:t>
      </w:r>
      <w:r>
        <w:rPr>
          <w:sz w:val="18"/>
          <w:szCs w:val="18"/>
        </w:rPr>
        <w:t>G/ADP/N/300/USA</w:t>
      </w:r>
      <w:r w:rsidRPr="00815121">
        <w:rPr>
          <w:sz w:val="18"/>
          <w:szCs w:val="18"/>
        </w:rPr>
        <w:t>)</w:t>
      </w:r>
    </w:p>
  </w:footnote>
  <w:footnote w:id="3">
    <w:p w:rsidR="00417C14" w:rsidRPr="00815121" w:rsidRDefault="00417C14" w:rsidP="00417C14">
      <w:pPr>
        <w:pStyle w:val="DipnotMetni"/>
        <w:jc w:val="both"/>
        <w:rPr>
          <w:sz w:val="18"/>
          <w:szCs w:val="18"/>
        </w:rPr>
      </w:pPr>
      <w:r>
        <w:rPr>
          <w:rStyle w:val="DipnotBavurusu"/>
        </w:rPr>
        <w:footnoteRef/>
      </w:r>
      <w:r>
        <w:t xml:space="preserve"> </w:t>
      </w:r>
      <w:r>
        <w:rPr>
          <w:sz w:val="18"/>
          <w:szCs w:val="18"/>
        </w:rPr>
        <w:t>Brezilya’nın Ocak-Haziran 2017</w:t>
      </w:r>
      <w:r w:rsidRPr="00815121">
        <w:rPr>
          <w:sz w:val="18"/>
          <w:szCs w:val="18"/>
        </w:rPr>
        <w:t xml:space="preserve"> dönemini kapsayan 6 aylık Dünya </w:t>
      </w:r>
      <w:r>
        <w:rPr>
          <w:sz w:val="18"/>
          <w:szCs w:val="18"/>
        </w:rPr>
        <w:t>Ticaret Örgütü Bildirimi, syf.14</w:t>
      </w:r>
      <w:r w:rsidRPr="00815121">
        <w:rPr>
          <w:sz w:val="18"/>
          <w:szCs w:val="18"/>
        </w:rPr>
        <w:t xml:space="preserve"> (Belge No: </w:t>
      </w:r>
      <w:r>
        <w:rPr>
          <w:sz w:val="18"/>
          <w:szCs w:val="18"/>
        </w:rPr>
        <w:t>G/ADP/N/300</w:t>
      </w:r>
      <w:r w:rsidRPr="00815121">
        <w:rPr>
          <w:sz w:val="18"/>
          <w:szCs w:val="18"/>
        </w:rPr>
        <w:t>/BRA)</w:t>
      </w:r>
    </w:p>
  </w:footnote>
  <w:footnote w:id="4">
    <w:p w:rsidR="00417C14" w:rsidRPr="00815121" w:rsidRDefault="00417C14" w:rsidP="00417C14">
      <w:pPr>
        <w:pStyle w:val="DipnotMetni"/>
        <w:jc w:val="both"/>
        <w:rPr>
          <w:sz w:val="18"/>
          <w:szCs w:val="18"/>
        </w:rPr>
      </w:pPr>
      <w:r>
        <w:rPr>
          <w:rStyle w:val="DipnotBavurusu"/>
        </w:rPr>
        <w:footnoteRef/>
      </w:r>
      <w:r>
        <w:rPr>
          <w:sz w:val="18"/>
          <w:szCs w:val="18"/>
        </w:rPr>
        <w:t xml:space="preserve"> ABD’nin Ocak-Haziran 2017</w:t>
      </w:r>
      <w:r w:rsidRPr="00815121">
        <w:rPr>
          <w:sz w:val="18"/>
          <w:szCs w:val="18"/>
        </w:rPr>
        <w:t xml:space="preserve"> dönemini kapsayan 6 aylık Dünya </w:t>
      </w:r>
      <w:r>
        <w:rPr>
          <w:sz w:val="18"/>
          <w:szCs w:val="18"/>
        </w:rPr>
        <w:t>Ticaret Örgütü Bildirimi, syf.23</w:t>
      </w:r>
      <w:r w:rsidRPr="00815121">
        <w:rPr>
          <w:sz w:val="18"/>
          <w:szCs w:val="18"/>
        </w:rPr>
        <w:t xml:space="preserve"> (Belge No: </w:t>
      </w:r>
      <w:r>
        <w:rPr>
          <w:sz w:val="18"/>
          <w:szCs w:val="18"/>
        </w:rPr>
        <w:t>G/ADP/N/300/USA</w:t>
      </w:r>
      <w:r w:rsidRPr="00815121">
        <w:rPr>
          <w:sz w:val="18"/>
          <w:szCs w:val="18"/>
        </w:rPr>
        <w:t>)</w:t>
      </w:r>
    </w:p>
  </w:footnote>
  <w:footnote w:id="5">
    <w:p w:rsidR="00D06874" w:rsidRPr="004F141D" w:rsidRDefault="00D06874" w:rsidP="00D06874">
      <w:pPr>
        <w:pStyle w:val="DipnotMetni"/>
      </w:pPr>
      <w:r>
        <w:rPr>
          <w:rStyle w:val="DipnotBavurusu"/>
        </w:rPr>
        <w:footnoteRef/>
      </w:r>
      <w:r>
        <w:t xml:space="preserve"> </w:t>
      </w:r>
      <w:r w:rsidRPr="00FC5676">
        <w:t xml:space="preserve"> </w:t>
      </w:r>
      <w:hyperlink r:id="rId1" w:history="1">
        <w:r w:rsidRPr="004F141D">
          <w:rPr>
            <w:rStyle w:val="Kpr"/>
            <w:color w:val="auto"/>
          </w:rPr>
          <w:t>http://www.worldsteel.org</w:t>
        </w:r>
      </w:hyperlink>
    </w:p>
  </w:footnote>
  <w:footnote w:id="6">
    <w:p w:rsidR="00D06874" w:rsidRDefault="00D06874" w:rsidP="00D06874">
      <w:pPr>
        <w:pStyle w:val="DipnotMetni"/>
      </w:pPr>
      <w:r w:rsidRPr="004F141D">
        <w:rPr>
          <w:rStyle w:val="DipnotBavurusu"/>
        </w:rPr>
        <w:footnoteRef/>
      </w:r>
      <w:r w:rsidRPr="004F141D">
        <w:t xml:space="preserve"> </w:t>
      </w:r>
      <w:hyperlink r:id="rId2" w:history="1">
        <w:r w:rsidRPr="004F141D">
          <w:rPr>
            <w:rStyle w:val="Kpr"/>
            <w:color w:val="auto"/>
          </w:rPr>
          <w:t>https://www.cnbc.com/2017/12/12/reuters-america-interview-cement-demand-set-to-rise-1-point-5-pct-in-2018--world-cement-association.html</w:t>
        </w:r>
      </w:hyperlink>
      <w:r w:rsidRPr="004F141D">
        <w:t xml:space="preserve"> </w:t>
      </w:r>
    </w:p>
  </w:footnote>
  <w:footnote w:id="7">
    <w:p w:rsidR="00D06874" w:rsidRDefault="00D06874" w:rsidP="00D06874">
      <w:pPr>
        <w:pStyle w:val="DipnotMetni"/>
      </w:pPr>
      <w:r>
        <w:rPr>
          <w:rStyle w:val="DipnotBavurusu"/>
        </w:rPr>
        <w:footnoteRef/>
      </w:r>
      <w:bookmarkStart w:id="11" w:name="_GoBack"/>
      <w:r w:rsidRPr="00D14678">
        <w:rPr>
          <w:color w:val="000000" w:themeColor="text1"/>
        </w:rPr>
        <w:t xml:space="preserve"> </w:t>
      </w:r>
      <w:hyperlink r:id="rId3" w:history="1">
        <w:r w:rsidRPr="00D14678">
          <w:rPr>
            <w:rStyle w:val="Kpr"/>
            <w:color w:val="000000" w:themeColor="text1"/>
          </w:rPr>
          <w:t>https://www.worldsteel.org/media-centre/press-releases/2018/worldsteel-short-range-outlook-april-2018.html</w:t>
        </w:r>
      </w:hyperlink>
      <w:bookmarkEnd w:id="11"/>
    </w:p>
    <w:p w:rsidR="00D06874" w:rsidRDefault="00D06874" w:rsidP="00D06874">
      <w:pPr>
        <w:pStyle w:val="DipnotMetni"/>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C2B" w:rsidRPr="005A3C83" w:rsidRDefault="000B4C2B" w:rsidP="001617DE">
    <w:pPr>
      <w:pStyle w:val="stbilgi"/>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C2B" w:rsidRPr="005B7F1C" w:rsidRDefault="00194F60">
    <w:pPr>
      <w:pStyle w:val="stbilgi"/>
      <w:rPr>
        <w:b/>
      </w:rPr>
    </w:pPr>
    <w:r>
      <w:t>E</w:t>
    </w:r>
    <w:r w:rsidR="00F65A54">
      <w:t>K</w:t>
    </w:r>
    <w:r w:rsidR="000B4C2B">
      <w:tab/>
    </w:r>
    <w:r w:rsidR="000B4C2B">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gutterAtTop/>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96F"/>
    <w:rsid w:val="00000066"/>
    <w:rsid w:val="00000B25"/>
    <w:rsid w:val="000011B0"/>
    <w:rsid w:val="00001694"/>
    <w:rsid w:val="00001942"/>
    <w:rsid w:val="00002876"/>
    <w:rsid w:val="00003087"/>
    <w:rsid w:val="00003726"/>
    <w:rsid w:val="00004D03"/>
    <w:rsid w:val="00004E26"/>
    <w:rsid w:val="00004EAD"/>
    <w:rsid w:val="000051E0"/>
    <w:rsid w:val="00005718"/>
    <w:rsid w:val="000057D3"/>
    <w:rsid w:val="000059B1"/>
    <w:rsid w:val="00005E08"/>
    <w:rsid w:val="00006726"/>
    <w:rsid w:val="000070CB"/>
    <w:rsid w:val="000070FE"/>
    <w:rsid w:val="00007350"/>
    <w:rsid w:val="00007696"/>
    <w:rsid w:val="000105F8"/>
    <w:rsid w:val="00010D50"/>
    <w:rsid w:val="00013CBB"/>
    <w:rsid w:val="00014ADE"/>
    <w:rsid w:val="00014E88"/>
    <w:rsid w:val="00015394"/>
    <w:rsid w:val="00015E3B"/>
    <w:rsid w:val="00016A83"/>
    <w:rsid w:val="00016F16"/>
    <w:rsid w:val="00017510"/>
    <w:rsid w:val="00017C33"/>
    <w:rsid w:val="00017CDF"/>
    <w:rsid w:val="000204FC"/>
    <w:rsid w:val="0002057E"/>
    <w:rsid w:val="00020AE1"/>
    <w:rsid w:val="00020FEA"/>
    <w:rsid w:val="000222A5"/>
    <w:rsid w:val="0002263E"/>
    <w:rsid w:val="00022990"/>
    <w:rsid w:val="00022F78"/>
    <w:rsid w:val="00023418"/>
    <w:rsid w:val="00023DD7"/>
    <w:rsid w:val="000243EE"/>
    <w:rsid w:val="000247CD"/>
    <w:rsid w:val="00024E96"/>
    <w:rsid w:val="00025ACA"/>
    <w:rsid w:val="000263A4"/>
    <w:rsid w:val="0002672F"/>
    <w:rsid w:val="00026A4B"/>
    <w:rsid w:val="00027123"/>
    <w:rsid w:val="000271B9"/>
    <w:rsid w:val="00027452"/>
    <w:rsid w:val="000277A0"/>
    <w:rsid w:val="00027AF9"/>
    <w:rsid w:val="00030422"/>
    <w:rsid w:val="000311DE"/>
    <w:rsid w:val="0003186E"/>
    <w:rsid w:val="00031DCC"/>
    <w:rsid w:val="000324DB"/>
    <w:rsid w:val="00032AD2"/>
    <w:rsid w:val="00032BA4"/>
    <w:rsid w:val="00033593"/>
    <w:rsid w:val="00033D4E"/>
    <w:rsid w:val="000352F1"/>
    <w:rsid w:val="00035521"/>
    <w:rsid w:val="00035A23"/>
    <w:rsid w:val="00036F34"/>
    <w:rsid w:val="00037EB5"/>
    <w:rsid w:val="00041A5C"/>
    <w:rsid w:val="00042197"/>
    <w:rsid w:val="000424F4"/>
    <w:rsid w:val="00042E4E"/>
    <w:rsid w:val="00043940"/>
    <w:rsid w:val="000442CD"/>
    <w:rsid w:val="00045E2E"/>
    <w:rsid w:val="00046243"/>
    <w:rsid w:val="00046480"/>
    <w:rsid w:val="00046816"/>
    <w:rsid w:val="00046B4B"/>
    <w:rsid w:val="000470A7"/>
    <w:rsid w:val="00047AD5"/>
    <w:rsid w:val="000501D7"/>
    <w:rsid w:val="0005082C"/>
    <w:rsid w:val="00050B23"/>
    <w:rsid w:val="00050E21"/>
    <w:rsid w:val="00051100"/>
    <w:rsid w:val="00052420"/>
    <w:rsid w:val="00053137"/>
    <w:rsid w:val="000542EA"/>
    <w:rsid w:val="00054E6E"/>
    <w:rsid w:val="00054EA9"/>
    <w:rsid w:val="00055394"/>
    <w:rsid w:val="0005545F"/>
    <w:rsid w:val="000554F3"/>
    <w:rsid w:val="00055DB9"/>
    <w:rsid w:val="0005617D"/>
    <w:rsid w:val="00056780"/>
    <w:rsid w:val="00057603"/>
    <w:rsid w:val="0005798A"/>
    <w:rsid w:val="00057BAF"/>
    <w:rsid w:val="00057D54"/>
    <w:rsid w:val="00057DA5"/>
    <w:rsid w:val="00060C55"/>
    <w:rsid w:val="000613D8"/>
    <w:rsid w:val="000624A2"/>
    <w:rsid w:val="000626E7"/>
    <w:rsid w:val="00062A6D"/>
    <w:rsid w:val="00062DD1"/>
    <w:rsid w:val="00063C6F"/>
    <w:rsid w:val="0006474A"/>
    <w:rsid w:val="0006551A"/>
    <w:rsid w:val="00065E1C"/>
    <w:rsid w:val="00066208"/>
    <w:rsid w:val="000665CD"/>
    <w:rsid w:val="00066BBD"/>
    <w:rsid w:val="00066DB9"/>
    <w:rsid w:val="00066E45"/>
    <w:rsid w:val="00067021"/>
    <w:rsid w:val="0006743B"/>
    <w:rsid w:val="00070B53"/>
    <w:rsid w:val="00071492"/>
    <w:rsid w:val="00071ACA"/>
    <w:rsid w:val="0007222E"/>
    <w:rsid w:val="00072509"/>
    <w:rsid w:val="0007287E"/>
    <w:rsid w:val="00072AA9"/>
    <w:rsid w:val="00073287"/>
    <w:rsid w:val="00073582"/>
    <w:rsid w:val="00073AAA"/>
    <w:rsid w:val="00074947"/>
    <w:rsid w:val="0007500C"/>
    <w:rsid w:val="00075A4C"/>
    <w:rsid w:val="00075AB4"/>
    <w:rsid w:val="00075ED5"/>
    <w:rsid w:val="000761F6"/>
    <w:rsid w:val="000762B4"/>
    <w:rsid w:val="00076A14"/>
    <w:rsid w:val="0007779C"/>
    <w:rsid w:val="00077D2D"/>
    <w:rsid w:val="0008038D"/>
    <w:rsid w:val="0008048F"/>
    <w:rsid w:val="0008103F"/>
    <w:rsid w:val="0008146E"/>
    <w:rsid w:val="00081777"/>
    <w:rsid w:val="0008208B"/>
    <w:rsid w:val="0008220C"/>
    <w:rsid w:val="00082FD4"/>
    <w:rsid w:val="0008344F"/>
    <w:rsid w:val="0008414B"/>
    <w:rsid w:val="0008459F"/>
    <w:rsid w:val="00084BA2"/>
    <w:rsid w:val="00085727"/>
    <w:rsid w:val="000860D9"/>
    <w:rsid w:val="000861D2"/>
    <w:rsid w:val="000868DE"/>
    <w:rsid w:val="00086C37"/>
    <w:rsid w:val="00087311"/>
    <w:rsid w:val="00087678"/>
    <w:rsid w:val="00087A75"/>
    <w:rsid w:val="00087E56"/>
    <w:rsid w:val="0009013E"/>
    <w:rsid w:val="00090981"/>
    <w:rsid w:val="00090CBC"/>
    <w:rsid w:val="0009114D"/>
    <w:rsid w:val="00091748"/>
    <w:rsid w:val="00091EFE"/>
    <w:rsid w:val="000922DF"/>
    <w:rsid w:val="00092FEE"/>
    <w:rsid w:val="00092FF5"/>
    <w:rsid w:val="0009438C"/>
    <w:rsid w:val="00094B86"/>
    <w:rsid w:val="00094F00"/>
    <w:rsid w:val="000954AE"/>
    <w:rsid w:val="0009567A"/>
    <w:rsid w:val="00096547"/>
    <w:rsid w:val="00096E80"/>
    <w:rsid w:val="000A0091"/>
    <w:rsid w:val="000A0A56"/>
    <w:rsid w:val="000A0D02"/>
    <w:rsid w:val="000A0F65"/>
    <w:rsid w:val="000A18D5"/>
    <w:rsid w:val="000A2512"/>
    <w:rsid w:val="000A253C"/>
    <w:rsid w:val="000A27CB"/>
    <w:rsid w:val="000A2C7A"/>
    <w:rsid w:val="000A3B50"/>
    <w:rsid w:val="000A3BB8"/>
    <w:rsid w:val="000A3C54"/>
    <w:rsid w:val="000A4134"/>
    <w:rsid w:val="000A4275"/>
    <w:rsid w:val="000A4E1D"/>
    <w:rsid w:val="000A50A1"/>
    <w:rsid w:val="000A51DC"/>
    <w:rsid w:val="000A59EE"/>
    <w:rsid w:val="000A60AB"/>
    <w:rsid w:val="000A6F7D"/>
    <w:rsid w:val="000A71A1"/>
    <w:rsid w:val="000A7259"/>
    <w:rsid w:val="000A77F0"/>
    <w:rsid w:val="000A79BF"/>
    <w:rsid w:val="000B007C"/>
    <w:rsid w:val="000B0DB9"/>
    <w:rsid w:val="000B1560"/>
    <w:rsid w:val="000B2D0A"/>
    <w:rsid w:val="000B3F91"/>
    <w:rsid w:val="000B4177"/>
    <w:rsid w:val="000B4C2B"/>
    <w:rsid w:val="000B57DC"/>
    <w:rsid w:val="000B5A0A"/>
    <w:rsid w:val="000B5C16"/>
    <w:rsid w:val="000B5C5F"/>
    <w:rsid w:val="000B63EA"/>
    <w:rsid w:val="000B6F0D"/>
    <w:rsid w:val="000B705D"/>
    <w:rsid w:val="000B7750"/>
    <w:rsid w:val="000B7AFF"/>
    <w:rsid w:val="000C02E2"/>
    <w:rsid w:val="000C04B5"/>
    <w:rsid w:val="000C0F8A"/>
    <w:rsid w:val="000C0FBB"/>
    <w:rsid w:val="000C12D1"/>
    <w:rsid w:val="000C1927"/>
    <w:rsid w:val="000C315A"/>
    <w:rsid w:val="000C330B"/>
    <w:rsid w:val="000C3568"/>
    <w:rsid w:val="000C3984"/>
    <w:rsid w:val="000C3E7F"/>
    <w:rsid w:val="000C4312"/>
    <w:rsid w:val="000C4599"/>
    <w:rsid w:val="000C489B"/>
    <w:rsid w:val="000C4A2A"/>
    <w:rsid w:val="000C4AFC"/>
    <w:rsid w:val="000C5080"/>
    <w:rsid w:val="000C6509"/>
    <w:rsid w:val="000D0E76"/>
    <w:rsid w:val="000D10D4"/>
    <w:rsid w:val="000D1781"/>
    <w:rsid w:val="000D1BEC"/>
    <w:rsid w:val="000D3689"/>
    <w:rsid w:val="000D38A0"/>
    <w:rsid w:val="000D398F"/>
    <w:rsid w:val="000D4226"/>
    <w:rsid w:val="000D443A"/>
    <w:rsid w:val="000D4488"/>
    <w:rsid w:val="000D44BF"/>
    <w:rsid w:val="000D4541"/>
    <w:rsid w:val="000D4860"/>
    <w:rsid w:val="000D4881"/>
    <w:rsid w:val="000D5A0E"/>
    <w:rsid w:val="000D5C3A"/>
    <w:rsid w:val="000D65EB"/>
    <w:rsid w:val="000D677A"/>
    <w:rsid w:val="000D6841"/>
    <w:rsid w:val="000D6918"/>
    <w:rsid w:val="000D6D28"/>
    <w:rsid w:val="000D6D50"/>
    <w:rsid w:val="000D6F1F"/>
    <w:rsid w:val="000D6FBA"/>
    <w:rsid w:val="000E054A"/>
    <w:rsid w:val="000E0A81"/>
    <w:rsid w:val="000E0F01"/>
    <w:rsid w:val="000E1141"/>
    <w:rsid w:val="000E1FA2"/>
    <w:rsid w:val="000E2F11"/>
    <w:rsid w:val="000E3144"/>
    <w:rsid w:val="000E3468"/>
    <w:rsid w:val="000E3917"/>
    <w:rsid w:val="000E3962"/>
    <w:rsid w:val="000E39C3"/>
    <w:rsid w:val="000E3B32"/>
    <w:rsid w:val="000E3ECB"/>
    <w:rsid w:val="000E40C7"/>
    <w:rsid w:val="000E6D4F"/>
    <w:rsid w:val="000E79B7"/>
    <w:rsid w:val="000F113B"/>
    <w:rsid w:val="000F1F53"/>
    <w:rsid w:val="000F2566"/>
    <w:rsid w:val="000F2870"/>
    <w:rsid w:val="000F3245"/>
    <w:rsid w:val="000F3551"/>
    <w:rsid w:val="000F3781"/>
    <w:rsid w:val="000F3AC5"/>
    <w:rsid w:val="000F40B9"/>
    <w:rsid w:val="000F418A"/>
    <w:rsid w:val="000F5A78"/>
    <w:rsid w:val="000F7314"/>
    <w:rsid w:val="000F738D"/>
    <w:rsid w:val="000F79B9"/>
    <w:rsid w:val="000F7BB3"/>
    <w:rsid w:val="000F7C8B"/>
    <w:rsid w:val="000F7F41"/>
    <w:rsid w:val="0010057F"/>
    <w:rsid w:val="001008A5"/>
    <w:rsid w:val="00101142"/>
    <w:rsid w:val="0010166B"/>
    <w:rsid w:val="00102126"/>
    <w:rsid w:val="001022E5"/>
    <w:rsid w:val="00104D29"/>
    <w:rsid w:val="00104E18"/>
    <w:rsid w:val="00105B38"/>
    <w:rsid w:val="001067A1"/>
    <w:rsid w:val="0010687D"/>
    <w:rsid w:val="00107E7A"/>
    <w:rsid w:val="00110ADB"/>
    <w:rsid w:val="00110FA1"/>
    <w:rsid w:val="00111ED4"/>
    <w:rsid w:val="00112A5D"/>
    <w:rsid w:val="00113871"/>
    <w:rsid w:val="00113D7F"/>
    <w:rsid w:val="001157FD"/>
    <w:rsid w:val="001167AE"/>
    <w:rsid w:val="001167CE"/>
    <w:rsid w:val="00116AD7"/>
    <w:rsid w:val="00116D9B"/>
    <w:rsid w:val="00116F0B"/>
    <w:rsid w:val="00117DC8"/>
    <w:rsid w:val="0012091D"/>
    <w:rsid w:val="00120D68"/>
    <w:rsid w:val="00120DF0"/>
    <w:rsid w:val="00121225"/>
    <w:rsid w:val="001213DD"/>
    <w:rsid w:val="00121B7F"/>
    <w:rsid w:val="00121FD0"/>
    <w:rsid w:val="00122209"/>
    <w:rsid w:val="00122470"/>
    <w:rsid w:val="00123205"/>
    <w:rsid w:val="0012384A"/>
    <w:rsid w:val="0012398A"/>
    <w:rsid w:val="00123B2C"/>
    <w:rsid w:val="00125354"/>
    <w:rsid w:val="001254B8"/>
    <w:rsid w:val="001255F5"/>
    <w:rsid w:val="001263A8"/>
    <w:rsid w:val="001310C8"/>
    <w:rsid w:val="00131304"/>
    <w:rsid w:val="00131AE5"/>
    <w:rsid w:val="00131D44"/>
    <w:rsid w:val="00132BF5"/>
    <w:rsid w:val="00132CF5"/>
    <w:rsid w:val="001335E3"/>
    <w:rsid w:val="00133CBF"/>
    <w:rsid w:val="001356D1"/>
    <w:rsid w:val="00135850"/>
    <w:rsid w:val="00135AEE"/>
    <w:rsid w:val="00136280"/>
    <w:rsid w:val="00136DC0"/>
    <w:rsid w:val="00136EAF"/>
    <w:rsid w:val="00137D66"/>
    <w:rsid w:val="00140196"/>
    <w:rsid w:val="0014024A"/>
    <w:rsid w:val="00140537"/>
    <w:rsid w:val="00140AE8"/>
    <w:rsid w:val="00140E44"/>
    <w:rsid w:val="00141186"/>
    <w:rsid w:val="001414ED"/>
    <w:rsid w:val="00141973"/>
    <w:rsid w:val="00142B64"/>
    <w:rsid w:val="00142F57"/>
    <w:rsid w:val="00143EA0"/>
    <w:rsid w:val="00144916"/>
    <w:rsid w:val="00145BD3"/>
    <w:rsid w:val="00146208"/>
    <w:rsid w:val="001466AA"/>
    <w:rsid w:val="00146F4E"/>
    <w:rsid w:val="00146F85"/>
    <w:rsid w:val="001472EB"/>
    <w:rsid w:val="00147500"/>
    <w:rsid w:val="001478FB"/>
    <w:rsid w:val="00150482"/>
    <w:rsid w:val="00150E8A"/>
    <w:rsid w:val="00151269"/>
    <w:rsid w:val="00151609"/>
    <w:rsid w:val="00151A0C"/>
    <w:rsid w:val="00151FC4"/>
    <w:rsid w:val="001522AE"/>
    <w:rsid w:val="00152B3F"/>
    <w:rsid w:val="001535FE"/>
    <w:rsid w:val="00153A41"/>
    <w:rsid w:val="001542C2"/>
    <w:rsid w:val="00154DEC"/>
    <w:rsid w:val="0015530E"/>
    <w:rsid w:val="00155982"/>
    <w:rsid w:val="00156527"/>
    <w:rsid w:val="0015691C"/>
    <w:rsid w:val="00156D69"/>
    <w:rsid w:val="00157479"/>
    <w:rsid w:val="00157A16"/>
    <w:rsid w:val="00157A9B"/>
    <w:rsid w:val="00157BB2"/>
    <w:rsid w:val="00157C67"/>
    <w:rsid w:val="00160D35"/>
    <w:rsid w:val="00160FB1"/>
    <w:rsid w:val="001617DE"/>
    <w:rsid w:val="00161B4E"/>
    <w:rsid w:val="00161E57"/>
    <w:rsid w:val="0016257B"/>
    <w:rsid w:val="00162DBA"/>
    <w:rsid w:val="0016304A"/>
    <w:rsid w:val="00163ACF"/>
    <w:rsid w:val="00163B0D"/>
    <w:rsid w:val="001649F2"/>
    <w:rsid w:val="00164AA5"/>
    <w:rsid w:val="00166922"/>
    <w:rsid w:val="001669A3"/>
    <w:rsid w:val="00167DCE"/>
    <w:rsid w:val="0017024B"/>
    <w:rsid w:val="0017095F"/>
    <w:rsid w:val="00171022"/>
    <w:rsid w:val="0017130E"/>
    <w:rsid w:val="00171B18"/>
    <w:rsid w:val="00172AC3"/>
    <w:rsid w:val="00173E1F"/>
    <w:rsid w:val="00174542"/>
    <w:rsid w:val="00174572"/>
    <w:rsid w:val="00174791"/>
    <w:rsid w:val="0017493F"/>
    <w:rsid w:val="00175E7D"/>
    <w:rsid w:val="001762DE"/>
    <w:rsid w:val="00176507"/>
    <w:rsid w:val="001769E2"/>
    <w:rsid w:val="00176BC5"/>
    <w:rsid w:val="00176C2F"/>
    <w:rsid w:val="00180D17"/>
    <w:rsid w:val="00181F11"/>
    <w:rsid w:val="00182150"/>
    <w:rsid w:val="001826B5"/>
    <w:rsid w:val="00182C86"/>
    <w:rsid w:val="00182E99"/>
    <w:rsid w:val="00183206"/>
    <w:rsid w:val="00183372"/>
    <w:rsid w:val="00184745"/>
    <w:rsid w:val="00184CEF"/>
    <w:rsid w:val="0018541D"/>
    <w:rsid w:val="001854C6"/>
    <w:rsid w:val="001862BA"/>
    <w:rsid w:val="00186F5C"/>
    <w:rsid w:val="001870CD"/>
    <w:rsid w:val="001871F2"/>
    <w:rsid w:val="00187269"/>
    <w:rsid w:val="0018766A"/>
    <w:rsid w:val="00187749"/>
    <w:rsid w:val="0018793B"/>
    <w:rsid w:val="001902F3"/>
    <w:rsid w:val="00190437"/>
    <w:rsid w:val="00190C42"/>
    <w:rsid w:val="00190E31"/>
    <w:rsid w:val="001913A2"/>
    <w:rsid w:val="00191DBA"/>
    <w:rsid w:val="0019220A"/>
    <w:rsid w:val="0019297B"/>
    <w:rsid w:val="00193029"/>
    <w:rsid w:val="00194579"/>
    <w:rsid w:val="00194F60"/>
    <w:rsid w:val="001958C9"/>
    <w:rsid w:val="001965AE"/>
    <w:rsid w:val="00196F4F"/>
    <w:rsid w:val="0019705B"/>
    <w:rsid w:val="00197700"/>
    <w:rsid w:val="001A00C8"/>
    <w:rsid w:val="001A01EB"/>
    <w:rsid w:val="001A0307"/>
    <w:rsid w:val="001A040E"/>
    <w:rsid w:val="001A1A46"/>
    <w:rsid w:val="001A1ABA"/>
    <w:rsid w:val="001A1D9B"/>
    <w:rsid w:val="001A24E0"/>
    <w:rsid w:val="001A2860"/>
    <w:rsid w:val="001A2AC3"/>
    <w:rsid w:val="001A2B62"/>
    <w:rsid w:val="001A302A"/>
    <w:rsid w:val="001A3095"/>
    <w:rsid w:val="001A3237"/>
    <w:rsid w:val="001A323F"/>
    <w:rsid w:val="001A35FB"/>
    <w:rsid w:val="001A45CB"/>
    <w:rsid w:val="001A47E4"/>
    <w:rsid w:val="001A509D"/>
    <w:rsid w:val="001A5371"/>
    <w:rsid w:val="001A5699"/>
    <w:rsid w:val="001A59D4"/>
    <w:rsid w:val="001A5EA8"/>
    <w:rsid w:val="001A5F7D"/>
    <w:rsid w:val="001A6419"/>
    <w:rsid w:val="001A7445"/>
    <w:rsid w:val="001A799F"/>
    <w:rsid w:val="001A7C75"/>
    <w:rsid w:val="001B0109"/>
    <w:rsid w:val="001B02E4"/>
    <w:rsid w:val="001B0817"/>
    <w:rsid w:val="001B11B4"/>
    <w:rsid w:val="001B155C"/>
    <w:rsid w:val="001B21BF"/>
    <w:rsid w:val="001B25A0"/>
    <w:rsid w:val="001B2820"/>
    <w:rsid w:val="001B2C26"/>
    <w:rsid w:val="001B2E23"/>
    <w:rsid w:val="001B2EEC"/>
    <w:rsid w:val="001B344E"/>
    <w:rsid w:val="001B3ACB"/>
    <w:rsid w:val="001B4105"/>
    <w:rsid w:val="001B4BD2"/>
    <w:rsid w:val="001B4E80"/>
    <w:rsid w:val="001B5FA8"/>
    <w:rsid w:val="001B68FF"/>
    <w:rsid w:val="001B78E3"/>
    <w:rsid w:val="001B7AA7"/>
    <w:rsid w:val="001B7B5C"/>
    <w:rsid w:val="001B7D0D"/>
    <w:rsid w:val="001C14E4"/>
    <w:rsid w:val="001C15D8"/>
    <w:rsid w:val="001C1C9C"/>
    <w:rsid w:val="001C27CA"/>
    <w:rsid w:val="001C292E"/>
    <w:rsid w:val="001C34B7"/>
    <w:rsid w:val="001C35A6"/>
    <w:rsid w:val="001C3EFD"/>
    <w:rsid w:val="001C3FB0"/>
    <w:rsid w:val="001C52C3"/>
    <w:rsid w:val="001C5CCB"/>
    <w:rsid w:val="001C7BB5"/>
    <w:rsid w:val="001D048C"/>
    <w:rsid w:val="001D083A"/>
    <w:rsid w:val="001D086B"/>
    <w:rsid w:val="001D17CA"/>
    <w:rsid w:val="001D1913"/>
    <w:rsid w:val="001D265B"/>
    <w:rsid w:val="001D298B"/>
    <w:rsid w:val="001D2F4C"/>
    <w:rsid w:val="001D4E4B"/>
    <w:rsid w:val="001D5228"/>
    <w:rsid w:val="001D53DB"/>
    <w:rsid w:val="001D53E9"/>
    <w:rsid w:val="001D5B1E"/>
    <w:rsid w:val="001D6383"/>
    <w:rsid w:val="001D66B6"/>
    <w:rsid w:val="001D696F"/>
    <w:rsid w:val="001D7520"/>
    <w:rsid w:val="001D776E"/>
    <w:rsid w:val="001E0645"/>
    <w:rsid w:val="001E170C"/>
    <w:rsid w:val="001E1919"/>
    <w:rsid w:val="001E23E9"/>
    <w:rsid w:val="001E307E"/>
    <w:rsid w:val="001E3661"/>
    <w:rsid w:val="001E3DAB"/>
    <w:rsid w:val="001E565E"/>
    <w:rsid w:val="001E5E38"/>
    <w:rsid w:val="001E5E64"/>
    <w:rsid w:val="001E618B"/>
    <w:rsid w:val="001E61A5"/>
    <w:rsid w:val="001E6776"/>
    <w:rsid w:val="001E6E12"/>
    <w:rsid w:val="001E6EB6"/>
    <w:rsid w:val="001E74A7"/>
    <w:rsid w:val="001E74A9"/>
    <w:rsid w:val="001F0210"/>
    <w:rsid w:val="001F0B64"/>
    <w:rsid w:val="001F12C7"/>
    <w:rsid w:val="001F245F"/>
    <w:rsid w:val="001F2AAE"/>
    <w:rsid w:val="001F3116"/>
    <w:rsid w:val="001F3524"/>
    <w:rsid w:val="001F358D"/>
    <w:rsid w:val="001F35E3"/>
    <w:rsid w:val="001F3A8B"/>
    <w:rsid w:val="001F4407"/>
    <w:rsid w:val="001F4BBD"/>
    <w:rsid w:val="001F5204"/>
    <w:rsid w:val="001F5BBD"/>
    <w:rsid w:val="001F6042"/>
    <w:rsid w:val="001F6632"/>
    <w:rsid w:val="001F72FE"/>
    <w:rsid w:val="001F7800"/>
    <w:rsid w:val="001F7804"/>
    <w:rsid w:val="002009A2"/>
    <w:rsid w:val="00200A4E"/>
    <w:rsid w:val="002012C5"/>
    <w:rsid w:val="002027DF"/>
    <w:rsid w:val="00202951"/>
    <w:rsid w:val="002044E3"/>
    <w:rsid w:val="00204A05"/>
    <w:rsid w:val="002060CE"/>
    <w:rsid w:val="00206B6F"/>
    <w:rsid w:val="002075F7"/>
    <w:rsid w:val="0020765D"/>
    <w:rsid w:val="002079E7"/>
    <w:rsid w:val="00207B70"/>
    <w:rsid w:val="00207DA3"/>
    <w:rsid w:val="00207DE7"/>
    <w:rsid w:val="00207E98"/>
    <w:rsid w:val="0021140C"/>
    <w:rsid w:val="00211B51"/>
    <w:rsid w:val="002122D4"/>
    <w:rsid w:val="002123E7"/>
    <w:rsid w:val="00212A66"/>
    <w:rsid w:val="00212E79"/>
    <w:rsid w:val="00212F88"/>
    <w:rsid w:val="00212F9C"/>
    <w:rsid w:val="002136F4"/>
    <w:rsid w:val="00213F56"/>
    <w:rsid w:val="002145F8"/>
    <w:rsid w:val="0021475C"/>
    <w:rsid w:val="002160AE"/>
    <w:rsid w:val="002163D9"/>
    <w:rsid w:val="0021743E"/>
    <w:rsid w:val="002179DE"/>
    <w:rsid w:val="00217F54"/>
    <w:rsid w:val="0022008D"/>
    <w:rsid w:val="002200A1"/>
    <w:rsid w:val="00221365"/>
    <w:rsid w:val="00221A9D"/>
    <w:rsid w:val="002222B3"/>
    <w:rsid w:val="00222F46"/>
    <w:rsid w:val="00223772"/>
    <w:rsid w:val="0022387B"/>
    <w:rsid w:val="00223E6D"/>
    <w:rsid w:val="002244D0"/>
    <w:rsid w:val="00224B54"/>
    <w:rsid w:val="00224E69"/>
    <w:rsid w:val="00225FFF"/>
    <w:rsid w:val="0022624F"/>
    <w:rsid w:val="00226528"/>
    <w:rsid w:val="002269AC"/>
    <w:rsid w:val="00226F36"/>
    <w:rsid w:val="00227252"/>
    <w:rsid w:val="00227B09"/>
    <w:rsid w:val="00230079"/>
    <w:rsid w:val="00230265"/>
    <w:rsid w:val="002302F8"/>
    <w:rsid w:val="002310BE"/>
    <w:rsid w:val="002313BB"/>
    <w:rsid w:val="0023142C"/>
    <w:rsid w:val="00231509"/>
    <w:rsid w:val="00231DD6"/>
    <w:rsid w:val="00232BF1"/>
    <w:rsid w:val="00233444"/>
    <w:rsid w:val="0023389E"/>
    <w:rsid w:val="00235283"/>
    <w:rsid w:val="002352B6"/>
    <w:rsid w:val="00235E9D"/>
    <w:rsid w:val="002364D8"/>
    <w:rsid w:val="00236861"/>
    <w:rsid w:val="00236D1B"/>
    <w:rsid w:val="002372C0"/>
    <w:rsid w:val="0023735A"/>
    <w:rsid w:val="00240421"/>
    <w:rsid w:val="0024071D"/>
    <w:rsid w:val="00240F5D"/>
    <w:rsid w:val="00242AF8"/>
    <w:rsid w:val="00242D76"/>
    <w:rsid w:val="002430F9"/>
    <w:rsid w:val="00244478"/>
    <w:rsid w:val="002448BE"/>
    <w:rsid w:val="00245D3C"/>
    <w:rsid w:val="00245E52"/>
    <w:rsid w:val="00246B6E"/>
    <w:rsid w:val="00246F4D"/>
    <w:rsid w:val="0025026C"/>
    <w:rsid w:val="0025061F"/>
    <w:rsid w:val="00250B03"/>
    <w:rsid w:val="00250D34"/>
    <w:rsid w:val="00251564"/>
    <w:rsid w:val="00251686"/>
    <w:rsid w:val="00251F13"/>
    <w:rsid w:val="00252166"/>
    <w:rsid w:val="002522D4"/>
    <w:rsid w:val="00253B49"/>
    <w:rsid w:val="00254726"/>
    <w:rsid w:val="00254A46"/>
    <w:rsid w:val="00254E43"/>
    <w:rsid w:val="00255332"/>
    <w:rsid w:val="00256B62"/>
    <w:rsid w:val="0025709C"/>
    <w:rsid w:val="0025791B"/>
    <w:rsid w:val="00257A10"/>
    <w:rsid w:val="00260B5F"/>
    <w:rsid w:val="00261097"/>
    <w:rsid w:val="002612D7"/>
    <w:rsid w:val="002615EB"/>
    <w:rsid w:val="002627D5"/>
    <w:rsid w:val="0026316F"/>
    <w:rsid w:val="0026349E"/>
    <w:rsid w:val="00263919"/>
    <w:rsid w:val="00263E66"/>
    <w:rsid w:val="002658CC"/>
    <w:rsid w:val="00267418"/>
    <w:rsid w:val="00267B21"/>
    <w:rsid w:val="00267D06"/>
    <w:rsid w:val="0027000B"/>
    <w:rsid w:val="002704D0"/>
    <w:rsid w:val="0027066B"/>
    <w:rsid w:val="00270684"/>
    <w:rsid w:val="00271585"/>
    <w:rsid w:val="002716DA"/>
    <w:rsid w:val="00271CDB"/>
    <w:rsid w:val="00271CDF"/>
    <w:rsid w:val="00272119"/>
    <w:rsid w:val="002723FF"/>
    <w:rsid w:val="00273593"/>
    <w:rsid w:val="00273A97"/>
    <w:rsid w:val="002749FC"/>
    <w:rsid w:val="00275657"/>
    <w:rsid w:val="002761AB"/>
    <w:rsid w:val="00276301"/>
    <w:rsid w:val="00276B23"/>
    <w:rsid w:val="002804C4"/>
    <w:rsid w:val="00280523"/>
    <w:rsid w:val="00280786"/>
    <w:rsid w:val="002808A9"/>
    <w:rsid w:val="002814C0"/>
    <w:rsid w:val="002817BB"/>
    <w:rsid w:val="00281AC9"/>
    <w:rsid w:val="00281C21"/>
    <w:rsid w:val="00282172"/>
    <w:rsid w:val="00282FA2"/>
    <w:rsid w:val="00283BA9"/>
    <w:rsid w:val="00284225"/>
    <w:rsid w:val="00284495"/>
    <w:rsid w:val="0028628B"/>
    <w:rsid w:val="00286AFF"/>
    <w:rsid w:val="0028759F"/>
    <w:rsid w:val="002901E6"/>
    <w:rsid w:val="00290D5B"/>
    <w:rsid w:val="0029120F"/>
    <w:rsid w:val="0029180A"/>
    <w:rsid w:val="00291E82"/>
    <w:rsid w:val="00291EBB"/>
    <w:rsid w:val="002925CE"/>
    <w:rsid w:val="0029375E"/>
    <w:rsid w:val="00293EAA"/>
    <w:rsid w:val="00295038"/>
    <w:rsid w:val="00296F2C"/>
    <w:rsid w:val="002977D8"/>
    <w:rsid w:val="00297A29"/>
    <w:rsid w:val="00297C39"/>
    <w:rsid w:val="002A0076"/>
    <w:rsid w:val="002A00ED"/>
    <w:rsid w:val="002A11C3"/>
    <w:rsid w:val="002A260C"/>
    <w:rsid w:val="002A2D99"/>
    <w:rsid w:val="002A2E18"/>
    <w:rsid w:val="002A59A5"/>
    <w:rsid w:val="002A6131"/>
    <w:rsid w:val="002A6471"/>
    <w:rsid w:val="002A65FC"/>
    <w:rsid w:val="002A6A25"/>
    <w:rsid w:val="002A6A3C"/>
    <w:rsid w:val="002A713D"/>
    <w:rsid w:val="002A782F"/>
    <w:rsid w:val="002A78D4"/>
    <w:rsid w:val="002B05FD"/>
    <w:rsid w:val="002B1063"/>
    <w:rsid w:val="002B1443"/>
    <w:rsid w:val="002B1959"/>
    <w:rsid w:val="002B1B9E"/>
    <w:rsid w:val="002B1BD2"/>
    <w:rsid w:val="002B1C12"/>
    <w:rsid w:val="002B2AAF"/>
    <w:rsid w:val="002B2AFE"/>
    <w:rsid w:val="002B2DFF"/>
    <w:rsid w:val="002B3313"/>
    <w:rsid w:val="002B378B"/>
    <w:rsid w:val="002B3B51"/>
    <w:rsid w:val="002B3C42"/>
    <w:rsid w:val="002B3F65"/>
    <w:rsid w:val="002B3FB8"/>
    <w:rsid w:val="002B461D"/>
    <w:rsid w:val="002B50F2"/>
    <w:rsid w:val="002B5162"/>
    <w:rsid w:val="002B5CA3"/>
    <w:rsid w:val="002B65A9"/>
    <w:rsid w:val="002B79DB"/>
    <w:rsid w:val="002C0671"/>
    <w:rsid w:val="002C07EA"/>
    <w:rsid w:val="002C086E"/>
    <w:rsid w:val="002C10A1"/>
    <w:rsid w:val="002C183C"/>
    <w:rsid w:val="002C1EBC"/>
    <w:rsid w:val="002C20A0"/>
    <w:rsid w:val="002C2EBC"/>
    <w:rsid w:val="002C2EE8"/>
    <w:rsid w:val="002C314D"/>
    <w:rsid w:val="002C3157"/>
    <w:rsid w:val="002C3805"/>
    <w:rsid w:val="002C40D2"/>
    <w:rsid w:val="002C4961"/>
    <w:rsid w:val="002C50BC"/>
    <w:rsid w:val="002C5543"/>
    <w:rsid w:val="002C5587"/>
    <w:rsid w:val="002C5B47"/>
    <w:rsid w:val="002C5BC2"/>
    <w:rsid w:val="002C6868"/>
    <w:rsid w:val="002C763F"/>
    <w:rsid w:val="002D0035"/>
    <w:rsid w:val="002D04B6"/>
    <w:rsid w:val="002D1055"/>
    <w:rsid w:val="002D130E"/>
    <w:rsid w:val="002D14D6"/>
    <w:rsid w:val="002D201E"/>
    <w:rsid w:val="002D2227"/>
    <w:rsid w:val="002D252C"/>
    <w:rsid w:val="002D30F0"/>
    <w:rsid w:val="002D34B4"/>
    <w:rsid w:val="002D375C"/>
    <w:rsid w:val="002D37F3"/>
    <w:rsid w:val="002D4063"/>
    <w:rsid w:val="002D4699"/>
    <w:rsid w:val="002D4BF6"/>
    <w:rsid w:val="002D4D9F"/>
    <w:rsid w:val="002D4DCD"/>
    <w:rsid w:val="002D4F5C"/>
    <w:rsid w:val="002D5448"/>
    <w:rsid w:val="002D5BF6"/>
    <w:rsid w:val="002D6552"/>
    <w:rsid w:val="002D75A3"/>
    <w:rsid w:val="002D783B"/>
    <w:rsid w:val="002D7997"/>
    <w:rsid w:val="002D79C3"/>
    <w:rsid w:val="002E023B"/>
    <w:rsid w:val="002E076A"/>
    <w:rsid w:val="002E0CBA"/>
    <w:rsid w:val="002E0E5F"/>
    <w:rsid w:val="002E0F6D"/>
    <w:rsid w:val="002E2955"/>
    <w:rsid w:val="002E2AC8"/>
    <w:rsid w:val="002E2BCA"/>
    <w:rsid w:val="002E3683"/>
    <w:rsid w:val="002E3EC8"/>
    <w:rsid w:val="002E44E9"/>
    <w:rsid w:val="002E4ED7"/>
    <w:rsid w:val="002E5464"/>
    <w:rsid w:val="002E57B1"/>
    <w:rsid w:val="002E588D"/>
    <w:rsid w:val="002E5945"/>
    <w:rsid w:val="002E65AD"/>
    <w:rsid w:val="002E6E72"/>
    <w:rsid w:val="002E7767"/>
    <w:rsid w:val="002E7DA1"/>
    <w:rsid w:val="002F039A"/>
    <w:rsid w:val="002F0C7B"/>
    <w:rsid w:val="002F0DAE"/>
    <w:rsid w:val="002F0F13"/>
    <w:rsid w:val="002F1CA2"/>
    <w:rsid w:val="002F2006"/>
    <w:rsid w:val="002F201D"/>
    <w:rsid w:val="002F220B"/>
    <w:rsid w:val="002F23C7"/>
    <w:rsid w:val="002F249B"/>
    <w:rsid w:val="002F2806"/>
    <w:rsid w:val="002F3045"/>
    <w:rsid w:val="002F34CC"/>
    <w:rsid w:val="002F3591"/>
    <w:rsid w:val="002F42A8"/>
    <w:rsid w:val="002F4642"/>
    <w:rsid w:val="002F474C"/>
    <w:rsid w:val="002F4ACE"/>
    <w:rsid w:val="002F4ADD"/>
    <w:rsid w:val="002F564B"/>
    <w:rsid w:val="002F59BE"/>
    <w:rsid w:val="002F5BFE"/>
    <w:rsid w:val="002F7018"/>
    <w:rsid w:val="003007C9"/>
    <w:rsid w:val="00300933"/>
    <w:rsid w:val="00300A10"/>
    <w:rsid w:val="00300C8E"/>
    <w:rsid w:val="0030167D"/>
    <w:rsid w:val="00301C55"/>
    <w:rsid w:val="00301F3E"/>
    <w:rsid w:val="00302669"/>
    <w:rsid w:val="00302982"/>
    <w:rsid w:val="00302BF7"/>
    <w:rsid w:val="00303882"/>
    <w:rsid w:val="003038DB"/>
    <w:rsid w:val="00303D44"/>
    <w:rsid w:val="00303EFA"/>
    <w:rsid w:val="00304582"/>
    <w:rsid w:val="00304D87"/>
    <w:rsid w:val="003057B1"/>
    <w:rsid w:val="00306120"/>
    <w:rsid w:val="003064AA"/>
    <w:rsid w:val="00306B87"/>
    <w:rsid w:val="00306E32"/>
    <w:rsid w:val="00306F86"/>
    <w:rsid w:val="00307767"/>
    <w:rsid w:val="00307BAC"/>
    <w:rsid w:val="00307BFF"/>
    <w:rsid w:val="00307F77"/>
    <w:rsid w:val="00310305"/>
    <w:rsid w:val="003103BB"/>
    <w:rsid w:val="003112DA"/>
    <w:rsid w:val="003113ED"/>
    <w:rsid w:val="003122DF"/>
    <w:rsid w:val="00312C57"/>
    <w:rsid w:val="00313A1F"/>
    <w:rsid w:val="003145A1"/>
    <w:rsid w:val="00314C20"/>
    <w:rsid w:val="003157E7"/>
    <w:rsid w:val="003159AE"/>
    <w:rsid w:val="0031632C"/>
    <w:rsid w:val="00316BB0"/>
    <w:rsid w:val="00317219"/>
    <w:rsid w:val="003175A0"/>
    <w:rsid w:val="00320554"/>
    <w:rsid w:val="003209A3"/>
    <w:rsid w:val="00320F0E"/>
    <w:rsid w:val="003216DF"/>
    <w:rsid w:val="003222D1"/>
    <w:rsid w:val="00322F70"/>
    <w:rsid w:val="00322F8F"/>
    <w:rsid w:val="003234DB"/>
    <w:rsid w:val="003239CA"/>
    <w:rsid w:val="00324F76"/>
    <w:rsid w:val="0032523A"/>
    <w:rsid w:val="00325554"/>
    <w:rsid w:val="003256BA"/>
    <w:rsid w:val="003268B5"/>
    <w:rsid w:val="003275B8"/>
    <w:rsid w:val="00327C81"/>
    <w:rsid w:val="0033068B"/>
    <w:rsid w:val="003306DF"/>
    <w:rsid w:val="00330E36"/>
    <w:rsid w:val="003324D6"/>
    <w:rsid w:val="00332805"/>
    <w:rsid w:val="00332A49"/>
    <w:rsid w:val="00332D59"/>
    <w:rsid w:val="00333513"/>
    <w:rsid w:val="00333680"/>
    <w:rsid w:val="00333C1A"/>
    <w:rsid w:val="00334122"/>
    <w:rsid w:val="003346FB"/>
    <w:rsid w:val="00334C74"/>
    <w:rsid w:val="00335241"/>
    <w:rsid w:val="00335400"/>
    <w:rsid w:val="003354E0"/>
    <w:rsid w:val="00335E78"/>
    <w:rsid w:val="00336FA2"/>
    <w:rsid w:val="003400C0"/>
    <w:rsid w:val="003401BD"/>
    <w:rsid w:val="0034078A"/>
    <w:rsid w:val="00341197"/>
    <w:rsid w:val="00341243"/>
    <w:rsid w:val="003412F4"/>
    <w:rsid w:val="00341440"/>
    <w:rsid w:val="00342606"/>
    <w:rsid w:val="00342EA0"/>
    <w:rsid w:val="00343098"/>
    <w:rsid w:val="00343148"/>
    <w:rsid w:val="00344F49"/>
    <w:rsid w:val="00345E37"/>
    <w:rsid w:val="00345F36"/>
    <w:rsid w:val="00346B1D"/>
    <w:rsid w:val="00346ECF"/>
    <w:rsid w:val="00347407"/>
    <w:rsid w:val="003506F9"/>
    <w:rsid w:val="003508F9"/>
    <w:rsid w:val="00350A1E"/>
    <w:rsid w:val="0035109D"/>
    <w:rsid w:val="003511FE"/>
    <w:rsid w:val="00351AAC"/>
    <w:rsid w:val="00351ADB"/>
    <w:rsid w:val="00351C3D"/>
    <w:rsid w:val="0035257F"/>
    <w:rsid w:val="00352760"/>
    <w:rsid w:val="003529F4"/>
    <w:rsid w:val="00354027"/>
    <w:rsid w:val="00354178"/>
    <w:rsid w:val="003541DB"/>
    <w:rsid w:val="0035511A"/>
    <w:rsid w:val="00355438"/>
    <w:rsid w:val="00355952"/>
    <w:rsid w:val="00355A82"/>
    <w:rsid w:val="0035710F"/>
    <w:rsid w:val="003579C6"/>
    <w:rsid w:val="00360CD5"/>
    <w:rsid w:val="00360D93"/>
    <w:rsid w:val="003622BB"/>
    <w:rsid w:val="00362797"/>
    <w:rsid w:val="00362AE6"/>
    <w:rsid w:val="00362BC7"/>
    <w:rsid w:val="0036314E"/>
    <w:rsid w:val="00363643"/>
    <w:rsid w:val="0036374F"/>
    <w:rsid w:val="00363993"/>
    <w:rsid w:val="00363D2C"/>
    <w:rsid w:val="00363EE3"/>
    <w:rsid w:val="0036450D"/>
    <w:rsid w:val="00364D21"/>
    <w:rsid w:val="003662EA"/>
    <w:rsid w:val="003669B7"/>
    <w:rsid w:val="00366C43"/>
    <w:rsid w:val="00366D68"/>
    <w:rsid w:val="003703F2"/>
    <w:rsid w:val="0037053B"/>
    <w:rsid w:val="003716A8"/>
    <w:rsid w:val="003717CD"/>
    <w:rsid w:val="0037197F"/>
    <w:rsid w:val="00371B56"/>
    <w:rsid w:val="00372530"/>
    <w:rsid w:val="00372B0B"/>
    <w:rsid w:val="003731C9"/>
    <w:rsid w:val="003732CC"/>
    <w:rsid w:val="0037380A"/>
    <w:rsid w:val="00373B3D"/>
    <w:rsid w:val="00373CB7"/>
    <w:rsid w:val="00374031"/>
    <w:rsid w:val="003740CA"/>
    <w:rsid w:val="00374A15"/>
    <w:rsid w:val="00374A44"/>
    <w:rsid w:val="00374BAE"/>
    <w:rsid w:val="00374D06"/>
    <w:rsid w:val="00374E07"/>
    <w:rsid w:val="003750EF"/>
    <w:rsid w:val="00375723"/>
    <w:rsid w:val="00375E7F"/>
    <w:rsid w:val="003766FD"/>
    <w:rsid w:val="00377157"/>
    <w:rsid w:val="00377A3D"/>
    <w:rsid w:val="00377DFA"/>
    <w:rsid w:val="003800A9"/>
    <w:rsid w:val="0038154B"/>
    <w:rsid w:val="00381746"/>
    <w:rsid w:val="003827DA"/>
    <w:rsid w:val="00382809"/>
    <w:rsid w:val="00382840"/>
    <w:rsid w:val="0038333E"/>
    <w:rsid w:val="00383407"/>
    <w:rsid w:val="00383696"/>
    <w:rsid w:val="00384196"/>
    <w:rsid w:val="00384817"/>
    <w:rsid w:val="003849C2"/>
    <w:rsid w:val="00386715"/>
    <w:rsid w:val="00386A8F"/>
    <w:rsid w:val="0038713A"/>
    <w:rsid w:val="00387BB2"/>
    <w:rsid w:val="0039057A"/>
    <w:rsid w:val="00390627"/>
    <w:rsid w:val="00390B48"/>
    <w:rsid w:val="00391D70"/>
    <w:rsid w:val="0039271B"/>
    <w:rsid w:val="00393063"/>
    <w:rsid w:val="00393765"/>
    <w:rsid w:val="00393A1C"/>
    <w:rsid w:val="00393FAA"/>
    <w:rsid w:val="00395C88"/>
    <w:rsid w:val="00395E87"/>
    <w:rsid w:val="003966EE"/>
    <w:rsid w:val="003967A9"/>
    <w:rsid w:val="00396CF8"/>
    <w:rsid w:val="00397079"/>
    <w:rsid w:val="0039761B"/>
    <w:rsid w:val="00397B1E"/>
    <w:rsid w:val="00397FC4"/>
    <w:rsid w:val="003A0881"/>
    <w:rsid w:val="003A08C7"/>
    <w:rsid w:val="003A18AC"/>
    <w:rsid w:val="003A19E7"/>
    <w:rsid w:val="003A19ED"/>
    <w:rsid w:val="003A20CE"/>
    <w:rsid w:val="003A21F3"/>
    <w:rsid w:val="003A32E0"/>
    <w:rsid w:val="003A33EF"/>
    <w:rsid w:val="003A3A7A"/>
    <w:rsid w:val="003A48AD"/>
    <w:rsid w:val="003A5392"/>
    <w:rsid w:val="003A59C1"/>
    <w:rsid w:val="003A5DCB"/>
    <w:rsid w:val="003A62E1"/>
    <w:rsid w:val="003A6A8D"/>
    <w:rsid w:val="003A6F8C"/>
    <w:rsid w:val="003B0D33"/>
    <w:rsid w:val="003B13B0"/>
    <w:rsid w:val="003B1712"/>
    <w:rsid w:val="003B1CAE"/>
    <w:rsid w:val="003B1E2D"/>
    <w:rsid w:val="003B1FBF"/>
    <w:rsid w:val="003B2BA4"/>
    <w:rsid w:val="003B3E81"/>
    <w:rsid w:val="003B4809"/>
    <w:rsid w:val="003B4EF2"/>
    <w:rsid w:val="003B578A"/>
    <w:rsid w:val="003B589E"/>
    <w:rsid w:val="003B5C26"/>
    <w:rsid w:val="003B603B"/>
    <w:rsid w:val="003B679E"/>
    <w:rsid w:val="003B73F4"/>
    <w:rsid w:val="003B7F59"/>
    <w:rsid w:val="003C03F8"/>
    <w:rsid w:val="003C066B"/>
    <w:rsid w:val="003C0F81"/>
    <w:rsid w:val="003C1422"/>
    <w:rsid w:val="003C14B0"/>
    <w:rsid w:val="003C1A96"/>
    <w:rsid w:val="003C1FEA"/>
    <w:rsid w:val="003C2521"/>
    <w:rsid w:val="003C2558"/>
    <w:rsid w:val="003C2748"/>
    <w:rsid w:val="003C2A3D"/>
    <w:rsid w:val="003C3BB5"/>
    <w:rsid w:val="003C3C7B"/>
    <w:rsid w:val="003C3D18"/>
    <w:rsid w:val="003C3EBB"/>
    <w:rsid w:val="003C4B20"/>
    <w:rsid w:val="003C5C0F"/>
    <w:rsid w:val="003C66B7"/>
    <w:rsid w:val="003C6B51"/>
    <w:rsid w:val="003C74D2"/>
    <w:rsid w:val="003C7E10"/>
    <w:rsid w:val="003D0226"/>
    <w:rsid w:val="003D0343"/>
    <w:rsid w:val="003D0A04"/>
    <w:rsid w:val="003D0CA0"/>
    <w:rsid w:val="003D1028"/>
    <w:rsid w:val="003D1205"/>
    <w:rsid w:val="003D1956"/>
    <w:rsid w:val="003D1D9C"/>
    <w:rsid w:val="003D2221"/>
    <w:rsid w:val="003D2912"/>
    <w:rsid w:val="003D32B9"/>
    <w:rsid w:val="003D330C"/>
    <w:rsid w:val="003D5386"/>
    <w:rsid w:val="003D57A5"/>
    <w:rsid w:val="003D5FA1"/>
    <w:rsid w:val="003D646F"/>
    <w:rsid w:val="003D70F0"/>
    <w:rsid w:val="003D7813"/>
    <w:rsid w:val="003E09B3"/>
    <w:rsid w:val="003E0C0C"/>
    <w:rsid w:val="003E151B"/>
    <w:rsid w:val="003E151C"/>
    <w:rsid w:val="003E1D99"/>
    <w:rsid w:val="003E2141"/>
    <w:rsid w:val="003E2705"/>
    <w:rsid w:val="003E2A50"/>
    <w:rsid w:val="003E2E2B"/>
    <w:rsid w:val="003E3087"/>
    <w:rsid w:val="003E4456"/>
    <w:rsid w:val="003E4D0C"/>
    <w:rsid w:val="003E5101"/>
    <w:rsid w:val="003E530D"/>
    <w:rsid w:val="003E53C5"/>
    <w:rsid w:val="003E6056"/>
    <w:rsid w:val="003E6379"/>
    <w:rsid w:val="003E72CC"/>
    <w:rsid w:val="003E7412"/>
    <w:rsid w:val="003E77CE"/>
    <w:rsid w:val="003F09DA"/>
    <w:rsid w:val="003F0EDE"/>
    <w:rsid w:val="003F1201"/>
    <w:rsid w:val="003F1403"/>
    <w:rsid w:val="003F156D"/>
    <w:rsid w:val="003F2323"/>
    <w:rsid w:val="003F39F1"/>
    <w:rsid w:val="003F3B1F"/>
    <w:rsid w:val="003F4377"/>
    <w:rsid w:val="003F4F72"/>
    <w:rsid w:val="003F4FEB"/>
    <w:rsid w:val="003F595A"/>
    <w:rsid w:val="003F5964"/>
    <w:rsid w:val="003F5BD0"/>
    <w:rsid w:val="003F611E"/>
    <w:rsid w:val="003F6978"/>
    <w:rsid w:val="003F6D7B"/>
    <w:rsid w:val="004000CD"/>
    <w:rsid w:val="004004D5"/>
    <w:rsid w:val="004006D3"/>
    <w:rsid w:val="00400C30"/>
    <w:rsid w:val="004012D1"/>
    <w:rsid w:val="0040141A"/>
    <w:rsid w:val="00401F2D"/>
    <w:rsid w:val="00402098"/>
    <w:rsid w:val="00402A8E"/>
    <w:rsid w:val="00402DB9"/>
    <w:rsid w:val="00403661"/>
    <w:rsid w:val="0040396F"/>
    <w:rsid w:val="00404038"/>
    <w:rsid w:val="00404500"/>
    <w:rsid w:val="00407621"/>
    <w:rsid w:val="004078A8"/>
    <w:rsid w:val="00407A83"/>
    <w:rsid w:val="00407E4C"/>
    <w:rsid w:val="00410552"/>
    <w:rsid w:val="00411485"/>
    <w:rsid w:val="00411B52"/>
    <w:rsid w:val="00411F19"/>
    <w:rsid w:val="00412011"/>
    <w:rsid w:val="00412083"/>
    <w:rsid w:val="0041227D"/>
    <w:rsid w:val="00412967"/>
    <w:rsid w:val="004138AB"/>
    <w:rsid w:val="00413E72"/>
    <w:rsid w:val="0041458F"/>
    <w:rsid w:val="004148A0"/>
    <w:rsid w:val="004148CD"/>
    <w:rsid w:val="004149D5"/>
    <w:rsid w:val="00415009"/>
    <w:rsid w:val="00415191"/>
    <w:rsid w:val="004159AE"/>
    <w:rsid w:val="00415BE8"/>
    <w:rsid w:val="00416128"/>
    <w:rsid w:val="004163FA"/>
    <w:rsid w:val="004166F2"/>
    <w:rsid w:val="00416C48"/>
    <w:rsid w:val="00417C14"/>
    <w:rsid w:val="00420523"/>
    <w:rsid w:val="0042066C"/>
    <w:rsid w:val="00420716"/>
    <w:rsid w:val="00422042"/>
    <w:rsid w:val="00422D27"/>
    <w:rsid w:val="00424088"/>
    <w:rsid w:val="0042444C"/>
    <w:rsid w:val="004248DF"/>
    <w:rsid w:val="004250FA"/>
    <w:rsid w:val="00425C13"/>
    <w:rsid w:val="004261DA"/>
    <w:rsid w:val="00427332"/>
    <w:rsid w:val="004278FC"/>
    <w:rsid w:val="00430131"/>
    <w:rsid w:val="004306A7"/>
    <w:rsid w:val="00430ED6"/>
    <w:rsid w:val="00431450"/>
    <w:rsid w:val="004324E3"/>
    <w:rsid w:val="00432FCA"/>
    <w:rsid w:val="004332E2"/>
    <w:rsid w:val="004334A3"/>
    <w:rsid w:val="00434A1B"/>
    <w:rsid w:val="00435C35"/>
    <w:rsid w:val="004360B5"/>
    <w:rsid w:val="0043610B"/>
    <w:rsid w:val="004364DC"/>
    <w:rsid w:val="00436F0C"/>
    <w:rsid w:val="00436FEC"/>
    <w:rsid w:val="004371AF"/>
    <w:rsid w:val="004371B5"/>
    <w:rsid w:val="004405B3"/>
    <w:rsid w:val="00441EEB"/>
    <w:rsid w:val="00442E97"/>
    <w:rsid w:val="00443581"/>
    <w:rsid w:val="004438BB"/>
    <w:rsid w:val="00443ED3"/>
    <w:rsid w:val="00445269"/>
    <w:rsid w:val="00445607"/>
    <w:rsid w:val="0044583C"/>
    <w:rsid w:val="00445EDB"/>
    <w:rsid w:val="004460C4"/>
    <w:rsid w:val="00446661"/>
    <w:rsid w:val="00446EE1"/>
    <w:rsid w:val="004473BB"/>
    <w:rsid w:val="0045016D"/>
    <w:rsid w:val="00450778"/>
    <w:rsid w:val="004511AD"/>
    <w:rsid w:val="00451383"/>
    <w:rsid w:val="00452830"/>
    <w:rsid w:val="00452899"/>
    <w:rsid w:val="00452C53"/>
    <w:rsid w:val="00453212"/>
    <w:rsid w:val="0045326D"/>
    <w:rsid w:val="004533F3"/>
    <w:rsid w:val="00453A24"/>
    <w:rsid w:val="00453CE5"/>
    <w:rsid w:val="00453EFE"/>
    <w:rsid w:val="004543F1"/>
    <w:rsid w:val="004548E2"/>
    <w:rsid w:val="00455259"/>
    <w:rsid w:val="004569F8"/>
    <w:rsid w:val="00456A12"/>
    <w:rsid w:val="00456F63"/>
    <w:rsid w:val="00457362"/>
    <w:rsid w:val="00457B5D"/>
    <w:rsid w:val="00457D08"/>
    <w:rsid w:val="00457F82"/>
    <w:rsid w:val="004600A1"/>
    <w:rsid w:val="00460B99"/>
    <w:rsid w:val="00460CA2"/>
    <w:rsid w:val="00461C9F"/>
    <w:rsid w:val="00462C78"/>
    <w:rsid w:val="00462CDC"/>
    <w:rsid w:val="0046449E"/>
    <w:rsid w:val="00464868"/>
    <w:rsid w:val="0046490D"/>
    <w:rsid w:val="00465F4E"/>
    <w:rsid w:val="00466066"/>
    <w:rsid w:val="00466634"/>
    <w:rsid w:val="00467ECF"/>
    <w:rsid w:val="0047026A"/>
    <w:rsid w:val="00471ECD"/>
    <w:rsid w:val="0047240B"/>
    <w:rsid w:val="00472A33"/>
    <w:rsid w:val="00472B2E"/>
    <w:rsid w:val="00472CD6"/>
    <w:rsid w:val="004738C7"/>
    <w:rsid w:val="004748F2"/>
    <w:rsid w:val="0047648B"/>
    <w:rsid w:val="00477076"/>
    <w:rsid w:val="00477C6F"/>
    <w:rsid w:val="00477DC3"/>
    <w:rsid w:val="004804F6"/>
    <w:rsid w:val="0048083C"/>
    <w:rsid w:val="00480E7B"/>
    <w:rsid w:val="00480F18"/>
    <w:rsid w:val="004818D3"/>
    <w:rsid w:val="00481C1F"/>
    <w:rsid w:val="004830B1"/>
    <w:rsid w:val="004833DD"/>
    <w:rsid w:val="00483C93"/>
    <w:rsid w:val="00484F2C"/>
    <w:rsid w:val="00485A52"/>
    <w:rsid w:val="00485DB1"/>
    <w:rsid w:val="0048668D"/>
    <w:rsid w:val="004866E8"/>
    <w:rsid w:val="00486C94"/>
    <w:rsid w:val="004877D8"/>
    <w:rsid w:val="00487A35"/>
    <w:rsid w:val="004903A6"/>
    <w:rsid w:val="0049045A"/>
    <w:rsid w:val="00490607"/>
    <w:rsid w:val="00490AA8"/>
    <w:rsid w:val="00490D6A"/>
    <w:rsid w:val="00491430"/>
    <w:rsid w:val="00492482"/>
    <w:rsid w:val="00492607"/>
    <w:rsid w:val="00492772"/>
    <w:rsid w:val="00492AFD"/>
    <w:rsid w:val="00492C72"/>
    <w:rsid w:val="00493498"/>
    <w:rsid w:val="004941B3"/>
    <w:rsid w:val="00494410"/>
    <w:rsid w:val="0049542D"/>
    <w:rsid w:val="004957E4"/>
    <w:rsid w:val="00495A11"/>
    <w:rsid w:val="004967DB"/>
    <w:rsid w:val="00496907"/>
    <w:rsid w:val="004969F5"/>
    <w:rsid w:val="00496B18"/>
    <w:rsid w:val="00496C57"/>
    <w:rsid w:val="00496DD2"/>
    <w:rsid w:val="004A097F"/>
    <w:rsid w:val="004A114E"/>
    <w:rsid w:val="004A1385"/>
    <w:rsid w:val="004A194D"/>
    <w:rsid w:val="004A1B4E"/>
    <w:rsid w:val="004A23D1"/>
    <w:rsid w:val="004A26FD"/>
    <w:rsid w:val="004A2BFB"/>
    <w:rsid w:val="004A2F99"/>
    <w:rsid w:val="004A339B"/>
    <w:rsid w:val="004A3B0D"/>
    <w:rsid w:val="004A3C26"/>
    <w:rsid w:val="004A3D89"/>
    <w:rsid w:val="004A3F21"/>
    <w:rsid w:val="004A47D2"/>
    <w:rsid w:val="004A4AA7"/>
    <w:rsid w:val="004A5877"/>
    <w:rsid w:val="004A59C6"/>
    <w:rsid w:val="004A5F4E"/>
    <w:rsid w:val="004A6235"/>
    <w:rsid w:val="004A6237"/>
    <w:rsid w:val="004B0B4E"/>
    <w:rsid w:val="004B0F3D"/>
    <w:rsid w:val="004B1782"/>
    <w:rsid w:val="004B2136"/>
    <w:rsid w:val="004B3111"/>
    <w:rsid w:val="004B4165"/>
    <w:rsid w:val="004B41BC"/>
    <w:rsid w:val="004B461E"/>
    <w:rsid w:val="004B4E99"/>
    <w:rsid w:val="004B5B97"/>
    <w:rsid w:val="004B60D6"/>
    <w:rsid w:val="004B733E"/>
    <w:rsid w:val="004B748B"/>
    <w:rsid w:val="004B7D3B"/>
    <w:rsid w:val="004C09AD"/>
    <w:rsid w:val="004C0C06"/>
    <w:rsid w:val="004C1C3E"/>
    <w:rsid w:val="004C1CB0"/>
    <w:rsid w:val="004C2358"/>
    <w:rsid w:val="004C2F0F"/>
    <w:rsid w:val="004C5466"/>
    <w:rsid w:val="004C5C09"/>
    <w:rsid w:val="004C5F01"/>
    <w:rsid w:val="004C7F45"/>
    <w:rsid w:val="004D0CA6"/>
    <w:rsid w:val="004D1434"/>
    <w:rsid w:val="004D1D50"/>
    <w:rsid w:val="004D310C"/>
    <w:rsid w:val="004D31E4"/>
    <w:rsid w:val="004D344C"/>
    <w:rsid w:val="004D386E"/>
    <w:rsid w:val="004D3C76"/>
    <w:rsid w:val="004D3F9B"/>
    <w:rsid w:val="004D4B13"/>
    <w:rsid w:val="004D5338"/>
    <w:rsid w:val="004D599A"/>
    <w:rsid w:val="004D5B39"/>
    <w:rsid w:val="004D5CEE"/>
    <w:rsid w:val="004D657C"/>
    <w:rsid w:val="004D658A"/>
    <w:rsid w:val="004D6E1E"/>
    <w:rsid w:val="004D6F63"/>
    <w:rsid w:val="004E02E9"/>
    <w:rsid w:val="004E0EA3"/>
    <w:rsid w:val="004E1157"/>
    <w:rsid w:val="004E1768"/>
    <w:rsid w:val="004E1BE6"/>
    <w:rsid w:val="004E1F11"/>
    <w:rsid w:val="004E1FDD"/>
    <w:rsid w:val="004E26BE"/>
    <w:rsid w:val="004E29A1"/>
    <w:rsid w:val="004E2BD0"/>
    <w:rsid w:val="004E2E4D"/>
    <w:rsid w:val="004E3E4F"/>
    <w:rsid w:val="004E40CF"/>
    <w:rsid w:val="004E4DAD"/>
    <w:rsid w:val="004E5A47"/>
    <w:rsid w:val="004E6D23"/>
    <w:rsid w:val="004E7555"/>
    <w:rsid w:val="004E7C9A"/>
    <w:rsid w:val="004E7F43"/>
    <w:rsid w:val="004F020E"/>
    <w:rsid w:val="004F0548"/>
    <w:rsid w:val="004F1677"/>
    <w:rsid w:val="004F1E97"/>
    <w:rsid w:val="004F20DC"/>
    <w:rsid w:val="004F2102"/>
    <w:rsid w:val="004F24B4"/>
    <w:rsid w:val="004F4147"/>
    <w:rsid w:val="004F41E3"/>
    <w:rsid w:val="004F4260"/>
    <w:rsid w:val="004F4837"/>
    <w:rsid w:val="004F4D6A"/>
    <w:rsid w:val="004F52D8"/>
    <w:rsid w:val="004F52DC"/>
    <w:rsid w:val="004F5888"/>
    <w:rsid w:val="004F5A73"/>
    <w:rsid w:val="004F5C64"/>
    <w:rsid w:val="004F6244"/>
    <w:rsid w:val="004F63AB"/>
    <w:rsid w:val="004F7B0D"/>
    <w:rsid w:val="004F7BDA"/>
    <w:rsid w:val="004F7E91"/>
    <w:rsid w:val="004F7FBF"/>
    <w:rsid w:val="0050024F"/>
    <w:rsid w:val="00500929"/>
    <w:rsid w:val="005014C3"/>
    <w:rsid w:val="00501FE6"/>
    <w:rsid w:val="00502427"/>
    <w:rsid w:val="00502BF0"/>
    <w:rsid w:val="00504DD7"/>
    <w:rsid w:val="00505A91"/>
    <w:rsid w:val="0050613E"/>
    <w:rsid w:val="00507392"/>
    <w:rsid w:val="00510B3D"/>
    <w:rsid w:val="00510F7F"/>
    <w:rsid w:val="00511A0B"/>
    <w:rsid w:val="00511A55"/>
    <w:rsid w:val="00512A6E"/>
    <w:rsid w:val="005137C3"/>
    <w:rsid w:val="005139B3"/>
    <w:rsid w:val="0051432F"/>
    <w:rsid w:val="00514874"/>
    <w:rsid w:val="00514953"/>
    <w:rsid w:val="00515D45"/>
    <w:rsid w:val="0051641E"/>
    <w:rsid w:val="00516496"/>
    <w:rsid w:val="005169A5"/>
    <w:rsid w:val="00516CC7"/>
    <w:rsid w:val="0051749F"/>
    <w:rsid w:val="00517514"/>
    <w:rsid w:val="00517799"/>
    <w:rsid w:val="00520B4F"/>
    <w:rsid w:val="00520F5C"/>
    <w:rsid w:val="00522192"/>
    <w:rsid w:val="00522819"/>
    <w:rsid w:val="00523651"/>
    <w:rsid w:val="00523CE2"/>
    <w:rsid w:val="00524CB7"/>
    <w:rsid w:val="00524DE3"/>
    <w:rsid w:val="00524F2E"/>
    <w:rsid w:val="00525B1B"/>
    <w:rsid w:val="00525B25"/>
    <w:rsid w:val="00525F2E"/>
    <w:rsid w:val="005262DB"/>
    <w:rsid w:val="00527318"/>
    <w:rsid w:val="0052775A"/>
    <w:rsid w:val="005303F3"/>
    <w:rsid w:val="00530477"/>
    <w:rsid w:val="005312A0"/>
    <w:rsid w:val="0053182E"/>
    <w:rsid w:val="005326E8"/>
    <w:rsid w:val="005328E4"/>
    <w:rsid w:val="0053292F"/>
    <w:rsid w:val="0053312B"/>
    <w:rsid w:val="00533A73"/>
    <w:rsid w:val="00534019"/>
    <w:rsid w:val="005340BD"/>
    <w:rsid w:val="00534B29"/>
    <w:rsid w:val="0053506B"/>
    <w:rsid w:val="0053534C"/>
    <w:rsid w:val="00536583"/>
    <w:rsid w:val="00536DFA"/>
    <w:rsid w:val="00536F15"/>
    <w:rsid w:val="0053782D"/>
    <w:rsid w:val="00537A80"/>
    <w:rsid w:val="005400D7"/>
    <w:rsid w:val="005403ED"/>
    <w:rsid w:val="00540A2F"/>
    <w:rsid w:val="00541095"/>
    <w:rsid w:val="00542567"/>
    <w:rsid w:val="005425C7"/>
    <w:rsid w:val="0054329B"/>
    <w:rsid w:val="0054359C"/>
    <w:rsid w:val="00543700"/>
    <w:rsid w:val="005438D4"/>
    <w:rsid w:val="00543A25"/>
    <w:rsid w:val="00544232"/>
    <w:rsid w:val="00544880"/>
    <w:rsid w:val="005451A0"/>
    <w:rsid w:val="005456D6"/>
    <w:rsid w:val="00546E28"/>
    <w:rsid w:val="00547F27"/>
    <w:rsid w:val="005503B7"/>
    <w:rsid w:val="005505E3"/>
    <w:rsid w:val="005508B6"/>
    <w:rsid w:val="0055253E"/>
    <w:rsid w:val="00552DBB"/>
    <w:rsid w:val="0055326A"/>
    <w:rsid w:val="00553D3D"/>
    <w:rsid w:val="0055414C"/>
    <w:rsid w:val="00554237"/>
    <w:rsid w:val="00554546"/>
    <w:rsid w:val="00554BBA"/>
    <w:rsid w:val="005553FE"/>
    <w:rsid w:val="005555DD"/>
    <w:rsid w:val="0055586E"/>
    <w:rsid w:val="005558BE"/>
    <w:rsid w:val="00555AB0"/>
    <w:rsid w:val="00556059"/>
    <w:rsid w:val="0055610B"/>
    <w:rsid w:val="005561A1"/>
    <w:rsid w:val="00556BAA"/>
    <w:rsid w:val="00557195"/>
    <w:rsid w:val="0055772F"/>
    <w:rsid w:val="00557C05"/>
    <w:rsid w:val="0056030E"/>
    <w:rsid w:val="0056031E"/>
    <w:rsid w:val="00561261"/>
    <w:rsid w:val="0056143E"/>
    <w:rsid w:val="00561F28"/>
    <w:rsid w:val="0056210A"/>
    <w:rsid w:val="0056269A"/>
    <w:rsid w:val="00563363"/>
    <w:rsid w:val="005639B7"/>
    <w:rsid w:val="0056431E"/>
    <w:rsid w:val="0056458F"/>
    <w:rsid w:val="005648E4"/>
    <w:rsid w:val="00564A14"/>
    <w:rsid w:val="00564AFC"/>
    <w:rsid w:val="00564B26"/>
    <w:rsid w:val="00564E6C"/>
    <w:rsid w:val="00565876"/>
    <w:rsid w:val="00566BBC"/>
    <w:rsid w:val="00567373"/>
    <w:rsid w:val="00567C49"/>
    <w:rsid w:val="00570DDA"/>
    <w:rsid w:val="00571724"/>
    <w:rsid w:val="00572748"/>
    <w:rsid w:val="005727CB"/>
    <w:rsid w:val="005729CC"/>
    <w:rsid w:val="00572B80"/>
    <w:rsid w:val="00573893"/>
    <w:rsid w:val="005739B5"/>
    <w:rsid w:val="00573DB9"/>
    <w:rsid w:val="00574216"/>
    <w:rsid w:val="00574383"/>
    <w:rsid w:val="0057596C"/>
    <w:rsid w:val="00575C74"/>
    <w:rsid w:val="0057641D"/>
    <w:rsid w:val="00576A14"/>
    <w:rsid w:val="00576FCD"/>
    <w:rsid w:val="00577439"/>
    <w:rsid w:val="005774CF"/>
    <w:rsid w:val="00580FC1"/>
    <w:rsid w:val="005811E8"/>
    <w:rsid w:val="00581D0E"/>
    <w:rsid w:val="00581F0C"/>
    <w:rsid w:val="00582098"/>
    <w:rsid w:val="0058298B"/>
    <w:rsid w:val="00582CF1"/>
    <w:rsid w:val="005836AB"/>
    <w:rsid w:val="005838D5"/>
    <w:rsid w:val="00583F22"/>
    <w:rsid w:val="0058477E"/>
    <w:rsid w:val="00584D0C"/>
    <w:rsid w:val="00585122"/>
    <w:rsid w:val="00585203"/>
    <w:rsid w:val="0058529F"/>
    <w:rsid w:val="00585401"/>
    <w:rsid w:val="005861C1"/>
    <w:rsid w:val="00586565"/>
    <w:rsid w:val="0058658F"/>
    <w:rsid w:val="00586CB6"/>
    <w:rsid w:val="005873ED"/>
    <w:rsid w:val="0058753F"/>
    <w:rsid w:val="005879B4"/>
    <w:rsid w:val="00587B3B"/>
    <w:rsid w:val="005906B1"/>
    <w:rsid w:val="0059082B"/>
    <w:rsid w:val="00590976"/>
    <w:rsid w:val="005917AE"/>
    <w:rsid w:val="0059322A"/>
    <w:rsid w:val="00593702"/>
    <w:rsid w:val="005937BC"/>
    <w:rsid w:val="00593BB0"/>
    <w:rsid w:val="00593BE6"/>
    <w:rsid w:val="00593E31"/>
    <w:rsid w:val="00595158"/>
    <w:rsid w:val="00595779"/>
    <w:rsid w:val="005957A4"/>
    <w:rsid w:val="0059584D"/>
    <w:rsid w:val="0059589E"/>
    <w:rsid w:val="00595ECD"/>
    <w:rsid w:val="0059665C"/>
    <w:rsid w:val="00596FC6"/>
    <w:rsid w:val="005A02FB"/>
    <w:rsid w:val="005A0AEA"/>
    <w:rsid w:val="005A0D04"/>
    <w:rsid w:val="005A11C3"/>
    <w:rsid w:val="005A15C2"/>
    <w:rsid w:val="005A1B52"/>
    <w:rsid w:val="005A266A"/>
    <w:rsid w:val="005A3128"/>
    <w:rsid w:val="005A3C83"/>
    <w:rsid w:val="005A3EAB"/>
    <w:rsid w:val="005A422E"/>
    <w:rsid w:val="005A4FF6"/>
    <w:rsid w:val="005A512B"/>
    <w:rsid w:val="005A574D"/>
    <w:rsid w:val="005A62F0"/>
    <w:rsid w:val="005A683B"/>
    <w:rsid w:val="005A76E3"/>
    <w:rsid w:val="005A7885"/>
    <w:rsid w:val="005B056C"/>
    <w:rsid w:val="005B08CE"/>
    <w:rsid w:val="005B12C2"/>
    <w:rsid w:val="005B1B0B"/>
    <w:rsid w:val="005B1FC2"/>
    <w:rsid w:val="005B20A6"/>
    <w:rsid w:val="005B4199"/>
    <w:rsid w:val="005B43F9"/>
    <w:rsid w:val="005B4D54"/>
    <w:rsid w:val="005B5405"/>
    <w:rsid w:val="005B5435"/>
    <w:rsid w:val="005B58E5"/>
    <w:rsid w:val="005B6885"/>
    <w:rsid w:val="005B6FE9"/>
    <w:rsid w:val="005B76FF"/>
    <w:rsid w:val="005B7B58"/>
    <w:rsid w:val="005B7F1C"/>
    <w:rsid w:val="005C0B68"/>
    <w:rsid w:val="005C2187"/>
    <w:rsid w:val="005C2654"/>
    <w:rsid w:val="005C282D"/>
    <w:rsid w:val="005C2E26"/>
    <w:rsid w:val="005C3752"/>
    <w:rsid w:val="005C3880"/>
    <w:rsid w:val="005C38C7"/>
    <w:rsid w:val="005C3980"/>
    <w:rsid w:val="005C39B9"/>
    <w:rsid w:val="005C3EE8"/>
    <w:rsid w:val="005C4A19"/>
    <w:rsid w:val="005C5867"/>
    <w:rsid w:val="005C5C25"/>
    <w:rsid w:val="005C5E41"/>
    <w:rsid w:val="005C6541"/>
    <w:rsid w:val="005C6568"/>
    <w:rsid w:val="005C6BB4"/>
    <w:rsid w:val="005C7E21"/>
    <w:rsid w:val="005D045E"/>
    <w:rsid w:val="005D0CC7"/>
    <w:rsid w:val="005D0DE6"/>
    <w:rsid w:val="005D194B"/>
    <w:rsid w:val="005D19A4"/>
    <w:rsid w:val="005D2278"/>
    <w:rsid w:val="005D283D"/>
    <w:rsid w:val="005D2F9D"/>
    <w:rsid w:val="005D3373"/>
    <w:rsid w:val="005D3466"/>
    <w:rsid w:val="005D3639"/>
    <w:rsid w:val="005D37FA"/>
    <w:rsid w:val="005D4A00"/>
    <w:rsid w:val="005D5416"/>
    <w:rsid w:val="005D73D7"/>
    <w:rsid w:val="005D7842"/>
    <w:rsid w:val="005E04DC"/>
    <w:rsid w:val="005E09D0"/>
    <w:rsid w:val="005E0BE5"/>
    <w:rsid w:val="005E2388"/>
    <w:rsid w:val="005E28E6"/>
    <w:rsid w:val="005E293B"/>
    <w:rsid w:val="005E3285"/>
    <w:rsid w:val="005E3425"/>
    <w:rsid w:val="005E371A"/>
    <w:rsid w:val="005E398B"/>
    <w:rsid w:val="005E39A3"/>
    <w:rsid w:val="005E39B8"/>
    <w:rsid w:val="005E47BF"/>
    <w:rsid w:val="005E5061"/>
    <w:rsid w:val="005E555B"/>
    <w:rsid w:val="005E574A"/>
    <w:rsid w:val="005E683C"/>
    <w:rsid w:val="005E72E9"/>
    <w:rsid w:val="005E7823"/>
    <w:rsid w:val="005F140B"/>
    <w:rsid w:val="005F183A"/>
    <w:rsid w:val="005F2EDD"/>
    <w:rsid w:val="005F3530"/>
    <w:rsid w:val="005F3DB1"/>
    <w:rsid w:val="005F4344"/>
    <w:rsid w:val="005F44B2"/>
    <w:rsid w:val="005F5BCF"/>
    <w:rsid w:val="005F7CD3"/>
    <w:rsid w:val="00600211"/>
    <w:rsid w:val="00600599"/>
    <w:rsid w:val="00600F91"/>
    <w:rsid w:val="00600F9D"/>
    <w:rsid w:val="00601064"/>
    <w:rsid w:val="0060129C"/>
    <w:rsid w:val="006014C4"/>
    <w:rsid w:val="00601A1B"/>
    <w:rsid w:val="00601F98"/>
    <w:rsid w:val="00601FDF"/>
    <w:rsid w:val="00602D3D"/>
    <w:rsid w:val="0060331D"/>
    <w:rsid w:val="006033F4"/>
    <w:rsid w:val="00603564"/>
    <w:rsid w:val="00603F8B"/>
    <w:rsid w:val="00604819"/>
    <w:rsid w:val="00604FD2"/>
    <w:rsid w:val="00605193"/>
    <w:rsid w:val="00605BF7"/>
    <w:rsid w:val="006068BA"/>
    <w:rsid w:val="006069B4"/>
    <w:rsid w:val="006069FF"/>
    <w:rsid w:val="00610407"/>
    <w:rsid w:val="00610936"/>
    <w:rsid w:val="00611872"/>
    <w:rsid w:val="00612081"/>
    <w:rsid w:val="006123A4"/>
    <w:rsid w:val="00612E27"/>
    <w:rsid w:val="0061376C"/>
    <w:rsid w:val="00613F41"/>
    <w:rsid w:val="00615065"/>
    <w:rsid w:val="00615EE0"/>
    <w:rsid w:val="00616479"/>
    <w:rsid w:val="00616FDF"/>
    <w:rsid w:val="00617287"/>
    <w:rsid w:val="0061739A"/>
    <w:rsid w:val="00617738"/>
    <w:rsid w:val="00620049"/>
    <w:rsid w:val="00620944"/>
    <w:rsid w:val="00621CFA"/>
    <w:rsid w:val="00621DAB"/>
    <w:rsid w:val="00622582"/>
    <w:rsid w:val="006226F2"/>
    <w:rsid w:val="006228AA"/>
    <w:rsid w:val="00622AC2"/>
    <w:rsid w:val="00622B5B"/>
    <w:rsid w:val="006232A8"/>
    <w:rsid w:val="00623774"/>
    <w:rsid w:val="00623CE1"/>
    <w:rsid w:val="00623EF3"/>
    <w:rsid w:val="006247C0"/>
    <w:rsid w:val="006251FF"/>
    <w:rsid w:val="006253C6"/>
    <w:rsid w:val="00625759"/>
    <w:rsid w:val="00625839"/>
    <w:rsid w:val="00626347"/>
    <w:rsid w:val="006265B8"/>
    <w:rsid w:val="006268C2"/>
    <w:rsid w:val="0062738C"/>
    <w:rsid w:val="00630013"/>
    <w:rsid w:val="00630098"/>
    <w:rsid w:val="0063099F"/>
    <w:rsid w:val="00630B29"/>
    <w:rsid w:val="0063122E"/>
    <w:rsid w:val="00631332"/>
    <w:rsid w:val="00631670"/>
    <w:rsid w:val="00632097"/>
    <w:rsid w:val="00632267"/>
    <w:rsid w:val="00632C77"/>
    <w:rsid w:val="00635397"/>
    <w:rsid w:val="006358DF"/>
    <w:rsid w:val="00635D49"/>
    <w:rsid w:val="006366DD"/>
    <w:rsid w:val="00636A97"/>
    <w:rsid w:val="00636EBA"/>
    <w:rsid w:val="00637045"/>
    <w:rsid w:val="00640165"/>
    <w:rsid w:val="00640CDD"/>
    <w:rsid w:val="00640F59"/>
    <w:rsid w:val="00640FD5"/>
    <w:rsid w:val="006416D4"/>
    <w:rsid w:val="00642A1A"/>
    <w:rsid w:val="0064329E"/>
    <w:rsid w:val="00643936"/>
    <w:rsid w:val="0064540E"/>
    <w:rsid w:val="006457E4"/>
    <w:rsid w:val="00645CEB"/>
    <w:rsid w:val="00646016"/>
    <w:rsid w:val="006463DC"/>
    <w:rsid w:val="00646E9A"/>
    <w:rsid w:val="00646EFF"/>
    <w:rsid w:val="00647778"/>
    <w:rsid w:val="0064794C"/>
    <w:rsid w:val="006501CD"/>
    <w:rsid w:val="00650278"/>
    <w:rsid w:val="0065086E"/>
    <w:rsid w:val="00650AAC"/>
    <w:rsid w:val="00650EFE"/>
    <w:rsid w:val="00651229"/>
    <w:rsid w:val="00651B21"/>
    <w:rsid w:val="00651DFD"/>
    <w:rsid w:val="00652053"/>
    <w:rsid w:val="00653D34"/>
    <w:rsid w:val="00653EE7"/>
    <w:rsid w:val="00654595"/>
    <w:rsid w:val="00654763"/>
    <w:rsid w:val="00654ABF"/>
    <w:rsid w:val="00655835"/>
    <w:rsid w:val="00655E04"/>
    <w:rsid w:val="00656016"/>
    <w:rsid w:val="00656A25"/>
    <w:rsid w:val="00656D41"/>
    <w:rsid w:val="006570DD"/>
    <w:rsid w:val="0065749D"/>
    <w:rsid w:val="00657A27"/>
    <w:rsid w:val="00657D2D"/>
    <w:rsid w:val="006600ED"/>
    <w:rsid w:val="0066013B"/>
    <w:rsid w:val="006601D3"/>
    <w:rsid w:val="006602F5"/>
    <w:rsid w:val="00660562"/>
    <w:rsid w:val="00660DC9"/>
    <w:rsid w:val="00661430"/>
    <w:rsid w:val="00661488"/>
    <w:rsid w:val="00661D09"/>
    <w:rsid w:val="00661D38"/>
    <w:rsid w:val="00662113"/>
    <w:rsid w:val="0066225D"/>
    <w:rsid w:val="00662281"/>
    <w:rsid w:val="0066279F"/>
    <w:rsid w:val="00662C99"/>
    <w:rsid w:val="00662DB9"/>
    <w:rsid w:val="00663402"/>
    <w:rsid w:val="006639B0"/>
    <w:rsid w:val="00663A95"/>
    <w:rsid w:val="0066467C"/>
    <w:rsid w:val="00664759"/>
    <w:rsid w:val="0066489A"/>
    <w:rsid w:val="0066499C"/>
    <w:rsid w:val="00664FAA"/>
    <w:rsid w:val="00665BB0"/>
    <w:rsid w:val="006661C9"/>
    <w:rsid w:val="00667049"/>
    <w:rsid w:val="0066716F"/>
    <w:rsid w:val="0066752B"/>
    <w:rsid w:val="00667B8E"/>
    <w:rsid w:val="00670D15"/>
    <w:rsid w:val="0067113B"/>
    <w:rsid w:val="00671A33"/>
    <w:rsid w:val="00671CCC"/>
    <w:rsid w:val="0067213D"/>
    <w:rsid w:val="00672CDE"/>
    <w:rsid w:val="00672F03"/>
    <w:rsid w:val="00675855"/>
    <w:rsid w:val="00675DE7"/>
    <w:rsid w:val="00676955"/>
    <w:rsid w:val="006771F2"/>
    <w:rsid w:val="006775E1"/>
    <w:rsid w:val="00677F38"/>
    <w:rsid w:val="006802C5"/>
    <w:rsid w:val="006803F4"/>
    <w:rsid w:val="0068041D"/>
    <w:rsid w:val="00680420"/>
    <w:rsid w:val="006804BB"/>
    <w:rsid w:val="00680587"/>
    <w:rsid w:val="00681040"/>
    <w:rsid w:val="00681107"/>
    <w:rsid w:val="00681640"/>
    <w:rsid w:val="00681A11"/>
    <w:rsid w:val="00681D3A"/>
    <w:rsid w:val="0068243E"/>
    <w:rsid w:val="006824E8"/>
    <w:rsid w:val="00682BC5"/>
    <w:rsid w:val="00682C89"/>
    <w:rsid w:val="00682F59"/>
    <w:rsid w:val="006836A5"/>
    <w:rsid w:val="0068405E"/>
    <w:rsid w:val="0068407D"/>
    <w:rsid w:val="00684680"/>
    <w:rsid w:val="00684830"/>
    <w:rsid w:val="00684DFD"/>
    <w:rsid w:val="006856AB"/>
    <w:rsid w:val="00685974"/>
    <w:rsid w:val="00686815"/>
    <w:rsid w:val="00687C54"/>
    <w:rsid w:val="00690110"/>
    <w:rsid w:val="0069068A"/>
    <w:rsid w:val="0069070E"/>
    <w:rsid w:val="00691C74"/>
    <w:rsid w:val="00692493"/>
    <w:rsid w:val="006924F8"/>
    <w:rsid w:val="0069252B"/>
    <w:rsid w:val="006933C4"/>
    <w:rsid w:val="00693D61"/>
    <w:rsid w:val="00694623"/>
    <w:rsid w:val="00695C88"/>
    <w:rsid w:val="00695E8E"/>
    <w:rsid w:val="00696631"/>
    <w:rsid w:val="00697524"/>
    <w:rsid w:val="006A0028"/>
    <w:rsid w:val="006A1230"/>
    <w:rsid w:val="006A1A1D"/>
    <w:rsid w:val="006A1A55"/>
    <w:rsid w:val="006A1A78"/>
    <w:rsid w:val="006A2832"/>
    <w:rsid w:val="006A296F"/>
    <w:rsid w:val="006A2AA9"/>
    <w:rsid w:val="006A35DA"/>
    <w:rsid w:val="006A366A"/>
    <w:rsid w:val="006A3E14"/>
    <w:rsid w:val="006A4853"/>
    <w:rsid w:val="006A4E8E"/>
    <w:rsid w:val="006A4F97"/>
    <w:rsid w:val="006A606C"/>
    <w:rsid w:val="006A61BA"/>
    <w:rsid w:val="006A6635"/>
    <w:rsid w:val="006A6E80"/>
    <w:rsid w:val="006B2048"/>
    <w:rsid w:val="006B270F"/>
    <w:rsid w:val="006B2802"/>
    <w:rsid w:val="006B2CF1"/>
    <w:rsid w:val="006B34D6"/>
    <w:rsid w:val="006B45E7"/>
    <w:rsid w:val="006B4ED1"/>
    <w:rsid w:val="006B4FB9"/>
    <w:rsid w:val="006B5E2E"/>
    <w:rsid w:val="006B740A"/>
    <w:rsid w:val="006C158F"/>
    <w:rsid w:val="006C1AC3"/>
    <w:rsid w:val="006C2477"/>
    <w:rsid w:val="006C3588"/>
    <w:rsid w:val="006C3AD9"/>
    <w:rsid w:val="006C3DF8"/>
    <w:rsid w:val="006C4023"/>
    <w:rsid w:val="006C4B3E"/>
    <w:rsid w:val="006C4BDB"/>
    <w:rsid w:val="006C65CA"/>
    <w:rsid w:val="006C694D"/>
    <w:rsid w:val="006C73E8"/>
    <w:rsid w:val="006C7BB8"/>
    <w:rsid w:val="006C7E90"/>
    <w:rsid w:val="006D0316"/>
    <w:rsid w:val="006D0498"/>
    <w:rsid w:val="006D12AD"/>
    <w:rsid w:val="006D1727"/>
    <w:rsid w:val="006D1778"/>
    <w:rsid w:val="006D230B"/>
    <w:rsid w:val="006D2E1B"/>
    <w:rsid w:val="006D2F22"/>
    <w:rsid w:val="006D32C4"/>
    <w:rsid w:val="006D33C4"/>
    <w:rsid w:val="006D4698"/>
    <w:rsid w:val="006D5FE6"/>
    <w:rsid w:val="006D63A0"/>
    <w:rsid w:val="006D6DC0"/>
    <w:rsid w:val="006E0188"/>
    <w:rsid w:val="006E05DA"/>
    <w:rsid w:val="006E1277"/>
    <w:rsid w:val="006E2B32"/>
    <w:rsid w:val="006E4819"/>
    <w:rsid w:val="006E5427"/>
    <w:rsid w:val="006E5F1A"/>
    <w:rsid w:val="006E6357"/>
    <w:rsid w:val="006E7120"/>
    <w:rsid w:val="006E7B4A"/>
    <w:rsid w:val="006E7CC6"/>
    <w:rsid w:val="006F0708"/>
    <w:rsid w:val="006F079D"/>
    <w:rsid w:val="006F0B43"/>
    <w:rsid w:val="006F0E25"/>
    <w:rsid w:val="006F0E80"/>
    <w:rsid w:val="006F12E0"/>
    <w:rsid w:val="006F1428"/>
    <w:rsid w:val="006F1523"/>
    <w:rsid w:val="006F15B4"/>
    <w:rsid w:val="006F162B"/>
    <w:rsid w:val="006F1B0C"/>
    <w:rsid w:val="006F1CDE"/>
    <w:rsid w:val="006F22B5"/>
    <w:rsid w:val="006F2403"/>
    <w:rsid w:val="006F2D73"/>
    <w:rsid w:val="006F32C6"/>
    <w:rsid w:val="006F461E"/>
    <w:rsid w:val="006F544E"/>
    <w:rsid w:val="006F5AF0"/>
    <w:rsid w:val="006F6989"/>
    <w:rsid w:val="006F6D9E"/>
    <w:rsid w:val="00700374"/>
    <w:rsid w:val="0070060C"/>
    <w:rsid w:val="00701296"/>
    <w:rsid w:val="00701ECF"/>
    <w:rsid w:val="007020DC"/>
    <w:rsid w:val="007021AF"/>
    <w:rsid w:val="007026DD"/>
    <w:rsid w:val="00703274"/>
    <w:rsid w:val="00703B27"/>
    <w:rsid w:val="00703F86"/>
    <w:rsid w:val="00706104"/>
    <w:rsid w:val="007063D1"/>
    <w:rsid w:val="00706F32"/>
    <w:rsid w:val="007071A1"/>
    <w:rsid w:val="00707392"/>
    <w:rsid w:val="00707AA1"/>
    <w:rsid w:val="007100D8"/>
    <w:rsid w:val="0071020F"/>
    <w:rsid w:val="007104C1"/>
    <w:rsid w:val="007105AF"/>
    <w:rsid w:val="007113BE"/>
    <w:rsid w:val="00711983"/>
    <w:rsid w:val="007124B9"/>
    <w:rsid w:val="007127B3"/>
    <w:rsid w:val="007127DE"/>
    <w:rsid w:val="00715C70"/>
    <w:rsid w:val="007167DD"/>
    <w:rsid w:val="00716880"/>
    <w:rsid w:val="007201AE"/>
    <w:rsid w:val="00720551"/>
    <w:rsid w:val="0072119A"/>
    <w:rsid w:val="007224C5"/>
    <w:rsid w:val="00722F6D"/>
    <w:rsid w:val="00723C8F"/>
    <w:rsid w:val="007247D8"/>
    <w:rsid w:val="00724DCE"/>
    <w:rsid w:val="00725167"/>
    <w:rsid w:val="007255C4"/>
    <w:rsid w:val="0072593C"/>
    <w:rsid w:val="00725945"/>
    <w:rsid w:val="00725B47"/>
    <w:rsid w:val="007260C2"/>
    <w:rsid w:val="00726CD7"/>
    <w:rsid w:val="00727115"/>
    <w:rsid w:val="00727233"/>
    <w:rsid w:val="00727474"/>
    <w:rsid w:val="00727CEA"/>
    <w:rsid w:val="00730471"/>
    <w:rsid w:val="0073103A"/>
    <w:rsid w:val="007312EC"/>
    <w:rsid w:val="00731475"/>
    <w:rsid w:val="00731969"/>
    <w:rsid w:val="00731DBA"/>
    <w:rsid w:val="00732828"/>
    <w:rsid w:val="00732D14"/>
    <w:rsid w:val="00732E3B"/>
    <w:rsid w:val="00733714"/>
    <w:rsid w:val="0073431B"/>
    <w:rsid w:val="00734DD4"/>
    <w:rsid w:val="00735820"/>
    <w:rsid w:val="00735FA7"/>
    <w:rsid w:val="00736083"/>
    <w:rsid w:val="00736A39"/>
    <w:rsid w:val="00737B55"/>
    <w:rsid w:val="00737FE4"/>
    <w:rsid w:val="007402DC"/>
    <w:rsid w:val="00740A91"/>
    <w:rsid w:val="00740CD0"/>
    <w:rsid w:val="00741BA3"/>
    <w:rsid w:val="00741D47"/>
    <w:rsid w:val="007423AB"/>
    <w:rsid w:val="0074275E"/>
    <w:rsid w:val="00742A0F"/>
    <w:rsid w:val="00743058"/>
    <w:rsid w:val="007432BD"/>
    <w:rsid w:val="0074352D"/>
    <w:rsid w:val="007438A6"/>
    <w:rsid w:val="00743A7B"/>
    <w:rsid w:val="00743E2A"/>
    <w:rsid w:val="0074429F"/>
    <w:rsid w:val="007448FC"/>
    <w:rsid w:val="00744F3E"/>
    <w:rsid w:val="0074591A"/>
    <w:rsid w:val="007459A1"/>
    <w:rsid w:val="0074633A"/>
    <w:rsid w:val="00746BA1"/>
    <w:rsid w:val="007477B9"/>
    <w:rsid w:val="00750805"/>
    <w:rsid w:val="00750A8A"/>
    <w:rsid w:val="0075130D"/>
    <w:rsid w:val="00751579"/>
    <w:rsid w:val="00751D60"/>
    <w:rsid w:val="007523D1"/>
    <w:rsid w:val="00752C95"/>
    <w:rsid w:val="0075400D"/>
    <w:rsid w:val="00754268"/>
    <w:rsid w:val="007545D0"/>
    <w:rsid w:val="00754B0C"/>
    <w:rsid w:val="00754E91"/>
    <w:rsid w:val="0075694A"/>
    <w:rsid w:val="00757041"/>
    <w:rsid w:val="007576BC"/>
    <w:rsid w:val="00757763"/>
    <w:rsid w:val="00757A58"/>
    <w:rsid w:val="007601C3"/>
    <w:rsid w:val="00760280"/>
    <w:rsid w:val="007605B4"/>
    <w:rsid w:val="00760971"/>
    <w:rsid w:val="00760E62"/>
    <w:rsid w:val="00761D04"/>
    <w:rsid w:val="007623EA"/>
    <w:rsid w:val="00762545"/>
    <w:rsid w:val="00763635"/>
    <w:rsid w:val="0076379F"/>
    <w:rsid w:val="0076487B"/>
    <w:rsid w:val="00764BDF"/>
    <w:rsid w:val="007651D7"/>
    <w:rsid w:val="00765AF5"/>
    <w:rsid w:val="00765D2C"/>
    <w:rsid w:val="00765F54"/>
    <w:rsid w:val="00766FF0"/>
    <w:rsid w:val="00767578"/>
    <w:rsid w:val="00767DD2"/>
    <w:rsid w:val="0077014F"/>
    <w:rsid w:val="00770FF5"/>
    <w:rsid w:val="00771632"/>
    <w:rsid w:val="00771668"/>
    <w:rsid w:val="007716A5"/>
    <w:rsid w:val="00771A65"/>
    <w:rsid w:val="00771AF9"/>
    <w:rsid w:val="00771BF2"/>
    <w:rsid w:val="00772DAC"/>
    <w:rsid w:val="00773589"/>
    <w:rsid w:val="007737F0"/>
    <w:rsid w:val="0077389C"/>
    <w:rsid w:val="007738A2"/>
    <w:rsid w:val="00773A20"/>
    <w:rsid w:val="00774016"/>
    <w:rsid w:val="00774029"/>
    <w:rsid w:val="00774273"/>
    <w:rsid w:val="0077430C"/>
    <w:rsid w:val="007747F1"/>
    <w:rsid w:val="007748F5"/>
    <w:rsid w:val="00774F22"/>
    <w:rsid w:val="007754C0"/>
    <w:rsid w:val="00775618"/>
    <w:rsid w:val="0077655D"/>
    <w:rsid w:val="00777008"/>
    <w:rsid w:val="00777196"/>
    <w:rsid w:val="0077721C"/>
    <w:rsid w:val="0077793B"/>
    <w:rsid w:val="00777DDE"/>
    <w:rsid w:val="00780A1B"/>
    <w:rsid w:val="00781606"/>
    <w:rsid w:val="0078169F"/>
    <w:rsid w:val="00781E39"/>
    <w:rsid w:val="007829AC"/>
    <w:rsid w:val="00782A53"/>
    <w:rsid w:val="00782C20"/>
    <w:rsid w:val="0078453E"/>
    <w:rsid w:val="00784A4E"/>
    <w:rsid w:val="00784B5A"/>
    <w:rsid w:val="00784E53"/>
    <w:rsid w:val="00785086"/>
    <w:rsid w:val="007853F7"/>
    <w:rsid w:val="00785891"/>
    <w:rsid w:val="007868E6"/>
    <w:rsid w:val="00786912"/>
    <w:rsid w:val="00786F1E"/>
    <w:rsid w:val="0078751D"/>
    <w:rsid w:val="007906C2"/>
    <w:rsid w:val="007909AF"/>
    <w:rsid w:val="00790A9A"/>
    <w:rsid w:val="00790EB2"/>
    <w:rsid w:val="0079175C"/>
    <w:rsid w:val="00791F92"/>
    <w:rsid w:val="007923EF"/>
    <w:rsid w:val="00792673"/>
    <w:rsid w:val="007928E4"/>
    <w:rsid w:val="0079293D"/>
    <w:rsid w:val="0079294C"/>
    <w:rsid w:val="0079320E"/>
    <w:rsid w:val="00793DD0"/>
    <w:rsid w:val="00793E4C"/>
    <w:rsid w:val="007947D7"/>
    <w:rsid w:val="0079563B"/>
    <w:rsid w:val="007957B7"/>
    <w:rsid w:val="00795AB6"/>
    <w:rsid w:val="007960D2"/>
    <w:rsid w:val="00796AE5"/>
    <w:rsid w:val="007A087D"/>
    <w:rsid w:val="007A1625"/>
    <w:rsid w:val="007A171A"/>
    <w:rsid w:val="007A1DAE"/>
    <w:rsid w:val="007A2735"/>
    <w:rsid w:val="007A3572"/>
    <w:rsid w:val="007A35CC"/>
    <w:rsid w:val="007A5499"/>
    <w:rsid w:val="007A5730"/>
    <w:rsid w:val="007A614B"/>
    <w:rsid w:val="007A64CE"/>
    <w:rsid w:val="007A67D1"/>
    <w:rsid w:val="007A6C04"/>
    <w:rsid w:val="007A7190"/>
    <w:rsid w:val="007A7759"/>
    <w:rsid w:val="007B07D5"/>
    <w:rsid w:val="007B0D5A"/>
    <w:rsid w:val="007B17D1"/>
    <w:rsid w:val="007B21BA"/>
    <w:rsid w:val="007B24BE"/>
    <w:rsid w:val="007B2967"/>
    <w:rsid w:val="007B2F45"/>
    <w:rsid w:val="007B3063"/>
    <w:rsid w:val="007B3097"/>
    <w:rsid w:val="007B3123"/>
    <w:rsid w:val="007B3560"/>
    <w:rsid w:val="007B3BDC"/>
    <w:rsid w:val="007B42DD"/>
    <w:rsid w:val="007B50DD"/>
    <w:rsid w:val="007B53AD"/>
    <w:rsid w:val="007B54C0"/>
    <w:rsid w:val="007B5733"/>
    <w:rsid w:val="007B59CC"/>
    <w:rsid w:val="007B5C33"/>
    <w:rsid w:val="007B5DD8"/>
    <w:rsid w:val="007B5F07"/>
    <w:rsid w:val="007B5F5D"/>
    <w:rsid w:val="007B67AE"/>
    <w:rsid w:val="007B7E67"/>
    <w:rsid w:val="007C04CD"/>
    <w:rsid w:val="007C08EE"/>
    <w:rsid w:val="007C09AC"/>
    <w:rsid w:val="007C0BF5"/>
    <w:rsid w:val="007C3283"/>
    <w:rsid w:val="007C3BEB"/>
    <w:rsid w:val="007C3DA7"/>
    <w:rsid w:val="007C4530"/>
    <w:rsid w:val="007C4F36"/>
    <w:rsid w:val="007C58B0"/>
    <w:rsid w:val="007C59CD"/>
    <w:rsid w:val="007C5B6D"/>
    <w:rsid w:val="007C64BE"/>
    <w:rsid w:val="007C677D"/>
    <w:rsid w:val="007C70EC"/>
    <w:rsid w:val="007C7576"/>
    <w:rsid w:val="007C7C1B"/>
    <w:rsid w:val="007C7E13"/>
    <w:rsid w:val="007D0D5A"/>
    <w:rsid w:val="007D1000"/>
    <w:rsid w:val="007D13FC"/>
    <w:rsid w:val="007D146B"/>
    <w:rsid w:val="007D1657"/>
    <w:rsid w:val="007D2BA2"/>
    <w:rsid w:val="007D2C54"/>
    <w:rsid w:val="007D3C80"/>
    <w:rsid w:val="007D42B8"/>
    <w:rsid w:val="007D4DCB"/>
    <w:rsid w:val="007D51B3"/>
    <w:rsid w:val="007D6294"/>
    <w:rsid w:val="007D6434"/>
    <w:rsid w:val="007D73E3"/>
    <w:rsid w:val="007D7703"/>
    <w:rsid w:val="007E0725"/>
    <w:rsid w:val="007E0929"/>
    <w:rsid w:val="007E1AE2"/>
    <w:rsid w:val="007E1CA8"/>
    <w:rsid w:val="007E2339"/>
    <w:rsid w:val="007E2494"/>
    <w:rsid w:val="007E2D7D"/>
    <w:rsid w:val="007E357B"/>
    <w:rsid w:val="007E3945"/>
    <w:rsid w:val="007E3DE3"/>
    <w:rsid w:val="007E5A1C"/>
    <w:rsid w:val="007E6455"/>
    <w:rsid w:val="007E6E0E"/>
    <w:rsid w:val="007E787E"/>
    <w:rsid w:val="007E7A11"/>
    <w:rsid w:val="007F0DB2"/>
    <w:rsid w:val="007F15E5"/>
    <w:rsid w:val="007F1661"/>
    <w:rsid w:val="007F168B"/>
    <w:rsid w:val="007F2469"/>
    <w:rsid w:val="007F2A6C"/>
    <w:rsid w:val="007F2E73"/>
    <w:rsid w:val="007F322C"/>
    <w:rsid w:val="007F324D"/>
    <w:rsid w:val="007F3637"/>
    <w:rsid w:val="007F37DA"/>
    <w:rsid w:val="007F3B31"/>
    <w:rsid w:val="007F456E"/>
    <w:rsid w:val="007F49F3"/>
    <w:rsid w:val="007F4A28"/>
    <w:rsid w:val="007F5590"/>
    <w:rsid w:val="007F6F89"/>
    <w:rsid w:val="007F7114"/>
    <w:rsid w:val="007F72DD"/>
    <w:rsid w:val="007F7CAE"/>
    <w:rsid w:val="00800404"/>
    <w:rsid w:val="008010EB"/>
    <w:rsid w:val="008013A1"/>
    <w:rsid w:val="00801689"/>
    <w:rsid w:val="00801F05"/>
    <w:rsid w:val="00802052"/>
    <w:rsid w:val="00802B51"/>
    <w:rsid w:val="008037FC"/>
    <w:rsid w:val="00803CD7"/>
    <w:rsid w:val="0080461F"/>
    <w:rsid w:val="0080465F"/>
    <w:rsid w:val="00804FF2"/>
    <w:rsid w:val="0080516E"/>
    <w:rsid w:val="0080568F"/>
    <w:rsid w:val="00805725"/>
    <w:rsid w:val="00805ECB"/>
    <w:rsid w:val="0080708C"/>
    <w:rsid w:val="00807497"/>
    <w:rsid w:val="00807761"/>
    <w:rsid w:val="00810B24"/>
    <w:rsid w:val="008110F5"/>
    <w:rsid w:val="008111C9"/>
    <w:rsid w:val="00813031"/>
    <w:rsid w:val="00813689"/>
    <w:rsid w:val="00813EBF"/>
    <w:rsid w:val="00814214"/>
    <w:rsid w:val="0081465D"/>
    <w:rsid w:val="008147A5"/>
    <w:rsid w:val="00814AED"/>
    <w:rsid w:val="008152CC"/>
    <w:rsid w:val="008153A9"/>
    <w:rsid w:val="00815647"/>
    <w:rsid w:val="00816A15"/>
    <w:rsid w:val="008179D6"/>
    <w:rsid w:val="00817D81"/>
    <w:rsid w:val="00820B21"/>
    <w:rsid w:val="00821002"/>
    <w:rsid w:val="00821057"/>
    <w:rsid w:val="008227FB"/>
    <w:rsid w:val="00822C43"/>
    <w:rsid w:val="00822C4B"/>
    <w:rsid w:val="00822CBA"/>
    <w:rsid w:val="00823528"/>
    <w:rsid w:val="00823921"/>
    <w:rsid w:val="00823F61"/>
    <w:rsid w:val="0082581C"/>
    <w:rsid w:val="00825B57"/>
    <w:rsid w:val="00826A7D"/>
    <w:rsid w:val="00826B42"/>
    <w:rsid w:val="00826C71"/>
    <w:rsid w:val="00826C76"/>
    <w:rsid w:val="0082717C"/>
    <w:rsid w:val="0082741F"/>
    <w:rsid w:val="00827806"/>
    <w:rsid w:val="008300F6"/>
    <w:rsid w:val="00830C4B"/>
    <w:rsid w:val="008313CB"/>
    <w:rsid w:val="00832546"/>
    <w:rsid w:val="008325B5"/>
    <w:rsid w:val="008344E4"/>
    <w:rsid w:val="00834CF0"/>
    <w:rsid w:val="00834CF1"/>
    <w:rsid w:val="00835196"/>
    <w:rsid w:val="008356C4"/>
    <w:rsid w:val="008366E1"/>
    <w:rsid w:val="00836DF0"/>
    <w:rsid w:val="00836ECD"/>
    <w:rsid w:val="00836FA0"/>
    <w:rsid w:val="00837385"/>
    <w:rsid w:val="008373F4"/>
    <w:rsid w:val="008378CB"/>
    <w:rsid w:val="00837D99"/>
    <w:rsid w:val="00840B08"/>
    <w:rsid w:val="008416EE"/>
    <w:rsid w:val="00841E09"/>
    <w:rsid w:val="00842292"/>
    <w:rsid w:val="00842EF5"/>
    <w:rsid w:val="00842FE1"/>
    <w:rsid w:val="00843813"/>
    <w:rsid w:val="00844007"/>
    <w:rsid w:val="008440EA"/>
    <w:rsid w:val="00844187"/>
    <w:rsid w:val="00844855"/>
    <w:rsid w:val="00844981"/>
    <w:rsid w:val="00844B56"/>
    <w:rsid w:val="0084621C"/>
    <w:rsid w:val="008467A7"/>
    <w:rsid w:val="00846E2B"/>
    <w:rsid w:val="00847064"/>
    <w:rsid w:val="008502D4"/>
    <w:rsid w:val="00850491"/>
    <w:rsid w:val="0085056F"/>
    <w:rsid w:val="0085083D"/>
    <w:rsid w:val="00850CE5"/>
    <w:rsid w:val="00851550"/>
    <w:rsid w:val="00851BAF"/>
    <w:rsid w:val="00852B5B"/>
    <w:rsid w:val="00852C27"/>
    <w:rsid w:val="00854F9B"/>
    <w:rsid w:val="008561FC"/>
    <w:rsid w:val="00856A12"/>
    <w:rsid w:val="00857104"/>
    <w:rsid w:val="008574CB"/>
    <w:rsid w:val="00857C50"/>
    <w:rsid w:val="00857C99"/>
    <w:rsid w:val="00860A9C"/>
    <w:rsid w:val="00860E77"/>
    <w:rsid w:val="00861705"/>
    <w:rsid w:val="00861A79"/>
    <w:rsid w:val="00862737"/>
    <w:rsid w:val="008628A4"/>
    <w:rsid w:val="0086385C"/>
    <w:rsid w:val="008638CD"/>
    <w:rsid w:val="00863AFB"/>
    <w:rsid w:val="00863FAC"/>
    <w:rsid w:val="00864862"/>
    <w:rsid w:val="008649B8"/>
    <w:rsid w:val="008655DF"/>
    <w:rsid w:val="0086635D"/>
    <w:rsid w:val="0086691C"/>
    <w:rsid w:val="00867277"/>
    <w:rsid w:val="00870051"/>
    <w:rsid w:val="008708E1"/>
    <w:rsid w:val="0087093A"/>
    <w:rsid w:val="00870ACE"/>
    <w:rsid w:val="00870C24"/>
    <w:rsid w:val="00870D4D"/>
    <w:rsid w:val="00870EAF"/>
    <w:rsid w:val="00870FCD"/>
    <w:rsid w:val="00871E58"/>
    <w:rsid w:val="00872BEE"/>
    <w:rsid w:val="00872D9B"/>
    <w:rsid w:val="00872ED7"/>
    <w:rsid w:val="008734A7"/>
    <w:rsid w:val="00874105"/>
    <w:rsid w:val="0087456C"/>
    <w:rsid w:val="008748C5"/>
    <w:rsid w:val="00874AA6"/>
    <w:rsid w:val="00875AFA"/>
    <w:rsid w:val="00877061"/>
    <w:rsid w:val="00877D88"/>
    <w:rsid w:val="00880CAA"/>
    <w:rsid w:val="00881322"/>
    <w:rsid w:val="00881CE9"/>
    <w:rsid w:val="00882415"/>
    <w:rsid w:val="0088251A"/>
    <w:rsid w:val="008834CD"/>
    <w:rsid w:val="00883503"/>
    <w:rsid w:val="008841C8"/>
    <w:rsid w:val="0088748E"/>
    <w:rsid w:val="00887620"/>
    <w:rsid w:val="00887CDA"/>
    <w:rsid w:val="00887D90"/>
    <w:rsid w:val="00887ECC"/>
    <w:rsid w:val="00890C7D"/>
    <w:rsid w:val="00891809"/>
    <w:rsid w:val="00891DA9"/>
    <w:rsid w:val="008924AA"/>
    <w:rsid w:val="00892779"/>
    <w:rsid w:val="00892D83"/>
    <w:rsid w:val="008933AE"/>
    <w:rsid w:val="0089452A"/>
    <w:rsid w:val="0089468A"/>
    <w:rsid w:val="008958E7"/>
    <w:rsid w:val="008963F3"/>
    <w:rsid w:val="008A0445"/>
    <w:rsid w:val="008A05B0"/>
    <w:rsid w:val="008A0711"/>
    <w:rsid w:val="008A0A10"/>
    <w:rsid w:val="008A0AB0"/>
    <w:rsid w:val="008A0CAF"/>
    <w:rsid w:val="008A1483"/>
    <w:rsid w:val="008A1D0D"/>
    <w:rsid w:val="008A2A2C"/>
    <w:rsid w:val="008A313C"/>
    <w:rsid w:val="008A3C60"/>
    <w:rsid w:val="008A3DED"/>
    <w:rsid w:val="008A436B"/>
    <w:rsid w:val="008A52F8"/>
    <w:rsid w:val="008A55FD"/>
    <w:rsid w:val="008A6388"/>
    <w:rsid w:val="008A668D"/>
    <w:rsid w:val="008A6DDD"/>
    <w:rsid w:val="008A6EA2"/>
    <w:rsid w:val="008B0A42"/>
    <w:rsid w:val="008B0CDC"/>
    <w:rsid w:val="008B13DB"/>
    <w:rsid w:val="008B1564"/>
    <w:rsid w:val="008B20EC"/>
    <w:rsid w:val="008B2484"/>
    <w:rsid w:val="008B31EF"/>
    <w:rsid w:val="008B39B0"/>
    <w:rsid w:val="008B4232"/>
    <w:rsid w:val="008B43E0"/>
    <w:rsid w:val="008B47D0"/>
    <w:rsid w:val="008B5531"/>
    <w:rsid w:val="008B5765"/>
    <w:rsid w:val="008B596F"/>
    <w:rsid w:val="008B5D38"/>
    <w:rsid w:val="008B7275"/>
    <w:rsid w:val="008B7F5B"/>
    <w:rsid w:val="008C0216"/>
    <w:rsid w:val="008C062E"/>
    <w:rsid w:val="008C08D5"/>
    <w:rsid w:val="008C1409"/>
    <w:rsid w:val="008C1448"/>
    <w:rsid w:val="008C1CAA"/>
    <w:rsid w:val="008C1D6E"/>
    <w:rsid w:val="008C233A"/>
    <w:rsid w:val="008C2554"/>
    <w:rsid w:val="008C2A29"/>
    <w:rsid w:val="008C2EF8"/>
    <w:rsid w:val="008C3228"/>
    <w:rsid w:val="008C3CF8"/>
    <w:rsid w:val="008C3EF4"/>
    <w:rsid w:val="008C42B9"/>
    <w:rsid w:val="008C4893"/>
    <w:rsid w:val="008C5972"/>
    <w:rsid w:val="008C6130"/>
    <w:rsid w:val="008C613F"/>
    <w:rsid w:val="008C6360"/>
    <w:rsid w:val="008C6B72"/>
    <w:rsid w:val="008C7E86"/>
    <w:rsid w:val="008D03B6"/>
    <w:rsid w:val="008D07E6"/>
    <w:rsid w:val="008D0C83"/>
    <w:rsid w:val="008D1082"/>
    <w:rsid w:val="008D1693"/>
    <w:rsid w:val="008D2153"/>
    <w:rsid w:val="008D2169"/>
    <w:rsid w:val="008D229B"/>
    <w:rsid w:val="008D283C"/>
    <w:rsid w:val="008D2E88"/>
    <w:rsid w:val="008D373D"/>
    <w:rsid w:val="008D3C95"/>
    <w:rsid w:val="008D3EAC"/>
    <w:rsid w:val="008D3EC8"/>
    <w:rsid w:val="008D4120"/>
    <w:rsid w:val="008D4304"/>
    <w:rsid w:val="008D4E7C"/>
    <w:rsid w:val="008D5359"/>
    <w:rsid w:val="008D6A2B"/>
    <w:rsid w:val="008D6CDB"/>
    <w:rsid w:val="008D6FB5"/>
    <w:rsid w:val="008D770E"/>
    <w:rsid w:val="008E02F0"/>
    <w:rsid w:val="008E06F8"/>
    <w:rsid w:val="008E0C39"/>
    <w:rsid w:val="008E1707"/>
    <w:rsid w:val="008E1C90"/>
    <w:rsid w:val="008E2254"/>
    <w:rsid w:val="008E2A8D"/>
    <w:rsid w:val="008E308B"/>
    <w:rsid w:val="008E380C"/>
    <w:rsid w:val="008E520B"/>
    <w:rsid w:val="008E5750"/>
    <w:rsid w:val="008E603C"/>
    <w:rsid w:val="008E73AD"/>
    <w:rsid w:val="008E7FE1"/>
    <w:rsid w:val="008E7FEF"/>
    <w:rsid w:val="008F0FEE"/>
    <w:rsid w:val="008F10D8"/>
    <w:rsid w:val="008F1605"/>
    <w:rsid w:val="008F176D"/>
    <w:rsid w:val="008F18EA"/>
    <w:rsid w:val="008F2D46"/>
    <w:rsid w:val="008F40C5"/>
    <w:rsid w:val="008F47D9"/>
    <w:rsid w:val="008F4A48"/>
    <w:rsid w:val="008F4D87"/>
    <w:rsid w:val="008F5405"/>
    <w:rsid w:val="008F5F9A"/>
    <w:rsid w:val="00900B95"/>
    <w:rsid w:val="0090108D"/>
    <w:rsid w:val="00901363"/>
    <w:rsid w:val="0090239D"/>
    <w:rsid w:val="00902830"/>
    <w:rsid w:val="009029DA"/>
    <w:rsid w:val="00903252"/>
    <w:rsid w:val="00903371"/>
    <w:rsid w:val="00903D9C"/>
    <w:rsid w:val="00903E44"/>
    <w:rsid w:val="00904966"/>
    <w:rsid w:val="00904CB9"/>
    <w:rsid w:val="00905BCF"/>
    <w:rsid w:val="00905BE7"/>
    <w:rsid w:val="0090718C"/>
    <w:rsid w:val="00907D2C"/>
    <w:rsid w:val="00907E6B"/>
    <w:rsid w:val="00910E79"/>
    <w:rsid w:val="00911F8C"/>
    <w:rsid w:val="009120E6"/>
    <w:rsid w:val="009121D5"/>
    <w:rsid w:val="009139F1"/>
    <w:rsid w:val="009141BA"/>
    <w:rsid w:val="009146DA"/>
    <w:rsid w:val="00914891"/>
    <w:rsid w:val="0091499A"/>
    <w:rsid w:val="00915DD7"/>
    <w:rsid w:val="00915FCB"/>
    <w:rsid w:val="00916201"/>
    <w:rsid w:val="00916D42"/>
    <w:rsid w:val="0091706C"/>
    <w:rsid w:val="00920D6B"/>
    <w:rsid w:val="0092159D"/>
    <w:rsid w:val="009217EE"/>
    <w:rsid w:val="00921895"/>
    <w:rsid w:val="00921B62"/>
    <w:rsid w:val="00921EFC"/>
    <w:rsid w:val="00921F7B"/>
    <w:rsid w:val="00922238"/>
    <w:rsid w:val="00922F75"/>
    <w:rsid w:val="009241A2"/>
    <w:rsid w:val="00924C49"/>
    <w:rsid w:val="0092552C"/>
    <w:rsid w:val="00925765"/>
    <w:rsid w:val="009262E5"/>
    <w:rsid w:val="009264FB"/>
    <w:rsid w:val="00927A21"/>
    <w:rsid w:val="00930043"/>
    <w:rsid w:val="00930BF4"/>
    <w:rsid w:val="00931094"/>
    <w:rsid w:val="00931D97"/>
    <w:rsid w:val="009320D5"/>
    <w:rsid w:val="00932837"/>
    <w:rsid w:val="00932BC0"/>
    <w:rsid w:val="00932D0A"/>
    <w:rsid w:val="00933080"/>
    <w:rsid w:val="0093397A"/>
    <w:rsid w:val="00933F2A"/>
    <w:rsid w:val="009342DC"/>
    <w:rsid w:val="00934977"/>
    <w:rsid w:val="00935486"/>
    <w:rsid w:val="00935BF5"/>
    <w:rsid w:val="0093613E"/>
    <w:rsid w:val="00936A31"/>
    <w:rsid w:val="00937617"/>
    <w:rsid w:val="00937FB2"/>
    <w:rsid w:val="009400F8"/>
    <w:rsid w:val="0094083D"/>
    <w:rsid w:val="00940E53"/>
    <w:rsid w:val="00941017"/>
    <w:rsid w:val="00941244"/>
    <w:rsid w:val="0094184E"/>
    <w:rsid w:val="0094187E"/>
    <w:rsid w:val="0094197D"/>
    <w:rsid w:val="00942466"/>
    <w:rsid w:val="00942F00"/>
    <w:rsid w:val="00942F1A"/>
    <w:rsid w:val="00942F62"/>
    <w:rsid w:val="00942F75"/>
    <w:rsid w:val="009430EE"/>
    <w:rsid w:val="00943665"/>
    <w:rsid w:val="0094379E"/>
    <w:rsid w:val="00943B61"/>
    <w:rsid w:val="00943EB8"/>
    <w:rsid w:val="00944E7E"/>
    <w:rsid w:val="00945691"/>
    <w:rsid w:val="00945C2E"/>
    <w:rsid w:val="00946874"/>
    <w:rsid w:val="00946F37"/>
    <w:rsid w:val="009474A2"/>
    <w:rsid w:val="00947984"/>
    <w:rsid w:val="00951237"/>
    <w:rsid w:val="009512EA"/>
    <w:rsid w:val="009516B0"/>
    <w:rsid w:val="0095171E"/>
    <w:rsid w:val="00951BA7"/>
    <w:rsid w:val="0095203D"/>
    <w:rsid w:val="0095288E"/>
    <w:rsid w:val="00952BCA"/>
    <w:rsid w:val="00953889"/>
    <w:rsid w:val="00953EC6"/>
    <w:rsid w:val="00954739"/>
    <w:rsid w:val="00954B0D"/>
    <w:rsid w:val="00954C35"/>
    <w:rsid w:val="00954EF5"/>
    <w:rsid w:val="00955DFB"/>
    <w:rsid w:val="00956138"/>
    <w:rsid w:val="0095645F"/>
    <w:rsid w:val="00956592"/>
    <w:rsid w:val="0095665E"/>
    <w:rsid w:val="00956A99"/>
    <w:rsid w:val="009571DC"/>
    <w:rsid w:val="00957451"/>
    <w:rsid w:val="0095798E"/>
    <w:rsid w:val="00957AC7"/>
    <w:rsid w:val="00960089"/>
    <w:rsid w:val="009604FA"/>
    <w:rsid w:val="0096084E"/>
    <w:rsid w:val="009610F2"/>
    <w:rsid w:val="00961470"/>
    <w:rsid w:val="00961784"/>
    <w:rsid w:val="009626DA"/>
    <w:rsid w:val="00963556"/>
    <w:rsid w:val="00963DA0"/>
    <w:rsid w:val="00963FE2"/>
    <w:rsid w:val="0096404F"/>
    <w:rsid w:val="009649E1"/>
    <w:rsid w:val="00964C3D"/>
    <w:rsid w:val="00964DBF"/>
    <w:rsid w:val="00965E56"/>
    <w:rsid w:val="00965EEC"/>
    <w:rsid w:val="00966276"/>
    <w:rsid w:val="00966B82"/>
    <w:rsid w:val="009670A3"/>
    <w:rsid w:val="00967503"/>
    <w:rsid w:val="0097016A"/>
    <w:rsid w:val="00970AF9"/>
    <w:rsid w:val="00971720"/>
    <w:rsid w:val="00972817"/>
    <w:rsid w:val="0097288B"/>
    <w:rsid w:val="00972935"/>
    <w:rsid w:val="00972E10"/>
    <w:rsid w:val="00972F94"/>
    <w:rsid w:val="00973B65"/>
    <w:rsid w:val="00974113"/>
    <w:rsid w:val="00974CBB"/>
    <w:rsid w:val="00974D2D"/>
    <w:rsid w:val="009755E8"/>
    <w:rsid w:val="009756AE"/>
    <w:rsid w:val="00975B2D"/>
    <w:rsid w:val="00975EB9"/>
    <w:rsid w:val="0097616D"/>
    <w:rsid w:val="009765AF"/>
    <w:rsid w:val="00976798"/>
    <w:rsid w:val="00976D04"/>
    <w:rsid w:val="00977064"/>
    <w:rsid w:val="00977277"/>
    <w:rsid w:val="00977570"/>
    <w:rsid w:val="009779D5"/>
    <w:rsid w:val="00977ABE"/>
    <w:rsid w:val="009807D6"/>
    <w:rsid w:val="00981D87"/>
    <w:rsid w:val="00982B21"/>
    <w:rsid w:val="00982D99"/>
    <w:rsid w:val="009834A5"/>
    <w:rsid w:val="00983864"/>
    <w:rsid w:val="00983C48"/>
    <w:rsid w:val="00984199"/>
    <w:rsid w:val="00984E62"/>
    <w:rsid w:val="00984F25"/>
    <w:rsid w:val="00985262"/>
    <w:rsid w:val="0098562B"/>
    <w:rsid w:val="00986771"/>
    <w:rsid w:val="0098677C"/>
    <w:rsid w:val="00986D93"/>
    <w:rsid w:val="00986DD9"/>
    <w:rsid w:val="00986E10"/>
    <w:rsid w:val="00987F1E"/>
    <w:rsid w:val="00990B4C"/>
    <w:rsid w:val="00990C4C"/>
    <w:rsid w:val="00990E14"/>
    <w:rsid w:val="0099164D"/>
    <w:rsid w:val="00994C02"/>
    <w:rsid w:val="00995787"/>
    <w:rsid w:val="00996535"/>
    <w:rsid w:val="009969A1"/>
    <w:rsid w:val="009975EF"/>
    <w:rsid w:val="009A00C5"/>
    <w:rsid w:val="009A0230"/>
    <w:rsid w:val="009A05E7"/>
    <w:rsid w:val="009A063C"/>
    <w:rsid w:val="009A07DF"/>
    <w:rsid w:val="009A0AAD"/>
    <w:rsid w:val="009A0AE5"/>
    <w:rsid w:val="009A10FB"/>
    <w:rsid w:val="009A1BEA"/>
    <w:rsid w:val="009A20F8"/>
    <w:rsid w:val="009A3011"/>
    <w:rsid w:val="009A34B9"/>
    <w:rsid w:val="009A65FF"/>
    <w:rsid w:val="009A6962"/>
    <w:rsid w:val="009A6E15"/>
    <w:rsid w:val="009A73F7"/>
    <w:rsid w:val="009A77E0"/>
    <w:rsid w:val="009A79D6"/>
    <w:rsid w:val="009A7D79"/>
    <w:rsid w:val="009B0178"/>
    <w:rsid w:val="009B044C"/>
    <w:rsid w:val="009B0FBE"/>
    <w:rsid w:val="009B120A"/>
    <w:rsid w:val="009B1AA8"/>
    <w:rsid w:val="009B1B90"/>
    <w:rsid w:val="009B2004"/>
    <w:rsid w:val="009B2349"/>
    <w:rsid w:val="009B2DE1"/>
    <w:rsid w:val="009B2E79"/>
    <w:rsid w:val="009B4954"/>
    <w:rsid w:val="009B5488"/>
    <w:rsid w:val="009B57BC"/>
    <w:rsid w:val="009B5F7F"/>
    <w:rsid w:val="009B61B3"/>
    <w:rsid w:val="009B62B0"/>
    <w:rsid w:val="009B6484"/>
    <w:rsid w:val="009B6759"/>
    <w:rsid w:val="009B6AD2"/>
    <w:rsid w:val="009B6C45"/>
    <w:rsid w:val="009B74FE"/>
    <w:rsid w:val="009C02F7"/>
    <w:rsid w:val="009C0358"/>
    <w:rsid w:val="009C03C7"/>
    <w:rsid w:val="009C09C9"/>
    <w:rsid w:val="009C0AA1"/>
    <w:rsid w:val="009C1116"/>
    <w:rsid w:val="009C1525"/>
    <w:rsid w:val="009C1F35"/>
    <w:rsid w:val="009C1F72"/>
    <w:rsid w:val="009C24F3"/>
    <w:rsid w:val="009C3504"/>
    <w:rsid w:val="009C3811"/>
    <w:rsid w:val="009C3C3B"/>
    <w:rsid w:val="009C44A9"/>
    <w:rsid w:val="009C4877"/>
    <w:rsid w:val="009C4F26"/>
    <w:rsid w:val="009C4F60"/>
    <w:rsid w:val="009C52CA"/>
    <w:rsid w:val="009C5D36"/>
    <w:rsid w:val="009C75B0"/>
    <w:rsid w:val="009C7E88"/>
    <w:rsid w:val="009D02A6"/>
    <w:rsid w:val="009D123B"/>
    <w:rsid w:val="009D180E"/>
    <w:rsid w:val="009D1BC4"/>
    <w:rsid w:val="009D1C11"/>
    <w:rsid w:val="009D2332"/>
    <w:rsid w:val="009D410C"/>
    <w:rsid w:val="009D4C31"/>
    <w:rsid w:val="009D55D4"/>
    <w:rsid w:val="009D5D77"/>
    <w:rsid w:val="009D64FF"/>
    <w:rsid w:val="009D6835"/>
    <w:rsid w:val="009D6B4B"/>
    <w:rsid w:val="009D6C1A"/>
    <w:rsid w:val="009D6C99"/>
    <w:rsid w:val="009D7845"/>
    <w:rsid w:val="009E013A"/>
    <w:rsid w:val="009E03D7"/>
    <w:rsid w:val="009E04A0"/>
    <w:rsid w:val="009E0ADD"/>
    <w:rsid w:val="009E1281"/>
    <w:rsid w:val="009E1BED"/>
    <w:rsid w:val="009E1FCE"/>
    <w:rsid w:val="009E23BB"/>
    <w:rsid w:val="009E2533"/>
    <w:rsid w:val="009E27DC"/>
    <w:rsid w:val="009E3544"/>
    <w:rsid w:val="009E37ED"/>
    <w:rsid w:val="009E37F5"/>
    <w:rsid w:val="009E4784"/>
    <w:rsid w:val="009E4FB1"/>
    <w:rsid w:val="009E61BE"/>
    <w:rsid w:val="009E63A9"/>
    <w:rsid w:val="009E7241"/>
    <w:rsid w:val="009E7709"/>
    <w:rsid w:val="009E772D"/>
    <w:rsid w:val="009E7D79"/>
    <w:rsid w:val="009E7FCE"/>
    <w:rsid w:val="009F1556"/>
    <w:rsid w:val="009F2462"/>
    <w:rsid w:val="009F256F"/>
    <w:rsid w:val="009F378E"/>
    <w:rsid w:val="009F5E82"/>
    <w:rsid w:val="009F601C"/>
    <w:rsid w:val="009F6326"/>
    <w:rsid w:val="009F63C2"/>
    <w:rsid w:val="009F666B"/>
    <w:rsid w:val="009F6FAB"/>
    <w:rsid w:val="009F7407"/>
    <w:rsid w:val="009F750F"/>
    <w:rsid w:val="009F7BE4"/>
    <w:rsid w:val="00A00E7B"/>
    <w:rsid w:val="00A01192"/>
    <w:rsid w:val="00A01B45"/>
    <w:rsid w:val="00A0240E"/>
    <w:rsid w:val="00A02901"/>
    <w:rsid w:val="00A034C3"/>
    <w:rsid w:val="00A03B92"/>
    <w:rsid w:val="00A04176"/>
    <w:rsid w:val="00A04231"/>
    <w:rsid w:val="00A04B7F"/>
    <w:rsid w:val="00A0549D"/>
    <w:rsid w:val="00A055B8"/>
    <w:rsid w:val="00A05653"/>
    <w:rsid w:val="00A0589D"/>
    <w:rsid w:val="00A06642"/>
    <w:rsid w:val="00A0672B"/>
    <w:rsid w:val="00A06B7D"/>
    <w:rsid w:val="00A07660"/>
    <w:rsid w:val="00A1103C"/>
    <w:rsid w:val="00A12469"/>
    <w:rsid w:val="00A12516"/>
    <w:rsid w:val="00A1301B"/>
    <w:rsid w:val="00A135C0"/>
    <w:rsid w:val="00A13774"/>
    <w:rsid w:val="00A13923"/>
    <w:rsid w:val="00A141AE"/>
    <w:rsid w:val="00A1439C"/>
    <w:rsid w:val="00A146D9"/>
    <w:rsid w:val="00A14D41"/>
    <w:rsid w:val="00A14EBE"/>
    <w:rsid w:val="00A153E1"/>
    <w:rsid w:val="00A156F1"/>
    <w:rsid w:val="00A15FF8"/>
    <w:rsid w:val="00A16990"/>
    <w:rsid w:val="00A16FF4"/>
    <w:rsid w:val="00A174C3"/>
    <w:rsid w:val="00A17BA5"/>
    <w:rsid w:val="00A17EEB"/>
    <w:rsid w:val="00A20BF3"/>
    <w:rsid w:val="00A218AC"/>
    <w:rsid w:val="00A21A74"/>
    <w:rsid w:val="00A2202B"/>
    <w:rsid w:val="00A2272E"/>
    <w:rsid w:val="00A22BF1"/>
    <w:rsid w:val="00A23477"/>
    <w:rsid w:val="00A235D9"/>
    <w:rsid w:val="00A2369C"/>
    <w:rsid w:val="00A23CD0"/>
    <w:rsid w:val="00A2538B"/>
    <w:rsid w:val="00A25C93"/>
    <w:rsid w:val="00A25CBF"/>
    <w:rsid w:val="00A25FE2"/>
    <w:rsid w:val="00A26101"/>
    <w:rsid w:val="00A26882"/>
    <w:rsid w:val="00A268D8"/>
    <w:rsid w:val="00A26D25"/>
    <w:rsid w:val="00A3012B"/>
    <w:rsid w:val="00A30846"/>
    <w:rsid w:val="00A30BFA"/>
    <w:rsid w:val="00A3191D"/>
    <w:rsid w:val="00A335B5"/>
    <w:rsid w:val="00A33786"/>
    <w:rsid w:val="00A339BD"/>
    <w:rsid w:val="00A342C7"/>
    <w:rsid w:val="00A34828"/>
    <w:rsid w:val="00A35187"/>
    <w:rsid w:val="00A35B33"/>
    <w:rsid w:val="00A370D1"/>
    <w:rsid w:val="00A3760D"/>
    <w:rsid w:val="00A376D3"/>
    <w:rsid w:val="00A37F90"/>
    <w:rsid w:val="00A407C1"/>
    <w:rsid w:val="00A43B34"/>
    <w:rsid w:val="00A4446B"/>
    <w:rsid w:val="00A44479"/>
    <w:rsid w:val="00A4452B"/>
    <w:rsid w:val="00A44557"/>
    <w:rsid w:val="00A44791"/>
    <w:rsid w:val="00A44A5B"/>
    <w:rsid w:val="00A44D2B"/>
    <w:rsid w:val="00A466FA"/>
    <w:rsid w:val="00A46B0E"/>
    <w:rsid w:val="00A47888"/>
    <w:rsid w:val="00A50486"/>
    <w:rsid w:val="00A50F72"/>
    <w:rsid w:val="00A51849"/>
    <w:rsid w:val="00A520D7"/>
    <w:rsid w:val="00A54455"/>
    <w:rsid w:val="00A549AF"/>
    <w:rsid w:val="00A5540B"/>
    <w:rsid w:val="00A556E0"/>
    <w:rsid w:val="00A55C96"/>
    <w:rsid w:val="00A55CE3"/>
    <w:rsid w:val="00A55EBB"/>
    <w:rsid w:val="00A56050"/>
    <w:rsid w:val="00A5627B"/>
    <w:rsid w:val="00A564C0"/>
    <w:rsid w:val="00A56BF0"/>
    <w:rsid w:val="00A57030"/>
    <w:rsid w:val="00A5777A"/>
    <w:rsid w:val="00A60076"/>
    <w:rsid w:val="00A60651"/>
    <w:rsid w:val="00A60820"/>
    <w:rsid w:val="00A60D16"/>
    <w:rsid w:val="00A60DC1"/>
    <w:rsid w:val="00A61397"/>
    <w:rsid w:val="00A61493"/>
    <w:rsid w:val="00A618E7"/>
    <w:rsid w:val="00A61AA1"/>
    <w:rsid w:val="00A625ED"/>
    <w:rsid w:val="00A631A7"/>
    <w:rsid w:val="00A635F8"/>
    <w:rsid w:val="00A644C6"/>
    <w:rsid w:val="00A649FC"/>
    <w:rsid w:val="00A64C51"/>
    <w:rsid w:val="00A6555C"/>
    <w:rsid w:val="00A657B5"/>
    <w:rsid w:val="00A65897"/>
    <w:rsid w:val="00A65FBE"/>
    <w:rsid w:val="00A6610B"/>
    <w:rsid w:val="00A66937"/>
    <w:rsid w:val="00A6739F"/>
    <w:rsid w:val="00A67872"/>
    <w:rsid w:val="00A6797F"/>
    <w:rsid w:val="00A67D69"/>
    <w:rsid w:val="00A67F77"/>
    <w:rsid w:val="00A709C4"/>
    <w:rsid w:val="00A73591"/>
    <w:rsid w:val="00A73C87"/>
    <w:rsid w:val="00A75805"/>
    <w:rsid w:val="00A76196"/>
    <w:rsid w:val="00A761C1"/>
    <w:rsid w:val="00A76957"/>
    <w:rsid w:val="00A7697E"/>
    <w:rsid w:val="00A77018"/>
    <w:rsid w:val="00A773C3"/>
    <w:rsid w:val="00A803DB"/>
    <w:rsid w:val="00A80827"/>
    <w:rsid w:val="00A8194F"/>
    <w:rsid w:val="00A81DAF"/>
    <w:rsid w:val="00A82607"/>
    <w:rsid w:val="00A82703"/>
    <w:rsid w:val="00A82994"/>
    <w:rsid w:val="00A83830"/>
    <w:rsid w:val="00A84C76"/>
    <w:rsid w:val="00A85878"/>
    <w:rsid w:val="00A85C79"/>
    <w:rsid w:val="00A8654A"/>
    <w:rsid w:val="00A86D3A"/>
    <w:rsid w:val="00A86DDC"/>
    <w:rsid w:val="00A87048"/>
    <w:rsid w:val="00A878E0"/>
    <w:rsid w:val="00A91505"/>
    <w:rsid w:val="00A919FE"/>
    <w:rsid w:val="00A921D7"/>
    <w:rsid w:val="00A929C2"/>
    <w:rsid w:val="00A92AC8"/>
    <w:rsid w:val="00A92BE7"/>
    <w:rsid w:val="00A92CFF"/>
    <w:rsid w:val="00A92DEC"/>
    <w:rsid w:val="00A92F30"/>
    <w:rsid w:val="00A92F9B"/>
    <w:rsid w:val="00A93FEB"/>
    <w:rsid w:val="00A94925"/>
    <w:rsid w:val="00A94B3E"/>
    <w:rsid w:val="00A94D6B"/>
    <w:rsid w:val="00A94FCE"/>
    <w:rsid w:val="00A9549A"/>
    <w:rsid w:val="00A95BB1"/>
    <w:rsid w:val="00A95BB8"/>
    <w:rsid w:val="00A95C50"/>
    <w:rsid w:val="00A96D56"/>
    <w:rsid w:val="00A974CB"/>
    <w:rsid w:val="00A9773A"/>
    <w:rsid w:val="00AA07A6"/>
    <w:rsid w:val="00AA1B00"/>
    <w:rsid w:val="00AA237F"/>
    <w:rsid w:val="00AA270A"/>
    <w:rsid w:val="00AA3106"/>
    <w:rsid w:val="00AA3215"/>
    <w:rsid w:val="00AA4162"/>
    <w:rsid w:val="00AA44E1"/>
    <w:rsid w:val="00AA4D88"/>
    <w:rsid w:val="00AA545C"/>
    <w:rsid w:val="00AA5625"/>
    <w:rsid w:val="00AA563C"/>
    <w:rsid w:val="00AA596D"/>
    <w:rsid w:val="00AA688F"/>
    <w:rsid w:val="00AA6922"/>
    <w:rsid w:val="00AA6C03"/>
    <w:rsid w:val="00AA7891"/>
    <w:rsid w:val="00AA7AE0"/>
    <w:rsid w:val="00AA7D45"/>
    <w:rsid w:val="00AB1195"/>
    <w:rsid w:val="00AB1B06"/>
    <w:rsid w:val="00AB1FC7"/>
    <w:rsid w:val="00AB225B"/>
    <w:rsid w:val="00AB2A90"/>
    <w:rsid w:val="00AB31C0"/>
    <w:rsid w:val="00AB49B9"/>
    <w:rsid w:val="00AB4CD3"/>
    <w:rsid w:val="00AB595C"/>
    <w:rsid w:val="00AB5D71"/>
    <w:rsid w:val="00AB6308"/>
    <w:rsid w:val="00AB64E7"/>
    <w:rsid w:val="00AB69D0"/>
    <w:rsid w:val="00AB73EB"/>
    <w:rsid w:val="00AC0396"/>
    <w:rsid w:val="00AC0455"/>
    <w:rsid w:val="00AC0D53"/>
    <w:rsid w:val="00AC1C96"/>
    <w:rsid w:val="00AC1D29"/>
    <w:rsid w:val="00AC1DA6"/>
    <w:rsid w:val="00AC2738"/>
    <w:rsid w:val="00AC27E9"/>
    <w:rsid w:val="00AC28FB"/>
    <w:rsid w:val="00AC2A21"/>
    <w:rsid w:val="00AC3444"/>
    <w:rsid w:val="00AC3617"/>
    <w:rsid w:val="00AC380F"/>
    <w:rsid w:val="00AC3C51"/>
    <w:rsid w:val="00AC4577"/>
    <w:rsid w:val="00AC4BDE"/>
    <w:rsid w:val="00AC4C0F"/>
    <w:rsid w:val="00AC4FBC"/>
    <w:rsid w:val="00AC52E6"/>
    <w:rsid w:val="00AC5C8D"/>
    <w:rsid w:val="00AC63FE"/>
    <w:rsid w:val="00AC758D"/>
    <w:rsid w:val="00AC7B74"/>
    <w:rsid w:val="00AD05C0"/>
    <w:rsid w:val="00AD05EB"/>
    <w:rsid w:val="00AD0D2E"/>
    <w:rsid w:val="00AD1363"/>
    <w:rsid w:val="00AD1E23"/>
    <w:rsid w:val="00AD1FDE"/>
    <w:rsid w:val="00AD23A5"/>
    <w:rsid w:val="00AD25B2"/>
    <w:rsid w:val="00AD2680"/>
    <w:rsid w:val="00AD386C"/>
    <w:rsid w:val="00AD3E09"/>
    <w:rsid w:val="00AD47AB"/>
    <w:rsid w:val="00AD56F0"/>
    <w:rsid w:val="00AE0070"/>
    <w:rsid w:val="00AE0765"/>
    <w:rsid w:val="00AE0A39"/>
    <w:rsid w:val="00AE0F34"/>
    <w:rsid w:val="00AE0F5E"/>
    <w:rsid w:val="00AE1AF3"/>
    <w:rsid w:val="00AE1D1A"/>
    <w:rsid w:val="00AE1FE7"/>
    <w:rsid w:val="00AE26FD"/>
    <w:rsid w:val="00AE2E94"/>
    <w:rsid w:val="00AE3405"/>
    <w:rsid w:val="00AE38B7"/>
    <w:rsid w:val="00AE4241"/>
    <w:rsid w:val="00AE591F"/>
    <w:rsid w:val="00AE5D49"/>
    <w:rsid w:val="00AE6291"/>
    <w:rsid w:val="00AE6ECD"/>
    <w:rsid w:val="00AE78C4"/>
    <w:rsid w:val="00AE7CCD"/>
    <w:rsid w:val="00AF030E"/>
    <w:rsid w:val="00AF071D"/>
    <w:rsid w:val="00AF0BC9"/>
    <w:rsid w:val="00AF12F5"/>
    <w:rsid w:val="00AF13A7"/>
    <w:rsid w:val="00AF186C"/>
    <w:rsid w:val="00AF2112"/>
    <w:rsid w:val="00AF2CE7"/>
    <w:rsid w:val="00AF2EC8"/>
    <w:rsid w:val="00AF34F4"/>
    <w:rsid w:val="00AF3894"/>
    <w:rsid w:val="00AF3CEC"/>
    <w:rsid w:val="00AF4274"/>
    <w:rsid w:val="00AF4976"/>
    <w:rsid w:val="00AF58F3"/>
    <w:rsid w:val="00AF59BB"/>
    <w:rsid w:val="00AF5B45"/>
    <w:rsid w:val="00AF5F3E"/>
    <w:rsid w:val="00AF5F7A"/>
    <w:rsid w:val="00AF695C"/>
    <w:rsid w:val="00AF6C78"/>
    <w:rsid w:val="00AF76AD"/>
    <w:rsid w:val="00AF799B"/>
    <w:rsid w:val="00AF7C17"/>
    <w:rsid w:val="00AF7E29"/>
    <w:rsid w:val="00B00065"/>
    <w:rsid w:val="00B006D1"/>
    <w:rsid w:val="00B00953"/>
    <w:rsid w:val="00B0123E"/>
    <w:rsid w:val="00B014C9"/>
    <w:rsid w:val="00B024EC"/>
    <w:rsid w:val="00B02B32"/>
    <w:rsid w:val="00B03AC2"/>
    <w:rsid w:val="00B03B4A"/>
    <w:rsid w:val="00B03BB5"/>
    <w:rsid w:val="00B0420D"/>
    <w:rsid w:val="00B04AFA"/>
    <w:rsid w:val="00B05F59"/>
    <w:rsid w:val="00B06351"/>
    <w:rsid w:val="00B06716"/>
    <w:rsid w:val="00B079EE"/>
    <w:rsid w:val="00B10636"/>
    <w:rsid w:val="00B10871"/>
    <w:rsid w:val="00B11001"/>
    <w:rsid w:val="00B113AB"/>
    <w:rsid w:val="00B11849"/>
    <w:rsid w:val="00B1211C"/>
    <w:rsid w:val="00B12240"/>
    <w:rsid w:val="00B12E41"/>
    <w:rsid w:val="00B13549"/>
    <w:rsid w:val="00B13705"/>
    <w:rsid w:val="00B13A5A"/>
    <w:rsid w:val="00B13C69"/>
    <w:rsid w:val="00B14CD4"/>
    <w:rsid w:val="00B15ABD"/>
    <w:rsid w:val="00B1600F"/>
    <w:rsid w:val="00B16CED"/>
    <w:rsid w:val="00B17735"/>
    <w:rsid w:val="00B1790B"/>
    <w:rsid w:val="00B21175"/>
    <w:rsid w:val="00B21ABC"/>
    <w:rsid w:val="00B22638"/>
    <w:rsid w:val="00B227C5"/>
    <w:rsid w:val="00B22923"/>
    <w:rsid w:val="00B22AD5"/>
    <w:rsid w:val="00B23614"/>
    <w:rsid w:val="00B23D65"/>
    <w:rsid w:val="00B24008"/>
    <w:rsid w:val="00B25711"/>
    <w:rsid w:val="00B25AD2"/>
    <w:rsid w:val="00B25CFA"/>
    <w:rsid w:val="00B26B69"/>
    <w:rsid w:val="00B271F1"/>
    <w:rsid w:val="00B27575"/>
    <w:rsid w:val="00B2794C"/>
    <w:rsid w:val="00B30171"/>
    <w:rsid w:val="00B30CA5"/>
    <w:rsid w:val="00B30DFD"/>
    <w:rsid w:val="00B328FB"/>
    <w:rsid w:val="00B32C3A"/>
    <w:rsid w:val="00B33701"/>
    <w:rsid w:val="00B338B5"/>
    <w:rsid w:val="00B33961"/>
    <w:rsid w:val="00B33E03"/>
    <w:rsid w:val="00B33EEE"/>
    <w:rsid w:val="00B33F4D"/>
    <w:rsid w:val="00B341A5"/>
    <w:rsid w:val="00B3466D"/>
    <w:rsid w:val="00B34705"/>
    <w:rsid w:val="00B36623"/>
    <w:rsid w:val="00B368FF"/>
    <w:rsid w:val="00B37412"/>
    <w:rsid w:val="00B37E64"/>
    <w:rsid w:val="00B409F5"/>
    <w:rsid w:val="00B40A50"/>
    <w:rsid w:val="00B40E18"/>
    <w:rsid w:val="00B41E7A"/>
    <w:rsid w:val="00B42B1A"/>
    <w:rsid w:val="00B43606"/>
    <w:rsid w:val="00B43EE1"/>
    <w:rsid w:val="00B44113"/>
    <w:rsid w:val="00B4457D"/>
    <w:rsid w:val="00B44814"/>
    <w:rsid w:val="00B44917"/>
    <w:rsid w:val="00B45254"/>
    <w:rsid w:val="00B4529C"/>
    <w:rsid w:val="00B45E62"/>
    <w:rsid w:val="00B45FBB"/>
    <w:rsid w:val="00B4662C"/>
    <w:rsid w:val="00B46ED7"/>
    <w:rsid w:val="00B47090"/>
    <w:rsid w:val="00B500F9"/>
    <w:rsid w:val="00B50FDD"/>
    <w:rsid w:val="00B51C9C"/>
    <w:rsid w:val="00B5281F"/>
    <w:rsid w:val="00B52C6F"/>
    <w:rsid w:val="00B52CDF"/>
    <w:rsid w:val="00B52DB6"/>
    <w:rsid w:val="00B53265"/>
    <w:rsid w:val="00B5376D"/>
    <w:rsid w:val="00B53A61"/>
    <w:rsid w:val="00B54BF8"/>
    <w:rsid w:val="00B54ECC"/>
    <w:rsid w:val="00B55F90"/>
    <w:rsid w:val="00B562F2"/>
    <w:rsid w:val="00B563C1"/>
    <w:rsid w:val="00B56638"/>
    <w:rsid w:val="00B569AF"/>
    <w:rsid w:val="00B5717A"/>
    <w:rsid w:val="00B57D6E"/>
    <w:rsid w:val="00B57E8B"/>
    <w:rsid w:val="00B601AB"/>
    <w:rsid w:val="00B6039A"/>
    <w:rsid w:val="00B603A1"/>
    <w:rsid w:val="00B60AD4"/>
    <w:rsid w:val="00B61DF4"/>
    <w:rsid w:val="00B631A2"/>
    <w:rsid w:val="00B635E0"/>
    <w:rsid w:val="00B64402"/>
    <w:rsid w:val="00B64AF6"/>
    <w:rsid w:val="00B65C27"/>
    <w:rsid w:val="00B65C75"/>
    <w:rsid w:val="00B662A0"/>
    <w:rsid w:val="00B678EE"/>
    <w:rsid w:val="00B67991"/>
    <w:rsid w:val="00B7078F"/>
    <w:rsid w:val="00B717CE"/>
    <w:rsid w:val="00B71B9A"/>
    <w:rsid w:val="00B71DAD"/>
    <w:rsid w:val="00B728FD"/>
    <w:rsid w:val="00B72C67"/>
    <w:rsid w:val="00B734D3"/>
    <w:rsid w:val="00B739E1"/>
    <w:rsid w:val="00B74D5A"/>
    <w:rsid w:val="00B75024"/>
    <w:rsid w:val="00B75BA0"/>
    <w:rsid w:val="00B75D74"/>
    <w:rsid w:val="00B75F94"/>
    <w:rsid w:val="00B762D7"/>
    <w:rsid w:val="00B763E2"/>
    <w:rsid w:val="00B7657E"/>
    <w:rsid w:val="00B77383"/>
    <w:rsid w:val="00B773A8"/>
    <w:rsid w:val="00B8052A"/>
    <w:rsid w:val="00B80561"/>
    <w:rsid w:val="00B80C1E"/>
    <w:rsid w:val="00B813F5"/>
    <w:rsid w:val="00B8198B"/>
    <w:rsid w:val="00B81CC0"/>
    <w:rsid w:val="00B81FA6"/>
    <w:rsid w:val="00B822C7"/>
    <w:rsid w:val="00B82DCE"/>
    <w:rsid w:val="00B832B8"/>
    <w:rsid w:val="00B8376F"/>
    <w:rsid w:val="00B84084"/>
    <w:rsid w:val="00B85837"/>
    <w:rsid w:val="00B85BC1"/>
    <w:rsid w:val="00B8672D"/>
    <w:rsid w:val="00B86F1F"/>
    <w:rsid w:val="00B86F5A"/>
    <w:rsid w:val="00B871D9"/>
    <w:rsid w:val="00B87DA7"/>
    <w:rsid w:val="00B90106"/>
    <w:rsid w:val="00B90636"/>
    <w:rsid w:val="00B90B59"/>
    <w:rsid w:val="00B90CC8"/>
    <w:rsid w:val="00B91C04"/>
    <w:rsid w:val="00B9288E"/>
    <w:rsid w:val="00B92C7F"/>
    <w:rsid w:val="00B92F63"/>
    <w:rsid w:val="00B931BA"/>
    <w:rsid w:val="00B941A7"/>
    <w:rsid w:val="00B94736"/>
    <w:rsid w:val="00B94BFD"/>
    <w:rsid w:val="00B9566C"/>
    <w:rsid w:val="00B978AA"/>
    <w:rsid w:val="00B978B6"/>
    <w:rsid w:val="00B979BB"/>
    <w:rsid w:val="00B97B89"/>
    <w:rsid w:val="00BA0198"/>
    <w:rsid w:val="00BA0279"/>
    <w:rsid w:val="00BA0AFC"/>
    <w:rsid w:val="00BA2D6C"/>
    <w:rsid w:val="00BA2E05"/>
    <w:rsid w:val="00BA2F47"/>
    <w:rsid w:val="00BA2FBD"/>
    <w:rsid w:val="00BA346A"/>
    <w:rsid w:val="00BA4422"/>
    <w:rsid w:val="00BA4F47"/>
    <w:rsid w:val="00BA5008"/>
    <w:rsid w:val="00BA5232"/>
    <w:rsid w:val="00BA542A"/>
    <w:rsid w:val="00BA5C41"/>
    <w:rsid w:val="00BA6065"/>
    <w:rsid w:val="00BA6476"/>
    <w:rsid w:val="00BA6659"/>
    <w:rsid w:val="00BA6A71"/>
    <w:rsid w:val="00BA6C35"/>
    <w:rsid w:val="00BA6CAD"/>
    <w:rsid w:val="00BA6E52"/>
    <w:rsid w:val="00BA6E80"/>
    <w:rsid w:val="00BA70E4"/>
    <w:rsid w:val="00BB013C"/>
    <w:rsid w:val="00BB066A"/>
    <w:rsid w:val="00BB0D10"/>
    <w:rsid w:val="00BB0EA5"/>
    <w:rsid w:val="00BB19F0"/>
    <w:rsid w:val="00BB1B8A"/>
    <w:rsid w:val="00BB2709"/>
    <w:rsid w:val="00BB2711"/>
    <w:rsid w:val="00BB3CA1"/>
    <w:rsid w:val="00BB45B9"/>
    <w:rsid w:val="00BB4F88"/>
    <w:rsid w:val="00BB55BC"/>
    <w:rsid w:val="00BB573C"/>
    <w:rsid w:val="00BB5863"/>
    <w:rsid w:val="00BB5ED7"/>
    <w:rsid w:val="00BB5FD9"/>
    <w:rsid w:val="00BB61EE"/>
    <w:rsid w:val="00BB75BC"/>
    <w:rsid w:val="00BB7C4E"/>
    <w:rsid w:val="00BC01AD"/>
    <w:rsid w:val="00BC0226"/>
    <w:rsid w:val="00BC1137"/>
    <w:rsid w:val="00BC1B10"/>
    <w:rsid w:val="00BC4D87"/>
    <w:rsid w:val="00BC6116"/>
    <w:rsid w:val="00BC6664"/>
    <w:rsid w:val="00BC7C59"/>
    <w:rsid w:val="00BD02E4"/>
    <w:rsid w:val="00BD09D3"/>
    <w:rsid w:val="00BD12F5"/>
    <w:rsid w:val="00BD2185"/>
    <w:rsid w:val="00BD2D2D"/>
    <w:rsid w:val="00BD4549"/>
    <w:rsid w:val="00BD4655"/>
    <w:rsid w:val="00BD5434"/>
    <w:rsid w:val="00BD5BB8"/>
    <w:rsid w:val="00BD5FA1"/>
    <w:rsid w:val="00BD67E9"/>
    <w:rsid w:val="00BD73A2"/>
    <w:rsid w:val="00BD7EC2"/>
    <w:rsid w:val="00BD7F1B"/>
    <w:rsid w:val="00BE077A"/>
    <w:rsid w:val="00BE094F"/>
    <w:rsid w:val="00BE187C"/>
    <w:rsid w:val="00BE212B"/>
    <w:rsid w:val="00BE2A52"/>
    <w:rsid w:val="00BE3458"/>
    <w:rsid w:val="00BE3ADF"/>
    <w:rsid w:val="00BE3F2C"/>
    <w:rsid w:val="00BE4DBF"/>
    <w:rsid w:val="00BE6939"/>
    <w:rsid w:val="00BE732D"/>
    <w:rsid w:val="00BE7607"/>
    <w:rsid w:val="00BE76E7"/>
    <w:rsid w:val="00BE7A81"/>
    <w:rsid w:val="00BE7C1C"/>
    <w:rsid w:val="00BE7F32"/>
    <w:rsid w:val="00BF0136"/>
    <w:rsid w:val="00BF01BF"/>
    <w:rsid w:val="00BF040A"/>
    <w:rsid w:val="00BF0582"/>
    <w:rsid w:val="00BF1408"/>
    <w:rsid w:val="00BF19A3"/>
    <w:rsid w:val="00BF20E3"/>
    <w:rsid w:val="00BF2ACF"/>
    <w:rsid w:val="00BF2C47"/>
    <w:rsid w:val="00BF2E05"/>
    <w:rsid w:val="00BF2F83"/>
    <w:rsid w:val="00BF3C28"/>
    <w:rsid w:val="00BF3E4E"/>
    <w:rsid w:val="00BF4757"/>
    <w:rsid w:val="00BF47C6"/>
    <w:rsid w:val="00BF4A28"/>
    <w:rsid w:val="00BF52D5"/>
    <w:rsid w:val="00BF5A55"/>
    <w:rsid w:val="00BF5F12"/>
    <w:rsid w:val="00BF65D0"/>
    <w:rsid w:val="00BF75B9"/>
    <w:rsid w:val="00BF75FE"/>
    <w:rsid w:val="00BF77AF"/>
    <w:rsid w:val="00BF7A16"/>
    <w:rsid w:val="00BF7BD5"/>
    <w:rsid w:val="00C0191B"/>
    <w:rsid w:val="00C029D0"/>
    <w:rsid w:val="00C03B75"/>
    <w:rsid w:val="00C045DD"/>
    <w:rsid w:val="00C046A4"/>
    <w:rsid w:val="00C046A6"/>
    <w:rsid w:val="00C055CE"/>
    <w:rsid w:val="00C07818"/>
    <w:rsid w:val="00C113F8"/>
    <w:rsid w:val="00C115BA"/>
    <w:rsid w:val="00C1184E"/>
    <w:rsid w:val="00C11A95"/>
    <w:rsid w:val="00C12462"/>
    <w:rsid w:val="00C140AD"/>
    <w:rsid w:val="00C143AC"/>
    <w:rsid w:val="00C147E7"/>
    <w:rsid w:val="00C14970"/>
    <w:rsid w:val="00C14E24"/>
    <w:rsid w:val="00C14F34"/>
    <w:rsid w:val="00C16495"/>
    <w:rsid w:val="00C16541"/>
    <w:rsid w:val="00C1688B"/>
    <w:rsid w:val="00C176F7"/>
    <w:rsid w:val="00C20342"/>
    <w:rsid w:val="00C20C97"/>
    <w:rsid w:val="00C222B0"/>
    <w:rsid w:val="00C2249A"/>
    <w:rsid w:val="00C228F7"/>
    <w:rsid w:val="00C22E02"/>
    <w:rsid w:val="00C238DF"/>
    <w:rsid w:val="00C23B85"/>
    <w:rsid w:val="00C23B8A"/>
    <w:rsid w:val="00C24AB3"/>
    <w:rsid w:val="00C24F61"/>
    <w:rsid w:val="00C2509D"/>
    <w:rsid w:val="00C25231"/>
    <w:rsid w:val="00C256D8"/>
    <w:rsid w:val="00C26349"/>
    <w:rsid w:val="00C2754F"/>
    <w:rsid w:val="00C30003"/>
    <w:rsid w:val="00C301AB"/>
    <w:rsid w:val="00C30223"/>
    <w:rsid w:val="00C30683"/>
    <w:rsid w:val="00C30BD3"/>
    <w:rsid w:val="00C30FCC"/>
    <w:rsid w:val="00C311CF"/>
    <w:rsid w:val="00C318BC"/>
    <w:rsid w:val="00C32011"/>
    <w:rsid w:val="00C329A9"/>
    <w:rsid w:val="00C33758"/>
    <w:rsid w:val="00C3394D"/>
    <w:rsid w:val="00C33EE7"/>
    <w:rsid w:val="00C340BE"/>
    <w:rsid w:val="00C34854"/>
    <w:rsid w:val="00C34A4F"/>
    <w:rsid w:val="00C355DD"/>
    <w:rsid w:val="00C36082"/>
    <w:rsid w:val="00C3609E"/>
    <w:rsid w:val="00C36F8C"/>
    <w:rsid w:val="00C37556"/>
    <w:rsid w:val="00C3773E"/>
    <w:rsid w:val="00C37F93"/>
    <w:rsid w:val="00C40301"/>
    <w:rsid w:val="00C40F43"/>
    <w:rsid w:val="00C41D8F"/>
    <w:rsid w:val="00C427BE"/>
    <w:rsid w:val="00C427D6"/>
    <w:rsid w:val="00C42950"/>
    <w:rsid w:val="00C42B65"/>
    <w:rsid w:val="00C43E37"/>
    <w:rsid w:val="00C43EF0"/>
    <w:rsid w:val="00C44523"/>
    <w:rsid w:val="00C44D62"/>
    <w:rsid w:val="00C459D0"/>
    <w:rsid w:val="00C459D1"/>
    <w:rsid w:val="00C45A86"/>
    <w:rsid w:val="00C45BB6"/>
    <w:rsid w:val="00C45E10"/>
    <w:rsid w:val="00C46A3E"/>
    <w:rsid w:val="00C47183"/>
    <w:rsid w:val="00C477ED"/>
    <w:rsid w:val="00C50220"/>
    <w:rsid w:val="00C5071D"/>
    <w:rsid w:val="00C50FA6"/>
    <w:rsid w:val="00C520DE"/>
    <w:rsid w:val="00C523E8"/>
    <w:rsid w:val="00C528F1"/>
    <w:rsid w:val="00C52B80"/>
    <w:rsid w:val="00C533C0"/>
    <w:rsid w:val="00C5369C"/>
    <w:rsid w:val="00C53941"/>
    <w:rsid w:val="00C53B9D"/>
    <w:rsid w:val="00C541AB"/>
    <w:rsid w:val="00C54252"/>
    <w:rsid w:val="00C54FE1"/>
    <w:rsid w:val="00C55107"/>
    <w:rsid w:val="00C55200"/>
    <w:rsid w:val="00C556A3"/>
    <w:rsid w:val="00C55E20"/>
    <w:rsid w:val="00C55ED5"/>
    <w:rsid w:val="00C56095"/>
    <w:rsid w:val="00C565C3"/>
    <w:rsid w:val="00C57C9D"/>
    <w:rsid w:val="00C603AF"/>
    <w:rsid w:val="00C60653"/>
    <w:rsid w:val="00C610EE"/>
    <w:rsid w:val="00C62625"/>
    <w:rsid w:val="00C628C3"/>
    <w:rsid w:val="00C62CA5"/>
    <w:rsid w:val="00C6326F"/>
    <w:rsid w:val="00C634EE"/>
    <w:rsid w:val="00C637CD"/>
    <w:rsid w:val="00C63B97"/>
    <w:rsid w:val="00C64317"/>
    <w:rsid w:val="00C64B31"/>
    <w:rsid w:val="00C64DB8"/>
    <w:rsid w:val="00C6551C"/>
    <w:rsid w:val="00C65EE9"/>
    <w:rsid w:val="00C65F9C"/>
    <w:rsid w:val="00C66436"/>
    <w:rsid w:val="00C669F8"/>
    <w:rsid w:val="00C66AA4"/>
    <w:rsid w:val="00C67D0E"/>
    <w:rsid w:val="00C67D37"/>
    <w:rsid w:val="00C67EB4"/>
    <w:rsid w:val="00C7033B"/>
    <w:rsid w:val="00C70CAB"/>
    <w:rsid w:val="00C717D3"/>
    <w:rsid w:val="00C720B7"/>
    <w:rsid w:val="00C72681"/>
    <w:rsid w:val="00C72F52"/>
    <w:rsid w:val="00C737B8"/>
    <w:rsid w:val="00C74C88"/>
    <w:rsid w:val="00C75249"/>
    <w:rsid w:val="00C75515"/>
    <w:rsid w:val="00C75561"/>
    <w:rsid w:val="00C76684"/>
    <w:rsid w:val="00C76ACE"/>
    <w:rsid w:val="00C77D19"/>
    <w:rsid w:val="00C80860"/>
    <w:rsid w:val="00C81FFA"/>
    <w:rsid w:val="00C82C34"/>
    <w:rsid w:val="00C83DF0"/>
    <w:rsid w:val="00C844CC"/>
    <w:rsid w:val="00C8582C"/>
    <w:rsid w:val="00C85D18"/>
    <w:rsid w:val="00C86818"/>
    <w:rsid w:val="00C86831"/>
    <w:rsid w:val="00C868D6"/>
    <w:rsid w:val="00C8693F"/>
    <w:rsid w:val="00C871B5"/>
    <w:rsid w:val="00C87992"/>
    <w:rsid w:val="00C87D30"/>
    <w:rsid w:val="00C87DA3"/>
    <w:rsid w:val="00C9001C"/>
    <w:rsid w:val="00C902B3"/>
    <w:rsid w:val="00C9103C"/>
    <w:rsid w:val="00C9134A"/>
    <w:rsid w:val="00C92266"/>
    <w:rsid w:val="00C92EF1"/>
    <w:rsid w:val="00C93C03"/>
    <w:rsid w:val="00C93FAA"/>
    <w:rsid w:val="00C94B7E"/>
    <w:rsid w:val="00C95AE7"/>
    <w:rsid w:val="00C96FDC"/>
    <w:rsid w:val="00C975A2"/>
    <w:rsid w:val="00C97791"/>
    <w:rsid w:val="00C9781B"/>
    <w:rsid w:val="00CA1155"/>
    <w:rsid w:val="00CA13B6"/>
    <w:rsid w:val="00CA230E"/>
    <w:rsid w:val="00CA2DE1"/>
    <w:rsid w:val="00CA43FE"/>
    <w:rsid w:val="00CA4B06"/>
    <w:rsid w:val="00CA5724"/>
    <w:rsid w:val="00CA6F88"/>
    <w:rsid w:val="00CA7563"/>
    <w:rsid w:val="00CA788E"/>
    <w:rsid w:val="00CA7B3D"/>
    <w:rsid w:val="00CB01D7"/>
    <w:rsid w:val="00CB04C1"/>
    <w:rsid w:val="00CB051E"/>
    <w:rsid w:val="00CB0E83"/>
    <w:rsid w:val="00CB1733"/>
    <w:rsid w:val="00CB213F"/>
    <w:rsid w:val="00CB22AA"/>
    <w:rsid w:val="00CB251F"/>
    <w:rsid w:val="00CB2523"/>
    <w:rsid w:val="00CB2B13"/>
    <w:rsid w:val="00CB2B32"/>
    <w:rsid w:val="00CB3472"/>
    <w:rsid w:val="00CB34B0"/>
    <w:rsid w:val="00CB38C2"/>
    <w:rsid w:val="00CB3A28"/>
    <w:rsid w:val="00CB408C"/>
    <w:rsid w:val="00CB4AD0"/>
    <w:rsid w:val="00CB4C31"/>
    <w:rsid w:val="00CB6224"/>
    <w:rsid w:val="00CB6692"/>
    <w:rsid w:val="00CB6EF7"/>
    <w:rsid w:val="00CB75F5"/>
    <w:rsid w:val="00CB787D"/>
    <w:rsid w:val="00CC0293"/>
    <w:rsid w:val="00CC039F"/>
    <w:rsid w:val="00CC1FB9"/>
    <w:rsid w:val="00CC1FD9"/>
    <w:rsid w:val="00CC278D"/>
    <w:rsid w:val="00CC3110"/>
    <w:rsid w:val="00CC3ADF"/>
    <w:rsid w:val="00CC3EB3"/>
    <w:rsid w:val="00CC3F4C"/>
    <w:rsid w:val="00CC4169"/>
    <w:rsid w:val="00CC4525"/>
    <w:rsid w:val="00CC4BE9"/>
    <w:rsid w:val="00CC5B28"/>
    <w:rsid w:val="00CC5D8D"/>
    <w:rsid w:val="00CC62E6"/>
    <w:rsid w:val="00CC7BBB"/>
    <w:rsid w:val="00CC7CE2"/>
    <w:rsid w:val="00CD1022"/>
    <w:rsid w:val="00CD12A0"/>
    <w:rsid w:val="00CD14B8"/>
    <w:rsid w:val="00CD1B90"/>
    <w:rsid w:val="00CD1C64"/>
    <w:rsid w:val="00CD2709"/>
    <w:rsid w:val="00CD3A64"/>
    <w:rsid w:val="00CD3BA3"/>
    <w:rsid w:val="00CD3BDF"/>
    <w:rsid w:val="00CD43E4"/>
    <w:rsid w:val="00CD514F"/>
    <w:rsid w:val="00CD5667"/>
    <w:rsid w:val="00CD5825"/>
    <w:rsid w:val="00CD6131"/>
    <w:rsid w:val="00CD640D"/>
    <w:rsid w:val="00CD6768"/>
    <w:rsid w:val="00CD6823"/>
    <w:rsid w:val="00CD6D55"/>
    <w:rsid w:val="00CD7C6B"/>
    <w:rsid w:val="00CE0C4F"/>
    <w:rsid w:val="00CE1240"/>
    <w:rsid w:val="00CE1F96"/>
    <w:rsid w:val="00CE3848"/>
    <w:rsid w:val="00CE3994"/>
    <w:rsid w:val="00CE422D"/>
    <w:rsid w:val="00CE4AC6"/>
    <w:rsid w:val="00CE4AD8"/>
    <w:rsid w:val="00CE50F5"/>
    <w:rsid w:val="00CE55A0"/>
    <w:rsid w:val="00CE67CE"/>
    <w:rsid w:val="00CE7506"/>
    <w:rsid w:val="00CE78A0"/>
    <w:rsid w:val="00CE7DE1"/>
    <w:rsid w:val="00CF06D3"/>
    <w:rsid w:val="00CF0A3B"/>
    <w:rsid w:val="00CF0D6E"/>
    <w:rsid w:val="00CF0DF7"/>
    <w:rsid w:val="00CF271D"/>
    <w:rsid w:val="00CF31B4"/>
    <w:rsid w:val="00CF38A7"/>
    <w:rsid w:val="00CF3AF6"/>
    <w:rsid w:val="00CF3FFD"/>
    <w:rsid w:val="00CF43C4"/>
    <w:rsid w:val="00CF5644"/>
    <w:rsid w:val="00CF5B47"/>
    <w:rsid w:val="00CF5DFE"/>
    <w:rsid w:val="00CF6304"/>
    <w:rsid w:val="00CF75E2"/>
    <w:rsid w:val="00D01141"/>
    <w:rsid w:val="00D013ED"/>
    <w:rsid w:val="00D01631"/>
    <w:rsid w:val="00D01A3B"/>
    <w:rsid w:val="00D01F28"/>
    <w:rsid w:val="00D02493"/>
    <w:rsid w:val="00D03110"/>
    <w:rsid w:val="00D03207"/>
    <w:rsid w:val="00D03524"/>
    <w:rsid w:val="00D04201"/>
    <w:rsid w:val="00D059BA"/>
    <w:rsid w:val="00D06874"/>
    <w:rsid w:val="00D06C30"/>
    <w:rsid w:val="00D071FF"/>
    <w:rsid w:val="00D10A12"/>
    <w:rsid w:val="00D1189C"/>
    <w:rsid w:val="00D122C6"/>
    <w:rsid w:val="00D1238A"/>
    <w:rsid w:val="00D1285D"/>
    <w:rsid w:val="00D13B65"/>
    <w:rsid w:val="00D13D8E"/>
    <w:rsid w:val="00D140C6"/>
    <w:rsid w:val="00D14119"/>
    <w:rsid w:val="00D14678"/>
    <w:rsid w:val="00D14905"/>
    <w:rsid w:val="00D14D0C"/>
    <w:rsid w:val="00D15017"/>
    <w:rsid w:val="00D151DD"/>
    <w:rsid w:val="00D1540F"/>
    <w:rsid w:val="00D15BDA"/>
    <w:rsid w:val="00D16574"/>
    <w:rsid w:val="00D16577"/>
    <w:rsid w:val="00D16A34"/>
    <w:rsid w:val="00D16D7E"/>
    <w:rsid w:val="00D1768F"/>
    <w:rsid w:val="00D202BD"/>
    <w:rsid w:val="00D203E7"/>
    <w:rsid w:val="00D205BA"/>
    <w:rsid w:val="00D205D2"/>
    <w:rsid w:val="00D212C3"/>
    <w:rsid w:val="00D215E0"/>
    <w:rsid w:val="00D2173F"/>
    <w:rsid w:val="00D21924"/>
    <w:rsid w:val="00D21A57"/>
    <w:rsid w:val="00D21A5E"/>
    <w:rsid w:val="00D22200"/>
    <w:rsid w:val="00D2223D"/>
    <w:rsid w:val="00D22A53"/>
    <w:rsid w:val="00D22DA2"/>
    <w:rsid w:val="00D23F2A"/>
    <w:rsid w:val="00D241F9"/>
    <w:rsid w:val="00D2546D"/>
    <w:rsid w:val="00D25CD3"/>
    <w:rsid w:val="00D27A0A"/>
    <w:rsid w:val="00D27AB6"/>
    <w:rsid w:val="00D27BDD"/>
    <w:rsid w:val="00D27BF0"/>
    <w:rsid w:val="00D3056C"/>
    <w:rsid w:val="00D305DE"/>
    <w:rsid w:val="00D306E0"/>
    <w:rsid w:val="00D30BAC"/>
    <w:rsid w:val="00D312BC"/>
    <w:rsid w:val="00D313DA"/>
    <w:rsid w:val="00D32AEA"/>
    <w:rsid w:val="00D32CE2"/>
    <w:rsid w:val="00D332BD"/>
    <w:rsid w:val="00D3371A"/>
    <w:rsid w:val="00D33747"/>
    <w:rsid w:val="00D33974"/>
    <w:rsid w:val="00D34095"/>
    <w:rsid w:val="00D345C4"/>
    <w:rsid w:val="00D3529C"/>
    <w:rsid w:val="00D35CBF"/>
    <w:rsid w:val="00D35E4F"/>
    <w:rsid w:val="00D3690E"/>
    <w:rsid w:val="00D36A76"/>
    <w:rsid w:val="00D36C05"/>
    <w:rsid w:val="00D37086"/>
    <w:rsid w:val="00D372FD"/>
    <w:rsid w:val="00D37BC1"/>
    <w:rsid w:val="00D4049A"/>
    <w:rsid w:val="00D40B59"/>
    <w:rsid w:val="00D4274D"/>
    <w:rsid w:val="00D4316C"/>
    <w:rsid w:val="00D43AC2"/>
    <w:rsid w:val="00D466AC"/>
    <w:rsid w:val="00D4701F"/>
    <w:rsid w:val="00D47829"/>
    <w:rsid w:val="00D47D5A"/>
    <w:rsid w:val="00D50AF2"/>
    <w:rsid w:val="00D514D4"/>
    <w:rsid w:val="00D516BD"/>
    <w:rsid w:val="00D52261"/>
    <w:rsid w:val="00D5271D"/>
    <w:rsid w:val="00D53794"/>
    <w:rsid w:val="00D54681"/>
    <w:rsid w:val="00D54BD9"/>
    <w:rsid w:val="00D5507F"/>
    <w:rsid w:val="00D556AD"/>
    <w:rsid w:val="00D55FEA"/>
    <w:rsid w:val="00D5626E"/>
    <w:rsid w:val="00D56DE4"/>
    <w:rsid w:val="00D57841"/>
    <w:rsid w:val="00D57A67"/>
    <w:rsid w:val="00D57DFB"/>
    <w:rsid w:val="00D6016E"/>
    <w:rsid w:val="00D6102B"/>
    <w:rsid w:val="00D614FC"/>
    <w:rsid w:val="00D619A2"/>
    <w:rsid w:val="00D61A90"/>
    <w:rsid w:val="00D6243D"/>
    <w:rsid w:val="00D63C00"/>
    <w:rsid w:val="00D64E56"/>
    <w:rsid w:val="00D64FED"/>
    <w:rsid w:val="00D652C1"/>
    <w:rsid w:val="00D65349"/>
    <w:rsid w:val="00D662C8"/>
    <w:rsid w:val="00D66946"/>
    <w:rsid w:val="00D66DB5"/>
    <w:rsid w:val="00D67294"/>
    <w:rsid w:val="00D6793F"/>
    <w:rsid w:val="00D67CB3"/>
    <w:rsid w:val="00D707DF"/>
    <w:rsid w:val="00D7110F"/>
    <w:rsid w:val="00D71F81"/>
    <w:rsid w:val="00D721DA"/>
    <w:rsid w:val="00D72A0A"/>
    <w:rsid w:val="00D72A17"/>
    <w:rsid w:val="00D72E52"/>
    <w:rsid w:val="00D738A0"/>
    <w:rsid w:val="00D744B3"/>
    <w:rsid w:val="00D745B8"/>
    <w:rsid w:val="00D74A92"/>
    <w:rsid w:val="00D74B4F"/>
    <w:rsid w:val="00D74CA0"/>
    <w:rsid w:val="00D75058"/>
    <w:rsid w:val="00D7517C"/>
    <w:rsid w:val="00D7552D"/>
    <w:rsid w:val="00D7658F"/>
    <w:rsid w:val="00D76981"/>
    <w:rsid w:val="00D76BBD"/>
    <w:rsid w:val="00D7751C"/>
    <w:rsid w:val="00D80A7D"/>
    <w:rsid w:val="00D81041"/>
    <w:rsid w:val="00D81D7B"/>
    <w:rsid w:val="00D81E01"/>
    <w:rsid w:val="00D81E7C"/>
    <w:rsid w:val="00D82B86"/>
    <w:rsid w:val="00D835D2"/>
    <w:rsid w:val="00D8388C"/>
    <w:rsid w:val="00D83D6B"/>
    <w:rsid w:val="00D8411D"/>
    <w:rsid w:val="00D84F59"/>
    <w:rsid w:val="00D85D68"/>
    <w:rsid w:val="00D86512"/>
    <w:rsid w:val="00D86BE5"/>
    <w:rsid w:val="00D86C2A"/>
    <w:rsid w:val="00D870D8"/>
    <w:rsid w:val="00D87670"/>
    <w:rsid w:val="00D90067"/>
    <w:rsid w:val="00D90203"/>
    <w:rsid w:val="00D90229"/>
    <w:rsid w:val="00D90600"/>
    <w:rsid w:val="00D90AA1"/>
    <w:rsid w:val="00D90CC1"/>
    <w:rsid w:val="00D90E64"/>
    <w:rsid w:val="00D90F2D"/>
    <w:rsid w:val="00D90F67"/>
    <w:rsid w:val="00D910BC"/>
    <w:rsid w:val="00D911D2"/>
    <w:rsid w:val="00D912D2"/>
    <w:rsid w:val="00D912DA"/>
    <w:rsid w:val="00D9141A"/>
    <w:rsid w:val="00D921D7"/>
    <w:rsid w:val="00D926B4"/>
    <w:rsid w:val="00D92D24"/>
    <w:rsid w:val="00D931D7"/>
    <w:rsid w:val="00D93467"/>
    <w:rsid w:val="00D93CB6"/>
    <w:rsid w:val="00D94111"/>
    <w:rsid w:val="00D94590"/>
    <w:rsid w:val="00D945FE"/>
    <w:rsid w:val="00D96400"/>
    <w:rsid w:val="00D96AA8"/>
    <w:rsid w:val="00D96C88"/>
    <w:rsid w:val="00D975EA"/>
    <w:rsid w:val="00D97CDE"/>
    <w:rsid w:val="00DA04AB"/>
    <w:rsid w:val="00DA0E4D"/>
    <w:rsid w:val="00DA1CC6"/>
    <w:rsid w:val="00DA1D6D"/>
    <w:rsid w:val="00DA2C23"/>
    <w:rsid w:val="00DA2E1C"/>
    <w:rsid w:val="00DA2E79"/>
    <w:rsid w:val="00DA3C37"/>
    <w:rsid w:val="00DA3CB5"/>
    <w:rsid w:val="00DA4480"/>
    <w:rsid w:val="00DA480F"/>
    <w:rsid w:val="00DA58B6"/>
    <w:rsid w:val="00DA5F9B"/>
    <w:rsid w:val="00DA64F2"/>
    <w:rsid w:val="00DA684D"/>
    <w:rsid w:val="00DA6CB5"/>
    <w:rsid w:val="00DA707D"/>
    <w:rsid w:val="00DA70BC"/>
    <w:rsid w:val="00DA7B9E"/>
    <w:rsid w:val="00DB0530"/>
    <w:rsid w:val="00DB3A0E"/>
    <w:rsid w:val="00DB4A61"/>
    <w:rsid w:val="00DB4C1E"/>
    <w:rsid w:val="00DB5996"/>
    <w:rsid w:val="00DB7273"/>
    <w:rsid w:val="00DB798F"/>
    <w:rsid w:val="00DB7A0D"/>
    <w:rsid w:val="00DB7B3F"/>
    <w:rsid w:val="00DC003F"/>
    <w:rsid w:val="00DC04D6"/>
    <w:rsid w:val="00DC06A0"/>
    <w:rsid w:val="00DC0801"/>
    <w:rsid w:val="00DC0DF0"/>
    <w:rsid w:val="00DC0F66"/>
    <w:rsid w:val="00DC1038"/>
    <w:rsid w:val="00DC1215"/>
    <w:rsid w:val="00DC1238"/>
    <w:rsid w:val="00DC15B9"/>
    <w:rsid w:val="00DC1CD9"/>
    <w:rsid w:val="00DC1F5A"/>
    <w:rsid w:val="00DC23ED"/>
    <w:rsid w:val="00DC40B5"/>
    <w:rsid w:val="00DC4580"/>
    <w:rsid w:val="00DC4CB9"/>
    <w:rsid w:val="00DC4ED0"/>
    <w:rsid w:val="00DC4FEF"/>
    <w:rsid w:val="00DC5043"/>
    <w:rsid w:val="00DC548F"/>
    <w:rsid w:val="00DC5B26"/>
    <w:rsid w:val="00DC630F"/>
    <w:rsid w:val="00DC6524"/>
    <w:rsid w:val="00DC6725"/>
    <w:rsid w:val="00DC786B"/>
    <w:rsid w:val="00DD0A97"/>
    <w:rsid w:val="00DD146F"/>
    <w:rsid w:val="00DD229F"/>
    <w:rsid w:val="00DD3C0C"/>
    <w:rsid w:val="00DD5011"/>
    <w:rsid w:val="00DD51FE"/>
    <w:rsid w:val="00DD6B85"/>
    <w:rsid w:val="00DD795E"/>
    <w:rsid w:val="00DE0BFE"/>
    <w:rsid w:val="00DE115F"/>
    <w:rsid w:val="00DE1839"/>
    <w:rsid w:val="00DE1A64"/>
    <w:rsid w:val="00DE22A6"/>
    <w:rsid w:val="00DE2534"/>
    <w:rsid w:val="00DE2A67"/>
    <w:rsid w:val="00DE330C"/>
    <w:rsid w:val="00DE353D"/>
    <w:rsid w:val="00DE3FF2"/>
    <w:rsid w:val="00DE4BC8"/>
    <w:rsid w:val="00DE5693"/>
    <w:rsid w:val="00DE6513"/>
    <w:rsid w:val="00DE7996"/>
    <w:rsid w:val="00DE7A47"/>
    <w:rsid w:val="00DF0049"/>
    <w:rsid w:val="00DF0BF5"/>
    <w:rsid w:val="00DF1138"/>
    <w:rsid w:val="00DF1401"/>
    <w:rsid w:val="00DF14C2"/>
    <w:rsid w:val="00DF1C25"/>
    <w:rsid w:val="00DF3163"/>
    <w:rsid w:val="00DF3512"/>
    <w:rsid w:val="00DF3A88"/>
    <w:rsid w:val="00DF4101"/>
    <w:rsid w:val="00DF46A7"/>
    <w:rsid w:val="00DF4F30"/>
    <w:rsid w:val="00DF4F64"/>
    <w:rsid w:val="00DF52BE"/>
    <w:rsid w:val="00DF5DEF"/>
    <w:rsid w:val="00DF6A4E"/>
    <w:rsid w:val="00DF6CDD"/>
    <w:rsid w:val="00E0001B"/>
    <w:rsid w:val="00E0022A"/>
    <w:rsid w:val="00E003A8"/>
    <w:rsid w:val="00E018D0"/>
    <w:rsid w:val="00E02037"/>
    <w:rsid w:val="00E028DA"/>
    <w:rsid w:val="00E0317A"/>
    <w:rsid w:val="00E03656"/>
    <w:rsid w:val="00E03A32"/>
    <w:rsid w:val="00E03C05"/>
    <w:rsid w:val="00E03C4F"/>
    <w:rsid w:val="00E0431B"/>
    <w:rsid w:val="00E04350"/>
    <w:rsid w:val="00E04DAC"/>
    <w:rsid w:val="00E05592"/>
    <w:rsid w:val="00E059DD"/>
    <w:rsid w:val="00E06181"/>
    <w:rsid w:val="00E06938"/>
    <w:rsid w:val="00E0696E"/>
    <w:rsid w:val="00E06A61"/>
    <w:rsid w:val="00E06ACA"/>
    <w:rsid w:val="00E074E5"/>
    <w:rsid w:val="00E07792"/>
    <w:rsid w:val="00E07B62"/>
    <w:rsid w:val="00E101E9"/>
    <w:rsid w:val="00E104CF"/>
    <w:rsid w:val="00E10E9F"/>
    <w:rsid w:val="00E11525"/>
    <w:rsid w:val="00E126B5"/>
    <w:rsid w:val="00E12857"/>
    <w:rsid w:val="00E12F71"/>
    <w:rsid w:val="00E13379"/>
    <w:rsid w:val="00E133A8"/>
    <w:rsid w:val="00E134E9"/>
    <w:rsid w:val="00E14A26"/>
    <w:rsid w:val="00E14F04"/>
    <w:rsid w:val="00E151CB"/>
    <w:rsid w:val="00E15E8C"/>
    <w:rsid w:val="00E163C0"/>
    <w:rsid w:val="00E169B1"/>
    <w:rsid w:val="00E16F49"/>
    <w:rsid w:val="00E17091"/>
    <w:rsid w:val="00E173F9"/>
    <w:rsid w:val="00E17D69"/>
    <w:rsid w:val="00E208F6"/>
    <w:rsid w:val="00E20D95"/>
    <w:rsid w:val="00E215E9"/>
    <w:rsid w:val="00E22448"/>
    <w:rsid w:val="00E22CB8"/>
    <w:rsid w:val="00E24145"/>
    <w:rsid w:val="00E241F1"/>
    <w:rsid w:val="00E253D2"/>
    <w:rsid w:val="00E25669"/>
    <w:rsid w:val="00E25E63"/>
    <w:rsid w:val="00E27C49"/>
    <w:rsid w:val="00E27E1F"/>
    <w:rsid w:val="00E301F8"/>
    <w:rsid w:val="00E30343"/>
    <w:rsid w:val="00E306E8"/>
    <w:rsid w:val="00E319DC"/>
    <w:rsid w:val="00E31AE8"/>
    <w:rsid w:val="00E32249"/>
    <w:rsid w:val="00E32678"/>
    <w:rsid w:val="00E33348"/>
    <w:rsid w:val="00E3408E"/>
    <w:rsid w:val="00E344A9"/>
    <w:rsid w:val="00E345E5"/>
    <w:rsid w:val="00E348A1"/>
    <w:rsid w:val="00E35689"/>
    <w:rsid w:val="00E3601C"/>
    <w:rsid w:val="00E36700"/>
    <w:rsid w:val="00E367B1"/>
    <w:rsid w:val="00E36D99"/>
    <w:rsid w:val="00E3789C"/>
    <w:rsid w:val="00E37F57"/>
    <w:rsid w:val="00E40176"/>
    <w:rsid w:val="00E4072F"/>
    <w:rsid w:val="00E40CE1"/>
    <w:rsid w:val="00E410EF"/>
    <w:rsid w:val="00E41203"/>
    <w:rsid w:val="00E414CA"/>
    <w:rsid w:val="00E4151D"/>
    <w:rsid w:val="00E41C4D"/>
    <w:rsid w:val="00E41E9A"/>
    <w:rsid w:val="00E420C3"/>
    <w:rsid w:val="00E42D61"/>
    <w:rsid w:val="00E43874"/>
    <w:rsid w:val="00E44540"/>
    <w:rsid w:val="00E4491B"/>
    <w:rsid w:val="00E44C18"/>
    <w:rsid w:val="00E46086"/>
    <w:rsid w:val="00E46144"/>
    <w:rsid w:val="00E46237"/>
    <w:rsid w:val="00E469B9"/>
    <w:rsid w:val="00E47673"/>
    <w:rsid w:val="00E47848"/>
    <w:rsid w:val="00E50C61"/>
    <w:rsid w:val="00E51AEB"/>
    <w:rsid w:val="00E521A5"/>
    <w:rsid w:val="00E5247D"/>
    <w:rsid w:val="00E52529"/>
    <w:rsid w:val="00E5268D"/>
    <w:rsid w:val="00E5325B"/>
    <w:rsid w:val="00E53E23"/>
    <w:rsid w:val="00E53E3C"/>
    <w:rsid w:val="00E53FA0"/>
    <w:rsid w:val="00E5461B"/>
    <w:rsid w:val="00E546AC"/>
    <w:rsid w:val="00E54ECB"/>
    <w:rsid w:val="00E54FB6"/>
    <w:rsid w:val="00E55235"/>
    <w:rsid w:val="00E553A6"/>
    <w:rsid w:val="00E5577B"/>
    <w:rsid w:val="00E55BFD"/>
    <w:rsid w:val="00E56366"/>
    <w:rsid w:val="00E57012"/>
    <w:rsid w:val="00E570CB"/>
    <w:rsid w:val="00E5752A"/>
    <w:rsid w:val="00E60060"/>
    <w:rsid w:val="00E60686"/>
    <w:rsid w:val="00E608AE"/>
    <w:rsid w:val="00E61126"/>
    <w:rsid w:val="00E628B9"/>
    <w:rsid w:val="00E629B1"/>
    <w:rsid w:val="00E62F92"/>
    <w:rsid w:val="00E63477"/>
    <w:rsid w:val="00E6374A"/>
    <w:rsid w:val="00E63D65"/>
    <w:rsid w:val="00E644E7"/>
    <w:rsid w:val="00E6472D"/>
    <w:rsid w:val="00E6505F"/>
    <w:rsid w:val="00E65A09"/>
    <w:rsid w:val="00E66516"/>
    <w:rsid w:val="00E66720"/>
    <w:rsid w:val="00E6689F"/>
    <w:rsid w:val="00E668AF"/>
    <w:rsid w:val="00E66AD3"/>
    <w:rsid w:val="00E66F09"/>
    <w:rsid w:val="00E67511"/>
    <w:rsid w:val="00E677A7"/>
    <w:rsid w:val="00E67B86"/>
    <w:rsid w:val="00E67E07"/>
    <w:rsid w:val="00E67E85"/>
    <w:rsid w:val="00E67F1E"/>
    <w:rsid w:val="00E70C5B"/>
    <w:rsid w:val="00E70EF9"/>
    <w:rsid w:val="00E717D5"/>
    <w:rsid w:val="00E71946"/>
    <w:rsid w:val="00E71A7C"/>
    <w:rsid w:val="00E71D23"/>
    <w:rsid w:val="00E72373"/>
    <w:rsid w:val="00E72929"/>
    <w:rsid w:val="00E72E72"/>
    <w:rsid w:val="00E72F0F"/>
    <w:rsid w:val="00E73896"/>
    <w:rsid w:val="00E73DD3"/>
    <w:rsid w:val="00E74165"/>
    <w:rsid w:val="00E744F2"/>
    <w:rsid w:val="00E74EC3"/>
    <w:rsid w:val="00E74FE1"/>
    <w:rsid w:val="00E75026"/>
    <w:rsid w:val="00E75679"/>
    <w:rsid w:val="00E75B5C"/>
    <w:rsid w:val="00E76349"/>
    <w:rsid w:val="00E76C65"/>
    <w:rsid w:val="00E76FB8"/>
    <w:rsid w:val="00E77281"/>
    <w:rsid w:val="00E77472"/>
    <w:rsid w:val="00E812E3"/>
    <w:rsid w:val="00E81484"/>
    <w:rsid w:val="00E816B1"/>
    <w:rsid w:val="00E82F42"/>
    <w:rsid w:val="00E83A41"/>
    <w:rsid w:val="00E83CBE"/>
    <w:rsid w:val="00E83E17"/>
    <w:rsid w:val="00E8428C"/>
    <w:rsid w:val="00E844EF"/>
    <w:rsid w:val="00E84937"/>
    <w:rsid w:val="00E84E63"/>
    <w:rsid w:val="00E85A33"/>
    <w:rsid w:val="00E85C6C"/>
    <w:rsid w:val="00E86164"/>
    <w:rsid w:val="00E86620"/>
    <w:rsid w:val="00E86CBD"/>
    <w:rsid w:val="00E87007"/>
    <w:rsid w:val="00E87448"/>
    <w:rsid w:val="00E879B4"/>
    <w:rsid w:val="00E901FE"/>
    <w:rsid w:val="00E90398"/>
    <w:rsid w:val="00E90918"/>
    <w:rsid w:val="00E90D54"/>
    <w:rsid w:val="00E912D2"/>
    <w:rsid w:val="00E9203A"/>
    <w:rsid w:val="00E934D8"/>
    <w:rsid w:val="00E94177"/>
    <w:rsid w:val="00E942AF"/>
    <w:rsid w:val="00E948B0"/>
    <w:rsid w:val="00E950A0"/>
    <w:rsid w:val="00E960E5"/>
    <w:rsid w:val="00E96111"/>
    <w:rsid w:val="00E9669F"/>
    <w:rsid w:val="00E97396"/>
    <w:rsid w:val="00E97462"/>
    <w:rsid w:val="00E97987"/>
    <w:rsid w:val="00EA054D"/>
    <w:rsid w:val="00EA0894"/>
    <w:rsid w:val="00EA0F05"/>
    <w:rsid w:val="00EA1318"/>
    <w:rsid w:val="00EA13DB"/>
    <w:rsid w:val="00EA1C5D"/>
    <w:rsid w:val="00EA243D"/>
    <w:rsid w:val="00EA252B"/>
    <w:rsid w:val="00EA2A48"/>
    <w:rsid w:val="00EA2B26"/>
    <w:rsid w:val="00EA3748"/>
    <w:rsid w:val="00EA51BD"/>
    <w:rsid w:val="00EA58DE"/>
    <w:rsid w:val="00EA6D30"/>
    <w:rsid w:val="00EA6E62"/>
    <w:rsid w:val="00EA7AB8"/>
    <w:rsid w:val="00EA7EA8"/>
    <w:rsid w:val="00EB027F"/>
    <w:rsid w:val="00EB09D3"/>
    <w:rsid w:val="00EB0BE9"/>
    <w:rsid w:val="00EB111E"/>
    <w:rsid w:val="00EB2C27"/>
    <w:rsid w:val="00EB33DE"/>
    <w:rsid w:val="00EB3A73"/>
    <w:rsid w:val="00EB3AF0"/>
    <w:rsid w:val="00EB3D2D"/>
    <w:rsid w:val="00EB41B0"/>
    <w:rsid w:val="00EB4381"/>
    <w:rsid w:val="00EB4CD2"/>
    <w:rsid w:val="00EB4F90"/>
    <w:rsid w:val="00EB5270"/>
    <w:rsid w:val="00EB7E2F"/>
    <w:rsid w:val="00EC0CA9"/>
    <w:rsid w:val="00EC2717"/>
    <w:rsid w:val="00EC28BA"/>
    <w:rsid w:val="00EC2B7F"/>
    <w:rsid w:val="00EC310E"/>
    <w:rsid w:val="00EC33E0"/>
    <w:rsid w:val="00EC3D6E"/>
    <w:rsid w:val="00EC4753"/>
    <w:rsid w:val="00EC4B1A"/>
    <w:rsid w:val="00EC4B3C"/>
    <w:rsid w:val="00EC4E70"/>
    <w:rsid w:val="00EC64D9"/>
    <w:rsid w:val="00EC6BCF"/>
    <w:rsid w:val="00EC6D25"/>
    <w:rsid w:val="00EC6D33"/>
    <w:rsid w:val="00EC7021"/>
    <w:rsid w:val="00EC74CC"/>
    <w:rsid w:val="00EC76BC"/>
    <w:rsid w:val="00ED03FC"/>
    <w:rsid w:val="00ED07B5"/>
    <w:rsid w:val="00ED0C38"/>
    <w:rsid w:val="00ED1086"/>
    <w:rsid w:val="00ED111A"/>
    <w:rsid w:val="00ED135F"/>
    <w:rsid w:val="00ED15E8"/>
    <w:rsid w:val="00ED269E"/>
    <w:rsid w:val="00ED2B7A"/>
    <w:rsid w:val="00ED2DA7"/>
    <w:rsid w:val="00ED341C"/>
    <w:rsid w:val="00ED3523"/>
    <w:rsid w:val="00ED41CE"/>
    <w:rsid w:val="00ED477B"/>
    <w:rsid w:val="00ED4BC2"/>
    <w:rsid w:val="00ED5AC2"/>
    <w:rsid w:val="00ED5DC4"/>
    <w:rsid w:val="00ED6729"/>
    <w:rsid w:val="00EE02F8"/>
    <w:rsid w:val="00EE1246"/>
    <w:rsid w:val="00EE14E3"/>
    <w:rsid w:val="00EE1514"/>
    <w:rsid w:val="00EE1CD1"/>
    <w:rsid w:val="00EE233D"/>
    <w:rsid w:val="00EE2643"/>
    <w:rsid w:val="00EE27A6"/>
    <w:rsid w:val="00EE2845"/>
    <w:rsid w:val="00EE2ADC"/>
    <w:rsid w:val="00EE33B1"/>
    <w:rsid w:val="00EE38A4"/>
    <w:rsid w:val="00EE3BDF"/>
    <w:rsid w:val="00EE3E79"/>
    <w:rsid w:val="00EE446A"/>
    <w:rsid w:val="00EE4FDB"/>
    <w:rsid w:val="00EE6A55"/>
    <w:rsid w:val="00EE6B4F"/>
    <w:rsid w:val="00EE6CE3"/>
    <w:rsid w:val="00EE74A1"/>
    <w:rsid w:val="00EE7AEE"/>
    <w:rsid w:val="00EE7BA0"/>
    <w:rsid w:val="00EF00D7"/>
    <w:rsid w:val="00EF0790"/>
    <w:rsid w:val="00EF2DA1"/>
    <w:rsid w:val="00EF2F49"/>
    <w:rsid w:val="00EF3938"/>
    <w:rsid w:val="00EF4F02"/>
    <w:rsid w:val="00EF62B9"/>
    <w:rsid w:val="00EF6354"/>
    <w:rsid w:val="00EF6BF5"/>
    <w:rsid w:val="00EF79B1"/>
    <w:rsid w:val="00EF7A5F"/>
    <w:rsid w:val="00EF7F5E"/>
    <w:rsid w:val="00F00737"/>
    <w:rsid w:val="00F0094C"/>
    <w:rsid w:val="00F00E3D"/>
    <w:rsid w:val="00F01896"/>
    <w:rsid w:val="00F01DC6"/>
    <w:rsid w:val="00F02137"/>
    <w:rsid w:val="00F022F4"/>
    <w:rsid w:val="00F02850"/>
    <w:rsid w:val="00F02C9E"/>
    <w:rsid w:val="00F0309B"/>
    <w:rsid w:val="00F05714"/>
    <w:rsid w:val="00F06C75"/>
    <w:rsid w:val="00F07107"/>
    <w:rsid w:val="00F07562"/>
    <w:rsid w:val="00F079D3"/>
    <w:rsid w:val="00F07AF6"/>
    <w:rsid w:val="00F07EF5"/>
    <w:rsid w:val="00F1195C"/>
    <w:rsid w:val="00F11E02"/>
    <w:rsid w:val="00F1243D"/>
    <w:rsid w:val="00F12761"/>
    <w:rsid w:val="00F12DD0"/>
    <w:rsid w:val="00F12FA5"/>
    <w:rsid w:val="00F1373A"/>
    <w:rsid w:val="00F14597"/>
    <w:rsid w:val="00F14886"/>
    <w:rsid w:val="00F14B65"/>
    <w:rsid w:val="00F15521"/>
    <w:rsid w:val="00F158ED"/>
    <w:rsid w:val="00F1655F"/>
    <w:rsid w:val="00F16F32"/>
    <w:rsid w:val="00F20236"/>
    <w:rsid w:val="00F20E0B"/>
    <w:rsid w:val="00F20E94"/>
    <w:rsid w:val="00F21323"/>
    <w:rsid w:val="00F219BC"/>
    <w:rsid w:val="00F21BAD"/>
    <w:rsid w:val="00F21F0D"/>
    <w:rsid w:val="00F22E37"/>
    <w:rsid w:val="00F23306"/>
    <w:rsid w:val="00F243DA"/>
    <w:rsid w:val="00F2457A"/>
    <w:rsid w:val="00F24605"/>
    <w:rsid w:val="00F24C33"/>
    <w:rsid w:val="00F2520B"/>
    <w:rsid w:val="00F2537E"/>
    <w:rsid w:val="00F2631E"/>
    <w:rsid w:val="00F264CA"/>
    <w:rsid w:val="00F26600"/>
    <w:rsid w:val="00F26C00"/>
    <w:rsid w:val="00F300EB"/>
    <w:rsid w:val="00F30C2D"/>
    <w:rsid w:val="00F312A4"/>
    <w:rsid w:val="00F31D3E"/>
    <w:rsid w:val="00F321F5"/>
    <w:rsid w:val="00F3245E"/>
    <w:rsid w:val="00F32B27"/>
    <w:rsid w:val="00F32FD2"/>
    <w:rsid w:val="00F3352A"/>
    <w:rsid w:val="00F3375E"/>
    <w:rsid w:val="00F33FBA"/>
    <w:rsid w:val="00F3402D"/>
    <w:rsid w:val="00F34344"/>
    <w:rsid w:val="00F35DD1"/>
    <w:rsid w:val="00F35E34"/>
    <w:rsid w:val="00F36417"/>
    <w:rsid w:val="00F36AC1"/>
    <w:rsid w:val="00F370B4"/>
    <w:rsid w:val="00F37270"/>
    <w:rsid w:val="00F373CF"/>
    <w:rsid w:val="00F37A65"/>
    <w:rsid w:val="00F40045"/>
    <w:rsid w:val="00F41497"/>
    <w:rsid w:val="00F41817"/>
    <w:rsid w:val="00F41B37"/>
    <w:rsid w:val="00F41E06"/>
    <w:rsid w:val="00F4205E"/>
    <w:rsid w:val="00F42299"/>
    <w:rsid w:val="00F426E2"/>
    <w:rsid w:val="00F436A3"/>
    <w:rsid w:val="00F43BBA"/>
    <w:rsid w:val="00F43C0A"/>
    <w:rsid w:val="00F43F62"/>
    <w:rsid w:val="00F443B3"/>
    <w:rsid w:val="00F444D6"/>
    <w:rsid w:val="00F44F06"/>
    <w:rsid w:val="00F4524F"/>
    <w:rsid w:val="00F45436"/>
    <w:rsid w:val="00F45DB8"/>
    <w:rsid w:val="00F4602F"/>
    <w:rsid w:val="00F463F2"/>
    <w:rsid w:val="00F46C5E"/>
    <w:rsid w:val="00F46C95"/>
    <w:rsid w:val="00F46EA3"/>
    <w:rsid w:val="00F5003B"/>
    <w:rsid w:val="00F501B8"/>
    <w:rsid w:val="00F503C8"/>
    <w:rsid w:val="00F50430"/>
    <w:rsid w:val="00F5061F"/>
    <w:rsid w:val="00F510C2"/>
    <w:rsid w:val="00F5161F"/>
    <w:rsid w:val="00F52055"/>
    <w:rsid w:val="00F52CC2"/>
    <w:rsid w:val="00F52D76"/>
    <w:rsid w:val="00F53999"/>
    <w:rsid w:val="00F53F37"/>
    <w:rsid w:val="00F55D83"/>
    <w:rsid w:val="00F55ECE"/>
    <w:rsid w:val="00F562ED"/>
    <w:rsid w:val="00F5679C"/>
    <w:rsid w:val="00F57686"/>
    <w:rsid w:val="00F57934"/>
    <w:rsid w:val="00F57D69"/>
    <w:rsid w:val="00F601D0"/>
    <w:rsid w:val="00F6077B"/>
    <w:rsid w:val="00F61567"/>
    <w:rsid w:val="00F6255D"/>
    <w:rsid w:val="00F62A34"/>
    <w:rsid w:val="00F62CAC"/>
    <w:rsid w:val="00F62DE4"/>
    <w:rsid w:val="00F62FCF"/>
    <w:rsid w:val="00F63122"/>
    <w:rsid w:val="00F63794"/>
    <w:rsid w:val="00F64DA5"/>
    <w:rsid w:val="00F64EAE"/>
    <w:rsid w:val="00F65260"/>
    <w:rsid w:val="00F6530E"/>
    <w:rsid w:val="00F655D1"/>
    <w:rsid w:val="00F65A54"/>
    <w:rsid w:val="00F65CC0"/>
    <w:rsid w:val="00F65FB3"/>
    <w:rsid w:val="00F668B8"/>
    <w:rsid w:val="00F67CA3"/>
    <w:rsid w:val="00F67D4B"/>
    <w:rsid w:val="00F70FEA"/>
    <w:rsid w:val="00F713CE"/>
    <w:rsid w:val="00F7151E"/>
    <w:rsid w:val="00F72A3C"/>
    <w:rsid w:val="00F72D77"/>
    <w:rsid w:val="00F73023"/>
    <w:rsid w:val="00F73B1E"/>
    <w:rsid w:val="00F7433D"/>
    <w:rsid w:val="00F75AC1"/>
    <w:rsid w:val="00F7611E"/>
    <w:rsid w:val="00F767BA"/>
    <w:rsid w:val="00F76AAB"/>
    <w:rsid w:val="00F77105"/>
    <w:rsid w:val="00F77272"/>
    <w:rsid w:val="00F8085E"/>
    <w:rsid w:val="00F808BB"/>
    <w:rsid w:val="00F80918"/>
    <w:rsid w:val="00F81113"/>
    <w:rsid w:val="00F81197"/>
    <w:rsid w:val="00F81875"/>
    <w:rsid w:val="00F819EF"/>
    <w:rsid w:val="00F8254D"/>
    <w:rsid w:val="00F82C64"/>
    <w:rsid w:val="00F8311A"/>
    <w:rsid w:val="00F83B9C"/>
    <w:rsid w:val="00F83F9F"/>
    <w:rsid w:val="00F84ABF"/>
    <w:rsid w:val="00F85374"/>
    <w:rsid w:val="00F85404"/>
    <w:rsid w:val="00F854B6"/>
    <w:rsid w:val="00F86590"/>
    <w:rsid w:val="00F86A36"/>
    <w:rsid w:val="00F86A98"/>
    <w:rsid w:val="00F86BA7"/>
    <w:rsid w:val="00F87331"/>
    <w:rsid w:val="00F87C29"/>
    <w:rsid w:val="00F87D40"/>
    <w:rsid w:val="00F87DA9"/>
    <w:rsid w:val="00F90802"/>
    <w:rsid w:val="00F910F5"/>
    <w:rsid w:val="00F911B3"/>
    <w:rsid w:val="00F91371"/>
    <w:rsid w:val="00F91999"/>
    <w:rsid w:val="00F91A77"/>
    <w:rsid w:val="00F92153"/>
    <w:rsid w:val="00F9267A"/>
    <w:rsid w:val="00F926E4"/>
    <w:rsid w:val="00F930D1"/>
    <w:rsid w:val="00F9349D"/>
    <w:rsid w:val="00F94202"/>
    <w:rsid w:val="00F95953"/>
    <w:rsid w:val="00F96375"/>
    <w:rsid w:val="00F96D0A"/>
    <w:rsid w:val="00F96F7C"/>
    <w:rsid w:val="00F97F8C"/>
    <w:rsid w:val="00FA057A"/>
    <w:rsid w:val="00FA0A34"/>
    <w:rsid w:val="00FA0CAF"/>
    <w:rsid w:val="00FA0E69"/>
    <w:rsid w:val="00FA1181"/>
    <w:rsid w:val="00FA16AC"/>
    <w:rsid w:val="00FA1BD0"/>
    <w:rsid w:val="00FA252D"/>
    <w:rsid w:val="00FA271E"/>
    <w:rsid w:val="00FA27FA"/>
    <w:rsid w:val="00FA28DC"/>
    <w:rsid w:val="00FA3556"/>
    <w:rsid w:val="00FA39F7"/>
    <w:rsid w:val="00FA5590"/>
    <w:rsid w:val="00FA5798"/>
    <w:rsid w:val="00FA5B0F"/>
    <w:rsid w:val="00FA5FA2"/>
    <w:rsid w:val="00FA6287"/>
    <w:rsid w:val="00FA702E"/>
    <w:rsid w:val="00FA7662"/>
    <w:rsid w:val="00FA7EAD"/>
    <w:rsid w:val="00FB01BA"/>
    <w:rsid w:val="00FB07AF"/>
    <w:rsid w:val="00FB0B24"/>
    <w:rsid w:val="00FB181F"/>
    <w:rsid w:val="00FB23FA"/>
    <w:rsid w:val="00FB33DC"/>
    <w:rsid w:val="00FB3752"/>
    <w:rsid w:val="00FB37E3"/>
    <w:rsid w:val="00FB3B79"/>
    <w:rsid w:val="00FB493B"/>
    <w:rsid w:val="00FB4B7C"/>
    <w:rsid w:val="00FB4FC1"/>
    <w:rsid w:val="00FB54F9"/>
    <w:rsid w:val="00FB55FB"/>
    <w:rsid w:val="00FB6A11"/>
    <w:rsid w:val="00FC0FC9"/>
    <w:rsid w:val="00FC166C"/>
    <w:rsid w:val="00FC26A6"/>
    <w:rsid w:val="00FC2A31"/>
    <w:rsid w:val="00FC2A68"/>
    <w:rsid w:val="00FC2B6F"/>
    <w:rsid w:val="00FC3008"/>
    <w:rsid w:val="00FC318A"/>
    <w:rsid w:val="00FC32C7"/>
    <w:rsid w:val="00FC34F0"/>
    <w:rsid w:val="00FC3DBA"/>
    <w:rsid w:val="00FC4DB1"/>
    <w:rsid w:val="00FC5837"/>
    <w:rsid w:val="00FC5B51"/>
    <w:rsid w:val="00FC5FAC"/>
    <w:rsid w:val="00FC63EA"/>
    <w:rsid w:val="00FC65DE"/>
    <w:rsid w:val="00FC69EC"/>
    <w:rsid w:val="00FC7033"/>
    <w:rsid w:val="00FC7B75"/>
    <w:rsid w:val="00FD0743"/>
    <w:rsid w:val="00FD08C0"/>
    <w:rsid w:val="00FD0925"/>
    <w:rsid w:val="00FD10B1"/>
    <w:rsid w:val="00FD5404"/>
    <w:rsid w:val="00FD5C2B"/>
    <w:rsid w:val="00FD5F78"/>
    <w:rsid w:val="00FD622A"/>
    <w:rsid w:val="00FD650C"/>
    <w:rsid w:val="00FD6CBC"/>
    <w:rsid w:val="00FD6E60"/>
    <w:rsid w:val="00FD70FC"/>
    <w:rsid w:val="00FD7268"/>
    <w:rsid w:val="00FE08CE"/>
    <w:rsid w:val="00FE1740"/>
    <w:rsid w:val="00FE2073"/>
    <w:rsid w:val="00FE2E6E"/>
    <w:rsid w:val="00FE35BB"/>
    <w:rsid w:val="00FE3BE2"/>
    <w:rsid w:val="00FE4327"/>
    <w:rsid w:val="00FE5253"/>
    <w:rsid w:val="00FE52BA"/>
    <w:rsid w:val="00FE555F"/>
    <w:rsid w:val="00FE6DFC"/>
    <w:rsid w:val="00FE6F4D"/>
    <w:rsid w:val="00FE73B9"/>
    <w:rsid w:val="00FE76D9"/>
    <w:rsid w:val="00FE7BD3"/>
    <w:rsid w:val="00FE7E7A"/>
    <w:rsid w:val="00FE7ECD"/>
    <w:rsid w:val="00FF032E"/>
    <w:rsid w:val="00FF04F3"/>
    <w:rsid w:val="00FF0EDE"/>
    <w:rsid w:val="00FF123B"/>
    <w:rsid w:val="00FF19ED"/>
    <w:rsid w:val="00FF26EF"/>
    <w:rsid w:val="00FF35A1"/>
    <w:rsid w:val="00FF3C18"/>
    <w:rsid w:val="00FF4523"/>
    <w:rsid w:val="00FF4A4A"/>
    <w:rsid w:val="00FF5AC2"/>
    <w:rsid w:val="00FF5D26"/>
    <w:rsid w:val="00FF6AFF"/>
    <w:rsid w:val="00FF6BB6"/>
    <w:rsid w:val="00FF7BE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7E9"/>
    <w:rPr>
      <w:sz w:val="24"/>
      <w:szCs w:val="24"/>
    </w:rPr>
  </w:style>
  <w:style w:type="paragraph" w:styleId="Balk1">
    <w:name w:val="heading 1"/>
    <w:basedOn w:val="Normal"/>
    <w:next w:val="Normal"/>
    <w:link w:val="Balk1Char"/>
    <w:qFormat/>
    <w:pPr>
      <w:keepNext/>
      <w:jc w:val="center"/>
      <w:outlineLvl w:val="0"/>
    </w:pPr>
    <w:rPr>
      <w:rFonts w:ascii="Arial" w:hAnsi="Arial" w:cs="Arial"/>
      <w:b/>
      <w:bCs/>
      <w:sz w:val="20"/>
      <w:szCs w:val="20"/>
      <w:lang w:eastAsia="en-US"/>
    </w:rPr>
  </w:style>
  <w:style w:type="paragraph" w:styleId="Balk2">
    <w:name w:val="heading 2"/>
    <w:basedOn w:val="Normal"/>
    <w:next w:val="Normal"/>
    <w:link w:val="Balk2Char"/>
    <w:uiPriority w:val="9"/>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lang w:eastAsia="en-US"/>
    </w:rPr>
  </w:style>
  <w:style w:type="paragraph" w:styleId="Balk3">
    <w:name w:val="heading 3"/>
    <w:basedOn w:val="Normal"/>
    <w:next w:val="Normal"/>
    <w:qFormat/>
    <w:rsid w:val="001D2F4C"/>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paragraph" w:styleId="Balk5">
    <w:name w:val="heading 5"/>
    <w:basedOn w:val="Normal"/>
    <w:next w:val="Normal"/>
    <w:link w:val="Balk5Char"/>
    <w:semiHidden/>
    <w:unhideWhenUsed/>
    <w:qFormat/>
    <w:rsid w:val="006B34D6"/>
    <w:pPr>
      <w:keepNext/>
      <w:keepLines/>
      <w:spacing w:before="4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lang w:val="en-US" w:eastAsia="en-US"/>
    </w:rPr>
  </w:style>
  <w:style w:type="character" w:styleId="zlenenKpr">
    <w:name w:val="FollowedHyperlink"/>
    <w:uiPriority w:val="99"/>
    <w:rPr>
      <w:color w:val="800080"/>
      <w:u w:val="single"/>
    </w:rPr>
  </w:style>
  <w:style w:type="paragraph" w:styleId="GvdeMetniGirintisi">
    <w:name w:val="Body Text Indent"/>
    <w:basedOn w:val="Normal"/>
    <w:pPr>
      <w:ind w:left="1800" w:hanging="360"/>
    </w:pPr>
    <w:rPr>
      <w:lang w:eastAsia="en-US"/>
    </w:rPr>
  </w:style>
  <w:style w:type="paragraph" w:styleId="GvdeMetniGirintisi2">
    <w:name w:val="Body Text Indent 2"/>
    <w:basedOn w:val="Normal"/>
    <w:pPr>
      <w:ind w:left="360"/>
      <w:jc w:val="both"/>
    </w:pPr>
    <w:rPr>
      <w:lang w:eastAsia="en-US"/>
    </w:rPr>
  </w:style>
  <w:style w:type="paragraph" w:styleId="GvdeMetniGirintisi3">
    <w:name w:val="Body Text Indent 3"/>
    <w:basedOn w:val="Normal"/>
    <w:link w:val="GvdeMetniGirintisi3Char"/>
    <w:uiPriority w:val="99"/>
    <w:pPr>
      <w:ind w:left="360" w:firstLine="360"/>
      <w:jc w:val="both"/>
    </w:pPr>
    <w:rPr>
      <w:lang w:eastAsia="en-U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eastAsia="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eastAsia="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styleId="GvdeMetni">
    <w:name w:val="Body Text"/>
    <w:basedOn w:val="Normal"/>
    <w:link w:val="GvdeMetniChar"/>
    <w:pPr>
      <w:shd w:val="clear" w:color="auto" w:fill="FFFFFF"/>
      <w:jc w:val="both"/>
    </w:pPr>
    <w:rPr>
      <w:color w:val="FF0000"/>
      <w:lang w:eastAsia="en-US"/>
    </w:rPr>
  </w:style>
  <w:style w:type="paragraph" w:styleId="stbilgi">
    <w:name w:val="header"/>
    <w:basedOn w:val="Normal"/>
    <w:link w:val="stbilgiChar"/>
    <w:uiPriority w:val="99"/>
    <w:pPr>
      <w:tabs>
        <w:tab w:val="center" w:pos="4536"/>
        <w:tab w:val="right" w:pos="9072"/>
      </w:tabs>
    </w:pPr>
    <w:rPr>
      <w:lang w:eastAsia="en-US"/>
    </w:rPr>
  </w:style>
  <w:style w:type="paragraph" w:styleId="Altbilgi">
    <w:name w:val="footer"/>
    <w:basedOn w:val="Normal"/>
    <w:link w:val="AltbilgiChar"/>
    <w:uiPriority w:val="99"/>
    <w:pPr>
      <w:tabs>
        <w:tab w:val="center" w:pos="4536"/>
        <w:tab w:val="right" w:pos="9072"/>
      </w:tabs>
    </w:pPr>
    <w:rPr>
      <w:lang w:eastAsia="en-US"/>
    </w:rPr>
  </w:style>
  <w:style w:type="character" w:styleId="SayfaNumaras">
    <w:name w:val="page number"/>
    <w:basedOn w:val="VarsaylanParagrafYazTipi"/>
  </w:style>
  <w:style w:type="paragraph" w:styleId="DipnotMetni">
    <w:name w:val="footnote text"/>
    <w:basedOn w:val="Normal"/>
    <w:link w:val="DipnotMetniChar"/>
    <w:semiHidden/>
    <w:rsid w:val="0067113B"/>
    <w:rPr>
      <w:sz w:val="20"/>
      <w:szCs w:val="20"/>
    </w:rPr>
  </w:style>
  <w:style w:type="paragraph" w:customStyle="1" w:styleId="xl22">
    <w:name w:val="xl22"/>
    <w:basedOn w:val="Normal"/>
    <w:rsid w:val="00F91371"/>
    <w:pPr>
      <w:pBdr>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23">
    <w:name w:val="xl23"/>
    <w:basedOn w:val="Normal"/>
    <w:rsid w:val="00BE094F"/>
    <w:pPr>
      <w:pBdr>
        <w:bottom w:val="single" w:sz="4" w:space="0" w:color="auto"/>
        <w:right w:val="single" w:sz="4" w:space="0" w:color="auto"/>
      </w:pBdr>
      <w:spacing w:before="100" w:beforeAutospacing="1" w:after="100" w:afterAutospacing="1"/>
      <w:jc w:val="both"/>
    </w:pPr>
    <w:rPr>
      <w:lang w:val="en-US" w:eastAsia="en-US"/>
    </w:rPr>
  </w:style>
  <w:style w:type="paragraph" w:styleId="GvdeMetni2">
    <w:name w:val="Body Text 2"/>
    <w:basedOn w:val="Normal"/>
    <w:link w:val="GvdeMetni2Char"/>
    <w:rsid w:val="00720551"/>
    <w:pPr>
      <w:spacing w:after="120" w:line="480" w:lineRule="auto"/>
    </w:pPr>
    <w:rPr>
      <w:lang w:eastAsia="en-US"/>
    </w:rPr>
  </w:style>
  <w:style w:type="paragraph" w:styleId="BalonMetni">
    <w:name w:val="Balloon Text"/>
    <w:basedOn w:val="Normal"/>
    <w:semiHidden/>
    <w:rsid w:val="00936A31"/>
    <w:rPr>
      <w:rFonts w:ascii="Tahoma" w:hAnsi="Tahoma" w:cs="Tahoma"/>
      <w:sz w:val="16"/>
      <w:szCs w:val="16"/>
    </w:rPr>
  </w:style>
  <w:style w:type="character" w:customStyle="1" w:styleId="a">
    <w:name w:val="a"/>
    <w:basedOn w:val="VarsaylanParagrafYazTipi"/>
    <w:rsid w:val="00EB027F"/>
  </w:style>
  <w:style w:type="character" w:styleId="DipnotBavurusu">
    <w:name w:val="footnote reference"/>
    <w:semiHidden/>
    <w:rsid w:val="009139F1"/>
    <w:rPr>
      <w:vertAlign w:val="superscript"/>
    </w:rPr>
  </w:style>
  <w:style w:type="paragraph" w:customStyle="1" w:styleId="xl32">
    <w:name w:val="xl32"/>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
    <w:name w:val="xl30"/>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
    <w:name w:val="xl31"/>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table" w:styleId="TabloKlavuzu">
    <w:name w:val="Table Grid"/>
    <w:basedOn w:val="NormalTablo"/>
    <w:rsid w:val="00415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qFormat/>
    <w:rsid w:val="00CE67CE"/>
    <w:rPr>
      <w:b/>
      <w:bCs/>
    </w:rPr>
  </w:style>
  <w:style w:type="paragraph" w:customStyle="1" w:styleId="xl36">
    <w:name w:val="xl36"/>
    <w:basedOn w:val="Normal"/>
    <w:rsid w:val="003A6F8C"/>
    <w:pPr>
      <w:pBdr>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character" w:customStyle="1" w:styleId="darkgreytext1">
    <w:name w:val="darkgrey_text1"/>
    <w:rsid w:val="00D94590"/>
    <w:rPr>
      <w:rFonts w:ascii="Microsoft Sans Serif" w:hAnsi="Microsoft Sans Serif" w:cs="Microsoft Sans Serif" w:hint="default"/>
      <w:sz w:val="18"/>
      <w:szCs w:val="18"/>
    </w:rPr>
  </w:style>
  <w:style w:type="paragraph" w:customStyle="1" w:styleId="fonteng">
    <w:name w:val="font_eng"/>
    <w:basedOn w:val="Normal"/>
    <w:rsid w:val="00D94590"/>
    <w:pPr>
      <w:spacing w:before="100" w:beforeAutospacing="1" w:after="100" w:afterAutospacing="1"/>
    </w:pPr>
    <w:rPr>
      <w:rFonts w:ascii="Verdana" w:hAnsi="Verdana"/>
      <w:sz w:val="18"/>
      <w:szCs w:val="18"/>
      <w:lang w:val="en-US" w:eastAsia="en-US"/>
    </w:rPr>
  </w:style>
  <w:style w:type="character" w:customStyle="1" w:styleId="redhead1">
    <w:name w:val="red_head1"/>
    <w:rsid w:val="00D94590"/>
    <w:rPr>
      <w:rFonts w:ascii="Microsoft Sans Serif" w:hAnsi="Microsoft Sans Serif" w:cs="Microsoft Sans Serif" w:hint="default"/>
      <w:b/>
      <w:bCs/>
      <w:sz w:val="18"/>
      <w:szCs w:val="18"/>
    </w:rPr>
  </w:style>
  <w:style w:type="paragraph" w:customStyle="1" w:styleId="ListeParagraf1">
    <w:name w:val="Liste Paragraf1"/>
    <w:basedOn w:val="Normal"/>
    <w:rsid w:val="00E77281"/>
    <w:pPr>
      <w:ind w:left="720"/>
    </w:pPr>
  </w:style>
  <w:style w:type="character" w:customStyle="1" w:styleId="tahoma12ffffffbold">
    <w:name w:val="tahoma_12_ffffff_bold"/>
    <w:basedOn w:val="VarsaylanParagrafYazTipi"/>
    <w:rsid w:val="00743E2A"/>
  </w:style>
  <w:style w:type="paragraph" w:customStyle="1" w:styleId="Default">
    <w:name w:val="Default"/>
    <w:rsid w:val="005D0DE6"/>
    <w:pPr>
      <w:autoSpaceDE w:val="0"/>
      <w:autoSpaceDN w:val="0"/>
      <w:adjustRightInd w:val="0"/>
    </w:pPr>
    <w:rPr>
      <w:color w:val="000000"/>
      <w:sz w:val="24"/>
      <w:szCs w:val="24"/>
    </w:rPr>
  </w:style>
  <w:style w:type="paragraph" w:styleId="KonuBal">
    <w:name w:val="Title"/>
    <w:basedOn w:val="Normal"/>
    <w:link w:val="KonuBalChar"/>
    <w:qFormat/>
    <w:rsid w:val="005B76FF"/>
    <w:pPr>
      <w:spacing w:line="240" w:lineRule="atLeast"/>
      <w:jc w:val="center"/>
    </w:pPr>
    <w:rPr>
      <w:b/>
      <w:sz w:val="32"/>
      <w:szCs w:val="20"/>
      <w:lang w:val="en-AU"/>
    </w:rPr>
  </w:style>
  <w:style w:type="character" w:customStyle="1" w:styleId="KonuBalChar">
    <w:name w:val="Konu Başlığı Char"/>
    <w:link w:val="KonuBal"/>
    <w:rsid w:val="005B76FF"/>
    <w:rPr>
      <w:b/>
      <w:sz w:val="32"/>
      <w:lang w:val="en-AU" w:eastAsia="tr-TR" w:bidi="ar-SA"/>
    </w:rPr>
  </w:style>
  <w:style w:type="character" w:customStyle="1" w:styleId="spelle">
    <w:name w:val="spelle"/>
    <w:basedOn w:val="VarsaylanParagrafYazTipi"/>
    <w:rsid w:val="00DF6A4E"/>
  </w:style>
  <w:style w:type="character" w:customStyle="1" w:styleId="AltbilgiChar">
    <w:name w:val="Altbilgi Char"/>
    <w:link w:val="Altbilgi"/>
    <w:uiPriority w:val="99"/>
    <w:rsid w:val="00F91A77"/>
    <w:rPr>
      <w:sz w:val="24"/>
      <w:szCs w:val="24"/>
      <w:lang w:eastAsia="en-US"/>
    </w:rPr>
  </w:style>
  <w:style w:type="character" w:customStyle="1" w:styleId="Balk2Char">
    <w:name w:val="Başlık 2 Char"/>
    <w:basedOn w:val="VarsaylanParagrafYazTipi"/>
    <w:link w:val="Balk2"/>
    <w:uiPriority w:val="9"/>
    <w:locked/>
    <w:rsid w:val="009610F2"/>
    <w:rPr>
      <w:rFonts w:ascii="Garamond" w:hAnsi="Garamond"/>
      <w:b/>
      <w:sz w:val="32"/>
      <w:lang w:eastAsia="en-US"/>
    </w:rPr>
  </w:style>
  <w:style w:type="paragraph" w:customStyle="1" w:styleId="default0">
    <w:name w:val="default"/>
    <w:basedOn w:val="Normal"/>
    <w:rsid w:val="00404038"/>
    <w:pPr>
      <w:spacing w:before="100" w:beforeAutospacing="1" w:after="100" w:afterAutospacing="1"/>
    </w:pPr>
  </w:style>
  <w:style w:type="character" w:customStyle="1" w:styleId="Balk4Char">
    <w:name w:val="Başlık 4 Char"/>
    <w:basedOn w:val="VarsaylanParagrafYazTipi"/>
    <w:link w:val="Balk4"/>
    <w:rsid w:val="00C634EE"/>
    <w:rPr>
      <w:rFonts w:ascii="Garamond" w:hAnsi="Garamond"/>
      <w:b/>
      <w:sz w:val="24"/>
      <w:lang w:eastAsia="en-US"/>
    </w:rPr>
  </w:style>
  <w:style w:type="character" w:customStyle="1" w:styleId="GvdeMetni2Char">
    <w:name w:val="Gövde Metni 2 Char"/>
    <w:basedOn w:val="VarsaylanParagrafYazTipi"/>
    <w:link w:val="GvdeMetni2"/>
    <w:locked/>
    <w:rsid w:val="003B2BA4"/>
    <w:rPr>
      <w:sz w:val="24"/>
      <w:szCs w:val="24"/>
      <w:lang w:eastAsia="en-US"/>
    </w:rPr>
  </w:style>
  <w:style w:type="character" w:customStyle="1" w:styleId="Balk5Char">
    <w:name w:val="Başlık 5 Char"/>
    <w:basedOn w:val="VarsaylanParagrafYazTipi"/>
    <w:link w:val="Balk5"/>
    <w:semiHidden/>
    <w:rsid w:val="006B34D6"/>
    <w:rPr>
      <w:rFonts w:asciiTheme="majorHAnsi" w:eastAsiaTheme="majorEastAsia" w:hAnsiTheme="majorHAnsi" w:cstheme="majorBidi"/>
      <w:color w:val="365F91" w:themeColor="accent1" w:themeShade="BF"/>
      <w:sz w:val="24"/>
      <w:szCs w:val="24"/>
    </w:rPr>
  </w:style>
  <w:style w:type="character" w:customStyle="1" w:styleId="apple-converted-space">
    <w:name w:val="apple-converted-space"/>
    <w:basedOn w:val="VarsaylanParagrafYazTipi"/>
    <w:rsid w:val="006B34D6"/>
  </w:style>
  <w:style w:type="character" w:customStyle="1" w:styleId="stbilgiChar">
    <w:name w:val="Üstbilgi Char"/>
    <w:basedOn w:val="VarsaylanParagrafYazTipi"/>
    <w:link w:val="stbilgi"/>
    <w:uiPriority w:val="99"/>
    <w:rsid w:val="00B67991"/>
    <w:rPr>
      <w:sz w:val="24"/>
      <w:szCs w:val="24"/>
      <w:lang w:eastAsia="en-US"/>
    </w:rPr>
  </w:style>
  <w:style w:type="paragraph" w:styleId="ListeParagraf">
    <w:name w:val="List Paragraph"/>
    <w:basedOn w:val="Normal"/>
    <w:uiPriority w:val="34"/>
    <w:qFormat/>
    <w:rsid w:val="005E371A"/>
    <w:pPr>
      <w:ind w:left="720"/>
      <w:contextualSpacing/>
    </w:pPr>
  </w:style>
  <w:style w:type="character" w:customStyle="1" w:styleId="GvdeMetniGirintisi3Char">
    <w:name w:val="Gövde Metni Girintisi 3 Char"/>
    <w:basedOn w:val="VarsaylanParagrafYazTipi"/>
    <w:link w:val="GvdeMetniGirintisi3"/>
    <w:uiPriority w:val="99"/>
    <w:rsid w:val="00F37A65"/>
    <w:rPr>
      <w:sz w:val="24"/>
      <w:szCs w:val="24"/>
      <w:lang w:eastAsia="en-US"/>
    </w:rPr>
  </w:style>
  <w:style w:type="character" w:customStyle="1" w:styleId="DipnotMetniChar">
    <w:name w:val="Dipnot Metni Char"/>
    <w:basedOn w:val="VarsaylanParagrafYazTipi"/>
    <w:link w:val="DipnotMetni"/>
    <w:semiHidden/>
    <w:rsid w:val="005E5061"/>
  </w:style>
  <w:style w:type="character" w:customStyle="1" w:styleId="Balk1Char">
    <w:name w:val="Başlık 1 Char"/>
    <w:basedOn w:val="VarsaylanParagrafYazTipi"/>
    <w:link w:val="Balk1"/>
    <w:rsid w:val="00C6326F"/>
    <w:rPr>
      <w:rFonts w:ascii="Arial" w:hAnsi="Arial" w:cs="Arial"/>
      <w:b/>
      <w:bCs/>
      <w:lang w:eastAsia="en-US"/>
    </w:rPr>
  </w:style>
  <w:style w:type="character" w:customStyle="1" w:styleId="GvdeMetniChar">
    <w:name w:val="Gövde Metni Char"/>
    <w:basedOn w:val="VarsaylanParagrafYazTipi"/>
    <w:link w:val="GvdeMetni"/>
    <w:rsid w:val="004E2BD0"/>
    <w:rPr>
      <w:color w:val="FF0000"/>
      <w:sz w:val="24"/>
      <w:szCs w:val="24"/>
      <w:shd w:val="clear" w:color="auto" w:fill="FFFFFF"/>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7E9"/>
    <w:rPr>
      <w:sz w:val="24"/>
      <w:szCs w:val="24"/>
    </w:rPr>
  </w:style>
  <w:style w:type="paragraph" w:styleId="Balk1">
    <w:name w:val="heading 1"/>
    <w:basedOn w:val="Normal"/>
    <w:next w:val="Normal"/>
    <w:link w:val="Balk1Char"/>
    <w:qFormat/>
    <w:pPr>
      <w:keepNext/>
      <w:jc w:val="center"/>
      <w:outlineLvl w:val="0"/>
    </w:pPr>
    <w:rPr>
      <w:rFonts w:ascii="Arial" w:hAnsi="Arial" w:cs="Arial"/>
      <w:b/>
      <w:bCs/>
      <w:sz w:val="20"/>
      <w:szCs w:val="20"/>
      <w:lang w:eastAsia="en-US"/>
    </w:rPr>
  </w:style>
  <w:style w:type="paragraph" w:styleId="Balk2">
    <w:name w:val="heading 2"/>
    <w:basedOn w:val="Normal"/>
    <w:next w:val="Normal"/>
    <w:link w:val="Balk2Char"/>
    <w:uiPriority w:val="9"/>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lang w:eastAsia="en-US"/>
    </w:rPr>
  </w:style>
  <w:style w:type="paragraph" w:styleId="Balk3">
    <w:name w:val="heading 3"/>
    <w:basedOn w:val="Normal"/>
    <w:next w:val="Normal"/>
    <w:qFormat/>
    <w:rsid w:val="001D2F4C"/>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paragraph" w:styleId="Balk5">
    <w:name w:val="heading 5"/>
    <w:basedOn w:val="Normal"/>
    <w:next w:val="Normal"/>
    <w:link w:val="Balk5Char"/>
    <w:semiHidden/>
    <w:unhideWhenUsed/>
    <w:qFormat/>
    <w:rsid w:val="006B34D6"/>
    <w:pPr>
      <w:keepNext/>
      <w:keepLines/>
      <w:spacing w:before="4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lang w:val="en-US" w:eastAsia="en-US"/>
    </w:rPr>
  </w:style>
  <w:style w:type="character" w:styleId="zlenenKpr">
    <w:name w:val="FollowedHyperlink"/>
    <w:uiPriority w:val="99"/>
    <w:rPr>
      <w:color w:val="800080"/>
      <w:u w:val="single"/>
    </w:rPr>
  </w:style>
  <w:style w:type="paragraph" w:styleId="GvdeMetniGirintisi">
    <w:name w:val="Body Text Indent"/>
    <w:basedOn w:val="Normal"/>
    <w:pPr>
      <w:ind w:left="1800" w:hanging="360"/>
    </w:pPr>
    <w:rPr>
      <w:lang w:eastAsia="en-US"/>
    </w:rPr>
  </w:style>
  <w:style w:type="paragraph" w:styleId="GvdeMetniGirintisi2">
    <w:name w:val="Body Text Indent 2"/>
    <w:basedOn w:val="Normal"/>
    <w:pPr>
      <w:ind w:left="360"/>
      <w:jc w:val="both"/>
    </w:pPr>
    <w:rPr>
      <w:lang w:eastAsia="en-US"/>
    </w:rPr>
  </w:style>
  <w:style w:type="paragraph" w:styleId="GvdeMetniGirintisi3">
    <w:name w:val="Body Text Indent 3"/>
    <w:basedOn w:val="Normal"/>
    <w:link w:val="GvdeMetniGirintisi3Char"/>
    <w:uiPriority w:val="99"/>
    <w:pPr>
      <w:ind w:left="360" w:firstLine="360"/>
      <w:jc w:val="both"/>
    </w:pPr>
    <w:rPr>
      <w:lang w:eastAsia="en-U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eastAsia="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eastAsia="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styleId="GvdeMetni">
    <w:name w:val="Body Text"/>
    <w:basedOn w:val="Normal"/>
    <w:link w:val="GvdeMetniChar"/>
    <w:pPr>
      <w:shd w:val="clear" w:color="auto" w:fill="FFFFFF"/>
      <w:jc w:val="both"/>
    </w:pPr>
    <w:rPr>
      <w:color w:val="FF0000"/>
      <w:lang w:eastAsia="en-US"/>
    </w:rPr>
  </w:style>
  <w:style w:type="paragraph" w:styleId="stbilgi">
    <w:name w:val="header"/>
    <w:basedOn w:val="Normal"/>
    <w:link w:val="stbilgiChar"/>
    <w:uiPriority w:val="99"/>
    <w:pPr>
      <w:tabs>
        <w:tab w:val="center" w:pos="4536"/>
        <w:tab w:val="right" w:pos="9072"/>
      </w:tabs>
    </w:pPr>
    <w:rPr>
      <w:lang w:eastAsia="en-US"/>
    </w:rPr>
  </w:style>
  <w:style w:type="paragraph" w:styleId="Altbilgi">
    <w:name w:val="footer"/>
    <w:basedOn w:val="Normal"/>
    <w:link w:val="AltbilgiChar"/>
    <w:uiPriority w:val="99"/>
    <w:pPr>
      <w:tabs>
        <w:tab w:val="center" w:pos="4536"/>
        <w:tab w:val="right" w:pos="9072"/>
      </w:tabs>
    </w:pPr>
    <w:rPr>
      <w:lang w:eastAsia="en-US"/>
    </w:rPr>
  </w:style>
  <w:style w:type="character" w:styleId="SayfaNumaras">
    <w:name w:val="page number"/>
    <w:basedOn w:val="VarsaylanParagrafYazTipi"/>
  </w:style>
  <w:style w:type="paragraph" w:styleId="DipnotMetni">
    <w:name w:val="footnote text"/>
    <w:basedOn w:val="Normal"/>
    <w:link w:val="DipnotMetniChar"/>
    <w:semiHidden/>
    <w:rsid w:val="0067113B"/>
    <w:rPr>
      <w:sz w:val="20"/>
      <w:szCs w:val="20"/>
    </w:rPr>
  </w:style>
  <w:style w:type="paragraph" w:customStyle="1" w:styleId="xl22">
    <w:name w:val="xl22"/>
    <w:basedOn w:val="Normal"/>
    <w:rsid w:val="00F91371"/>
    <w:pPr>
      <w:pBdr>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23">
    <w:name w:val="xl23"/>
    <w:basedOn w:val="Normal"/>
    <w:rsid w:val="00BE094F"/>
    <w:pPr>
      <w:pBdr>
        <w:bottom w:val="single" w:sz="4" w:space="0" w:color="auto"/>
        <w:right w:val="single" w:sz="4" w:space="0" w:color="auto"/>
      </w:pBdr>
      <w:spacing w:before="100" w:beforeAutospacing="1" w:after="100" w:afterAutospacing="1"/>
      <w:jc w:val="both"/>
    </w:pPr>
    <w:rPr>
      <w:lang w:val="en-US" w:eastAsia="en-US"/>
    </w:rPr>
  </w:style>
  <w:style w:type="paragraph" w:styleId="GvdeMetni2">
    <w:name w:val="Body Text 2"/>
    <w:basedOn w:val="Normal"/>
    <w:link w:val="GvdeMetni2Char"/>
    <w:rsid w:val="00720551"/>
    <w:pPr>
      <w:spacing w:after="120" w:line="480" w:lineRule="auto"/>
    </w:pPr>
    <w:rPr>
      <w:lang w:eastAsia="en-US"/>
    </w:rPr>
  </w:style>
  <w:style w:type="paragraph" w:styleId="BalonMetni">
    <w:name w:val="Balloon Text"/>
    <w:basedOn w:val="Normal"/>
    <w:semiHidden/>
    <w:rsid w:val="00936A31"/>
    <w:rPr>
      <w:rFonts w:ascii="Tahoma" w:hAnsi="Tahoma" w:cs="Tahoma"/>
      <w:sz w:val="16"/>
      <w:szCs w:val="16"/>
    </w:rPr>
  </w:style>
  <w:style w:type="character" w:customStyle="1" w:styleId="a">
    <w:name w:val="a"/>
    <w:basedOn w:val="VarsaylanParagrafYazTipi"/>
    <w:rsid w:val="00EB027F"/>
  </w:style>
  <w:style w:type="character" w:styleId="DipnotBavurusu">
    <w:name w:val="footnote reference"/>
    <w:semiHidden/>
    <w:rsid w:val="009139F1"/>
    <w:rPr>
      <w:vertAlign w:val="superscript"/>
    </w:rPr>
  </w:style>
  <w:style w:type="paragraph" w:customStyle="1" w:styleId="xl32">
    <w:name w:val="xl32"/>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
    <w:name w:val="xl30"/>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
    <w:name w:val="xl31"/>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table" w:styleId="TabloKlavuzu">
    <w:name w:val="Table Grid"/>
    <w:basedOn w:val="NormalTablo"/>
    <w:rsid w:val="00415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qFormat/>
    <w:rsid w:val="00CE67CE"/>
    <w:rPr>
      <w:b/>
      <w:bCs/>
    </w:rPr>
  </w:style>
  <w:style w:type="paragraph" w:customStyle="1" w:styleId="xl36">
    <w:name w:val="xl36"/>
    <w:basedOn w:val="Normal"/>
    <w:rsid w:val="003A6F8C"/>
    <w:pPr>
      <w:pBdr>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character" w:customStyle="1" w:styleId="darkgreytext1">
    <w:name w:val="darkgrey_text1"/>
    <w:rsid w:val="00D94590"/>
    <w:rPr>
      <w:rFonts w:ascii="Microsoft Sans Serif" w:hAnsi="Microsoft Sans Serif" w:cs="Microsoft Sans Serif" w:hint="default"/>
      <w:sz w:val="18"/>
      <w:szCs w:val="18"/>
    </w:rPr>
  </w:style>
  <w:style w:type="paragraph" w:customStyle="1" w:styleId="fonteng">
    <w:name w:val="font_eng"/>
    <w:basedOn w:val="Normal"/>
    <w:rsid w:val="00D94590"/>
    <w:pPr>
      <w:spacing w:before="100" w:beforeAutospacing="1" w:after="100" w:afterAutospacing="1"/>
    </w:pPr>
    <w:rPr>
      <w:rFonts w:ascii="Verdana" w:hAnsi="Verdana"/>
      <w:sz w:val="18"/>
      <w:szCs w:val="18"/>
      <w:lang w:val="en-US" w:eastAsia="en-US"/>
    </w:rPr>
  </w:style>
  <w:style w:type="character" w:customStyle="1" w:styleId="redhead1">
    <w:name w:val="red_head1"/>
    <w:rsid w:val="00D94590"/>
    <w:rPr>
      <w:rFonts w:ascii="Microsoft Sans Serif" w:hAnsi="Microsoft Sans Serif" w:cs="Microsoft Sans Serif" w:hint="default"/>
      <w:b/>
      <w:bCs/>
      <w:sz w:val="18"/>
      <w:szCs w:val="18"/>
    </w:rPr>
  </w:style>
  <w:style w:type="paragraph" w:customStyle="1" w:styleId="ListeParagraf1">
    <w:name w:val="Liste Paragraf1"/>
    <w:basedOn w:val="Normal"/>
    <w:rsid w:val="00E77281"/>
    <w:pPr>
      <w:ind w:left="720"/>
    </w:pPr>
  </w:style>
  <w:style w:type="character" w:customStyle="1" w:styleId="tahoma12ffffffbold">
    <w:name w:val="tahoma_12_ffffff_bold"/>
    <w:basedOn w:val="VarsaylanParagrafYazTipi"/>
    <w:rsid w:val="00743E2A"/>
  </w:style>
  <w:style w:type="paragraph" w:customStyle="1" w:styleId="Default">
    <w:name w:val="Default"/>
    <w:rsid w:val="005D0DE6"/>
    <w:pPr>
      <w:autoSpaceDE w:val="0"/>
      <w:autoSpaceDN w:val="0"/>
      <w:adjustRightInd w:val="0"/>
    </w:pPr>
    <w:rPr>
      <w:color w:val="000000"/>
      <w:sz w:val="24"/>
      <w:szCs w:val="24"/>
    </w:rPr>
  </w:style>
  <w:style w:type="paragraph" w:styleId="KonuBal">
    <w:name w:val="Title"/>
    <w:basedOn w:val="Normal"/>
    <w:link w:val="KonuBalChar"/>
    <w:qFormat/>
    <w:rsid w:val="005B76FF"/>
    <w:pPr>
      <w:spacing w:line="240" w:lineRule="atLeast"/>
      <w:jc w:val="center"/>
    </w:pPr>
    <w:rPr>
      <w:b/>
      <w:sz w:val="32"/>
      <w:szCs w:val="20"/>
      <w:lang w:val="en-AU"/>
    </w:rPr>
  </w:style>
  <w:style w:type="character" w:customStyle="1" w:styleId="KonuBalChar">
    <w:name w:val="Konu Başlığı Char"/>
    <w:link w:val="KonuBal"/>
    <w:rsid w:val="005B76FF"/>
    <w:rPr>
      <w:b/>
      <w:sz w:val="32"/>
      <w:lang w:val="en-AU" w:eastAsia="tr-TR" w:bidi="ar-SA"/>
    </w:rPr>
  </w:style>
  <w:style w:type="character" w:customStyle="1" w:styleId="spelle">
    <w:name w:val="spelle"/>
    <w:basedOn w:val="VarsaylanParagrafYazTipi"/>
    <w:rsid w:val="00DF6A4E"/>
  </w:style>
  <w:style w:type="character" w:customStyle="1" w:styleId="AltbilgiChar">
    <w:name w:val="Altbilgi Char"/>
    <w:link w:val="Altbilgi"/>
    <w:uiPriority w:val="99"/>
    <w:rsid w:val="00F91A77"/>
    <w:rPr>
      <w:sz w:val="24"/>
      <w:szCs w:val="24"/>
      <w:lang w:eastAsia="en-US"/>
    </w:rPr>
  </w:style>
  <w:style w:type="character" w:customStyle="1" w:styleId="Balk2Char">
    <w:name w:val="Başlık 2 Char"/>
    <w:basedOn w:val="VarsaylanParagrafYazTipi"/>
    <w:link w:val="Balk2"/>
    <w:uiPriority w:val="9"/>
    <w:locked/>
    <w:rsid w:val="009610F2"/>
    <w:rPr>
      <w:rFonts w:ascii="Garamond" w:hAnsi="Garamond"/>
      <w:b/>
      <w:sz w:val="32"/>
      <w:lang w:eastAsia="en-US"/>
    </w:rPr>
  </w:style>
  <w:style w:type="paragraph" w:customStyle="1" w:styleId="default0">
    <w:name w:val="default"/>
    <w:basedOn w:val="Normal"/>
    <w:rsid w:val="00404038"/>
    <w:pPr>
      <w:spacing w:before="100" w:beforeAutospacing="1" w:after="100" w:afterAutospacing="1"/>
    </w:pPr>
  </w:style>
  <w:style w:type="character" w:customStyle="1" w:styleId="Balk4Char">
    <w:name w:val="Başlık 4 Char"/>
    <w:basedOn w:val="VarsaylanParagrafYazTipi"/>
    <w:link w:val="Balk4"/>
    <w:rsid w:val="00C634EE"/>
    <w:rPr>
      <w:rFonts w:ascii="Garamond" w:hAnsi="Garamond"/>
      <w:b/>
      <w:sz w:val="24"/>
      <w:lang w:eastAsia="en-US"/>
    </w:rPr>
  </w:style>
  <w:style w:type="character" w:customStyle="1" w:styleId="GvdeMetni2Char">
    <w:name w:val="Gövde Metni 2 Char"/>
    <w:basedOn w:val="VarsaylanParagrafYazTipi"/>
    <w:link w:val="GvdeMetni2"/>
    <w:locked/>
    <w:rsid w:val="003B2BA4"/>
    <w:rPr>
      <w:sz w:val="24"/>
      <w:szCs w:val="24"/>
      <w:lang w:eastAsia="en-US"/>
    </w:rPr>
  </w:style>
  <w:style w:type="character" w:customStyle="1" w:styleId="Balk5Char">
    <w:name w:val="Başlık 5 Char"/>
    <w:basedOn w:val="VarsaylanParagrafYazTipi"/>
    <w:link w:val="Balk5"/>
    <w:semiHidden/>
    <w:rsid w:val="006B34D6"/>
    <w:rPr>
      <w:rFonts w:asciiTheme="majorHAnsi" w:eastAsiaTheme="majorEastAsia" w:hAnsiTheme="majorHAnsi" w:cstheme="majorBidi"/>
      <w:color w:val="365F91" w:themeColor="accent1" w:themeShade="BF"/>
      <w:sz w:val="24"/>
      <w:szCs w:val="24"/>
    </w:rPr>
  </w:style>
  <w:style w:type="character" w:customStyle="1" w:styleId="apple-converted-space">
    <w:name w:val="apple-converted-space"/>
    <w:basedOn w:val="VarsaylanParagrafYazTipi"/>
    <w:rsid w:val="006B34D6"/>
  </w:style>
  <w:style w:type="character" w:customStyle="1" w:styleId="stbilgiChar">
    <w:name w:val="Üstbilgi Char"/>
    <w:basedOn w:val="VarsaylanParagrafYazTipi"/>
    <w:link w:val="stbilgi"/>
    <w:uiPriority w:val="99"/>
    <w:rsid w:val="00B67991"/>
    <w:rPr>
      <w:sz w:val="24"/>
      <w:szCs w:val="24"/>
      <w:lang w:eastAsia="en-US"/>
    </w:rPr>
  </w:style>
  <w:style w:type="paragraph" w:styleId="ListeParagraf">
    <w:name w:val="List Paragraph"/>
    <w:basedOn w:val="Normal"/>
    <w:uiPriority w:val="34"/>
    <w:qFormat/>
    <w:rsid w:val="005E371A"/>
    <w:pPr>
      <w:ind w:left="720"/>
      <w:contextualSpacing/>
    </w:pPr>
  </w:style>
  <w:style w:type="character" w:customStyle="1" w:styleId="GvdeMetniGirintisi3Char">
    <w:name w:val="Gövde Metni Girintisi 3 Char"/>
    <w:basedOn w:val="VarsaylanParagrafYazTipi"/>
    <w:link w:val="GvdeMetniGirintisi3"/>
    <w:uiPriority w:val="99"/>
    <w:rsid w:val="00F37A65"/>
    <w:rPr>
      <w:sz w:val="24"/>
      <w:szCs w:val="24"/>
      <w:lang w:eastAsia="en-US"/>
    </w:rPr>
  </w:style>
  <w:style w:type="character" w:customStyle="1" w:styleId="DipnotMetniChar">
    <w:name w:val="Dipnot Metni Char"/>
    <w:basedOn w:val="VarsaylanParagrafYazTipi"/>
    <w:link w:val="DipnotMetni"/>
    <w:semiHidden/>
    <w:rsid w:val="005E5061"/>
  </w:style>
  <w:style w:type="character" w:customStyle="1" w:styleId="Balk1Char">
    <w:name w:val="Başlık 1 Char"/>
    <w:basedOn w:val="VarsaylanParagrafYazTipi"/>
    <w:link w:val="Balk1"/>
    <w:rsid w:val="00C6326F"/>
    <w:rPr>
      <w:rFonts w:ascii="Arial" w:hAnsi="Arial" w:cs="Arial"/>
      <w:b/>
      <w:bCs/>
      <w:lang w:eastAsia="en-US"/>
    </w:rPr>
  </w:style>
  <w:style w:type="character" w:customStyle="1" w:styleId="GvdeMetniChar">
    <w:name w:val="Gövde Metni Char"/>
    <w:basedOn w:val="VarsaylanParagrafYazTipi"/>
    <w:link w:val="GvdeMetni"/>
    <w:rsid w:val="004E2BD0"/>
    <w:rPr>
      <w:color w:val="FF0000"/>
      <w:sz w:val="24"/>
      <w:szCs w:val="24"/>
      <w:shd w:val="clear" w:color="auto" w:fill="FFFFF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213">
      <w:bodyDiv w:val="1"/>
      <w:marLeft w:val="0"/>
      <w:marRight w:val="0"/>
      <w:marTop w:val="0"/>
      <w:marBottom w:val="0"/>
      <w:divBdr>
        <w:top w:val="none" w:sz="0" w:space="0" w:color="auto"/>
        <w:left w:val="none" w:sz="0" w:space="0" w:color="auto"/>
        <w:bottom w:val="none" w:sz="0" w:space="0" w:color="auto"/>
        <w:right w:val="none" w:sz="0" w:space="0" w:color="auto"/>
      </w:divBdr>
    </w:div>
    <w:div w:id="7223335">
      <w:bodyDiv w:val="1"/>
      <w:marLeft w:val="0"/>
      <w:marRight w:val="0"/>
      <w:marTop w:val="0"/>
      <w:marBottom w:val="0"/>
      <w:divBdr>
        <w:top w:val="none" w:sz="0" w:space="0" w:color="auto"/>
        <w:left w:val="none" w:sz="0" w:space="0" w:color="auto"/>
        <w:bottom w:val="none" w:sz="0" w:space="0" w:color="auto"/>
        <w:right w:val="none" w:sz="0" w:space="0" w:color="auto"/>
      </w:divBdr>
    </w:div>
    <w:div w:id="8679761">
      <w:bodyDiv w:val="1"/>
      <w:marLeft w:val="0"/>
      <w:marRight w:val="0"/>
      <w:marTop w:val="0"/>
      <w:marBottom w:val="0"/>
      <w:divBdr>
        <w:top w:val="none" w:sz="0" w:space="0" w:color="auto"/>
        <w:left w:val="none" w:sz="0" w:space="0" w:color="auto"/>
        <w:bottom w:val="none" w:sz="0" w:space="0" w:color="auto"/>
        <w:right w:val="none" w:sz="0" w:space="0" w:color="auto"/>
      </w:divBdr>
    </w:div>
    <w:div w:id="11033489">
      <w:bodyDiv w:val="1"/>
      <w:marLeft w:val="0"/>
      <w:marRight w:val="0"/>
      <w:marTop w:val="0"/>
      <w:marBottom w:val="0"/>
      <w:divBdr>
        <w:top w:val="none" w:sz="0" w:space="0" w:color="auto"/>
        <w:left w:val="none" w:sz="0" w:space="0" w:color="auto"/>
        <w:bottom w:val="none" w:sz="0" w:space="0" w:color="auto"/>
        <w:right w:val="none" w:sz="0" w:space="0" w:color="auto"/>
      </w:divBdr>
    </w:div>
    <w:div w:id="18051901">
      <w:bodyDiv w:val="1"/>
      <w:marLeft w:val="0"/>
      <w:marRight w:val="0"/>
      <w:marTop w:val="0"/>
      <w:marBottom w:val="0"/>
      <w:divBdr>
        <w:top w:val="none" w:sz="0" w:space="0" w:color="auto"/>
        <w:left w:val="none" w:sz="0" w:space="0" w:color="auto"/>
        <w:bottom w:val="none" w:sz="0" w:space="0" w:color="auto"/>
        <w:right w:val="none" w:sz="0" w:space="0" w:color="auto"/>
      </w:divBdr>
    </w:div>
    <w:div w:id="19595479">
      <w:bodyDiv w:val="1"/>
      <w:marLeft w:val="0"/>
      <w:marRight w:val="0"/>
      <w:marTop w:val="0"/>
      <w:marBottom w:val="0"/>
      <w:divBdr>
        <w:top w:val="none" w:sz="0" w:space="0" w:color="auto"/>
        <w:left w:val="none" w:sz="0" w:space="0" w:color="auto"/>
        <w:bottom w:val="none" w:sz="0" w:space="0" w:color="auto"/>
        <w:right w:val="none" w:sz="0" w:space="0" w:color="auto"/>
      </w:divBdr>
    </w:div>
    <w:div w:id="21976795">
      <w:bodyDiv w:val="1"/>
      <w:marLeft w:val="0"/>
      <w:marRight w:val="0"/>
      <w:marTop w:val="0"/>
      <w:marBottom w:val="0"/>
      <w:divBdr>
        <w:top w:val="none" w:sz="0" w:space="0" w:color="auto"/>
        <w:left w:val="none" w:sz="0" w:space="0" w:color="auto"/>
        <w:bottom w:val="none" w:sz="0" w:space="0" w:color="auto"/>
        <w:right w:val="none" w:sz="0" w:space="0" w:color="auto"/>
      </w:divBdr>
    </w:div>
    <w:div w:id="25982604">
      <w:bodyDiv w:val="1"/>
      <w:marLeft w:val="0"/>
      <w:marRight w:val="0"/>
      <w:marTop w:val="0"/>
      <w:marBottom w:val="0"/>
      <w:divBdr>
        <w:top w:val="none" w:sz="0" w:space="0" w:color="auto"/>
        <w:left w:val="none" w:sz="0" w:space="0" w:color="auto"/>
        <w:bottom w:val="none" w:sz="0" w:space="0" w:color="auto"/>
        <w:right w:val="none" w:sz="0" w:space="0" w:color="auto"/>
      </w:divBdr>
    </w:div>
    <w:div w:id="39789343">
      <w:bodyDiv w:val="1"/>
      <w:marLeft w:val="0"/>
      <w:marRight w:val="0"/>
      <w:marTop w:val="0"/>
      <w:marBottom w:val="0"/>
      <w:divBdr>
        <w:top w:val="none" w:sz="0" w:space="0" w:color="auto"/>
        <w:left w:val="none" w:sz="0" w:space="0" w:color="auto"/>
        <w:bottom w:val="none" w:sz="0" w:space="0" w:color="auto"/>
        <w:right w:val="none" w:sz="0" w:space="0" w:color="auto"/>
      </w:divBdr>
    </w:div>
    <w:div w:id="40327022">
      <w:bodyDiv w:val="1"/>
      <w:marLeft w:val="0"/>
      <w:marRight w:val="0"/>
      <w:marTop w:val="0"/>
      <w:marBottom w:val="0"/>
      <w:divBdr>
        <w:top w:val="none" w:sz="0" w:space="0" w:color="auto"/>
        <w:left w:val="none" w:sz="0" w:space="0" w:color="auto"/>
        <w:bottom w:val="none" w:sz="0" w:space="0" w:color="auto"/>
        <w:right w:val="none" w:sz="0" w:space="0" w:color="auto"/>
      </w:divBdr>
    </w:div>
    <w:div w:id="43987614">
      <w:bodyDiv w:val="1"/>
      <w:marLeft w:val="0"/>
      <w:marRight w:val="0"/>
      <w:marTop w:val="0"/>
      <w:marBottom w:val="0"/>
      <w:divBdr>
        <w:top w:val="none" w:sz="0" w:space="0" w:color="auto"/>
        <w:left w:val="none" w:sz="0" w:space="0" w:color="auto"/>
        <w:bottom w:val="none" w:sz="0" w:space="0" w:color="auto"/>
        <w:right w:val="none" w:sz="0" w:space="0" w:color="auto"/>
      </w:divBdr>
    </w:div>
    <w:div w:id="45034972">
      <w:bodyDiv w:val="1"/>
      <w:marLeft w:val="0"/>
      <w:marRight w:val="0"/>
      <w:marTop w:val="0"/>
      <w:marBottom w:val="0"/>
      <w:divBdr>
        <w:top w:val="none" w:sz="0" w:space="0" w:color="auto"/>
        <w:left w:val="none" w:sz="0" w:space="0" w:color="auto"/>
        <w:bottom w:val="none" w:sz="0" w:space="0" w:color="auto"/>
        <w:right w:val="none" w:sz="0" w:space="0" w:color="auto"/>
      </w:divBdr>
    </w:div>
    <w:div w:id="45230301">
      <w:bodyDiv w:val="1"/>
      <w:marLeft w:val="0"/>
      <w:marRight w:val="0"/>
      <w:marTop w:val="0"/>
      <w:marBottom w:val="0"/>
      <w:divBdr>
        <w:top w:val="none" w:sz="0" w:space="0" w:color="auto"/>
        <w:left w:val="none" w:sz="0" w:space="0" w:color="auto"/>
        <w:bottom w:val="none" w:sz="0" w:space="0" w:color="auto"/>
        <w:right w:val="none" w:sz="0" w:space="0" w:color="auto"/>
      </w:divBdr>
      <w:divsChild>
        <w:div w:id="876356914">
          <w:marLeft w:val="0"/>
          <w:marRight w:val="0"/>
          <w:marTop w:val="0"/>
          <w:marBottom w:val="0"/>
          <w:divBdr>
            <w:top w:val="none" w:sz="0" w:space="0" w:color="auto"/>
            <w:left w:val="none" w:sz="0" w:space="0" w:color="auto"/>
            <w:bottom w:val="none" w:sz="0" w:space="0" w:color="auto"/>
            <w:right w:val="none" w:sz="0" w:space="0" w:color="auto"/>
          </w:divBdr>
          <w:divsChild>
            <w:div w:id="1908495354">
              <w:marLeft w:val="0"/>
              <w:marRight w:val="0"/>
              <w:marTop w:val="0"/>
              <w:marBottom w:val="0"/>
              <w:divBdr>
                <w:top w:val="none" w:sz="0" w:space="0" w:color="auto"/>
                <w:left w:val="none" w:sz="0" w:space="0" w:color="auto"/>
                <w:bottom w:val="none" w:sz="0" w:space="0" w:color="auto"/>
                <w:right w:val="none" w:sz="0" w:space="0" w:color="auto"/>
              </w:divBdr>
              <w:divsChild>
                <w:div w:id="1658454466">
                  <w:marLeft w:val="0"/>
                  <w:marRight w:val="0"/>
                  <w:marTop w:val="0"/>
                  <w:marBottom w:val="0"/>
                  <w:divBdr>
                    <w:top w:val="none" w:sz="0" w:space="0" w:color="auto"/>
                    <w:left w:val="none" w:sz="0" w:space="0" w:color="auto"/>
                    <w:bottom w:val="none" w:sz="0" w:space="0" w:color="auto"/>
                    <w:right w:val="none" w:sz="0" w:space="0" w:color="auto"/>
                  </w:divBdr>
                  <w:divsChild>
                    <w:div w:id="207103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84801">
      <w:bodyDiv w:val="1"/>
      <w:marLeft w:val="0"/>
      <w:marRight w:val="0"/>
      <w:marTop w:val="0"/>
      <w:marBottom w:val="0"/>
      <w:divBdr>
        <w:top w:val="none" w:sz="0" w:space="0" w:color="auto"/>
        <w:left w:val="none" w:sz="0" w:space="0" w:color="auto"/>
        <w:bottom w:val="none" w:sz="0" w:space="0" w:color="auto"/>
        <w:right w:val="none" w:sz="0" w:space="0" w:color="auto"/>
      </w:divBdr>
    </w:div>
    <w:div w:id="53624639">
      <w:bodyDiv w:val="1"/>
      <w:marLeft w:val="0"/>
      <w:marRight w:val="0"/>
      <w:marTop w:val="0"/>
      <w:marBottom w:val="0"/>
      <w:divBdr>
        <w:top w:val="none" w:sz="0" w:space="0" w:color="auto"/>
        <w:left w:val="none" w:sz="0" w:space="0" w:color="auto"/>
        <w:bottom w:val="none" w:sz="0" w:space="0" w:color="auto"/>
        <w:right w:val="none" w:sz="0" w:space="0" w:color="auto"/>
      </w:divBdr>
    </w:div>
    <w:div w:id="54621805">
      <w:bodyDiv w:val="1"/>
      <w:marLeft w:val="0"/>
      <w:marRight w:val="0"/>
      <w:marTop w:val="0"/>
      <w:marBottom w:val="0"/>
      <w:divBdr>
        <w:top w:val="none" w:sz="0" w:space="0" w:color="auto"/>
        <w:left w:val="none" w:sz="0" w:space="0" w:color="auto"/>
        <w:bottom w:val="none" w:sz="0" w:space="0" w:color="auto"/>
        <w:right w:val="none" w:sz="0" w:space="0" w:color="auto"/>
      </w:divBdr>
    </w:div>
    <w:div w:id="58678662">
      <w:bodyDiv w:val="1"/>
      <w:marLeft w:val="0"/>
      <w:marRight w:val="0"/>
      <w:marTop w:val="0"/>
      <w:marBottom w:val="0"/>
      <w:divBdr>
        <w:top w:val="none" w:sz="0" w:space="0" w:color="auto"/>
        <w:left w:val="none" w:sz="0" w:space="0" w:color="auto"/>
        <w:bottom w:val="none" w:sz="0" w:space="0" w:color="auto"/>
        <w:right w:val="none" w:sz="0" w:space="0" w:color="auto"/>
      </w:divBdr>
    </w:div>
    <w:div w:id="75171190">
      <w:bodyDiv w:val="1"/>
      <w:marLeft w:val="0"/>
      <w:marRight w:val="0"/>
      <w:marTop w:val="0"/>
      <w:marBottom w:val="0"/>
      <w:divBdr>
        <w:top w:val="none" w:sz="0" w:space="0" w:color="auto"/>
        <w:left w:val="none" w:sz="0" w:space="0" w:color="auto"/>
        <w:bottom w:val="none" w:sz="0" w:space="0" w:color="auto"/>
        <w:right w:val="none" w:sz="0" w:space="0" w:color="auto"/>
      </w:divBdr>
    </w:div>
    <w:div w:id="79521123">
      <w:bodyDiv w:val="1"/>
      <w:marLeft w:val="0"/>
      <w:marRight w:val="0"/>
      <w:marTop w:val="0"/>
      <w:marBottom w:val="0"/>
      <w:divBdr>
        <w:top w:val="none" w:sz="0" w:space="0" w:color="auto"/>
        <w:left w:val="none" w:sz="0" w:space="0" w:color="auto"/>
        <w:bottom w:val="none" w:sz="0" w:space="0" w:color="auto"/>
        <w:right w:val="none" w:sz="0" w:space="0" w:color="auto"/>
      </w:divBdr>
    </w:div>
    <w:div w:id="84806275">
      <w:bodyDiv w:val="1"/>
      <w:marLeft w:val="0"/>
      <w:marRight w:val="0"/>
      <w:marTop w:val="0"/>
      <w:marBottom w:val="0"/>
      <w:divBdr>
        <w:top w:val="none" w:sz="0" w:space="0" w:color="auto"/>
        <w:left w:val="none" w:sz="0" w:space="0" w:color="auto"/>
        <w:bottom w:val="none" w:sz="0" w:space="0" w:color="auto"/>
        <w:right w:val="none" w:sz="0" w:space="0" w:color="auto"/>
      </w:divBdr>
    </w:div>
    <w:div w:id="87695275">
      <w:bodyDiv w:val="1"/>
      <w:marLeft w:val="0"/>
      <w:marRight w:val="0"/>
      <w:marTop w:val="0"/>
      <w:marBottom w:val="0"/>
      <w:divBdr>
        <w:top w:val="none" w:sz="0" w:space="0" w:color="auto"/>
        <w:left w:val="none" w:sz="0" w:space="0" w:color="auto"/>
        <w:bottom w:val="none" w:sz="0" w:space="0" w:color="auto"/>
        <w:right w:val="none" w:sz="0" w:space="0" w:color="auto"/>
      </w:divBdr>
    </w:div>
    <w:div w:id="92016554">
      <w:bodyDiv w:val="1"/>
      <w:marLeft w:val="0"/>
      <w:marRight w:val="0"/>
      <w:marTop w:val="0"/>
      <w:marBottom w:val="0"/>
      <w:divBdr>
        <w:top w:val="none" w:sz="0" w:space="0" w:color="auto"/>
        <w:left w:val="none" w:sz="0" w:space="0" w:color="auto"/>
        <w:bottom w:val="none" w:sz="0" w:space="0" w:color="auto"/>
        <w:right w:val="none" w:sz="0" w:space="0" w:color="auto"/>
      </w:divBdr>
    </w:div>
    <w:div w:id="92942699">
      <w:bodyDiv w:val="1"/>
      <w:marLeft w:val="0"/>
      <w:marRight w:val="0"/>
      <w:marTop w:val="0"/>
      <w:marBottom w:val="0"/>
      <w:divBdr>
        <w:top w:val="none" w:sz="0" w:space="0" w:color="auto"/>
        <w:left w:val="none" w:sz="0" w:space="0" w:color="auto"/>
        <w:bottom w:val="none" w:sz="0" w:space="0" w:color="auto"/>
        <w:right w:val="none" w:sz="0" w:space="0" w:color="auto"/>
      </w:divBdr>
    </w:div>
    <w:div w:id="100540562">
      <w:bodyDiv w:val="1"/>
      <w:marLeft w:val="0"/>
      <w:marRight w:val="0"/>
      <w:marTop w:val="0"/>
      <w:marBottom w:val="0"/>
      <w:divBdr>
        <w:top w:val="none" w:sz="0" w:space="0" w:color="auto"/>
        <w:left w:val="none" w:sz="0" w:space="0" w:color="auto"/>
        <w:bottom w:val="none" w:sz="0" w:space="0" w:color="auto"/>
        <w:right w:val="none" w:sz="0" w:space="0" w:color="auto"/>
      </w:divBdr>
    </w:div>
    <w:div w:id="103816096">
      <w:bodyDiv w:val="1"/>
      <w:marLeft w:val="0"/>
      <w:marRight w:val="0"/>
      <w:marTop w:val="0"/>
      <w:marBottom w:val="0"/>
      <w:divBdr>
        <w:top w:val="none" w:sz="0" w:space="0" w:color="auto"/>
        <w:left w:val="none" w:sz="0" w:space="0" w:color="auto"/>
        <w:bottom w:val="none" w:sz="0" w:space="0" w:color="auto"/>
        <w:right w:val="none" w:sz="0" w:space="0" w:color="auto"/>
      </w:divBdr>
    </w:div>
    <w:div w:id="105122677">
      <w:bodyDiv w:val="1"/>
      <w:marLeft w:val="0"/>
      <w:marRight w:val="0"/>
      <w:marTop w:val="0"/>
      <w:marBottom w:val="0"/>
      <w:divBdr>
        <w:top w:val="none" w:sz="0" w:space="0" w:color="auto"/>
        <w:left w:val="none" w:sz="0" w:space="0" w:color="auto"/>
        <w:bottom w:val="none" w:sz="0" w:space="0" w:color="auto"/>
        <w:right w:val="none" w:sz="0" w:space="0" w:color="auto"/>
      </w:divBdr>
    </w:div>
    <w:div w:id="106048585">
      <w:bodyDiv w:val="1"/>
      <w:marLeft w:val="0"/>
      <w:marRight w:val="0"/>
      <w:marTop w:val="0"/>
      <w:marBottom w:val="0"/>
      <w:divBdr>
        <w:top w:val="none" w:sz="0" w:space="0" w:color="auto"/>
        <w:left w:val="none" w:sz="0" w:space="0" w:color="auto"/>
        <w:bottom w:val="none" w:sz="0" w:space="0" w:color="auto"/>
        <w:right w:val="none" w:sz="0" w:space="0" w:color="auto"/>
      </w:divBdr>
    </w:div>
    <w:div w:id="108429153">
      <w:bodyDiv w:val="1"/>
      <w:marLeft w:val="0"/>
      <w:marRight w:val="0"/>
      <w:marTop w:val="0"/>
      <w:marBottom w:val="0"/>
      <w:divBdr>
        <w:top w:val="none" w:sz="0" w:space="0" w:color="auto"/>
        <w:left w:val="none" w:sz="0" w:space="0" w:color="auto"/>
        <w:bottom w:val="none" w:sz="0" w:space="0" w:color="auto"/>
        <w:right w:val="none" w:sz="0" w:space="0" w:color="auto"/>
      </w:divBdr>
    </w:div>
    <w:div w:id="109666925">
      <w:bodyDiv w:val="1"/>
      <w:marLeft w:val="0"/>
      <w:marRight w:val="0"/>
      <w:marTop w:val="0"/>
      <w:marBottom w:val="0"/>
      <w:divBdr>
        <w:top w:val="none" w:sz="0" w:space="0" w:color="auto"/>
        <w:left w:val="none" w:sz="0" w:space="0" w:color="auto"/>
        <w:bottom w:val="none" w:sz="0" w:space="0" w:color="auto"/>
        <w:right w:val="none" w:sz="0" w:space="0" w:color="auto"/>
      </w:divBdr>
    </w:div>
    <w:div w:id="112595885">
      <w:bodyDiv w:val="1"/>
      <w:marLeft w:val="0"/>
      <w:marRight w:val="0"/>
      <w:marTop w:val="0"/>
      <w:marBottom w:val="0"/>
      <w:divBdr>
        <w:top w:val="none" w:sz="0" w:space="0" w:color="auto"/>
        <w:left w:val="none" w:sz="0" w:space="0" w:color="auto"/>
        <w:bottom w:val="none" w:sz="0" w:space="0" w:color="auto"/>
        <w:right w:val="none" w:sz="0" w:space="0" w:color="auto"/>
      </w:divBdr>
    </w:div>
    <w:div w:id="113181827">
      <w:bodyDiv w:val="1"/>
      <w:marLeft w:val="0"/>
      <w:marRight w:val="0"/>
      <w:marTop w:val="0"/>
      <w:marBottom w:val="0"/>
      <w:divBdr>
        <w:top w:val="none" w:sz="0" w:space="0" w:color="auto"/>
        <w:left w:val="none" w:sz="0" w:space="0" w:color="auto"/>
        <w:bottom w:val="none" w:sz="0" w:space="0" w:color="auto"/>
        <w:right w:val="none" w:sz="0" w:space="0" w:color="auto"/>
      </w:divBdr>
    </w:div>
    <w:div w:id="113600002">
      <w:bodyDiv w:val="1"/>
      <w:marLeft w:val="0"/>
      <w:marRight w:val="0"/>
      <w:marTop w:val="0"/>
      <w:marBottom w:val="0"/>
      <w:divBdr>
        <w:top w:val="none" w:sz="0" w:space="0" w:color="auto"/>
        <w:left w:val="none" w:sz="0" w:space="0" w:color="auto"/>
        <w:bottom w:val="none" w:sz="0" w:space="0" w:color="auto"/>
        <w:right w:val="none" w:sz="0" w:space="0" w:color="auto"/>
      </w:divBdr>
    </w:div>
    <w:div w:id="123930463">
      <w:bodyDiv w:val="1"/>
      <w:marLeft w:val="0"/>
      <w:marRight w:val="0"/>
      <w:marTop w:val="0"/>
      <w:marBottom w:val="0"/>
      <w:divBdr>
        <w:top w:val="none" w:sz="0" w:space="0" w:color="auto"/>
        <w:left w:val="none" w:sz="0" w:space="0" w:color="auto"/>
        <w:bottom w:val="none" w:sz="0" w:space="0" w:color="auto"/>
        <w:right w:val="none" w:sz="0" w:space="0" w:color="auto"/>
      </w:divBdr>
    </w:div>
    <w:div w:id="131024746">
      <w:bodyDiv w:val="1"/>
      <w:marLeft w:val="0"/>
      <w:marRight w:val="0"/>
      <w:marTop w:val="0"/>
      <w:marBottom w:val="0"/>
      <w:divBdr>
        <w:top w:val="none" w:sz="0" w:space="0" w:color="auto"/>
        <w:left w:val="none" w:sz="0" w:space="0" w:color="auto"/>
        <w:bottom w:val="none" w:sz="0" w:space="0" w:color="auto"/>
        <w:right w:val="none" w:sz="0" w:space="0" w:color="auto"/>
      </w:divBdr>
    </w:div>
    <w:div w:id="133525580">
      <w:bodyDiv w:val="1"/>
      <w:marLeft w:val="0"/>
      <w:marRight w:val="0"/>
      <w:marTop w:val="0"/>
      <w:marBottom w:val="0"/>
      <w:divBdr>
        <w:top w:val="none" w:sz="0" w:space="0" w:color="auto"/>
        <w:left w:val="none" w:sz="0" w:space="0" w:color="auto"/>
        <w:bottom w:val="none" w:sz="0" w:space="0" w:color="auto"/>
        <w:right w:val="none" w:sz="0" w:space="0" w:color="auto"/>
      </w:divBdr>
    </w:div>
    <w:div w:id="136805546">
      <w:bodyDiv w:val="1"/>
      <w:marLeft w:val="0"/>
      <w:marRight w:val="0"/>
      <w:marTop w:val="0"/>
      <w:marBottom w:val="0"/>
      <w:divBdr>
        <w:top w:val="none" w:sz="0" w:space="0" w:color="auto"/>
        <w:left w:val="none" w:sz="0" w:space="0" w:color="auto"/>
        <w:bottom w:val="none" w:sz="0" w:space="0" w:color="auto"/>
        <w:right w:val="none" w:sz="0" w:space="0" w:color="auto"/>
      </w:divBdr>
    </w:div>
    <w:div w:id="144514358">
      <w:bodyDiv w:val="1"/>
      <w:marLeft w:val="0"/>
      <w:marRight w:val="0"/>
      <w:marTop w:val="0"/>
      <w:marBottom w:val="0"/>
      <w:divBdr>
        <w:top w:val="none" w:sz="0" w:space="0" w:color="auto"/>
        <w:left w:val="none" w:sz="0" w:space="0" w:color="auto"/>
        <w:bottom w:val="none" w:sz="0" w:space="0" w:color="auto"/>
        <w:right w:val="none" w:sz="0" w:space="0" w:color="auto"/>
      </w:divBdr>
    </w:div>
    <w:div w:id="156850539">
      <w:bodyDiv w:val="1"/>
      <w:marLeft w:val="0"/>
      <w:marRight w:val="0"/>
      <w:marTop w:val="0"/>
      <w:marBottom w:val="0"/>
      <w:divBdr>
        <w:top w:val="none" w:sz="0" w:space="0" w:color="auto"/>
        <w:left w:val="none" w:sz="0" w:space="0" w:color="auto"/>
        <w:bottom w:val="none" w:sz="0" w:space="0" w:color="auto"/>
        <w:right w:val="none" w:sz="0" w:space="0" w:color="auto"/>
      </w:divBdr>
    </w:div>
    <w:div w:id="163282238">
      <w:bodyDiv w:val="1"/>
      <w:marLeft w:val="0"/>
      <w:marRight w:val="0"/>
      <w:marTop w:val="0"/>
      <w:marBottom w:val="0"/>
      <w:divBdr>
        <w:top w:val="none" w:sz="0" w:space="0" w:color="auto"/>
        <w:left w:val="none" w:sz="0" w:space="0" w:color="auto"/>
        <w:bottom w:val="none" w:sz="0" w:space="0" w:color="auto"/>
        <w:right w:val="none" w:sz="0" w:space="0" w:color="auto"/>
      </w:divBdr>
    </w:div>
    <w:div w:id="163478816">
      <w:bodyDiv w:val="1"/>
      <w:marLeft w:val="0"/>
      <w:marRight w:val="0"/>
      <w:marTop w:val="0"/>
      <w:marBottom w:val="0"/>
      <w:divBdr>
        <w:top w:val="none" w:sz="0" w:space="0" w:color="auto"/>
        <w:left w:val="none" w:sz="0" w:space="0" w:color="auto"/>
        <w:bottom w:val="none" w:sz="0" w:space="0" w:color="auto"/>
        <w:right w:val="none" w:sz="0" w:space="0" w:color="auto"/>
      </w:divBdr>
    </w:div>
    <w:div w:id="169412222">
      <w:bodyDiv w:val="1"/>
      <w:marLeft w:val="0"/>
      <w:marRight w:val="0"/>
      <w:marTop w:val="0"/>
      <w:marBottom w:val="0"/>
      <w:divBdr>
        <w:top w:val="none" w:sz="0" w:space="0" w:color="auto"/>
        <w:left w:val="none" w:sz="0" w:space="0" w:color="auto"/>
        <w:bottom w:val="none" w:sz="0" w:space="0" w:color="auto"/>
        <w:right w:val="none" w:sz="0" w:space="0" w:color="auto"/>
      </w:divBdr>
    </w:div>
    <w:div w:id="172770520">
      <w:bodyDiv w:val="1"/>
      <w:marLeft w:val="0"/>
      <w:marRight w:val="0"/>
      <w:marTop w:val="0"/>
      <w:marBottom w:val="0"/>
      <w:divBdr>
        <w:top w:val="none" w:sz="0" w:space="0" w:color="auto"/>
        <w:left w:val="none" w:sz="0" w:space="0" w:color="auto"/>
        <w:bottom w:val="none" w:sz="0" w:space="0" w:color="auto"/>
        <w:right w:val="none" w:sz="0" w:space="0" w:color="auto"/>
      </w:divBdr>
    </w:div>
    <w:div w:id="177693660">
      <w:bodyDiv w:val="1"/>
      <w:marLeft w:val="0"/>
      <w:marRight w:val="0"/>
      <w:marTop w:val="0"/>
      <w:marBottom w:val="0"/>
      <w:divBdr>
        <w:top w:val="none" w:sz="0" w:space="0" w:color="auto"/>
        <w:left w:val="none" w:sz="0" w:space="0" w:color="auto"/>
        <w:bottom w:val="none" w:sz="0" w:space="0" w:color="auto"/>
        <w:right w:val="none" w:sz="0" w:space="0" w:color="auto"/>
      </w:divBdr>
    </w:div>
    <w:div w:id="179317736">
      <w:bodyDiv w:val="1"/>
      <w:marLeft w:val="0"/>
      <w:marRight w:val="0"/>
      <w:marTop w:val="0"/>
      <w:marBottom w:val="0"/>
      <w:divBdr>
        <w:top w:val="none" w:sz="0" w:space="0" w:color="auto"/>
        <w:left w:val="none" w:sz="0" w:space="0" w:color="auto"/>
        <w:bottom w:val="none" w:sz="0" w:space="0" w:color="auto"/>
        <w:right w:val="none" w:sz="0" w:space="0" w:color="auto"/>
      </w:divBdr>
    </w:div>
    <w:div w:id="183784842">
      <w:marLeft w:val="0"/>
      <w:marRight w:val="0"/>
      <w:marTop w:val="0"/>
      <w:marBottom w:val="0"/>
      <w:divBdr>
        <w:top w:val="none" w:sz="0" w:space="0" w:color="auto"/>
        <w:left w:val="none" w:sz="0" w:space="0" w:color="auto"/>
        <w:bottom w:val="none" w:sz="0" w:space="0" w:color="auto"/>
        <w:right w:val="none" w:sz="0" w:space="0" w:color="auto"/>
      </w:divBdr>
    </w:div>
    <w:div w:id="190340831">
      <w:bodyDiv w:val="1"/>
      <w:marLeft w:val="0"/>
      <w:marRight w:val="0"/>
      <w:marTop w:val="0"/>
      <w:marBottom w:val="0"/>
      <w:divBdr>
        <w:top w:val="none" w:sz="0" w:space="0" w:color="auto"/>
        <w:left w:val="none" w:sz="0" w:space="0" w:color="auto"/>
        <w:bottom w:val="none" w:sz="0" w:space="0" w:color="auto"/>
        <w:right w:val="none" w:sz="0" w:space="0" w:color="auto"/>
      </w:divBdr>
    </w:div>
    <w:div w:id="190923920">
      <w:bodyDiv w:val="1"/>
      <w:marLeft w:val="0"/>
      <w:marRight w:val="0"/>
      <w:marTop w:val="0"/>
      <w:marBottom w:val="0"/>
      <w:divBdr>
        <w:top w:val="none" w:sz="0" w:space="0" w:color="auto"/>
        <w:left w:val="none" w:sz="0" w:space="0" w:color="auto"/>
        <w:bottom w:val="none" w:sz="0" w:space="0" w:color="auto"/>
        <w:right w:val="none" w:sz="0" w:space="0" w:color="auto"/>
      </w:divBdr>
    </w:div>
    <w:div w:id="195120487">
      <w:bodyDiv w:val="1"/>
      <w:marLeft w:val="0"/>
      <w:marRight w:val="0"/>
      <w:marTop w:val="0"/>
      <w:marBottom w:val="0"/>
      <w:divBdr>
        <w:top w:val="none" w:sz="0" w:space="0" w:color="auto"/>
        <w:left w:val="none" w:sz="0" w:space="0" w:color="auto"/>
        <w:bottom w:val="none" w:sz="0" w:space="0" w:color="auto"/>
        <w:right w:val="none" w:sz="0" w:space="0" w:color="auto"/>
      </w:divBdr>
    </w:div>
    <w:div w:id="204175998">
      <w:bodyDiv w:val="1"/>
      <w:marLeft w:val="0"/>
      <w:marRight w:val="0"/>
      <w:marTop w:val="0"/>
      <w:marBottom w:val="0"/>
      <w:divBdr>
        <w:top w:val="none" w:sz="0" w:space="0" w:color="auto"/>
        <w:left w:val="none" w:sz="0" w:space="0" w:color="auto"/>
        <w:bottom w:val="none" w:sz="0" w:space="0" w:color="auto"/>
        <w:right w:val="none" w:sz="0" w:space="0" w:color="auto"/>
      </w:divBdr>
    </w:div>
    <w:div w:id="205794779">
      <w:bodyDiv w:val="1"/>
      <w:marLeft w:val="0"/>
      <w:marRight w:val="0"/>
      <w:marTop w:val="0"/>
      <w:marBottom w:val="0"/>
      <w:divBdr>
        <w:top w:val="none" w:sz="0" w:space="0" w:color="auto"/>
        <w:left w:val="none" w:sz="0" w:space="0" w:color="auto"/>
        <w:bottom w:val="none" w:sz="0" w:space="0" w:color="auto"/>
        <w:right w:val="none" w:sz="0" w:space="0" w:color="auto"/>
      </w:divBdr>
    </w:div>
    <w:div w:id="206069980">
      <w:bodyDiv w:val="1"/>
      <w:marLeft w:val="0"/>
      <w:marRight w:val="0"/>
      <w:marTop w:val="0"/>
      <w:marBottom w:val="0"/>
      <w:divBdr>
        <w:top w:val="none" w:sz="0" w:space="0" w:color="auto"/>
        <w:left w:val="none" w:sz="0" w:space="0" w:color="auto"/>
        <w:bottom w:val="none" w:sz="0" w:space="0" w:color="auto"/>
        <w:right w:val="none" w:sz="0" w:space="0" w:color="auto"/>
      </w:divBdr>
    </w:div>
    <w:div w:id="207180904">
      <w:bodyDiv w:val="1"/>
      <w:marLeft w:val="0"/>
      <w:marRight w:val="0"/>
      <w:marTop w:val="0"/>
      <w:marBottom w:val="0"/>
      <w:divBdr>
        <w:top w:val="none" w:sz="0" w:space="0" w:color="auto"/>
        <w:left w:val="none" w:sz="0" w:space="0" w:color="auto"/>
        <w:bottom w:val="none" w:sz="0" w:space="0" w:color="auto"/>
        <w:right w:val="none" w:sz="0" w:space="0" w:color="auto"/>
      </w:divBdr>
    </w:div>
    <w:div w:id="210314922">
      <w:bodyDiv w:val="1"/>
      <w:marLeft w:val="0"/>
      <w:marRight w:val="0"/>
      <w:marTop w:val="0"/>
      <w:marBottom w:val="0"/>
      <w:divBdr>
        <w:top w:val="none" w:sz="0" w:space="0" w:color="auto"/>
        <w:left w:val="none" w:sz="0" w:space="0" w:color="auto"/>
        <w:bottom w:val="none" w:sz="0" w:space="0" w:color="auto"/>
        <w:right w:val="none" w:sz="0" w:space="0" w:color="auto"/>
      </w:divBdr>
    </w:div>
    <w:div w:id="226190798">
      <w:bodyDiv w:val="1"/>
      <w:marLeft w:val="0"/>
      <w:marRight w:val="0"/>
      <w:marTop w:val="0"/>
      <w:marBottom w:val="0"/>
      <w:divBdr>
        <w:top w:val="none" w:sz="0" w:space="0" w:color="auto"/>
        <w:left w:val="none" w:sz="0" w:space="0" w:color="auto"/>
        <w:bottom w:val="none" w:sz="0" w:space="0" w:color="auto"/>
        <w:right w:val="none" w:sz="0" w:space="0" w:color="auto"/>
      </w:divBdr>
    </w:div>
    <w:div w:id="227958872">
      <w:bodyDiv w:val="1"/>
      <w:marLeft w:val="0"/>
      <w:marRight w:val="0"/>
      <w:marTop w:val="0"/>
      <w:marBottom w:val="0"/>
      <w:divBdr>
        <w:top w:val="none" w:sz="0" w:space="0" w:color="auto"/>
        <w:left w:val="none" w:sz="0" w:space="0" w:color="auto"/>
        <w:bottom w:val="none" w:sz="0" w:space="0" w:color="auto"/>
        <w:right w:val="none" w:sz="0" w:space="0" w:color="auto"/>
      </w:divBdr>
    </w:div>
    <w:div w:id="229197767">
      <w:bodyDiv w:val="1"/>
      <w:marLeft w:val="0"/>
      <w:marRight w:val="0"/>
      <w:marTop w:val="0"/>
      <w:marBottom w:val="0"/>
      <w:divBdr>
        <w:top w:val="none" w:sz="0" w:space="0" w:color="auto"/>
        <w:left w:val="none" w:sz="0" w:space="0" w:color="auto"/>
        <w:bottom w:val="none" w:sz="0" w:space="0" w:color="auto"/>
        <w:right w:val="none" w:sz="0" w:space="0" w:color="auto"/>
      </w:divBdr>
    </w:div>
    <w:div w:id="235673626">
      <w:bodyDiv w:val="1"/>
      <w:marLeft w:val="0"/>
      <w:marRight w:val="0"/>
      <w:marTop w:val="0"/>
      <w:marBottom w:val="0"/>
      <w:divBdr>
        <w:top w:val="none" w:sz="0" w:space="0" w:color="auto"/>
        <w:left w:val="none" w:sz="0" w:space="0" w:color="auto"/>
        <w:bottom w:val="none" w:sz="0" w:space="0" w:color="auto"/>
        <w:right w:val="none" w:sz="0" w:space="0" w:color="auto"/>
      </w:divBdr>
    </w:div>
    <w:div w:id="239222617">
      <w:bodyDiv w:val="1"/>
      <w:marLeft w:val="0"/>
      <w:marRight w:val="0"/>
      <w:marTop w:val="0"/>
      <w:marBottom w:val="0"/>
      <w:divBdr>
        <w:top w:val="none" w:sz="0" w:space="0" w:color="auto"/>
        <w:left w:val="none" w:sz="0" w:space="0" w:color="auto"/>
        <w:bottom w:val="none" w:sz="0" w:space="0" w:color="auto"/>
        <w:right w:val="none" w:sz="0" w:space="0" w:color="auto"/>
      </w:divBdr>
    </w:div>
    <w:div w:id="243488805">
      <w:bodyDiv w:val="1"/>
      <w:marLeft w:val="0"/>
      <w:marRight w:val="0"/>
      <w:marTop w:val="0"/>
      <w:marBottom w:val="0"/>
      <w:divBdr>
        <w:top w:val="none" w:sz="0" w:space="0" w:color="auto"/>
        <w:left w:val="none" w:sz="0" w:space="0" w:color="auto"/>
        <w:bottom w:val="none" w:sz="0" w:space="0" w:color="auto"/>
        <w:right w:val="none" w:sz="0" w:space="0" w:color="auto"/>
      </w:divBdr>
    </w:div>
    <w:div w:id="245963832">
      <w:bodyDiv w:val="1"/>
      <w:marLeft w:val="0"/>
      <w:marRight w:val="0"/>
      <w:marTop w:val="0"/>
      <w:marBottom w:val="0"/>
      <w:divBdr>
        <w:top w:val="none" w:sz="0" w:space="0" w:color="auto"/>
        <w:left w:val="none" w:sz="0" w:space="0" w:color="auto"/>
        <w:bottom w:val="none" w:sz="0" w:space="0" w:color="auto"/>
        <w:right w:val="none" w:sz="0" w:space="0" w:color="auto"/>
      </w:divBdr>
    </w:div>
    <w:div w:id="254676806">
      <w:bodyDiv w:val="1"/>
      <w:marLeft w:val="0"/>
      <w:marRight w:val="0"/>
      <w:marTop w:val="0"/>
      <w:marBottom w:val="0"/>
      <w:divBdr>
        <w:top w:val="none" w:sz="0" w:space="0" w:color="auto"/>
        <w:left w:val="none" w:sz="0" w:space="0" w:color="auto"/>
        <w:bottom w:val="none" w:sz="0" w:space="0" w:color="auto"/>
        <w:right w:val="none" w:sz="0" w:space="0" w:color="auto"/>
      </w:divBdr>
    </w:div>
    <w:div w:id="254829710">
      <w:bodyDiv w:val="1"/>
      <w:marLeft w:val="0"/>
      <w:marRight w:val="0"/>
      <w:marTop w:val="0"/>
      <w:marBottom w:val="0"/>
      <w:divBdr>
        <w:top w:val="none" w:sz="0" w:space="0" w:color="auto"/>
        <w:left w:val="none" w:sz="0" w:space="0" w:color="auto"/>
        <w:bottom w:val="none" w:sz="0" w:space="0" w:color="auto"/>
        <w:right w:val="none" w:sz="0" w:space="0" w:color="auto"/>
      </w:divBdr>
    </w:div>
    <w:div w:id="260070010">
      <w:bodyDiv w:val="1"/>
      <w:marLeft w:val="0"/>
      <w:marRight w:val="0"/>
      <w:marTop w:val="0"/>
      <w:marBottom w:val="0"/>
      <w:divBdr>
        <w:top w:val="none" w:sz="0" w:space="0" w:color="auto"/>
        <w:left w:val="none" w:sz="0" w:space="0" w:color="auto"/>
        <w:bottom w:val="none" w:sz="0" w:space="0" w:color="auto"/>
        <w:right w:val="none" w:sz="0" w:space="0" w:color="auto"/>
      </w:divBdr>
    </w:div>
    <w:div w:id="263390656">
      <w:bodyDiv w:val="1"/>
      <w:marLeft w:val="0"/>
      <w:marRight w:val="0"/>
      <w:marTop w:val="0"/>
      <w:marBottom w:val="0"/>
      <w:divBdr>
        <w:top w:val="none" w:sz="0" w:space="0" w:color="auto"/>
        <w:left w:val="none" w:sz="0" w:space="0" w:color="auto"/>
        <w:bottom w:val="none" w:sz="0" w:space="0" w:color="auto"/>
        <w:right w:val="none" w:sz="0" w:space="0" w:color="auto"/>
      </w:divBdr>
    </w:div>
    <w:div w:id="263730989">
      <w:bodyDiv w:val="1"/>
      <w:marLeft w:val="0"/>
      <w:marRight w:val="0"/>
      <w:marTop w:val="0"/>
      <w:marBottom w:val="0"/>
      <w:divBdr>
        <w:top w:val="none" w:sz="0" w:space="0" w:color="auto"/>
        <w:left w:val="none" w:sz="0" w:space="0" w:color="auto"/>
        <w:bottom w:val="none" w:sz="0" w:space="0" w:color="auto"/>
        <w:right w:val="none" w:sz="0" w:space="0" w:color="auto"/>
      </w:divBdr>
    </w:div>
    <w:div w:id="268126021">
      <w:bodyDiv w:val="1"/>
      <w:marLeft w:val="0"/>
      <w:marRight w:val="0"/>
      <w:marTop w:val="0"/>
      <w:marBottom w:val="0"/>
      <w:divBdr>
        <w:top w:val="none" w:sz="0" w:space="0" w:color="auto"/>
        <w:left w:val="none" w:sz="0" w:space="0" w:color="auto"/>
        <w:bottom w:val="none" w:sz="0" w:space="0" w:color="auto"/>
        <w:right w:val="none" w:sz="0" w:space="0" w:color="auto"/>
      </w:divBdr>
    </w:div>
    <w:div w:id="268439013">
      <w:bodyDiv w:val="1"/>
      <w:marLeft w:val="0"/>
      <w:marRight w:val="0"/>
      <w:marTop w:val="0"/>
      <w:marBottom w:val="0"/>
      <w:divBdr>
        <w:top w:val="none" w:sz="0" w:space="0" w:color="auto"/>
        <w:left w:val="none" w:sz="0" w:space="0" w:color="auto"/>
        <w:bottom w:val="none" w:sz="0" w:space="0" w:color="auto"/>
        <w:right w:val="none" w:sz="0" w:space="0" w:color="auto"/>
      </w:divBdr>
    </w:div>
    <w:div w:id="276109094">
      <w:bodyDiv w:val="1"/>
      <w:marLeft w:val="0"/>
      <w:marRight w:val="0"/>
      <w:marTop w:val="0"/>
      <w:marBottom w:val="0"/>
      <w:divBdr>
        <w:top w:val="none" w:sz="0" w:space="0" w:color="auto"/>
        <w:left w:val="none" w:sz="0" w:space="0" w:color="auto"/>
        <w:bottom w:val="none" w:sz="0" w:space="0" w:color="auto"/>
        <w:right w:val="none" w:sz="0" w:space="0" w:color="auto"/>
      </w:divBdr>
    </w:div>
    <w:div w:id="278221498">
      <w:bodyDiv w:val="1"/>
      <w:marLeft w:val="0"/>
      <w:marRight w:val="0"/>
      <w:marTop w:val="0"/>
      <w:marBottom w:val="0"/>
      <w:divBdr>
        <w:top w:val="none" w:sz="0" w:space="0" w:color="auto"/>
        <w:left w:val="none" w:sz="0" w:space="0" w:color="auto"/>
        <w:bottom w:val="none" w:sz="0" w:space="0" w:color="auto"/>
        <w:right w:val="none" w:sz="0" w:space="0" w:color="auto"/>
      </w:divBdr>
    </w:div>
    <w:div w:id="296112774">
      <w:bodyDiv w:val="1"/>
      <w:marLeft w:val="0"/>
      <w:marRight w:val="0"/>
      <w:marTop w:val="0"/>
      <w:marBottom w:val="0"/>
      <w:divBdr>
        <w:top w:val="none" w:sz="0" w:space="0" w:color="auto"/>
        <w:left w:val="none" w:sz="0" w:space="0" w:color="auto"/>
        <w:bottom w:val="none" w:sz="0" w:space="0" w:color="auto"/>
        <w:right w:val="none" w:sz="0" w:space="0" w:color="auto"/>
      </w:divBdr>
    </w:div>
    <w:div w:id="297145284">
      <w:bodyDiv w:val="1"/>
      <w:marLeft w:val="0"/>
      <w:marRight w:val="0"/>
      <w:marTop w:val="0"/>
      <w:marBottom w:val="0"/>
      <w:divBdr>
        <w:top w:val="none" w:sz="0" w:space="0" w:color="auto"/>
        <w:left w:val="none" w:sz="0" w:space="0" w:color="auto"/>
        <w:bottom w:val="none" w:sz="0" w:space="0" w:color="auto"/>
        <w:right w:val="none" w:sz="0" w:space="0" w:color="auto"/>
      </w:divBdr>
    </w:div>
    <w:div w:id="297690124">
      <w:bodyDiv w:val="1"/>
      <w:marLeft w:val="0"/>
      <w:marRight w:val="0"/>
      <w:marTop w:val="0"/>
      <w:marBottom w:val="0"/>
      <w:divBdr>
        <w:top w:val="none" w:sz="0" w:space="0" w:color="auto"/>
        <w:left w:val="none" w:sz="0" w:space="0" w:color="auto"/>
        <w:bottom w:val="none" w:sz="0" w:space="0" w:color="auto"/>
        <w:right w:val="none" w:sz="0" w:space="0" w:color="auto"/>
      </w:divBdr>
    </w:div>
    <w:div w:id="305010330">
      <w:bodyDiv w:val="1"/>
      <w:marLeft w:val="0"/>
      <w:marRight w:val="0"/>
      <w:marTop w:val="0"/>
      <w:marBottom w:val="0"/>
      <w:divBdr>
        <w:top w:val="none" w:sz="0" w:space="0" w:color="auto"/>
        <w:left w:val="none" w:sz="0" w:space="0" w:color="auto"/>
        <w:bottom w:val="none" w:sz="0" w:space="0" w:color="auto"/>
        <w:right w:val="none" w:sz="0" w:space="0" w:color="auto"/>
      </w:divBdr>
    </w:div>
    <w:div w:id="305283131">
      <w:bodyDiv w:val="1"/>
      <w:marLeft w:val="0"/>
      <w:marRight w:val="0"/>
      <w:marTop w:val="0"/>
      <w:marBottom w:val="0"/>
      <w:divBdr>
        <w:top w:val="none" w:sz="0" w:space="0" w:color="auto"/>
        <w:left w:val="none" w:sz="0" w:space="0" w:color="auto"/>
        <w:bottom w:val="none" w:sz="0" w:space="0" w:color="auto"/>
        <w:right w:val="none" w:sz="0" w:space="0" w:color="auto"/>
      </w:divBdr>
    </w:div>
    <w:div w:id="317613901">
      <w:bodyDiv w:val="1"/>
      <w:marLeft w:val="0"/>
      <w:marRight w:val="0"/>
      <w:marTop w:val="0"/>
      <w:marBottom w:val="0"/>
      <w:divBdr>
        <w:top w:val="none" w:sz="0" w:space="0" w:color="auto"/>
        <w:left w:val="none" w:sz="0" w:space="0" w:color="auto"/>
        <w:bottom w:val="none" w:sz="0" w:space="0" w:color="auto"/>
        <w:right w:val="none" w:sz="0" w:space="0" w:color="auto"/>
      </w:divBdr>
    </w:div>
    <w:div w:id="320087517">
      <w:bodyDiv w:val="1"/>
      <w:marLeft w:val="0"/>
      <w:marRight w:val="0"/>
      <w:marTop w:val="0"/>
      <w:marBottom w:val="0"/>
      <w:divBdr>
        <w:top w:val="none" w:sz="0" w:space="0" w:color="auto"/>
        <w:left w:val="none" w:sz="0" w:space="0" w:color="auto"/>
        <w:bottom w:val="none" w:sz="0" w:space="0" w:color="auto"/>
        <w:right w:val="none" w:sz="0" w:space="0" w:color="auto"/>
      </w:divBdr>
    </w:div>
    <w:div w:id="339040275">
      <w:bodyDiv w:val="1"/>
      <w:marLeft w:val="0"/>
      <w:marRight w:val="0"/>
      <w:marTop w:val="0"/>
      <w:marBottom w:val="0"/>
      <w:divBdr>
        <w:top w:val="none" w:sz="0" w:space="0" w:color="auto"/>
        <w:left w:val="none" w:sz="0" w:space="0" w:color="auto"/>
        <w:bottom w:val="none" w:sz="0" w:space="0" w:color="auto"/>
        <w:right w:val="none" w:sz="0" w:space="0" w:color="auto"/>
      </w:divBdr>
      <w:divsChild>
        <w:div w:id="2115861764">
          <w:marLeft w:val="0"/>
          <w:marRight w:val="0"/>
          <w:marTop w:val="0"/>
          <w:marBottom w:val="0"/>
          <w:divBdr>
            <w:top w:val="none" w:sz="0" w:space="0" w:color="auto"/>
            <w:left w:val="none" w:sz="0" w:space="0" w:color="auto"/>
            <w:bottom w:val="none" w:sz="0" w:space="0" w:color="auto"/>
            <w:right w:val="none" w:sz="0" w:space="0" w:color="auto"/>
          </w:divBdr>
          <w:divsChild>
            <w:div w:id="2140219258">
              <w:marLeft w:val="0"/>
              <w:marRight w:val="0"/>
              <w:marTop w:val="0"/>
              <w:marBottom w:val="0"/>
              <w:divBdr>
                <w:top w:val="none" w:sz="0" w:space="0" w:color="auto"/>
                <w:left w:val="none" w:sz="0" w:space="0" w:color="auto"/>
                <w:bottom w:val="none" w:sz="0" w:space="0" w:color="auto"/>
                <w:right w:val="none" w:sz="0" w:space="0" w:color="auto"/>
              </w:divBdr>
              <w:divsChild>
                <w:div w:id="1540581116">
                  <w:marLeft w:val="0"/>
                  <w:marRight w:val="0"/>
                  <w:marTop w:val="0"/>
                  <w:marBottom w:val="0"/>
                  <w:divBdr>
                    <w:top w:val="none" w:sz="0" w:space="0" w:color="auto"/>
                    <w:left w:val="none" w:sz="0" w:space="0" w:color="auto"/>
                    <w:bottom w:val="none" w:sz="0" w:space="0" w:color="auto"/>
                    <w:right w:val="none" w:sz="0" w:space="0" w:color="auto"/>
                  </w:divBdr>
                  <w:divsChild>
                    <w:div w:id="88417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325951">
      <w:marLeft w:val="0"/>
      <w:marRight w:val="0"/>
      <w:marTop w:val="0"/>
      <w:marBottom w:val="0"/>
      <w:divBdr>
        <w:top w:val="none" w:sz="0" w:space="0" w:color="auto"/>
        <w:left w:val="none" w:sz="0" w:space="0" w:color="auto"/>
        <w:bottom w:val="none" w:sz="0" w:space="0" w:color="auto"/>
        <w:right w:val="none" w:sz="0" w:space="0" w:color="auto"/>
      </w:divBdr>
    </w:div>
    <w:div w:id="351877546">
      <w:bodyDiv w:val="1"/>
      <w:marLeft w:val="0"/>
      <w:marRight w:val="0"/>
      <w:marTop w:val="0"/>
      <w:marBottom w:val="0"/>
      <w:divBdr>
        <w:top w:val="none" w:sz="0" w:space="0" w:color="auto"/>
        <w:left w:val="none" w:sz="0" w:space="0" w:color="auto"/>
        <w:bottom w:val="none" w:sz="0" w:space="0" w:color="auto"/>
        <w:right w:val="none" w:sz="0" w:space="0" w:color="auto"/>
      </w:divBdr>
    </w:div>
    <w:div w:id="354041992">
      <w:bodyDiv w:val="1"/>
      <w:marLeft w:val="0"/>
      <w:marRight w:val="0"/>
      <w:marTop w:val="0"/>
      <w:marBottom w:val="0"/>
      <w:divBdr>
        <w:top w:val="none" w:sz="0" w:space="0" w:color="auto"/>
        <w:left w:val="none" w:sz="0" w:space="0" w:color="auto"/>
        <w:bottom w:val="none" w:sz="0" w:space="0" w:color="auto"/>
        <w:right w:val="none" w:sz="0" w:space="0" w:color="auto"/>
      </w:divBdr>
    </w:div>
    <w:div w:id="361591038">
      <w:bodyDiv w:val="1"/>
      <w:marLeft w:val="0"/>
      <w:marRight w:val="0"/>
      <w:marTop w:val="0"/>
      <w:marBottom w:val="0"/>
      <w:divBdr>
        <w:top w:val="none" w:sz="0" w:space="0" w:color="auto"/>
        <w:left w:val="none" w:sz="0" w:space="0" w:color="auto"/>
        <w:bottom w:val="none" w:sz="0" w:space="0" w:color="auto"/>
        <w:right w:val="none" w:sz="0" w:space="0" w:color="auto"/>
      </w:divBdr>
    </w:div>
    <w:div w:id="364253415">
      <w:bodyDiv w:val="1"/>
      <w:marLeft w:val="0"/>
      <w:marRight w:val="0"/>
      <w:marTop w:val="0"/>
      <w:marBottom w:val="0"/>
      <w:divBdr>
        <w:top w:val="none" w:sz="0" w:space="0" w:color="auto"/>
        <w:left w:val="none" w:sz="0" w:space="0" w:color="auto"/>
        <w:bottom w:val="none" w:sz="0" w:space="0" w:color="auto"/>
        <w:right w:val="none" w:sz="0" w:space="0" w:color="auto"/>
      </w:divBdr>
    </w:div>
    <w:div w:id="373114913">
      <w:bodyDiv w:val="1"/>
      <w:marLeft w:val="0"/>
      <w:marRight w:val="0"/>
      <w:marTop w:val="0"/>
      <w:marBottom w:val="0"/>
      <w:divBdr>
        <w:top w:val="none" w:sz="0" w:space="0" w:color="auto"/>
        <w:left w:val="none" w:sz="0" w:space="0" w:color="auto"/>
        <w:bottom w:val="none" w:sz="0" w:space="0" w:color="auto"/>
        <w:right w:val="none" w:sz="0" w:space="0" w:color="auto"/>
      </w:divBdr>
    </w:div>
    <w:div w:id="377054384">
      <w:bodyDiv w:val="1"/>
      <w:marLeft w:val="0"/>
      <w:marRight w:val="0"/>
      <w:marTop w:val="0"/>
      <w:marBottom w:val="0"/>
      <w:divBdr>
        <w:top w:val="none" w:sz="0" w:space="0" w:color="auto"/>
        <w:left w:val="none" w:sz="0" w:space="0" w:color="auto"/>
        <w:bottom w:val="none" w:sz="0" w:space="0" w:color="auto"/>
        <w:right w:val="none" w:sz="0" w:space="0" w:color="auto"/>
      </w:divBdr>
    </w:div>
    <w:div w:id="407044694">
      <w:bodyDiv w:val="1"/>
      <w:marLeft w:val="0"/>
      <w:marRight w:val="0"/>
      <w:marTop w:val="0"/>
      <w:marBottom w:val="0"/>
      <w:divBdr>
        <w:top w:val="none" w:sz="0" w:space="0" w:color="auto"/>
        <w:left w:val="none" w:sz="0" w:space="0" w:color="auto"/>
        <w:bottom w:val="none" w:sz="0" w:space="0" w:color="auto"/>
        <w:right w:val="none" w:sz="0" w:space="0" w:color="auto"/>
      </w:divBdr>
    </w:div>
    <w:div w:id="410659131">
      <w:bodyDiv w:val="1"/>
      <w:marLeft w:val="0"/>
      <w:marRight w:val="0"/>
      <w:marTop w:val="0"/>
      <w:marBottom w:val="0"/>
      <w:divBdr>
        <w:top w:val="none" w:sz="0" w:space="0" w:color="auto"/>
        <w:left w:val="none" w:sz="0" w:space="0" w:color="auto"/>
        <w:bottom w:val="none" w:sz="0" w:space="0" w:color="auto"/>
        <w:right w:val="none" w:sz="0" w:space="0" w:color="auto"/>
      </w:divBdr>
    </w:div>
    <w:div w:id="413358621">
      <w:bodyDiv w:val="1"/>
      <w:marLeft w:val="0"/>
      <w:marRight w:val="0"/>
      <w:marTop w:val="0"/>
      <w:marBottom w:val="0"/>
      <w:divBdr>
        <w:top w:val="none" w:sz="0" w:space="0" w:color="auto"/>
        <w:left w:val="none" w:sz="0" w:space="0" w:color="auto"/>
        <w:bottom w:val="none" w:sz="0" w:space="0" w:color="auto"/>
        <w:right w:val="none" w:sz="0" w:space="0" w:color="auto"/>
      </w:divBdr>
    </w:div>
    <w:div w:id="436217355">
      <w:bodyDiv w:val="1"/>
      <w:marLeft w:val="0"/>
      <w:marRight w:val="0"/>
      <w:marTop w:val="0"/>
      <w:marBottom w:val="0"/>
      <w:divBdr>
        <w:top w:val="none" w:sz="0" w:space="0" w:color="auto"/>
        <w:left w:val="none" w:sz="0" w:space="0" w:color="auto"/>
        <w:bottom w:val="none" w:sz="0" w:space="0" w:color="auto"/>
        <w:right w:val="none" w:sz="0" w:space="0" w:color="auto"/>
      </w:divBdr>
    </w:div>
    <w:div w:id="440415851">
      <w:bodyDiv w:val="1"/>
      <w:marLeft w:val="0"/>
      <w:marRight w:val="0"/>
      <w:marTop w:val="0"/>
      <w:marBottom w:val="0"/>
      <w:divBdr>
        <w:top w:val="none" w:sz="0" w:space="0" w:color="auto"/>
        <w:left w:val="none" w:sz="0" w:space="0" w:color="auto"/>
        <w:bottom w:val="none" w:sz="0" w:space="0" w:color="auto"/>
        <w:right w:val="none" w:sz="0" w:space="0" w:color="auto"/>
      </w:divBdr>
    </w:div>
    <w:div w:id="451705446">
      <w:bodyDiv w:val="1"/>
      <w:marLeft w:val="0"/>
      <w:marRight w:val="0"/>
      <w:marTop w:val="0"/>
      <w:marBottom w:val="0"/>
      <w:divBdr>
        <w:top w:val="none" w:sz="0" w:space="0" w:color="auto"/>
        <w:left w:val="none" w:sz="0" w:space="0" w:color="auto"/>
        <w:bottom w:val="none" w:sz="0" w:space="0" w:color="auto"/>
        <w:right w:val="none" w:sz="0" w:space="0" w:color="auto"/>
      </w:divBdr>
    </w:div>
    <w:div w:id="463423234">
      <w:bodyDiv w:val="1"/>
      <w:marLeft w:val="0"/>
      <w:marRight w:val="0"/>
      <w:marTop w:val="0"/>
      <w:marBottom w:val="0"/>
      <w:divBdr>
        <w:top w:val="none" w:sz="0" w:space="0" w:color="auto"/>
        <w:left w:val="none" w:sz="0" w:space="0" w:color="auto"/>
        <w:bottom w:val="none" w:sz="0" w:space="0" w:color="auto"/>
        <w:right w:val="none" w:sz="0" w:space="0" w:color="auto"/>
      </w:divBdr>
    </w:div>
    <w:div w:id="465240582">
      <w:bodyDiv w:val="1"/>
      <w:marLeft w:val="0"/>
      <w:marRight w:val="0"/>
      <w:marTop w:val="0"/>
      <w:marBottom w:val="0"/>
      <w:divBdr>
        <w:top w:val="none" w:sz="0" w:space="0" w:color="auto"/>
        <w:left w:val="none" w:sz="0" w:space="0" w:color="auto"/>
        <w:bottom w:val="none" w:sz="0" w:space="0" w:color="auto"/>
        <w:right w:val="none" w:sz="0" w:space="0" w:color="auto"/>
      </w:divBdr>
    </w:div>
    <w:div w:id="472020059">
      <w:bodyDiv w:val="1"/>
      <w:marLeft w:val="0"/>
      <w:marRight w:val="0"/>
      <w:marTop w:val="0"/>
      <w:marBottom w:val="0"/>
      <w:divBdr>
        <w:top w:val="none" w:sz="0" w:space="0" w:color="auto"/>
        <w:left w:val="none" w:sz="0" w:space="0" w:color="auto"/>
        <w:bottom w:val="none" w:sz="0" w:space="0" w:color="auto"/>
        <w:right w:val="none" w:sz="0" w:space="0" w:color="auto"/>
      </w:divBdr>
    </w:div>
    <w:div w:id="476731362">
      <w:bodyDiv w:val="1"/>
      <w:marLeft w:val="0"/>
      <w:marRight w:val="0"/>
      <w:marTop w:val="0"/>
      <w:marBottom w:val="0"/>
      <w:divBdr>
        <w:top w:val="none" w:sz="0" w:space="0" w:color="auto"/>
        <w:left w:val="none" w:sz="0" w:space="0" w:color="auto"/>
        <w:bottom w:val="none" w:sz="0" w:space="0" w:color="auto"/>
        <w:right w:val="none" w:sz="0" w:space="0" w:color="auto"/>
      </w:divBdr>
    </w:div>
    <w:div w:id="477112706">
      <w:bodyDiv w:val="1"/>
      <w:marLeft w:val="0"/>
      <w:marRight w:val="0"/>
      <w:marTop w:val="0"/>
      <w:marBottom w:val="0"/>
      <w:divBdr>
        <w:top w:val="none" w:sz="0" w:space="0" w:color="auto"/>
        <w:left w:val="none" w:sz="0" w:space="0" w:color="auto"/>
        <w:bottom w:val="none" w:sz="0" w:space="0" w:color="auto"/>
        <w:right w:val="none" w:sz="0" w:space="0" w:color="auto"/>
      </w:divBdr>
    </w:div>
    <w:div w:id="478227127">
      <w:bodyDiv w:val="1"/>
      <w:marLeft w:val="0"/>
      <w:marRight w:val="0"/>
      <w:marTop w:val="0"/>
      <w:marBottom w:val="0"/>
      <w:divBdr>
        <w:top w:val="none" w:sz="0" w:space="0" w:color="auto"/>
        <w:left w:val="none" w:sz="0" w:space="0" w:color="auto"/>
        <w:bottom w:val="none" w:sz="0" w:space="0" w:color="auto"/>
        <w:right w:val="none" w:sz="0" w:space="0" w:color="auto"/>
      </w:divBdr>
    </w:div>
    <w:div w:id="503975419">
      <w:bodyDiv w:val="1"/>
      <w:marLeft w:val="0"/>
      <w:marRight w:val="0"/>
      <w:marTop w:val="0"/>
      <w:marBottom w:val="0"/>
      <w:divBdr>
        <w:top w:val="none" w:sz="0" w:space="0" w:color="auto"/>
        <w:left w:val="none" w:sz="0" w:space="0" w:color="auto"/>
        <w:bottom w:val="none" w:sz="0" w:space="0" w:color="auto"/>
        <w:right w:val="none" w:sz="0" w:space="0" w:color="auto"/>
      </w:divBdr>
    </w:div>
    <w:div w:id="525411681">
      <w:bodyDiv w:val="1"/>
      <w:marLeft w:val="0"/>
      <w:marRight w:val="0"/>
      <w:marTop w:val="0"/>
      <w:marBottom w:val="0"/>
      <w:divBdr>
        <w:top w:val="none" w:sz="0" w:space="0" w:color="auto"/>
        <w:left w:val="none" w:sz="0" w:space="0" w:color="auto"/>
        <w:bottom w:val="none" w:sz="0" w:space="0" w:color="auto"/>
        <w:right w:val="none" w:sz="0" w:space="0" w:color="auto"/>
      </w:divBdr>
    </w:div>
    <w:div w:id="538009689">
      <w:bodyDiv w:val="1"/>
      <w:marLeft w:val="0"/>
      <w:marRight w:val="0"/>
      <w:marTop w:val="0"/>
      <w:marBottom w:val="0"/>
      <w:divBdr>
        <w:top w:val="none" w:sz="0" w:space="0" w:color="auto"/>
        <w:left w:val="none" w:sz="0" w:space="0" w:color="auto"/>
        <w:bottom w:val="none" w:sz="0" w:space="0" w:color="auto"/>
        <w:right w:val="none" w:sz="0" w:space="0" w:color="auto"/>
      </w:divBdr>
    </w:div>
    <w:div w:id="542250475">
      <w:bodyDiv w:val="1"/>
      <w:marLeft w:val="0"/>
      <w:marRight w:val="0"/>
      <w:marTop w:val="0"/>
      <w:marBottom w:val="0"/>
      <w:divBdr>
        <w:top w:val="none" w:sz="0" w:space="0" w:color="auto"/>
        <w:left w:val="none" w:sz="0" w:space="0" w:color="auto"/>
        <w:bottom w:val="none" w:sz="0" w:space="0" w:color="auto"/>
        <w:right w:val="none" w:sz="0" w:space="0" w:color="auto"/>
      </w:divBdr>
    </w:div>
    <w:div w:id="551312198">
      <w:bodyDiv w:val="1"/>
      <w:marLeft w:val="0"/>
      <w:marRight w:val="0"/>
      <w:marTop w:val="0"/>
      <w:marBottom w:val="0"/>
      <w:divBdr>
        <w:top w:val="none" w:sz="0" w:space="0" w:color="auto"/>
        <w:left w:val="none" w:sz="0" w:space="0" w:color="auto"/>
        <w:bottom w:val="none" w:sz="0" w:space="0" w:color="auto"/>
        <w:right w:val="none" w:sz="0" w:space="0" w:color="auto"/>
      </w:divBdr>
    </w:div>
    <w:div w:id="559171731">
      <w:bodyDiv w:val="1"/>
      <w:marLeft w:val="0"/>
      <w:marRight w:val="0"/>
      <w:marTop w:val="0"/>
      <w:marBottom w:val="0"/>
      <w:divBdr>
        <w:top w:val="none" w:sz="0" w:space="0" w:color="auto"/>
        <w:left w:val="none" w:sz="0" w:space="0" w:color="auto"/>
        <w:bottom w:val="none" w:sz="0" w:space="0" w:color="auto"/>
        <w:right w:val="none" w:sz="0" w:space="0" w:color="auto"/>
      </w:divBdr>
    </w:div>
    <w:div w:id="559949527">
      <w:bodyDiv w:val="1"/>
      <w:marLeft w:val="0"/>
      <w:marRight w:val="0"/>
      <w:marTop w:val="0"/>
      <w:marBottom w:val="0"/>
      <w:divBdr>
        <w:top w:val="none" w:sz="0" w:space="0" w:color="auto"/>
        <w:left w:val="none" w:sz="0" w:space="0" w:color="auto"/>
        <w:bottom w:val="none" w:sz="0" w:space="0" w:color="auto"/>
        <w:right w:val="none" w:sz="0" w:space="0" w:color="auto"/>
      </w:divBdr>
    </w:div>
    <w:div w:id="566039292">
      <w:bodyDiv w:val="1"/>
      <w:marLeft w:val="0"/>
      <w:marRight w:val="0"/>
      <w:marTop w:val="0"/>
      <w:marBottom w:val="0"/>
      <w:divBdr>
        <w:top w:val="none" w:sz="0" w:space="0" w:color="auto"/>
        <w:left w:val="none" w:sz="0" w:space="0" w:color="auto"/>
        <w:bottom w:val="none" w:sz="0" w:space="0" w:color="auto"/>
        <w:right w:val="none" w:sz="0" w:space="0" w:color="auto"/>
      </w:divBdr>
    </w:div>
    <w:div w:id="590432491">
      <w:bodyDiv w:val="1"/>
      <w:marLeft w:val="0"/>
      <w:marRight w:val="0"/>
      <w:marTop w:val="0"/>
      <w:marBottom w:val="0"/>
      <w:divBdr>
        <w:top w:val="none" w:sz="0" w:space="0" w:color="auto"/>
        <w:left w:val="none" w:sz="0" w:space="0" w:color="auto"/>
        <w:bottom w:val="none" w:sz="0" w:space="0" w:color="auto"/>
        <w:right w:val="none" w:sz="0" w:space="0" w:color="auto"/>
      </w:divBdr>
    </w:div>
    <w:div w:id="595286142">
      <w:bodyDiv w:val="1"/>
      <w:marLeft w:val="0"/>
      <w:marRight w:val="0"/>
      <w:marTop w:val="0"/>
      <w:marBottom w:val="0"/>
      <w:divBdr>
        <w:top w:val="none" w:sz="0" w:space="0" w:color="auto"/>
        <w:left w:val="none" w:sz="0" w:space="0" w:color="auto"/>
        <w:bottom w:val="none" w:sz="0" w:space="0" w:color="auto"/>
        <w:right w:val="none" w:sz="0" w:space="0" w:color="auto"/>
      </w:divBdr>
    </w:div>
    <w:div w:id="604657868">
      <w:bodyDiv w:val="1"/>
      <w:marLeft w:val="0"/>
      <w:marRight w:val="0"/>
      <w:marTop w:val="0"/>
      <w:marBottom w:val="0"/>
      <w:divBdr>
        <w:top w:val="none" w:sz="0" w:space="0" w:color="auto"/>
        <w:left w:val="none" w:sz="0" w:space="0" w:color="auto"/>
        <w:bottom w:val="none" w:sz="0" w:space="0" w:color="auto"/>
        <w:right w:val="none" w:sz="0" w:space="0" w:color="auto"/>
      </w:divBdr>
    </w:div>
    <w:div w:id="607782044">
      <w:bodyDiv w:val="1"/>
      <w:marLeft w:val="0"/>
      <w:marRight w:val="0"/>
      <w:marTop w:val="0"/>
      <w:marBottom w:val="0"/>
      <w:divBdr>
        <w:top w:val="none" w:sz="0" w:space="0" w:color="auto"/>
        <w:left w:val="none" w:sz="0" w:space="0" w:color="auto"/>
        <w:bottom w:val="none" w:sz="0" w:space="0" w:color="auto"/>
        <w:right w:val="none" w:sz="0" w:space="0" w:color="auto"/>
      </w:divBdr>
    </w:div>
    <w:div w:id="614825468">
      <w:bodyDiv w:val="1"/>
      <w:marLeft w:val="0"/>
      <w:marRight w:val="0"/>
      <w:marTop w:val="0"/>
      <w:marBottom w:val="0"/>
      <w:divBdr>
        <w:top w:val="none" w:sz="0" w:space="0" w:color="auto"/>
        <w:left w:val="none" w:sz="0" w:space="0" w:color="auto"/>
        <w:bottom w:val="none" w:sz="0" w:space="0" w:color="auto"/>
        <w:right w:val="none" w:sz="0" w:space="0" w:color="auto"/>
      </w:divBdr>
    </w:div>
    <w:div w:id="619729523">
      <w:bodyDiv w:val="1"/>
      <w:marLeft w:val="0"/>
      <w:marRight w:val="0"/>
      <w:marTop w:val="0"/>
      <w:marBottom w:val="0"/>
      <w:divBdr>
        <w:top w:val="none" w:sz="0" w:space="0" w:color="auto"/>
        <w:left w:val="none" w:sz="0" w:space="0" w:color="auto"/>
        <w:bottom w:val="none" w:sz="0" w:space="0" w:color="auto"/>
        <w:right w:val="none" w:sz="0" w:space="0" w:color="auto"/>
      </w:divBdr>
    </w:div>
    <w:div w:id="620381231">
      <w:bodyDiv w:val="1"/>
      <w:marLeft w:val="0"/>
      <w:marRight w:val="0"/>
      <w:marTop w:val="0"/>
      <w:marBottom w:val="0"/>
      <w:divBdr>
        <w:top w:val="none" w:sz="0" w:space="0" w:color="auto"/>
        <w:left w:val="none" w:sz="0" w:space="0" w:color="auto"/>
        <w:bottom w:val="none" w:sz="0" w:space="0" w:color="auto"/>
        <w:right w:val="none" w:sz="0" w:space="0" w:color="auto"/>
      </w:divBdr>
    </w:div>
    <w:div w:id="622467045">
      <w:bodyDiv w:val="1"/>
      <w:marLeft w:val="0"/>
      <w:marRight w:val="0"/>
      <w:marTop w:val="0"/>
      <w:marBottom w:val="0"/>
      <w:divBdr>
        <w:top w:val="none" w:sz="0" w:space="0" w:color="auto"/>
        <w:left w:val="none" w:sz="0" w:space="0" w:color="auto"/>
        <w:bottom w:val="none" w:sz="0" w:space="0" w:color="auto"/>
        <w:right w:val="none" w:sz="0" w:space="0" w:color="auto"/>
      </w:divBdr>
    </w:div>
    <w:div w:id="632756536">
      <w:bodyDiv w:val="1"/>
      <w:marLeft w:val="0"/>
      <w:marRight w:val="0"/>
      <w:marTop w:val="0"/>
      <w:marBottom w:val="0"/>
      <w:divBdr>
        <w:top w:val="none" w:sz="0" w:space="0" w:color="auto"/>
        <w:left w:val="none" w:sz="0" w:space="0" w:color="auto"/>
        <w:bottom w:val="none" w:sz="0" w:space="0" w:color="auto"/>
        <w:right w:val="none" w:sz="0" w:space="0" w:color="auto"/>
      </w:divBdr>
    </w:div>
    <w:div w:id="634288177">
      <w:bodyDiv w:val="1"/>
      <w:marLeft w:val="0"/>
      <w:marRight w:val="0"/>
      <w:marTop w:val="0"/>
      <w:marBottom w:val="0"/>
      <w:divBdr>
        <w:top w:val="none" w:sz="0" w:space="0" w:color="auto"/>
        <w:left w:val="none" w:sz="0" w:space="0" w:color="auto"/>
        <w:bottom w:val="none" w:sz="0" w:space="0" w:color="auto"/>
        <w:right w:val="none" w:sz="0" w:space="0" w:color="auto"/>
      </w:divBdr>
    </w:div>
    <w:div w:id="634679466">
      <w:bodyDiv w:val="1"/>
      <w:marLeft w:val="0"/>
      <w:marRight w:val="0"/>
      <w:marTop w:val="0"/>
      <w:marBottom w:val="0"/>
      <w:divBdr>
        <w:top w:val="none" w:sz="0" w:space="0" w:color="auto"/>
        <w:left w:val="none" w:sz="0" w:space="0" w:color="auto"/>
        <w:bottom w:val="none" w:sz="0" w:space="0" w:color="auto"/>
        <w:right w:val="none" w:sz="0" w:space="0" w:color="auto"/>
      </w:divBdr>
    </w:div>
    <w:div w:id="641665938">
      <w:bodyDiv w:val="1"/>
      <w:marLeft w:val="0"/>
      <w:marRight w:val="0"/>
      <w:marTop w:val="0"/>
      <w:marBottom w:val="0"/>
      <w:divBdr>
        <w:top w:val="none" w:sz="0" w:space="0" w:color="auto"/>
        <w:left w:val="none" w:sz="0" w:space="0" w:color="auto"/>
        <w:bottom w:val="none" w:sz="0" w:space="0" w:color="auto"/>
        <w:right w:val="none" w:sz="0" w:space="0" w:color="auto"/>
      </w:divBdr>
    </w:div>
    <w:div w:id="654646013">
      <w:bodyDiv w:val="1"/>
      <w:marLeft w:val="0"/>
      <w:marRight w:val="0"/>
      <w:marTop w:val="0"/>
      <w:marBottom w:val="0"/>
      <w:divBdr>
        <w:top w:val="none" w:sz="0" w:space="0" w:color="auto"/>
        <w:left w:val="none" w:sz="0" w:space="0" w:color="auto"/>
        <w:bottom w:val="none" w:sz="0" w:space="0" w:color="auto"/>
        <w:right w:val="none" w:sz="0" w:space="0" w:color="auto"/>
      </w:divBdr>
    </w:div>
    <w:div w:id="661278121">
      <w:bodyDiv w:val="1"/>
      <w:marLeft w:val="0"/>
      <w:marRight w:val="0"/>
      <w:marTop w:val="0"/>
      <w:marBottom w:val="0"/>
      <w:divBdr>
        <w:top w:val="none" w:sz="0" w:space="0" w:color="auto"/>
        <w:left w:val="none" w:sz="0" w:space="0" w:color="auto"/>
        <w:bottom w:val="none" w:sz="0" w:space="0" w:color="auto"/>
        <w:right w:val="none" w:sz="0" w:space="0" w:color="auto"/>
      </w:divBdr>
    </w:div>
    <w:div w:id="665935472">
      <w:bodyDiv w:val="1"/>
      <w:marLeft w:val="0"/>
      <w:marRight w:val="0"/>
      <w:marTop w:val="0"/>
      <w:marBottom w:val="0"/>
      <w:divBdr>
        <w:top w:val="none" w:sz="0" w:space="0" w:color="auto"/>
        <w:left w:val="none" w:sz="0" w:space="0" w:color="auto"/>
        <w:bottom w:val="none" w:sz="0" w:space="0" w:color="auto"/>
        <w:right w:val="none" w:sz="0" w:space="0" w:color="auto"/>
      </w:divBdr>
    </w:div>
    <w:div w:id="668365204">
      <w:bodyDiv w:val="1"/>
      <w:marLeft w:val="0"/>
      <w:marRight w:val="0"/>
      <w:marTop w:val="0"/>
      <w:marBottom w:val="0"/>
      <w:divBdr>
        <w:top w:val="none" w:sz="0" w:space="0" w:color="auto"/>
        <w:left w:val="none" w:sz="0" w:space="0" w:color="auto"/>
        <w:bottom w:val="none" w:sz="0" w:space="0" w:color="auto"/>
        <w:right w:val="none" w:sz="0" w:space="0" w:color="auto"/>
      </w:divBdr>
    </w:div>
    <w:div w:id="669218538">
      <w:bodyDiv w:val="1"/>
      <w:marLeft w:val="0"/>
      <w:marRight w:val="0"/>
      <w:marTop w:val="0"/>
      <w:marBottom w:val="0"/>
      <w:divBdr>
        <w:top w:val="none" w:sz="0" w:space="0" w:color="auto"/>
        <w:left w:val="none" w:sz="0" w:space="0" w:color="auto"/>
        <w:bottom w:val="none" w:sz="0" w:space="0" w:color="auto"/>
        <w:right w:val="none" w:sz="0" w:space="0" w:color="auto"/>
      </w:divBdr>
    </w:div>
    <w:div w:id="669717373">
      <w:bodyDiv w:val="1"/>
      <w:marLeft w:val="0"/>
      <w:marRight w:val="0"/>
      <w:marTop w:val="0"/>
      <w:marBottom w:val="0"/>
      <w:divBdr>
        <w:top w:val="none" w:sz="0" w:space="0" w:color="auto"/>
        <w:left w:val="none" w:sz="0" w:space="0" w:color="auto"/>
        <w:bottom w:val="none" w:sz="0" w:space="0" w:color="auto"/>
        <w:right w:val="none" w:sz="0" w:space="0" w:color="auto"/>
      </w:divBdr>
    </w:div>
    <w:div w:id="671839756">
      <w:bodyDiv w:val="1"/>
      <w:marLeft w:val="0"/>
      <w:marRight w:val="0"/>
      <w:marTop w:val="0"/>
      <w:marBottom w:val="0"/>
      <w:divBdr>
        <w:top w:val="none" w:sz="0" w:space="0" w:color="auto"/>
        <w:left w:val="none" w:sz="0" w:space="0" w:color="auto"/>
        <w:bottom w:val="none" w:sz="0" w:space="0" w:color="auto"/>
        <w:right w:val="none" w:sz="0" w:space="0" w:color="auto"/>
      </w:divBdr>
    </w:div>
    <w:div w:id="677199588">
      <w:bodyDiv w:val="1"/>
      <w:marLeft w:val="0"/>
      <w:marRight w:val="0"/>
      <w:marTop w:val="0"/>
      <w:marBottom w:val="0"/>
      <w:divBdr>
        <w:top w:val="none" w:sz="0" w:space="0" w:color="auto"/>
        <w:left w:val="none" w:sz="0" w:space="0" w:color="auto"/>
        <w:bottom w:val="none" w:sz="0" w:space="0" w:color="auto"/>
        <w:right w:val="none" w:sz="0" w:space="0" w:color="auto"/>
      </w:divBdr>
    </w:div>
    <w:div w:id="690378211">
      <w:bodyDiv w:val="1"/>
      <w:marLeft w:val="0"/>
      <w:marRight w:val="0"/>
      <w:marTop w:val="0"/>
      <w:marBottom w:val="0"/>
      <w:divBdr>
        <w:top w:val="none" w:sz="0" w:space="0" w:color="auto"/>
        <w:left w:val="none" w:sz="0" w:space="0" w:color="auto"/>
        <w:bottom w:val="none" w:sz="0" w:space="0" w:color="auto"/>
        <w:right w:val="none" w:sz="0" w:space="0" w:color="auto"/>
      </w:divBdr>
    </w:div>
    <w:div w:id="712849290">
      <w:bodyDiv w:val="1"/>
      <w:marLeft w:val="0"/>
      <w:marRight w:val="0"/>
      <w:marTop w:val="0"/>
      <w:marBottom w:val="0"/>
      <w:divBdr>
        <w:top w:val="none" w:sz="0" w:space="0" w:color="auto"/>
        <w:left w:val="none" w:sz="0" w:space="0" w:color="auto"/>
        <w:bottom w:val="none" w:sz="0" w:space="0" w:color="auto"/>
        <w:right w:val="none" w:sz="0" w:space="0" w:color="auto"/>
      </w:divBdr>
    </w:div>
    <w:div w:id="713241013">
      <w:bodyDiv w:val="1"/>
      <w:marLeft w:val="0"/>
      <w:marRight w:val="0"/>
      <w:marTop w:val="0"/>
      <w:marBottom w:val="0"/>
      <w:divBdr>
        <w:top w:val="none" w:sz="0" w:space="0" w:color="auto"/>
        <w:left w:val="none" w:sz="0" w:space="0" w:color="auto"/>
        <w:bottom w:val="none" w:sz="0" w:space="0" w:color="auto"/>
        <w:right w:val="none" w:sz="0" w:space="0" w:color="auto"/>
      </w:divBdr>
    </w:div>
    <w:div w:id="716272976">
      <w:bodyDiv w:val="1"/>
      <w:marLeft w:val="0"/>
      <w:marRight w:val="0"/>
      <w:marTop w:val="0"/>
      <w:marBottom w:val="0"/>
      <w:divBdr>
        <w:top w:val="none" w:sz="0" w:space="0" w:color="auto"/>
        <w:left w:val="none" w:sz="0" w:space="0" w:color="auto"/>
        <w:bottom w:val="none" w:sz="0" w:space="0" w:color="auto"/>
        <w:right w:val="none" w:sz="0" w:space="0" w:color="auto"/>
      </w:divBdr>
    </w:div>
    <w:div w:id="724639793">
      <w:bodyDiv w:val="1"/>
      <w:marLeft w:val="0"/>
      <w:marRight w:val="0"/>
      <w:marTop w:val="0"/>
      <w:marBottom w:val="0"/>
      <w:divBdr>
        <w:top w:val="none" w:sz="0" w:space="0" w:color="auto"/>
        <w:left w:val="none" w:sz="0" w:space="0" w:color="auto"/>
        <w:bottom w:val="none" w:sz="0" w:space="0" w:color="auto"/>
        <w:right w:val="none" w:sz="0" w:space="0" w:color="auto"/>
      </w:divBdr>
    </w:div>
    <w:div w:id="728697214">
      <w:bodyDiv w:val="1"/>
      <w:marLeft w:val="0"/>
      <w:marRight w:val="0"/>
      <w:marTop w:val="0"/>
      <w:marBottom w:val="0"/>
      <w:divBdr>
        <w:top w:val="none" w:sz="0" w:space="0" w:color="auto"/>
        <w:left w:val="none" w:sz="0" w:space="0" w:color="auto"/>
        <w:bottom w:val="none" w:sz="0" w:space="0" w:color="auto"/>
        <w:right w:val="none" w:sz="0" w:space="0" w:color="auto"/>
      </w:divBdr>
    </w:div>
    <w:div w:id="735399352">
      <w:bodyDiv w:val="1"/>
      <w:marLeft w:val="0"/>
      <w:marRight w:val="0"/>
      <w:marTop w:val="0"/>
      <w:marBottom w:val="0"/>
      <w:divBdr>
        <w:top w:val="none" w:sz="0" w:space="0" w:color="auto"/>
        <w:left w:val="none" w:sz="0" w:space="0" w:color="auto"/>
        <w:bottom w:val="none" w:sz="0" w:space="0" w:color="auto"/>
        <w:right w:val="none" w:sz="0" w:space="0" w:color="auto"/>
      </w:divBdr>
    </w:div>
    <w:div w:id="741490264">
      <w:bodyDiv w:val="1"/>
      <w:marLeft w:val="0"/>
      <w:marRight w:val="0"/>
      <w:marTop w:val="0"/>
      <w:marBottom w:val="0"/>
      <w:divBdr>
        <w:top w:val="none" w:sz="0" w:space="0" w:color="auto"/>
        <w:left w:val="none" w:sz="0" w:space="0" w:color="auto"/>
        <w:bottom w:val="none" w:sz="0" w:space="0" w:color="auto"/>
        <w:right w:val="none" w:sz="0" w:space="0" w:color="auto"/>
      </w:divBdr>
    </w:div>
    <w:div w:id="744106668">
      <w:bodyDiv w:val="1"/>
      <w:marLeft w:val="0"/>
      <w:marRight w:val="0"/>
      <w:marTop w:val="0"/>
      <w:marBottom w:val="0"/>
      <w:divBdr>
        <w:top w:val="none" w:sz="0" w:space="0" w:color="auto"/>
        <w:left w:val="none" w:sz="0" w:space="0" w:color="auto"/>
        <w:bottom w:val="none" w:sz="0" w:space="0" w:color="auto"/>
        <w:right w:val="none" w:sz="0" w:space="0" w:color="auto"/>
      </w:divBdr>
    </w:div>
    <w:div w:id="749471378">
      <w:bodyDiv w:val="1"/>
      <w:marLeft w:val="0"/>
      <w:marRight w:val="0"/>
      <w:marTop w:val="0"/>
      <w:marBottom w:val="0"/>
      <w:divBdr>
        <w:top w:val="none" w:sz="0" w:space="0" w:color="auto"/>
        <w:left w:val="none" w:sz="0" w:space="0" w:color="auto"/>
        <w:bottom w:val="none" w:sz="0" w:space="0" w:color="auto"/>
        <w:right w:val="none" w:sz="0" w:space="0" w:color="auto"/>
      </w:divBdr>
    </w:div>
    <w:div w:id="770317464">
      <w:bodyDiv w:val="1"/>
      <w:marLeft w:val="0"/>
      <w:marRight w:val="0"/>
      <w:marTop w:val="0"/>
      <w:marBottom w:val="0"/>
      <w:divBdr>
        <w:top w:val="none" w:sz="0" w:space="0" w:color="auto"/>
        <w:left w:val="none" w:sz="0" w:space="0" w:color="auto"/>
        <w:bottom w:val="none" w:sz="0" w:space="0" w:color="auto"/>
        <w:right w:val="none" w:sz="0" w:space="0" w:color="auto"/>
      </w:divBdr>
    </w:div>
    <w:div w:id="772868775">
      <w:bodyDiv w:val="1"/>
      <w:marLeft w:val="0"/>
      <w:marRight w:val="0"/>
      <w:marTop w:val="0"/>
      <w:marBottom w:val="0"/>
      <w:divBdr>
        <w:top w:val="none" w:sz="0" w:space="0" w:color="auto"/>
        <w:left w:val="none" w:sz="0" w:space="0" w:color="auto"/>
        <w:bottom w:val="none" w:sz="0" w:space="0" w:color="auto"/>
        <w:right w:val="none" w:sz="0" w:space="0" w:color="auto"/>
      </w:divBdr>
    </w:div>
    <w:div w:id="787629783">
      <w:bodyDiv w:val="1"/>
      <w:marLeft w:val="0"/>
      <w:marRight w:val="0"/>
      <w:marTop w:val="0"/>
      <w:marBottom w:val="0"/>
      <w:divBdr>
        <w:top w:val="none" w:sz="0" w:space="0" w:color="auto"/>
        <w:left w:val="none" w:sz="0" w:space="0" w:color="auto"/>
        <w:bottom w:val="none" w:sz="0" w:space="0" w:color="auto"/>
        <w:right w:val="none" w:sz="0" w:space="0" w:color="auto"/>
      </w:divBdr>
    </w:div>
    <w:div w:id="791361121">
      <w:bodyDiv w:val="1"/>
      <w:marLeft w:val="0"/>
      <w:marRight w:val="0"/>
      <w:marTop w:val="0"/>
      <w:marBottom w:val="0"/>
      <w:divBdr>
        <w:top w:val="none" w:sz="0" w:space="0" w:color="auto"/>
        <w:left w:val="none" w:sz="0" w:space="0" w:color="auto"/>
        <w:bottom w:val="none" w:sz="0" w:space="0" w:color="auto"/>
        <w:right w:val="none" w:sz="0" w:space="0" w:color="auto"/>
      </w:divBdr>
    </w:div>
    <w:div w:id="796021174">
      <w:bodyDiv w:val="1"/>
      <w:marLeft w:val="0"/>
      <w:marRight w:val="0"/>
      <w:marTop w:val="0"/>
      <w:marBottom w:val="0"/>
      <w:divBdr>
        <w:top w:val="none" w:sz="0" w:space="0" w:color="auto"/>
        <w:left w:val="none" w:sz="0" w:space="0" w:color="auto"/>
        <w:bottom w:val="none" w:sz="0" w:space="0" w:color="auto"/>
        <w:right w:val="none" w:sz="0" w:space="0" w:color="auto"/>
      </w:divBdr>
    </w:div>
    <w:div w:id="800925437">
      <w:bodyDiv w:val="1"/>
      <w:marLeft w:val="0"/>
      <w:marRight w:val="0"/>
      <w:marTop w:val="0"/>
      <w:marBottom w:val="0"/>
      <w:divBdr>
        <w:top w:val="none" w:sz="0" w:space="0" w:color="auto"/>
        <w:left w:val="none" w:sz="0" w:space="0" w:color="auto"/>
        <w:bottom w:val="none" w:sz="0" w:space="0" w:color="auto"/>
        <w:right w:val="none" w:sz="0" w:space="0" w:color="auto"/>
      </w:divBdr>
    </w:div>
    <w:div w:id="809245044">
      <w:bodyDiv w:val="1"/>
      <w:marLeft w:val="0"/>
      <w:marRight w:val="0"/>
      <w:marTop w:val="0"/>
      <w:marBottom w:val="0"/>
      <w:divBdr>
        <w:top w:val="none" w:sz="0" w:space="0" w:color="auto"/>
        <w:left w:val="none" w:sz="0" w:space="0" w:color="auto"/>
        <w:bottom w:val="none" w:sz="0" w:space="0" w:color="auto"/>
        <w:right w:val="none" w:sz="0" w:space="0" w:color="auto"/>
      </w:divBdr>
    </w:div>
    <w:div w:id="814687318">
      <w:bodyDiv w:val="1"/>
      <w:marLeft w:val="0"/>
      <w:marRight w:val="0"/>
      <w:marTop w:val="0"/>
      <w:marBottom w:val="0"/>
      <w:divBdr>
        <w:top w:val="none" w:sz="0" w:space="0" w:color="auto"/>
        <w:left w:val="none" w:sz="0" w:space="0" w:color="auto"/>
        <w:bottom w:val="none" w:sz="0" w:space="0" w:color="auto"/>
        <w:right w:val="none" w:sz="0" w:space="0" w:color="auto"/>
      </w:divBdr>
    </w:div>
    <w:div w:id="817262028">
      <w:bodyDiv w:val="1"/>
      <w:marLeft w:val="0"/>
      <w:marRight w:val="0"/>
      <w:marTop w:val="0"/>
      <w:marBottom w:val="0"/>
      <w:divBdr>
        <w:top w:val="none" w:sz="0" w:space="0" w:color="auto"/>
        <w:left w:val="none" w:sz="0" w:space="0" w:color="auto"/>
        <w:bottom w:val="none" w:sz="0" w:space="0" w:color="auto"/>
        <w:right w:val="none" w:sz="0" w:space="0" w:color="auto"/>
      </w:divBdr>
    </w:div>
    <w:div w:id="820462331">
      <w:bodyDiv w:val="1"/>
      <w:marLeft w:val="0"/>
      <w:marRight w:val="0"/>
      <w:marTop w:val="0"/>
      <w:marBottom w:val="0"/>
      <w:divBdr>
        <w:top w:val="none" w:sz="0" w:space="0" w:color="auto"/>
        <w:left w:val="none" w:sz="0" w:space="0" w:color="auto"/>
        <w:bottom w:val="none" w:sz="0" w:space="0" w:color="auto"/>
        <w:right w:val="none" w:sz="0" w:space="0" w:color="auto"/>
      </w:divBdr>
    </w:div>
    <w:div w:id="828206786">
      <w:bodyDiv w:val="1"/>
      <w:marLeft w:val="0"/>
      <w:marRight w:val="0"/>
      <w:marTop w:val="0"/>
      <w:marBottom w:val="0"/>
      <w:divBdr>
        <w:top w:val="none" w:sz="0" w:space="0" w:color="auto"/>
        <w:left w:val="none" w:sz="0" w:space="0" w:color="auto"/>
        <w:bottom w:val="none" w:sz="0" w:space="0" w:color="auto"/>
        <w:right w:val="none" w:sz="0" w:space="0" w:color="auto"/>
      </w:divBdr>
    </w:div>
    <w:div w:id="828398969">
      <w:bodyDiv w:val="1"/>
      <w:marLeft w:val="0"/>
      <w:marRight w:val="0"/>
      <w:marTop w:val="0"/>
      <w:marBottom w:val="0"/>
      <w:divBdr>
        <w:top w:val="none" w:sz="0" w:space="0" w:color="auto"/>
        <w:left w:val="none" w:sz="0" w:space="0" w:color="auto"/>
        <w:bottom w:val="none" w:sz="0" w:space="0" w:color="auto"/>
        <w:right w:val="none" w:sz="0" w:space="0" w:color="auto"/>
      </w:divBdr>
    </w:div>
    <w:div w:id="831020758">
      <w:bodyDiv w:val="1"/>
      <w:marLeft w:val="0"/>
      <w:marRight w:val="0"/>
      <w:marTop w:val="0"/>
      <w:marBottom w:val="0"/>
      <w:divBdr>
        <w:top w:val="none" w:sz="0" w:space="0" w:color="auto"/>
        <w:left w:val="none" w:sz="0" w:space="0" w:color="auto"/>
        <w:bottom w:val="none" w:sz="0" w:space="0" w:color="auto"/>
        <w:right w:val="none" w:sz="0" w:space="0" w:color="auto"/>
      </w:divBdr>
    </w:div>
    <w:div w:id="831918549">
      <w:bodyDiv w:val="1"/>
      <w:marLeft w:val="0"/>
      <w:marRight w:val="0"/>
      <w:marTop w:val="0"/>
      <w:marBottom w:val="0"/>
      <w:divBdr>
        <w:top w:val="none" w:sz="0" w:space="0" w:color="auto"/>
        <w:left w:val="none" w:sz="0" w:space="0" w:color="auto"/>
        <w:bottom w:val="none" w:sz="0" w:space="0" w:color="auto"/>
        <w:right w:val="none" w:sz="0" w:space="0" w:color="auto"/>
      </w:divBdr>
    </w:div>
    <w:div w:id="832180240">
      <w:bodyDiv w:val="1"/>
      <w:marLeft w:val="0"/>
      <w:marRight w:val="0"/>
      <w:marTop w:val="0"/>
      <w:marBottom w:val="0"/>
      <w:divBdr>
        <w:top w:val="none" w:sz="0" w:space="0" w:color="auto"/>
        <w:left w:val="none" w:sz="0" w:space="0" w:color="auto"/>
        <w:bottom w:val="none" w:sz="0" w:space="0" w:color="auto"/>
        <w:right w:val="none" w:sz="0" w:space="0" w:color="auto"/>
      </w:divBdr>
    </w:div>
    <w:div w:id="833492923">
      <w:bodyDiv w:val="1"/>
      <w:marLeft w:val="0"/>
      <w:marRight w:val="0"/>
      <w:marTop w:val="0"/>
      <w:marBottom w:val="0"/>
      <w:divBdr>
        <w:top w:val="none" w:sz="0" w:space="0" w:color="auto"/>
        <w:left w:val="none" w:sz="0" w:space="0" w:color="auto"/>
        <w:bottom w:val="none" w:sz="0" w:space="0" w:color="auto"/>
        <w:right w:val="none" w:sz="0" w:space="0" w:color="auto"/>
      </w:divBdr>
    </w:div>
    <w:div w:id="835339734">
      <w:bodyDiv w:val="1"/>
      <w:marLeft w:val="0"/>
      <w:marRight w:val="0"/>
      <w:marTop w:val="0"/>
      <w:marBottom w:val="0"/>
      <w:divBdr>
        <w:top w:val="none" w:sz="0" w:space="0" w:color="auto"/>
        <w:left w:val="none" w:sz="0" w:space="0" w:color="auto"/>
        <w:bottom w:val="none" w:sz="0" w:space="0" w:color="auto"/>
        <w:right w:val="none" w:sz="0" w:space="0" w:color="auto"/>
      </w:divBdr>
    </w:div>
    <w:div w:id="840892804">
      <w:bodyDiv w:val="1"/>
      <w:marLeft w:val="0"/>
      <w:marRight w:val="0"/>
      <w:marTop w:val="0"/>
      <w:marBottom w:val="0"/>
      <w:divBdr>
        <w:top w:val="none" w:sz="0" w:space="0" w:color="auto"/>
        <w:left w:val="none" w:sz="0" w:space="0" w:color="auto"/>
        <w:bottom w:val="none" w:sz="0" w:space="0" w:color="auto"/>
        <w:right w:val="none" w:sz="0" w:space="0" w:color="auto"/>
      </w:divBdr>
    </w:div>
    <w:div w:id="849493144">
      <w:bodyDiv w:val="1"/>
      <w:marLeft w:val="0"/>
      <w:marRight w:val="0"/>
      <w:marTop w:val="0"/>
      <w:marBottom w:val="0"/>
      <w:divBdr>
        <w:top w:val="none" w:sz="0" w:space="0" w:color="auto"/>
        <w:left w:val="none" w:sz="0" w:space="0" w:color="auto"/>
        <w:bottom w:val="none" w:sz="0" w:space="0" w:color="auto"/>
        <w:right w:val="none" w:sz="0" w:space="0" w:color="auto"/>
      </w:divBdr>
    </w:div>
    <w:div w:id="852574618">
      <w:bodyDiv w:val="1"/>
      <w:marLeft w:val="0"/>
      <w:marRight w:val="0"/>
      <w:marTop w:val="0"/>
      <w:marBottom w:val="0"/>
      <w:divBdr>
        <w:top w:val="none" w:sz="0" w:space="0" w:color="auto"/>
        <w:left w:val="none" w:sz="0" w:space="0" w:color="auto"/>
        <w:bottom w:val="none" w:sz="0" w:space="0" w:color="auto"/>
        <w:right w:val="none" w:sz="0" w:space="0" w:color="auto"/>
      </w:divBdr>
    </w:div>
    <w:div w:id="855459041">
      <w:bodyDiv w:val="1"/>
      <w:marLeft w:val="0"/>
      <w:marRight w:val="0"/>
      <w:marTop w:val="0"/>
      <w:marBottom w:val="0"/>
      <w:divBdr>
        <w:top w:val="none" w:sz="0" w:space="0" w:color="auto"/>
        <w:left w:val="none" w:sz="0" w:space="0" w:color="auto"/>
        <w:bottom w:val="none" w:sz="0" w:space="0" w:color="auto"/>
        <w:right w:val="none" w:sz="0" w:space="0" w:color="auto"/>
      </w:divBdr>
    </w:div>
    <w:div w:id="859008503">
      <w:bodyDiv w:val="1"/>
      <w:marLeft w:val="0"/>
      <w:marRight w:val="0"/>
      <w:marTop w:val="0"/>
      <w:marBottom w:val="0"/>
      <w:divBdr>
        <w:top w:val="none" w:sz="0" w:space="0" w:color="auto"/>
        <w:left w:val="none" w:sz="0" w:space="0" w:color="auto"/>
        <w:bottom w:val="none" w:sz="0" w:space="0" w:color="auto"/>
        <w:right w:val="none" w:sz="0" w:space="0" w:color="auto"/>
      </w:divBdr>
    </w:div>
    <w:div w:id="859708011">
      <w:bodyDiv w:val="1"/>
      <w:marLeft w:val="0"/>
      <w:marRight w:val="0"/>
      <w:marTop w:val="0"/>
      <w:marBottom w:val="0"/>
      <w:divBdr>
        <w:top w:val="none" w:sz="0" w:space="0" w:color="auto"/>
        <w:left w:val="none" w:sz="0" w:space="0" w:color="auto"/>
        <w:bottom w:val="none" w:sz="0" w:space="0" w:color="auto"/>
        <w:right w:val="none" w:sz="0" w:space="0" w:color="auto"/>
      </w:divBdr>
    </w:div>
    <w:div w:id="860125945">
      <w:bodyDiv w:val="1"/>
      <w:marLeft w:val="0"/>
      <w:marRight w:val="0"/>
      <w:marTop w:val="0"/>
      <w:marBottom w:val="0"/>
      <w:divBdr>
        <w:top w:val="none" w:sz="0" w:space="0" w:color="auto"/>
        <w:left w:val="none" w:sz="0" w:space="0" w:color="auto"/>
        <w:bottom w:val="none" w:sz="0" w:space="0" w:color="auto"/>
        <w:right w:val="none" w:sz="0" w:space="0" w:color="auto"/>
      </w:divBdr>
    </w:div>
    <w:div w:id="865558571">
      <w:bodyDiv w:val="1"/>
      <w:marLeft w:val="0"/>
      <w:marRight w:val="0"/>
      <w:marTop w:val="0"/>
      <w:marBottom w:val="0"/>
      <w:divBdr>
        <w:top w:val="none" w:sz="0" w:space="0" w:color="auto"/>
        <w:left w:val="none" w:sz="0" w:space="0" w:color="auto"/>
        <w:bottom w:val="none" w:sz="0" w:space="0" w:color="auto"/>
        <w:right w:val="none" w:sz="0" w:space="0" w:color="auto"/>
      </w:divBdr>
    </w:div>
    <w:div w:id="866479789">
      <w:bodyDiv w:val="1"/>
      <w:marLeft w:val="0"/>
      <w:marRight w:val="0"/>
      <w:marTop w:val="0"/>
      <w:marBottom w:val="0"/>
      <w:divBdr>
        <w:top w:val="none" w:sz="0" w:space="0" w:color="auto"/>
        <w:left w:val="none" w:sz="0" w:space="0" w:color="auto"/>
        <w:bottom w:val="none" w:sz="0" w:space="0" w:color="auto"/>
        <w:right w:val="none" w:sz="0" w:space="0" w:color="auto"/>
      </w:divBdr>
    </w:div>
    <w:div w:id="866715174">
      <w:bodyDiv w:val="1"/>
      <w:marLeft w:val="0"/>
      <w:marRight w:val="0"/>
      <w:marTop w:val="0"/>
      <w:marBottom w:val="0"/>
      <w:divBdr>
        <w:top w:val="none" w:sz="0" w:space="0" w:color="auto"/>
        <w:left w:val="none" w:sz="0" w:space="0" w:color="auto"/>
        <w:bottom w:val="none" w:sz="0" w:space="0" w:color="auto"/>
        <w:right w:val="none" w:sz="0" w:space="0" w:color="auto"/>
      </w:divBdr>
    </w:div>
    <w:div w:id="881285620">
      <w:bodyDiv w:val="1"/>
      <w:marLeft w:val="0"/>
      <w:marRight w:val="0"/>
      <w:marTop w:val="0"/>
      <w:marBottom w:val="0"/>
      <w:divBdr>
        <w:top w:val="none" w:sz="0" w:space="0" w:color="auto"/>
        <w:left w:val="none" w:sz="0" w:space="0" w:color="auto"/>
        <w:bottom w:val="none" w:sz="0" w:space="0" w:color="auto"/>
        <w:right w:val="none" w:sz="0" w:space="0" w:color="auto"/>
      </w:divBdr>
    </w:div>
    <w:div w:id="884029592">
      <w:bodyDiv w:val="1"/>
      <w:marLeft w:val="0"/>
      <w:marRight w:val="0"/>
      <w:marTop w:val="0"/>
      <w:marBottom w:val="0"/>
      <w:divBdr>
        <w:top w:val="none" w:sz="0" w:space="0" w:color="auto"/>
        <w:left w:val="none" w:sz="0" w:space="0" w:color="auto"/>
        <w:bottom w:val="none" w:sz="0" w:space="0" w:color="auto"/>
        <w:right w:val="none" w:sz="0" w:space="0" w:color="auto"/>
      </w:divBdr>
    </w:div>
    <w:div w:id="895624714">
      <w:bodyDiv w:val="1"/>
      <w:marLeft w:val="0"/>
      <w:marRight w:val="0"/>
      <w:marTop w:val="0"/>
      <w:marBottom w:val="0"/>
      <w:divBdr>
        <w:top w:val="none" w:sz="0" w:space="0" w:color="auto"/>
        <w:left w:val="none" w:sz="0" w:space="0" w:color="auto"/>
        <w:bottom w:val="none" w:sz="0" w:space="0" w:color="auto"/>
        <w:right w:val="none" w:sz="0" w:space="0" w:color="auto"/>
      </w:divBdr>
    </w:div>
    <w:div w:id="896551122">
      <w:bodyDiv w:val="1"/>
      <w:marLeft w:val="0"/>
      <w:marRight w:val="0"/>
      <w:marTop w:val="0"/>
      <w:marBottom w:val="0"/>
      <w:divBdr>
        <w:top w:val="none" w:sz="0" w:space="0" w:color="auto"/>
        <w:left w:val="none" w:sz="0" w:space="0" w:color="auto"/>
        <w:bottom w:val="none" w:sz="0" w:space="0" w:color="auto"/>
        <w:right w:val="none" w:sz="0" w:space="0" w:color="auto"/>
      </w:divBdr>
    </w:div>
    <w:div w:id="897588472">
      <w:bodyDiv w:val="1"/>
      <w:marLeft w:val="0"/>
      <w:marRight w:val="0"/>
      <w:marTop w:val="0"/>
      <w:marBottom w:val="0"/>
      <w:divBdr>
        <w:top w:val="none" w:sz="0" w:space="0" w:color="auto"/>
        <w:left w:val="none" w:sz="0" w:space="0" w:color="auto"/>
        <w:bottom w:val="none" w:sz="0" w:space="0" w:color="auto"/>
        <w:right w:val="none" w:sz="0" w:space="0" w:color="auto"/>
      </w:divBdr>
    </w:div>
    <w:div w:id="900796878">
      <w:bodyDiv w:val="1"/>
      <w:marLeft w:val="0"/>
      <w:marRight w:val="0"/>
      <w:marTop w:val="0"/>
      <w:marBottom w:val="0"/>
      <w:divBdr>
        <w:top w:val="none" w:sz="0" w:space="0" w:color="auto"/>
        <w:left w:val="none" w:sz="0" w:space="0" w:color="auto"/>
        <w:bottom w:val="none" w:sz="0" w:space="0" w:color="auto"/>
        <w:right w:val="none" w:sz="0" w:space="0" w:color="auto"/>
      </w:divBdr>
    </w:div>
    <w:div w:id="912200865">
      <w:bodyDiv w:val="1"/>
      <w:marLeft w:val="0"/>
      <w:marRight w:val="0"/>
      <w:marTop w:val="0"/>
      <w:marBottom w:val="0"/>
      <w:divBdr>
        <w:top w:val="none" w:sz="0" w:space="0" w:color="auto"/>
        <w:left w:val="none" w:sz="0" w:space="0" w:color="auto"/>
        <w:bottom w:val="none" w:sz="0" w:space="0" w:color="auto"/>
        <w:right w:val="none" w:sz="0" w:space="0" w:color="auto"/>
      </w:divBdr>
    </w:div>
    <w:div w:id="915751572">
      <w:bodyDiv w:val="1"/>
      <w:marLeft w:val="0"/>
      <w:marRight w:val="0"/>
      <w:marTop w:val="0"/>
      <w:marBottom w:val="0"/>
      <w:divBdr>
        <w:top w:val="none" w:sz="0" w:space="0" w:color="auto"/>
        <w:left w:val="none" w:sz="0" w:space="0" w:color="auto"/>
        <w:bottom w:val="none" w:sz="0" w:space="0" w:color="auto"/>
        <w:right w:val="none" w:sz="0" w:space="0" w:color="auto"/>
      </w:divBdr>
    </w:div>
    <w:div w:id="927075388">
      <w:bodyDiv w:val="1"/>
      <w:marLeft w:val="0"/>
      <w:marRight w:val="0"/>
      <w:marTop w:val="0"/>
      <w:marBottom w:val="0"/>
      <w:divBdr>
        <w:top w:val="none" w:sz="0" w:space="0" w:color="auto"/>
        <w:left w:val="none" w:sz="0" w:space="0" w:color="auto"/>
        <w:bottom w:val="none" w:sz="0" w:space="0" w:color="auto"/>
        <w:right w:val="none" w:sz="0" w:space="0" w:color="auto"/>
      </w:divBdr>
    </w:div>
    <w:div w:id="931820620">
      <w:bodyDiv w:val="1"/>
      <w:marLeft w:val="0"/>
      <w:marRight w:val="0"/>
      <w:marTop w:val="0"/>
      <w:marBottom w:val="0"/>
      <w:divBdr>
        <w:top w:val="none" w:sz="0" w:space="0" w:color="auto"/>
        <w:left w:val="none" w:sz="0" w:space="0" w:color="auto"/>
        <w:bottom w:val="none" w:sz="0" w:space="0" w:color="auto"/>
        <w:right w:val="none" w:sz="0" w:space="0" w:color="auto"/>
      </w:divBdr>
    </w:div>
    <w:div w:id="932518777">
      <w:bodyDiv w:val="1"/>
      <w:marLeft w:val="0"/>
      <w:marRight w:val="0"/>
      <w:marTop w:val="0"/>
      <w:marBottom w:val="0"/>
      <w:divBdr>
        <w:top w:val="none" w:sz="0" w:space="0" w:color="auto"/>
        <w:left w:val="none" w:sz="0" w:space="0" w:color="auto"/>
        <w:bottom w:val="none" w:sz="0" w:space="0" w:color="auto"/>
        <w:right w:val="none" w:sz="0" w:space="0" w:color="auto"/>
      </w:divBdr>
    </w:div>
    <w:div w:id="933317668">
      <w:bodyDiv w:val="1"/>
      <w:marLeft w:val="0"/>
      <w:marRight w:val="0"/>
      <w:marTop w:val="0"/>
      <w:marBottom w:val="0"/>
      <w:divBdr>
        <w:top w:val="none" w:sz="0" w:space="0" w:color="auto"/>
        <w:left w:val="none" w:sz="0" w:space="0" w:color="auto"/>
        <w:bottom w:val="none" w:sz="0" w:space="0" w:color="auto"/>
        <w:right w:val="none" w:sz="0" w:space="0" w:color="auto"/>
      </w:divBdr>
    </w:div>
    <w:div w:id="945576882">
      <w:bodyDiv w:val="1"/>
      <w:marLeft w:val="0"/>
      <w:marRight w:val="0"/>
      <w:marTop w:val="0"/>
      <w:marBottom w:val="0"/>
      <w:divBdr>
        <w:top w:val="none" w:sz="0" w:space="0" w:color="auto"/>
        <w:left w:val="none" w:sz="0" w:space="0" w:color="auto"/>
        <w:bottom w:val="none" w:sz="0" w:space="0" w:color="auto"/>
        <w:right w:val="none" w:sz="0" w:space="0" w:color="auto"/>
      </w:divBdr>
    </w:div>
    <w:div w:id="951789724">
      <w:bodyDiv w:val="1"/>
      <w:marLeft w:val="0"/>
      <w:marRight w:val="0"/>
      <w:marTop w:val="0"/>
      <w:marBottom w:val="0"/>
      <w:divBdr>
        <w:top w:val="none" w:sz="0" w:space="0" w:color="auto"/>
        <w:left w:val="none" w:sz="0" w:space="0" w:color="auto"/>
        <w:bottom w:val="none" w:sz="0" w:space="0" w:color="auto"/>
        <w:right w:val="none" w:sz="0" w:space="0" w:color="auto"/>
      </w:divBdr>
    </w:div>
    <w:div w:id="955792126">
      <w:bodyDiv w:val="1"/>
      <w:marLeft w:val="0"/>
      <w:marRight w:val="0"/>
      <w:marTop w:val="0"/>
      <w:marBottom w:val="0"/>
      <w:divBdr>
        <w:top w:val="none" w:sz="0" w:space="0" w:color="auto"/>
        <w:left w:val="none" w:sz="0" w:space="0" w:color="auto"/>
        <w:bottom w:val="none" w:sz="0" w:space="0" w:color="auto"/>
        <w:right w:val="none" w:sz="0" w:space="0" w:color="auto"/>
      </w:divBdr>
    </w:div>
    <w:div w:id="955872433">
      <w:bodyDiv w:val="1"/>
      <w:marLeft w:val="0"/>
      <w:marRight w:val="0"/>
      <w:marTop w:val="0"/>
      <w:marBottom w:val="0"/>
      <w:divBdr>
        <w:top w:val="none" w:sz="0" w:space="0" w:color="auto"/>
        <w:left w:val="none" w:sz="0" w:space="0" w:color="auto"/>
        <w:bottom w:val="none" w:sz="0" w:space="0" w:color="auto"/>
        <w:right w:val="none" w:sz="0" w:space="0" w:color="auto"/>
      </w:divBdr>
    </w:div>
    <w:div w:id="967206145">
      <w:bodyDiv w:val="1"/>
      <w:marLeft w:val="0"/>
      <w:marRight w:val="0"/>
      <w:marTop w:val="0"/>
      <w:marBottom w:val="0"/>
      <w:divBdr>
        <w:top w:val="none" w:sz="0" w:space="0" w:color="auto"/>
        <w:left w:val="none" w:sz="0" w:space="0" w:color="auto"/>
        <w:bottom w:val="none" w:sz="0" w:space="0" w:color="auto"/>
        <w:right w:val="none" w:sz="0" w:space="0" w:color="auto"/>
      </w:divBdr>
    </w:div>
    <w:div w:id="968583529">
      <w:bodyDiv w:val="1"/>
      <w:marLeft w:val="0"/>
      <w:marRight w:val="0"/>
      <w:marTop w:val="0"/>
      <w:marBottom w:val="0"/>
      <w:divBdr>
        <w:top w:val="none" w:sz="0" w:space="0" w:color="auto"/>
        <w:left w:val="none" w:sz="0" w:space="0" w:color="auto"/>
        <w:bottom w:val="none" w:sz="0" w:space="0" w:color="auto"/>
        <w:right w:val="none" w:sz="0" w:space="0" w:color="auto"/>
      </w:divBdr>
    </w:div>
    <w:div w:id="973871600">
      <w:bodyDiv w:val="1"/>
      <w:marLeft w:val="0"/>
      <w:marRight w:val="0"/>
      <w:marTop w:val="0"/>
      <w:marBottom w:val="0"/>
      <w:divBdr>
        <w:top w:val="none" w:sz="0" w:space="0" w:color="auto"/>
        <w:left w:val="none" w:sz="0" w:space="0" w:color="auto"/>
        <w:bottom w:val="none" w:sz="0" w:space="0" w:color="auto"/>
        <w:right w:val="none" w:sz="0" w:space="0" w:color="auto"/>
      </w:divBdr>
    </w:div>
    <w:div w:id="984745697">
      <w:bodyDiv w:val="1"/>
      <w:marLeft w:val="0"/>
      <w:marRight w:val="0"/>
      <w:marTop w:val="0"/>
      <w:marBottom w:val="0"/>
      <w:divBdr>
        <w:top w:val="none" w:sz="0" w:space="0" w:color="auto"/>
        <w:left w:val="none" w:sz="0" w:space="0" w:color="auto"/>
        <w:bottom w:val="none" w:sz="0" w:space="0" w:color="auto"/>
        <w:right w:val="none" w:sz="0" w:space="0" w:color="auto"/>
      </w:divBdr>
    </w:div>
    <w:div w:id="987900788">
      <w:bodyDiv w:val="1"/>
      <w:marLeft w:val="0"/>
      <w:marRight w:val="0"/>
      <w:marTop w:val="0"/>
      <w:marBottom w:val="0"/>
      <w:divBdr>
        <w:top w:val="none" w:sz="0" w:space="0" w:color="auto"/>
        <w:left w:val="none" w:sz="0" w:space="0" w:color="auto"/>
        <w:bottom w:val="none" w:sz="0" w:space="0" w:color="auto"/>
        <w:right w:val="none" w:sz="0" w:space="0" w:color="auto"/>
      </w:divBdr>
    </w:div>
    <w:div w:id="989332233">
      <w:bodyDiv w:val="1"/>
      <w:marLeft w:val="0"/>
      <w:marRight w:val="0"/>
      <w:marTop w:val="0"/>
      <w:marBottom w:val="0"/>
      <w:divBdr>
        <w:top w:val="none" w:sz="0" w:space="0" w:color="auto"/>
        <w:left w:val="none" w:sz="0" w:space="0" w:color="auto"/>
        <w:bottom w:val="none" w:sz="0" w:space="0" w:color="auto"/>
        <w:right w:val="none" w:sz="0" w:space="0" w:color="auto"/>
      </w:divBdr>
    </w:div>
    <w:div w:id="997462785">
      <w:bodyDiv w:val="1"/>
      <w:marLeft w:val="0"/>
      <w:marRight w:val="0"/>
      <w:marTop w:val="0"/>
      <w:marBottom w:val="0"/>
      <w:divBdr>
        <w:top w:val="none" w:sz="0" w:space="0" w:color="auto"/>
        <w:left w:val="none" w:sz="0" w:space="0" w:color="auto"/>
        <w:bottom w:val="none" w:sz="0" w:space="0" w:color="auto"/>
        <w:right w:val="none" w:sz="0" w:space="0" w:color="auto"/>
      </w:divBdr>
    </w:div>
    <w:div w:id="1002585349">
      <w:bodyDiv w:val="1"/>
      <w:marLeft w:val="0"/>
      <w:marRight w:val="0"/>
      <w:marTop w:val="0"/>
      <w:marBottom w:val="0"/>
      <w:divBdr>
        <w:top w:val="none" w:sz="0" w:space="0" w:color="auto"/>
        <w:left w:val="none" w:sz="0" w:space="0" w:color="auto"/>
        <w:bottom w:val="none" w:sz="0" w:space="0" w:color="auto"/>
        <w:right w:val="none" w:sz="0" w:space="0" w:color="auto"/>
      </w:divBdr>
    </w:div>
    <w:div w:id="1004938282">
      <w:bodyDiv w:val="1"/>
      <w:marLeft w:val="0"/>
      <w:marRight w:val="0"/>
      <w:marTop w:val="0"/>
      <w:marBottom w:val="0"/>
      <w:divBdr>
        <w:top w:val="none" w:sz="0" w:space="0" w:color="auto"/>
        <w:left w:val="none" w:sz="0" w:space="0" w:color="auto"/>
        <w:bottom w:val="none" w:sz="0" w:space="0" w:color="auto"/>
        <w:right w:val="none" w:sz="0" w:space="0" w:color="auto"/>
      </w:divBdr>
    </w:div>
    <w:div w:id="1019818793">
      <w:bodyDiv w:val="1"/>
      <w:marLeft w:val="0"/>
      <w:marRight w:val="0"/>
      <w:marTop w:val="0"/>
      <w:marBottom w:val="0"/>
      <w:divBdr>
        <w:top w:val="none" w:sz="0" w:space="0" w:color="auto"/>
        <w:left w:val="none" w:sz="0" w:space="0" w:color="auto"/>
        <w:bottom w:val="none" w:sz="0" w:space="0" w:color="auto"/>
        <w:right w:val="none" w:sz="0" w:space="0" w:color="auto"/>
      </w:divBdr>
    </w:div>
    <w:div w:id="1035959341">
      <w:bodyDiv w:val="1"/>
      <w:marLeft w:val="0"/>
      <w:marRight w:val="0"/>
      <w:marTop w:val="0"/>
      <w:marBottom w:val="0"/>
      <w:divBdr>
        <w:top w:val="none" w:sz="0" w:space="0" w:color="auto"/>
        <w:left w:val="none" w:sz="0" w:space="0" w:color="auto"/>
        <w:bottom w:val="none" w:sz="0" w:space="0" w:color="auto"/>
        <w:right w:val="none" w:sz="0" w:space="0" w:color="auto"/>
      </w:divBdr>
    </w:div>
    <w:div w:id="1043019684">
      <w:bodyDiv w:val="1"/>
      <w:marLeft w:val="0"/>
      <w:marRight w:val="0"/>
      <w:marTop w:val="0"/>
      <w:marBottom w:val="0"/>
      <w:divBdr>
        <w:top w:val="none" w:sz="0" w:space="0" w:color="auto"/>
        <w:left w:val="none" w:sz="0" w:space="0" w:color="auto"/>
        <w:bottom w:val="none" w:sz="0" w:space="0" w:color="auto"/>
        <w:right w:val="none" w:sz="0" w:space="0" w:color="auto"/>
      </w:divBdr>
    </w:div>
    <w:div w:id="1053622477">
      <w:bodyDiv w:val="1"/>
      <w:marLeft w:val="0"/>
      <w:marRight w:val="0"/>
      <w:marTop w:val="0"/>
      <w:marBottom w:val="0"/>
      <w:divBdr>
        <w:top w:val="none" w:sz="0" w:space="0" w:color="auto"/>
        <w:left w:val="none" w:sz="0" w:space="0" w:color="auto"/>
        <w:bottom w:val="none" w:sz="0" w:space="0" w:color="auto"/>
        <w:right w:val="none" w:sz="0" w:space="0" w:color="auto"/>
      </w:divBdr>
    </w:div>
    <w:div w:id="1065959124">
      <w:bodyDiv w:val="1"/>
      <w:marLeft w:val="0"/>
      <w:marRight w:val="0"/>
      <w:marTop w:val="0"/>
      <w:marBottom w:val="0"/>
      <w:divBdr>
        <w:top w:val="none" w:sz="0" w:space="0" w:color="auto"/>
        <w:left w:val="none" w:sz="0" w:space="0" w:color="auto"/>
        <w:bottom w:val="none" w:sz="0" w:space="0" w:color="auto"/>
        <w:right w:val="none" w:sz="0" w:space="0" w:color="auto"/>
      </w:divBdr>
    </w:div>
    <w:div w:id="1071275987">
      <w:bodyDiv w:val="1"/>
      <w:marLeft w:val="0"/>
      <w:marRight w:val="0"/>
      <w:marTop w:val="0"/>
      <w:marBottom w:val="0"/>
      <w:divBdr>
        <w:top w:val="none" w:sz="0" w:space="0" w:color="auto"/>
        <w:left w:val="none" w:sz="0" w:space="0" w:color="auto"/>
        <w:bottom w:val="none" w:sz="0" w:space="0" w:color="auto"/>
        <w:right w:val="none" w:sz="0" w:space="0" w:color="auto"/>
      </w:divBdr>
    </w:div>
    <w:div w:id="1073819169">
      <w:bodyDiv w:val="1"/>
      <w:marLeft w:val="0"/>
      <w:marRight w:val="0"/>
      <w:marTop w:val="0"/>
      <w:marBottom w:val="0"/>
      <w:divBdr>
        <w:top w:val="none" w:sz="0" w:space="0" w:color="auto"/>
        <w:left w:val="none" w:sz="0" w:space="0" w:color="auto"/>
        <w:bottom w:val="none" w:sz="0" w:space="0" w:color="auto"/>
        <w:right w:val="none" w:sz="0" w:space="0" w:color="auto"/>
      </w:divBdr>
    </w:div>
    <w:div w:id="1081803573">
      <w:bodyDiv w:val="1"/>
      <w:marLeft w:val="0"/>
      <w:marRight w:val="0"/>
      <w:marTop w:val="0"/>
      <w:marBottom w:val="0"/>
      <w:divBdr>
        <w:top w:val="none" w:sz="0" w:space="0" w:color="auto"/>
        <w:left w:val="none" w:sz="0" w:space="0" w:color="auto"/>
        <w:bottom w:val="none" w:sz="0" w:space="0" w:color="auto"/>
        <w:right w:val="none" w:sz="0" w:space="0" w:color="auto"/>
      </w:divBdr>
    </w:div>
    <w:div w:id="1083260100">
      <w:bodyDiv w:val="1"/>
      <w:marLeft w:val="0"/>
      <w:marRight w:val="0"/>
      <w:marTop w:val="0"/>
      <w:marBottom w:val="0"/>
      <w:divBdr>
        <w:top w:val="none" w:sz="0" w:space="0" w:color="auto"/>
        <w:left w:val="none" w:sz="0" w:space="0" w:color="auto"/>
        <w:bottom w:val="none" w:sz="0" w:space="0" w:color="auto"/>
        <w:right w:val="none" w:sz="0" w:space="0" w:color="auto"/>
      </w:divBdr>
    </w:div>
    <w:div w:id="1094400829">
      <w:bodyDiv w:val="1"/>
      <w:marLeft w:val="0"/>
      <w:marRight w:val="0"/>
      <w:marTop w:val="0"/>
      <w:marBottom w:val="0"/>
      <w:divBdr>
        <w:top w:val="none" w:sz="0" w:space="0" w:color="auto"/>
        <w:left w:val="none" w:sz="0" w:space="0" w:color="auto"/>
        <w:bottom w:val="none" w:sz="0" w:space="0" w:color="auto"/>
        <w:right w:val="none" w:sz="0" w:space="0" w:color="auto"/>
      </w:divBdr>
    </w:div>
    <w:div w:id="1101797368">
      <w:bodyDiv w:val="1"/>
      <w:marLeft w:val="0"/>
      <w:marRight w:val="0"/>
      <w:marTop w:val="0"/>
      <w:marBottom w:val="0"/>
      <w:divBdr>
        <w:top w:val="none" w:sz="0" w:space="0" w:color="auto"/>
        <w:left w:val="none" w:sz="0" w:space="0" w:color="auto"/>
        <w:bottom w:val="none" w:sz="0" w:space="0" w:color="auto"/>
        <w:right w:val="none" w:sz="0" w:space="0" w:color="auto"/>
      </w:divBdr>
    </w:div>
    <w:div w:id="1110199546">
      <w:bodyDiv w:val="1"/>
      <w:marLeft w:val="0"/>
      <w:marRight w:val="0"/>
      <w:marTop w:val="0"/>
      <w:marBottom w:val="0"/>
      <w:divBdr>
        <w:top w:val="none" w:sz="0" w:space="0" w:color="auto"/>
        <w:left w:val="none" w:sz="0" w:space="0" w:color="auto"/>
        <w:bottom w:val="none" w:sz="0" w:space="0" w:color="auto"/>
        <w:right w:val="none" w:sz="0" w:space="0" w:color="auto"/>
      </w:divBdr>
    </w:div>
    <w:div w:id="1113594337">
      <w:bodyDiv w:val="1"/>
      <w:marLeft w:val="0"/>
      <w:marRight w:val="0"/>
      <w:marTop w:val="0"/>
      <w:marBottom w:val="0"/>
      <w:divBdr>
        <w:top w:val="none" w:sz="0" w:space="0" w:color="auto"/>
        <w:left w:val="none" w:sz="0" w:space="0" w:color="auto"/>
        <w:bottom w:val="none" w:sz="0" w:space="0" w:color="auto"/>
        <w:right w:val="none" w:sz="0" w:space="0" w:color="auto"/>
      </w:divBdr>
    </w:div>
    <w:div w:id="1113748004">
      <w:bodyDiv w:val="1"/>
      <w:marLeft w:val="0"/>
      <w:marRight w:val="0"/>
      <w:marTop w:val="0"/>
      <w:marBottom w:val="0"/>
      <w:divBdr>
        <w:top w:val="none" w:sz="0" w:space="0" w:color="auto"/>
        <w:left w:val="none" w:sz="0" w:space="0" w:color="auto"/>
        <w:bottom w:val="none" w:sz="0" w:space="0" w:color="auto"/>
        <w:right w:val="none" w:sz="0" w:space="0" w:color="auto"/>
      </w:divBdr>
    </w:div>
    <w:div w:id="1114591158">
      <w:bodyDiv w:val="1"/>
      <w:marLeft w:val="0"/>
      <w:marRight w:val="0"/>
      <w:marTop w:val="0"/>
      <w:marBottom w:val="0"/>
      <w:divBdr>
        <w:top w:val="none" w:sz="0" w:space="0" w:color="auto"/>
        <w:left w:val="none" w:sz="0" w:space="0" w:color="auto"/>
        <w:bottom w:val="none" w:sz="0" w:space="0" w:color="auto"/>
        <w:right w:val="none" w:sz="0" w:space="0" w:color="auto"/>
      </w:divBdr>
    </w:div>
    <w:div w:id="1118337346">
      <w:bodyDiv w:val="1"/>
      <w:marLeft w:val="0"/>
      <w:marRight w:val="0"/>
      <w:marTop w:val="0"/>
      <w:marBottom w:val="0"/>
      <w:divBdr>
        <w:top w:val="none" w:sz="0" w:space="0" w:color="auto"/>
        <w:left w:val="none" w:sz="0" w:space="0" w:color="auto"/>
        <w:bottom w:val="none" w:sz="0" w:space="0" w:color="auto"/>
        <w:right w:val="none" w:sz="0" w:space="0" w:color="auto"/>
      </w:divBdr>
    </w:div>
    <w:div w:id="1121001049">
      <w:bodyDiv w:val="1"/>
      <w:marLeft w:val="0"/>
      <w:marRight w:val="0"/>
      <w:marTop w:val="0"/>
      <w:marBottom w:val="0"/>
      <w:divBdr>
        <w:top w:val="none" w:sz="0" w:space="0" w:color="auto"/>
        <w:left w:val="none" w:sz="0" w:space="0" w:color="auto"/>
        <w:bottom w:val="none" w:sz="0" w:space="0" w:color="auto"/>
        <w:right w:val="none" w:sz="0" w:space="0" w:color="auto"/>
      </w:divBdr>
    </w:div>
    <w:div w:id="1133015606">
      <w:bodyDiv w:val="1"/>
      <w:marLeft w:val="0"/>
      <w:marRight w:val="0"/>
      <w:marTop w:val="0"/>
      <w:marBottom w:val="0"/>
      <w:divBdr>
        <w:top w:val="none" w:sz="0" w:space="0" w:color="auto"/>
        <w:left w:val="none" w:sz="0" w:space="0" w:color="auto"/>
        <w:bottom w:val="none" w:sz="0" w:space="0" w:color="auto"/>
        <w:right w:val="none" w:sz="0" w:space="0" w:color="auto"/>
      </w:divBdr>
    </w:div>
    <w:div w:id="1154179539">
      <w:bodyDiv w:val="1"/>
      <w:marLeft w:val="0"/>
      <w:marRight w:val="0"/>
      <w:marTop w:val="0"/>
      <w:marBottom w:val="0"/>
      <w:divBdr>
        <w:top w:val="none" w:sz="0" w:space="0" w:color="auto"/>
        <w:left w:val="none" w:sz="0" w:space="0" w:color="auto"/>
        <w:bottom w:val="none" w:sz="0" w:space="0" w:color="auto"/>
        <w:right w:val="none" w:sz="0" w:space="0" w:color="auto"/>
      </w:divBdr>
    </w:div>
    <w:div w:id="1156067027">
      <w:bodyDiv w:val="1"/>
      <w:marLeft w:val="0"/>
      <w:marRight w:val="0"/>
      <w:marTop w:val="0"/>
      <w:marBottom w:val="0"/>
      <w:divBdr>
        <w:top w:val="none" w:sz="0" w:space="0" w:color="auto"/>
        <w:left w:val="none" w:sz="0" w:space="0" w:color="auto"/>
        <w:bottom w:val="none" w:sz="0" w:space="0" w:color="auto"/>
        <w:right w:val="none" w:sz="0" w:space="0" w:color="auto"/>
      </w:divBdr>
    </w:div>
    <w:div w:id="1156385158">
      <w:bodyDiv w:val="1"/>
      <w:marLeft w:val="0"/>
      <w:marRight w:val="0"/>
      <w:marTop w:val="0"/>
      <w:marBottom w:val="0"/>
      <w:divBdr>
        <w:top w:val="none" w:sz="0" w:space="0" w:color="auto"/>
        <w:left w:val="none" w:sz="0" w:space="0" w:color="auto"/>
        <w:bottom w:val="none" w:sz="0" w:space="0" w:color="auto"/>
        <w:right w:val="none" w:sz="0" w:space="0" w:color="auto"/>
      </w:divBdr>
    </w:div>
    <w:div w:id="1158961843">
      <w:bodyDiv w:val="1"/>
      <w:marLeft w:val="0"/>
      <w:marRight w:val="0"/>
      <w:marTop w:val="0"/>
      <w:marBottom w:val="0"/>
      <w:divBdr>
        <w:top w:val="none" w:sz="0" w:space="0" w:color="auto"/>
        <w:left w:val="none" w:sz="0" w:space="0" w:color="auto"/>
        <w:bottom w:val="none" w:sz="0" w:space="0" w:color="auto"/>
        <w:right w:val="none" w:sz="0" w:space="0" w:color="auto"/>
      </w:divBdr>
    </w:div>
    <w:div w:id="1168980194">
      <w:bodyDiv w:val="1"/>
      <w:marLeft w:val="0"/>
      <w:marRight w:val="0"/>
      <w:marTop w:val="0"/>
      <w:marBottom w:val="0"/>
      <w:divBdr>
        <w:top w:val="none" w:sz="0" w:space="0" w:color="auto"/>
        <w:left w:val="none" w:sz="0" w:space="0" w:color="auto"/>
        <w:bottom w:val="none" w:sz="0" w:space="0" w:color="auto"/>
        <w:right w:val="none" w:sz="0" w:space="0" w:color="auto"/>
      </w:divBdr>
    </w:div>
    <w:div w:id="1173572825">
      <w:bodyDiv w:val="1"/>
      <w:marLeft w:val="0"/>
      <w:marRight w:val="0"/>
      <w:marTop w:val="0"/>
      <w:marBottom w:val="0"/>
      <w:divBdr>
        <w:top w:val="none" w:sz="0" w:space="0" w:color="auto"/>
        <w:left w:val="none" w:sz="0" w:space="0" w:color="auto"/>
        <w:bottom w:val="none" w:sz="0" w:space="0" w:color="auto"/>
        <w:right w:val="none" w:sz="0" w:space="0" w:color="auto"/>
      </w:divBdr>
    </w:div>
    <w:div w:id="1174763110">
      <w:bodyDiv w:val="1"/>
      <w:marLeft w:val="0"/>
      <w:marRight w:val="0"/>
      <w:marTop w:val="0"/>
      <w:marBottom w:val="0"/>
      <w:divBdr>
        <w:top w:val="none" w:sz="0" w:space="0" w:color="auto"/>
        <w:left w:val="none" w:sz="0" w:space="0" w:color="auto"/>
        <w:bottom w:val="none" w:sz="0" w:space="0" w:color="auto"/>
        <w:right w:val="none" w:sz="0" w:space="0" w:color="auto"/>
      </w:divBdr>
    </w:div>
    <w:div w:id="1180850570">
      <w:bodyDiv w:val="1"/>
      <w:marLeft w:val="0"/>
      <w:marRight w:val="0"/>
      <w:marTop w:val="0"/>
      <w:marBottom w:val="0"/>
      <w:divBdr>
        <w:top w:val="none" w:sz="0" w:space="0" w:color="auto"/>
        <w:left w:val="none" w:sz="0" w:space="0" w:color="auto"/>
        <w:bottom w:val="none" w:sz="0" w:space="0" w:color="auto"/>
        <w:right w:val="none" w:sz="0" w:space="0" w:color="auto"/>
      </w:divBdr>
    </w:div>
    <w:div w:id="1183784608">
      <w:bodyDiv w:val="1"/>
      <w:marLeft w:val="0"/>
      <w:marRight w:val="0"/>
      <w:marTop w:val="0"/>
      <w:marBottom w:val="0"/>
      <w:divBdr>
        <w:top w:val="none" w:sz="0" w:space="0" w:color="auto"/>
        <w:left w:val="none" w:sz="0" w:space="0" w:color="auto"/>
        <w:bottom w:val="none" w:sz="0" w:space="0" w:color="auto"/>
        <w:right w:val="none" w:sz="0" w:space="0" w:color="auto"/>
      </w:divBdr>
    </w:div>
    <w:div w:id="1192456238">
      <w:bodyDiv w:val="1"/>
      <w:marLeft w:val="0"/>
      <w:marRight w:val="0"/>
      <w:marTop w:val="0"/>
      <w:marBottom w:val="0"/>
      <w:divBdr>
        <w:top w:val="none" w:sz="0" w:space="0" w:color="auto"/>
        <w:left w:val="none" w:sz="0" w:space="0" w:color="auto"/>
        <w:bottom w:val="none" w:sz="0" w:space="0" w:color="auto"/>
        <w:right w:val="none" w:sz="0" w:space="0" w:color="auto"/>
      </w:divBdr>
    </w:div>
    <w:div w:id="1193617596">
      <w:bodyDiv w:val="1"/>
      <w:marLeft w:val="0"/>
      <w:marRight w:val="0"/>
      <w:marTop w:val="0"/>
      <w:marBottom w:val="0"/>
      <w:divBdr>
        <w:top w:val="none" w:sz="0" w:space="0" w:color="auto"/>
        <w:left w:val="none" w:sz="0" w:space="0" w:color="auto"/>
        <w:bottom w:val="none" w:sz="0" w:space="0" w:color="auto"/>
        <w:right w:val="none" w:sz="0" w:space="0" w:color="auto"/>
      </w:divBdr>
    </w:div>
    <w:div w:id="1201818179">
      <w:bodyDiv w:val="1"/>
      <w:marLeft w:val="0"/>
      <w:marRight w:val="0"/>
      <w:marTop w:val="0"/>
      <w:marBottom w:val="0"/>
      <w:divBdr>
        <w:top w:val="none" w:sz="0" w:space="0" w:color="auto"/>
        <w:left w:val="none" w:sz="0" w:space="0" w:color="auto"/>
        <w:bottom w:val="none" w:sz="0" w:space="0" w:color="auto"/>
        <w:right w:val="none" w:sz="0" w:space="0" w:color="auto"/>
      </w:divBdr>
    </w:div>
    <w:div w:id="1210535219">
      <w:bodyDiv w:val="1"/>
      <w:marLeft w:val="0"/>
      <w:marRight w:val="0"/>
      <w:marTop w:val="0"/>
      <w:marBottom w:val="0"/>
      <w:divBdr>
        <w:top w:val="none" w:sz="0" w:space="0" w:color="auto"/>
        <w:left w:val="none" w:sz="0" w:space="0" w:color="auto"/>
        <w:bottom w:val="none" w:sz="0" w:space="0" w:color="auto"/>
        <w:right w:val="none" w:sz="0" w:space="0" w:color="auto"/>
      </w:divBdr>
    </w:div>
    <w:div w:id="1211302173">
      <w:bodyDiv w:val="1"/>
      <w:marLeft w:val="0"/>
      <w:marRight w:val="0"/>
      <w:marTop w:val="0"/>
      <w:marBottom w:val="0"/>
      <w:divBdr>
        <w:top w:val="none" w:sz="0" w:space="0" w:color="auto"/>
        <w:left w:val="none" w:sz="0" w:space="0" w:color="auto"/>
        <w:bottom w:val="none" w:sz="0" w:space="0" w:color="auto"/>
        <w:right w:val="none" w:sz="0" w:space="0" w:color="auto"/>
      </w:divBdr>
    </w:div>
    <w:div w:id="1212618351">
      <w:bodyDiv w:val="1"/>
      <w:marLeft w:val="0"/>
      <w:marRight w:val="0"/>
      <w:marTop w:val="0"/>
      <w:marBottom w:val="0"/>
      <w:divBdr>
        <w:top w:val="none" w:sz="0" w:space="0" w:color="auto"/>
        <w:left w:val="none" w:sz="0" w:space="0" w:color="auto"/>
        <w:bottom w:val="none" w:sz="0" w:space="0" w:color="auto"/>
        <w:right w:val="none" w:sz="0" w:space="0" w:color="auto"/>
      </w:divBdr>
    </w:div>
    <w:div w:id="1214851545">
      <w:bodyDiv w:val="1"/>
      <w:marLeft w:val="0"/>
      <w:marRight w:val="0"/>
      <w:marTop w:val="0"/>
      <w:marBottom w:val="0"/>
      <w:divBdr>
        <w:top w:val="none" w:sz="0" w:space="0" w:color="auto"/>
        <w:left w:val="none" w:sz="0" w:space="0" w:color="auto"/>
        <w:bottom w:val="none" w:sz="0" w:space="0" w:color="auto"/>
        <w:right w:val="none" w:sz="0" w:space="0" w:color="auto"/>
      </w:divBdr>
    </w:div>
    <w:div w:id="1216697485">
      <w:bodyDiv w:val="1"/>
      <w:marLeft w:val="0"/>
      <w:marRight w:val="0"/>
      <w:marTop w:val="0"/>
      <w:marBottom w:val="0"/>
      <w:divBdr>
        <w:top w:val="none" w:sz="0" w:space="0" w:color="auto"/>
        <w:left w:val="none" w:sz="0" w:space="0" w:color="auto"/>
        <w:bottom w:val="none" w:sz="0" w:space="0" w:color="auto"/>
        <w:right w:val="none" w:sz="0" w:space="0" w:color="auto"/>
      </w:divBdr>
    </w:div>
    <w:div w:id="1216894554">
      <w:bodyDiv w:val="1"/>
      <w:marLeft w:val="0"/>
      <w:marRight w:val="0"/>
      <w:marTop w:val="0"/>
      <w:marBottom w:val="0"/>
      <w:divBdr>
        <w:top w:val="none" w:sz="0" w:space="0" w:color="auto"/>
        <w:left w:val="none" w:sz="0" w:space="0" w:color="auto"/>
        <w:bottom w:val="none" w:sz="0" w:space="0" w:color="auto"/>
        <w:right w:val="none" w:sz="0" w:space="0" w:color="auto"/>
      </w:divBdr>
    </w:div>
    <w:div w:id="1225065832">
      <w:bodyDiv w:val="1"/>
      <w:marLeft w:val="0"/>
      <w:marRight w:val="0"/>
      <w:marTop w:val="0"/>
      <w:marBottom w:val="0"/>
      <w:divBdr>
        <w:top w:val="none" w:sz="0" w:space="0" w:color="auto"/>
        <w:left w:val="none" w:sz="0" w:space="0" w:color="auto"/>
        <w:bottom w:val="none" w:sz="0" w:space="0" w:color="auto"/>
        <w:right w:val="none" w:sz="0" w:space="0" w:color="auto"/>
      </w:divBdr>
    </w:div>
    <w:div w:id="1242064256">
      <w:bodyDiv w:val="1"/>
      <w:marLeft w:val="0"/>
      <w:marRight w:val="0"/>
      <w:marTop w:val="0"/>
      <w:marBottom w:val="0"/>
      <w:divBdr>
        <w:top w:val="none" w:sz="0" w:space="0" w:color="auto"/>
        <w:left w:val="none" w:sz="0" w:space="0" w:color="auto"/>
        <w:bottom w:val="none" w:sz="0" w:space="0" w:color="auto"/>
        <w:right w:val="none" w:sz="0" w:space="0" w:color="auto"/>
      </w:divBdr>
    </w:div>
    <w:div w:id="1247884585">
      <w:bodyDiv w:val="1"/>
      <w:marLeft w:val="0"/>
      <w:marRight w:val="0"/>
      <w:marTop w:val="0"/>
      <w:marBottom w:val="0"/>
      <w:divBdr>
        <w:top w:val="none" w:sz="0" w:space="0" w:color="auto"/>
        <w:left w:val="none" w:sz="0" w:space="0" w:color="auto"/>
        <w:bottom w:val="none" w:sz="0" w:space="0" w:color="auto"/>
        <w:right w:val="none" w:sz="0" w:space="0" w:color="auto"/>
      </w:divBdr>
    </w:div>
    <w:div w:id="1262421556">
      <w:bodyDiv w:val="1"/>
      <w:marLeft w:val="0"/>
      <w:marRight w:val="0"/>
      <w:marTop w:val="0"/>
      <w:marBottom w:val="0"/>
      <w:divBdr>
        <w:top w:val="none" w:sz="0" w:space="0" w:color="auto"/>
        <w:left w:val="none" w:sz="0" w:space="0" w:color="auto"/>
        <w:bottom w:val="none" w:sz="0" w:space="0" w:color="auto"/>
        <w:right w:val="none" w:sz="0" w:space="0" w:color="auto"/>
      </w:divBdr>
    </w:div>
    <w:div w:id="1275795379">
      <w:bodyDiv w:val="1"/>
      <w:marLeft w:val="0"/>
      <w:marRight w:val="0"/>
      <w:marTop w:val="0"/>
      <w:marBottom w:val="0"/>
      <w:divBdr>
        <w:top w:val="none" w:sz="0" w:space="0" w:color="auto"/>
        <w:left w:val="none" w:sz="0" w:space="0" w:color="auto"/>
        <w:bottom w:val="none" w:sz="0" w:space="0" w:color="auto"/>
        <w:right w:val="none" w:sz="0" w:space="0" w:color="auto"/>
      </w:divBdr>
    </w:div>
    <w:div w:id="1278835332">
      <w:bodyDiv w:val="1"/>
      <w:marLeft w:val="0"/>
      <w:marRight w:val="0"/>
      <w:marTop w:val="0"/>
      <w:marBottom w:val="0"/>
      <w:divBdr>
        <w:top w:val="none" w:sz="0" w:space="0" w:color="auto"/>
        <w:left w:val="none" w:sz="0" w:space="0" w:color="auto"/>
        <w:bottom w:val="none" w:sz="0" w:space="0" w:color="auto"/>
        <w:right w:val="none" w:sz="0" w:space="0" w:color="auto"/>
      </w:divBdr>
    </w:div>
    <w:div w:id="1280867991">
      <w:bodyDiv w:val="1"/>
      <w:marLeft w:val="0"/>
      <w:marRight w:val="0"/>
      <w:marTop w:val="0"/>
      <w:marBottom w:val="0"/>
      <w:divBdr>
        <w:top w:val="none" w:sz="0" w:space="0" w:color="auto"/>
        <w:left w:val="none" w:sz="0" w:space="0" w:color="auto"/>
        <w:bottom w:val="none" w:sz="0" w:space="0" w:color="auto"/>
        <w:right w:val="none" w:sz="0" w:space="0" w:color="auto"/>
      </w:divBdr>
    </w:div>
    <w:div w:id="1294096639">
      <w:bodyDiv w:val="1"/>
      <w:marLeft w:val="0"/>
      <w:marRight w:val="0"/>
      <w:marTop w:val="0"/>
      <w:marBottom w:val="0"/>
      <w:divBdr>
        <w:top w:val="none" w:sz="0" w:space="0" w:color="auto"/>
        <w:left w:val="none" w:sz="0" w:space="0" w:color="auto"/>
        <w:bottom w:val="none" w:sz="0" w:space="0" w:color="auto"/>
        <w:right w:val="none" w:sz="0" w:space="0" w:color="auto"/>
      </w:divBdr>
    </w:div>
    <w:div w:id="1295405229">
      <w:bodyDiv w:val="1"/>
      <w:marLeft w:val="0"/>
      <w:marRight w:val="0"/>
      <w:marTop w:val="0"/>
      <w:marBottom w:val="0"/>
      <w:divBdr>
        <w:top w:val="none" w:sz="0" w:space="0" w:color="auto"/>
        <w:left w:val="none" w:sz="0" w:space="0" w:color="auto"/>
        <w:bottom w:val="none" w:sz="0" w:space="0" w:color="auto"/>
        <w:right w:val="none" w:sz="0" w:space="0" w:color="auto"/>
      </w:divBdr>
    </w:div>
    <w:div w:id="1295909504">
      <w:bodyDiv w:val="1"/>
      <w:marLeft w:val="0"/>
      <w:marRight w:val="0"/>
      <w:marTop w:val="0"/>
      <w:marBottom w:val="0"/>
      <w:divBdr>
        <w:top w:val="none" w:sz="0" w:space="0" w:color="auto"/>
        <w:left w:val="none" w:sz="0" w:space="0" w:color="auto"/>
        <w:bottom w:val="none" w:sz="0" w:space="0" w:color="auto"/>
        <w:right w:val="none" w:sz="0" w:space="0" w:color="auto"/>
      </w:divBdr>
    </w:div>
    <w:div w:id="1298339438">
      <w:bodyDiv w:val="1"/>
      <w:marLeft w:val="0"/>
      <w:marRight w:val="0"/>
      <w:marTop w:val="0"/>
      <w:marBottom w:val="0"/>
      <w:divBdr>
        <w:top w:val="none" w:sz="0" w:space="0" w:color="auto"/>
        <w:left w:val="none" w:sz="0" w:space="0" w:color="auto"/>
        <w:bottom w:val="none" w:sz="0" w:space="0" w:color="auto"/>
        <w:right w:val="none" w:sz="0" w:space="0" w:color="auto"/>
      </w:divBdr>
    </w:div>
    <w:div w:id="1311253374">
      <w:bodyDiv w:val="1"/>
      <w:marLeft w:val="0"/>
      <w:marRight w:val="0"/>
      <w:marTop w:val="0"/>
      <w:marBottom w:val="0"/>
      <w:divBdr>
        <w:top w:val="none" w:sz="0" w:space="0" w:color="auto"/>
        <w:left w:val="none" w:sz="0" w:space="0" w:color="auto"/>
        <w:bottom w:val="none" w:sz="0" w:space="0" w:color="auto"/>
        <w:right w:val="none" w:sz="0" w:space="0" w:color="auto"/>
      </w:divBdr>
    </w:div>
    <w:div w:id="1319336623">
      <w:bodyDiv w:val="1"/>
      <w:marLeft w:val="0"/>
      <w:marRight w:val="0"/>
      <w:marTop w:val="0"/>
      <w:marBottom w:val="0"/>
      <w:divBdr>
        <w:top w:val="none" w:sz="0" w:space="0" w:color="auto"/>
        <w:left w:val="none" w:sz="0" w:space="0" w:color="auto"/>
        <w:bottom w:val="none" w:sz="0" w:space="0" w:color="auto"/>
        <w:right w:val="none" w:sz="0" w:space="0" w:color="auto"/>
      </w:divBdr>
    </w:div>
    <w:div w:id="1325888308">
      <w:bodyDiv w:val="1"/>
      <w:marLeft w:val="0"/>
      <w:marRight w:val="0"/>
      <w:marTop w:val="0"/>
      <w:marBottom w:val="0"/>
      <w:divBdr>
        <w:top w:val="none" w:sz="0" w:space="0" w:color="auto"/>
        <w:left w:val="none" w:sz="0" w:space="0" w:color="auto"/>
        <w:bottom w:val="none" w:sz="0" w:space="0" w:color="auto"/>
        <w:right w:val="none" w:sz="0" w:space="0" w:color="auto"/>
      </w:divBdr>
    </w:div>
    <w:div w:id="1340235051">
      <w:bodyDiv w:val="1"/>
      <w:marLeft w:val="0"/>
      <w:marRight w:val="0"/>
      <w:marTop w:val="0"/>
      <w:marBottom w:val="0"/>
      <w:divBdr>
        <w:top w:val="none" w:sz="0" w:space="0" w:color="auto"/>
        <w:left w:val="none" w:sz="0" w:space="0" w:color="auto"/>
        <w:bottom w:val="none" w:sz="0" w:space="0" w:color="auto"/>
        <w:right w:val="none" w:sz="0" w:space="0" w:color="auto"/>
      </w:divBdr>
    </w:div>
    <w:div w:id="1342707225">
      <w:bodyDiv w:val="1"/>
      <w:marLeft w:val="0"/>
      <w:marRight w:val="0"/>
      <w:marTop w:val="0"/>
      <w:marBottom w:val="0"/>
      <w:divBdr>
        <w:top w:val="none" w:sz="0" w:space="0" w:color="auto"/>
        <w:left w:val="none" w:sz="0" w:space="0" w:color="auto"/>
        <w:bottom w:val="none" w:sz="0" w:space="0" w:color="auto"/>
        <w:right w:val="none" w:sz="0" w:space="0" w:color="auto"/>
      </w:divBdr>
    </w:div>
    <w:div w:id="1346127850">
      <w:bodyDiv w:val="1"/>
      <w:marLeft w:val="0"/>
      <w:marRight w:val="0"/>
      <w:marTop w:val="0"/>
      <w:marBottom w:val="0"/>
      <w:divBdr>
        <w:top w:val="none" w:sz="0" w:space="0" w:color="auto"/>
        <w:left w:val="none" w:sz="0" w:space="0" w:color="auto"/>
        <w:bottom w:val="none" w:sz="0" w:space="0" w:color="auto"/>
        <w:right w:val="none" w:sz="0" w:space="0" w:color="auto"/>
      </w:divBdr>
    </w:div>
    <w:div w:id="1348605117">
      <w:bodyDiv w:val="1"/>
      <w:marLeft w:val="0"/>
      <w:marRight w:val="0"/>
      <w:marTop w:val="0"/>
      <w:marBottom w:val="0"/>
      <w:divBdr>
        <w:top w:val="none" w:sz="0" w:space="0" w:color="auto"/>
        <w:left w:val="none" w:sz="0" w:space="0" w:color="auto"/>
        <w:bottom w:val="none" w:sz="0" w:space="0" w:color="auto"/>
        <w:right w:val="none" w:sz="0" w:space="0" w:color="auto"/>
      </w:divBdr>
    </w:div>
    <w:div w:id="1354041309">
      <w:bodyDiv w:val="1"/>
      <w:marLeft w:val="0"/>
      <w:marRight w:val="0"/>
      <w:marTop w:val="0"/>
      <w:marBottom w:val="0"/>
      <w:divBdr>
        <w:top w:val="none" w:sz="0" w:space="0" w:color="auto"/>
        <w:left w:val="none" w:sz="0" w:space="0" w:color="auto"/>
        <w:bottom w:val="none" w:sz="0" w:space="0" w:color="auto"/>
        <w:right w:val="none" w:sz="0" w:space="0" w:color="auto"/>
      </w:divBdr>
    </w:div>
    <w:div w:id="1355961083">
      <w:bodyDiv w:val="1"/>
      <w:marLeft w:val="0"/>
      <w:marRight w:val="0"/>
      <w:marTop w:val="0"/>
      <w:marBottom w:val="0"/>
      <w:divBdr>
        <w:top w:val="none" w:sz="0" w:space="0" w:color="auto"/>
        <w:left w:val="none" w:sz="0" w:space="0" w:color="auto"/>
        <w:bottom w:val="none" w:sz="0" w:space="0" w:color="auto"/>
        <w:right w:val="none" w:sz="0" w:space="0" w:color="auto"/>
      </w:divBdr>
    </w:div>
    <w:div w:id="1358577343">
      <w:bodyDiv w:val="1"/>
      <w:marLeft w:val="0"/>
      <w:marRight w:val="0"/>
      <w:marTop w:val="0"/>
      <w:marBottom w:val="0"/>
      <w:divBdr>
        <w:top w:val="none" w:sz="0" w:space="0" w:color="auto"/>
        <w:left w:val="none" w:sz="0" w:space="0" w:color="auto"/>
        <w:bottom w:val="none" w:sz="0" w:space="0" w:color="auto"/>
        <w:right w:val="none" w:sz="0" w:space="0" w:color="auto"/>
      </w:divBdr>
    </w:div>
    <w:div w:id="1359548255">
      <w:bodyDiv w:val="1"/>
      <w:marLeft w:val="0"/>
      <w:marRight w:val="0"/>
      <w:marTop w:val="0"/>
      <w:marBottom w:val="0"/>
      <w:divBdr>
        <w:top w:val="none" w:sz="0" w:space="0" w:color="auto"/>
        <w:left w:val="none" w:sz="0" w:space="0" w:color="auto"/>
        <w:bottom w:val="none" w:sz="0" w:space="0" w:color="auto"/>
        <w:right w:val="none" w:sz="0" w:space="0" w:color="auto"/>
      </w:divBdr>
    </w:div>
    <w:div w:id="1364745727">
      <w:bodyDiv w:val="1"/>
      <w:marLeft w:val="0"/>
      <w:marRight w:val="0"/>
      <w:marTop w:val="0"/>
      <w:marBottom w:val="0"/>
      <w:divBdr>
        <w:top w:val="none" w:sz="0" w:space="0" w:color="auto"/>
        <w:left w:val="none" w:sz="0" w:space="0" w:color="auto"/>
        <w:bottom w:val="none" w:sz="0" w:space="0" w:color="auto"/>
        <w:right w:val="none" w:sz="0" w:space="0" w:color="auto"/>
      </w:divBdr>
    </w:div>
    <w:div w:id="1367759075">
      <w:bodyDiv w:val="1"/>
      <w:marLeft w:val="0"/>
      <w:marRight w:val="0"/>
      <w:marTop w:val="0"/>
      <w:marBottom w:val="0"/>
      <w:divBdr>
        <w:top w:val="none" w:sz="0" w:space="0" w:color="auto"/>
        <w:left w:val="none" w:sz="0" w:space="0" w:color="auto"/>
        <w:bottom w:val="none" w:sz="0" w:space="0" w:color="auto"/>
        <w:right w:val="none" w:sz="0" w:space="0" w:color="auto"/>
      </w:divBdr>
    </w:div>
    <w:div w:id="1372000080">
      <w:bodyDiv w:val="1"/>
      <w:marLeft w:val="0"/>
      <w:marRight w:val="0"/>
      <w:marTop w:val="0"/>
      <w:marBottom w:val="0"/>
      <w:divBdr>
        <w:top w:val="none" w:sz="0" w:space="0" w:color="auto"/>
        <w:left w:val="none" w:sz="0" w:space="0" w:color="auto"/>
        <w:bottom w:val="none" w:sz="0" w:space="0" w:color="auto"/>
        <w:right w:val="none" w:sz="0" w:space="0" w:color="auto"/>
      </w:divBdr>
    </w:div>
    <w:div w:id="1376739200">
      <w:bodyDiv w:val="1"/>
      <w:marLeft w:val="0"/>
      <w:marRight w:val="0"/>
      <w:marTop w:val="0"/>
      <w:marBottom w:val="0"/>
      <w:divBdr>
        <w:top w:val="none" w:sz="0" w:space="0" w:color="auto"/>
        <w:left w:val="none" w:sz="0" w:space="0" w:color="auto"/>
        <w:bottom w:val="none" w:sz="0" w:space="0" w:color="auto"/>
        <w:right w:val="none" w:sz="0" w:space="0" w:color="auto"/>
      </w:divBdr>
    </w:div>
    <w:div w:id="1382368082">
      <w:bodyDiv w:val="1"/>
      <w:marLeft w:val="0"/>
      <w:marRight w:val="0"/>
      <w:marTop w:val="0"/>
      <w:marBottom w:val="0"/>
      <w:divBdr>
        <w:top w:val="none" w:sz="0" w:space="0" w:color="auto"/>
        <w:left w:val="none" w:sz="0" w:space="0" w:color="auto"/>
        <w:bottom w:val="none" w:sz="0" w:space="0" w:color="auto"/>
        <w:right w:val="none" w:sz="0" w:space="0" w:color="auto"/>
      </w:divBdr>
    </w:div>
    <w:div w:id="1384452578">
      <w:bodyDiv w:val="1"/>
      <w:marLeft w:val="0"/>
      <w:marRight w:val="0"/>
      <w:marTop w:val="0"/>
      <w:marBottom w:val="0"/>
      <w:divBdr>
        <w:top w:val="none" w:sz="0" w:space="0" w:color="auto"/>
        <w:left w:val="none" w:sz="0" w:space="0" w:color="auto"/>
        <w:bottom w:val="none" w:sz="0" w:space="0" w:color="auto"/>
        <w:right w:val="none" w:sz="0" w:space="0" w:color="auto"/>
      </w:divBdr>
    </w:div>
    <w:div w:id="1385718641">
      <w:bodyDiv w:val="1"/>
      <w:marLeft w:val="0"/>
      <w:marRight w:val="0"/>
      <w:marTop w:val="0"/>
      <w:marBottom w:val="0"/>
      <w:divBdr>
        <w:top w:val="none" w:sz="0" w:space="0" w:color="auto"/>
        <w:left w:val="none" w:sz="0" w:space="0" w:color="auto"/>
        <w:bottom w:val="none" w:sz="0" w:space="0" w:color="auto"/>
        <w:right w:val="none" w:sz="0" w:space="0" w:color="auto"/>
      </w:divBdr>
    </w:div>
    <w:div w:id="1390155901">
      <w:bodyDiv w:val="1"/>
      <w:marLeft w:val="0"/>
      <w:marRight w:val="0"/>
      <w:marTop w:val="0"/>
      <w:marBottom w:val="0"/>
      <w:divBdr>
        <w:top w:val="none" w:sz="0" w:space="0" w:color="auto"/>
        <w:left w:val="none" w:sz="0" w:space="0" w:color="auto"/>
        <w:bottom w:val="none" w:sz="0" w:space="0" w:color="auto"/>
        <w:right w:val="none" w:sz="0" w:space="0" w:color="auto"/>
      </w:divBdr>
    </w:div>
    <w:div w:id="1392848086">
      <w:bodyDiv w:val="1"/>
      <w:marLeft w:val="0"/>
      <w:marRight w:val="0"/>
      <w:marTop w:val="0"/>
      <w:marBottom w:val="0"/>
      <w:divBdr>
        <w:top w:val="none" w:sz="0" w:space="0" w:color="auto"/>
        <w:left w:val="none" w:sz="0" w:space="0" w:color="auto"/>
        <w:bottom w:val="none" w:sz="0" w:space="0" w:color="auto"/>
        <w:right w:val="none" w:sz="0" w:space="0" w:color="auto"/>
      </w:divBdr>
    </w:div>
    <w:div w:id="1395010183">
      <w:bodyDiv w:val="1"/>
      <w:marLeft w:val="0"/>
      <w:marRight w:val="0"/>
      <w:marTop w:val="0"/>
      <w:marBottom w:val="0"/>
      <w:divBdr>
        <w:top w:val="none" w:sz="0" w:space="0" w:color="auto"/>
        <w:left w:val="none" w:sz="0" w:space="0" w:color="auto"/>
        <w:bottom w:val="none" w:sz="0" w:space="0" w:color="auto"/>
        <w:right w:val="none" w:sz="0" w:space="0" w:color="auto"/>
      </w:divBdr>
    </w:div>
    <w:div w:id="1402680247">
      <w:bodyDiv w:val="1"/>
      <w:marLeft w:val="0"/>
      <w:marRight w:val="0"/>
      <w:marTop w:val="0"/>
      <w:marBottom w:val="0"/>
      <w:divBdr>
        <w:top w:val="none" w:sz="0" w:space="0" w:color="auto"/>
        <w:left w:val="none" w:sz="0" w:space="0" w:color="auto"/>
        <w:bottom w:val="none" w:sz="0" w:space="0" w:color="auto"/>
        <w:right w:val="none" w:sz="0" w:space="0" w:color="auto"/>
      </w:divBdr>
    </w:div>
    <w:div w:id="1421835529">
      <w:bodyDiv w:val="1"/>
      <w:marLeft w:val="0"/>
      <w:marRight w:val="0"/>
      <w:marTop w:val="0"/>
      <w:marBottom w:val="0"/>
      <w:divBdr>
        <w:top w:val="none" w:sz="0" w:space="0" w:color="auto"/>
        <w:left w:val="none" w:sz="0" w:space="0" w:color="auto"/>
        <w:bottom w:val="none" w:sz="0" w:space="0" w:color="auto"/>
        <w:right w:val="none" w:sz="0" w:space="0" w:color="auto"/>
      </w:divBdr>
    </w:div>
    <w:div w:id="1423723631">
      <w:bodyDiv w:val="1"/>
      <w:marLeft w:val="0"/>
      <w:marRight w:val="0"/>
      <w:marTop w:val="0"/>
      <w:marBottom w:val="0"/>
      <w:divBdr>
        <w:top w:val="none" w:sz="0" w:space="0" w:color="auto"/>
        <w:left w:val="none" w:sz="0" w:space="0" w:color="auto"/>
        <w:bottom w:val="none" w:sz="0" w:space="0" w:color="auto"/>
        <w:right w:val="none" w:sz="0" w:space="0" w:color="auto"/>
      </w:divBdr>
    </w:div>
    <w:div w:id="1428427662">
      <w:bodyDiv w:val="1"/>
      <w:marLeft w:val="0"/>
      <w:marRight w:val="0"/>
      <w:marTop w:val="0"/>
      <w:marBottom w:val="0"/>
      <w:divBdr>
        <w:top w:val="none" w:sz="0" w:space="0" w:color="auto"/>
        <w:left w:val="none" w:sz="0" w:space="0" w:color="auto"/>
        <w:bottom w:val="none" w:sz="0" w:space="0" w:color="auto"/>
        <w:right w:val="none" w:sz="0" w:space="0" w:color="auto"/>
      </w:divBdr>
    </w:div>
    <w:div w:id="1437482888">
      <w:bodyDiv w:val="1"/>
      <w:marLeft w:val="0"/>
      <w:marRight w:val="0"/>
      <w:marTop w:val="0"/>
      <w:marBottom w:val="0"/>
      <w:divBdr>
        <w:top w:val="none" w:sz="0" w:space="0" w:color="auto"/>
        <w:left w:val="none" w:sz="0" w:space="0" w:color="auto"/>
        <w:bottom w:val="none" w:sz="0" w:space="0" w:color="auto"/>
        <w:right w:val="none" w:sz="0" w:space="0" w:color="auto"/>
      </w:divBdr>
    </w:div>
    <w:div w:id="1440834748">
      <w:bodyDiv w:val="1"/>
      <w:marLeft w:val="0"/>
      <w:marRight w:val="0"/>
      <w:marTop w:val="0"/>
      <w:marBottom w:val="0"/>
      <w:divBdr>
        <w:top w:val="none" w:sz="0" w:space="0" w:color="auto"/>
        <w:left w:val="none" w:sz="0" w:space="0" w:color="auto"/>
        <w:bottom w:val="none" w:sz="0" w:space="0" w:color="auto"/>
        <w:right w:val="none" w:sz="0" w:space="0" w:color="auto"/>
      </w:divBdr>
    </w:div>
    <w:div w:id="1441757546">
      <w:bodyDiv w:val="1"/>
      <w:marLeft w:val="0"/>
      <w:marRight w:val="0"/>
      <w:marTop w:val="0"/>
      <w:marBottom w:val="0"/>
      <w:divBdr>
        <w:top w:val="none" w:sz="0" w:space="0" w:color="auto"/>
        <w:left w:val="none" w:sz="0" w:space="0" w:color="auto"/>
        <w:bottom w:val="none" w:sz="0" w:space="0" w:color="auto"/>
        <w:right w:val="none" w:sz="0" w:space="0" w:color="auto"/>
      </w:divBdr>
    </w:div>
    <w:div w:id="1444380614">
      <w:bodyDiv w:val="1"/>
      <w:marLeft w:val="0"/>
      <w:marRight w:val="0"/>
      <w:marTop w:val="0"/>
      <w:marBottom w:val="0"/>
      <w:divBdr>
        <w:top w:val="none" w:sz="0" w:space="0" w:color="auto"/>
        <w:left w:val="none" w:sz="0" w:space="0" w:color="auto"/>
        <w:bottom w:val="none" w:sz="0" w:space="0" w:color="auto"/>
        <w:right w:val="none" w:sz="0" w:space="0" w:color="auto"/>
      </w:divBdr>
    </w:div>
    <w:div w:id="1445341011">
      <w:bodyDiv w:val="1"/>
      <w:marLeft w:val="0"/>
      <w:marRight w:val="0"/>
      <w:marTop w:val="0"/>
      <w:marBottom w:val="0"/>
      <w:divBdr>
        <w:top w:val="none" w:sz="0" w:space="0" w:color="auto"/>
        <w:left w:val="none" w:sz="0" w:space="0" w:color="auto"/>
        <w:bottom w:val="none" w:sz="0" w:space="0" w:color="auto"/>
        <w:right w:val="none" w:sz="0" w:space="0" w:color="auto"/>
      </w:divBdr>
    </w:div>
    <w:div w:id="1454396251">
      <w:bodyDiv w:val="1"/>
      <w:marLeft w:val="0"/>
      <w:marRight w:val="0"/>
      <w:marTop w:val="0"/>
      <w:marBottom w:val="0"/>
      <w:divBdr>
        <w:top w:val="none" w:sz="0" w:space="0" w:color="auto"/>
        <w:left w:val="none" w:sz="0" w:space="0" w:color="auto"/>
        <w:bottom w:val="none" w:sz="0" w:space="0" w:color="auto"/>
        <w:right w:val="none" w:sz="0" w:space="0" w:color="auto"/>
      </w:divBdr>
    </w:div>
    <w:div w:id="1455830694">
      <w:bodyDiv w:val="1"/>
      <w:marLeft w:val="0"/>
      <w:marRight w:val="0"/>
      <w:marTop w:val="0"/>
      <w:marBottom w:val="0"/>
      <w:divBdr>
        <w:top w:val="none" w:sz="0" w:space="0" w:color="auto"/>
        <w:left w:val="none" w:sz="0" w:space="0" w:color="auto"/>
        <w:bottom w:val="none" w:sz="0" w:space="0" w:color="auto"/>
        <w:right w:val="none" w:sz="0" w:space="0" w:color="auto"/>
      </w:divBdr>
    </w:div>
    <w:div w:id="1459448146">
      <w:bodyDiv w:val="1"/>
      <w:marLeft w:val="0"/>
      <w:marRight w:val="0"/>
      <w:marTop w:val="0"/>
      <w:marBottom w:val="0"/>
      <w:divBdr>
        <w:top w:val="none" w:sz="0" w:space="0" w:color="auto"/>
        <w:left w:val="none" w:sz="0" w:space="0" w:color="auto"/>
        <w:bottom w:val="none" w:sz="0" w:space="0" w:color="auto"/>
        <w:right w:val="none" w:sz="0" w:space="0" w:color="auto"/>
      </w:divBdr>
    </w:div>
    <w:div w:id="1461000143">
      <w:bodyDiv w:val="1"/>
      <w:marLeft w:val="0"/>
      <w:marRight w:val="0"/>
      <w:marTop w:val="0"/>
      <w:marBottom w:val="0"/>
      <w:divBdr>
        <w:top w:val="none" w:sz="0" w:space="0" w:color="auto"/>
        <w:left w:val="none" w:sz="0" w:space="0" w:color="auto"/>
        <w:bottom w:val="none" w:sz="0" w:space="0" w:color="auto"/>
        <w:right w:val="none" w:sz="0" w:space="0" w:color="auto"/>
      </w:divBdr>
    </w:div>
    <w:div w:id="1463957155">
      <w:bodyDiv w:val="1"/>
      <w:marLeft w:val="0"/>
      <w:marRight w:val="0"/>
      <w:marTop w:val="0"/>
      <w:marBottom w:val="0"/>
      <w:divBdr>
        <w:top w:val="none" w:sz="0" w:space="0" w:color="auto"/>
        <w:left w:val="none" w:sz="0" w:space="0" w:color="auto"/>
        <w:bottom w:val="none" w:sz="0" w:space="0" w:color="auto"/>
        <w:right w:val="none" w:sz="0" w:space="0" w:color="auto"/>
      </w:divBdr>
    </w:div>
    <w:div w:id="1466242417">
      <w:bodyDiv w:val="1"/>
      <w:marLeft w:val="0"/>
      <w:marRight w:val="0"/>
      <w:marTop w:val="0"/>
      <w:marBottom w:val="0"/>
      <w:divBdr>
        <w:top w:val="none" w:sz="0" w:space="0" w:color="auto"/>
        <w:left w:val="none" w:sz="0" w:space="0" w:color="auto"/>
        <w:bottom w:val="none" w:sz="0" w:space="0" w:color="auto"/>
        <w:right w:val="none" w:sz="0" w:space="0" w:color="auto"/>
      </w:divBdr>
    </w:div>
    <w:div w:id="1469976329">
      <w:bodyDiv w:val="1"/>
      <w:marLeft w:val="0"/>
      <w:marRight w:val="0"/>
      <w:marTop w:val="0"/>
      <w:marBottom w:val="0"/>
      <w:divBdr>
        <w:top w:val="none" w:sz="0" w:space="0" w:color="auto"/>
        <w:left w:val="none" w:sz="0" w:space="0" w:color="auto"/>
        <w:bottom w:val="none" w:sz="0" w:space="0" w:color="auto"/>
        <w:right w:val="none" w:sz="0" w:space="0" w:color="auto"/>
      </w:divBdr>
    </w:div>
    <w:div w:id="1476950281">
      <w:bodyDiv w:val="1"/>
      <w:marLeft w:val="0"/>
      <w:marRight w:val="0"/>
      <w:marTop w:val="0"/>
      <w:marBottom w:val="0"/>
      <w:divBdr>
        <w:top w:val="none" w:sz="0" w:space="0" w:color="auto"/>
        <w:left w:val="none" w:sz="0" w:space="0" w:color="auto"/>
        <w:bottom w:val="none" w:sz="0" w:space="0" w:color="auto"/>
        <w:right w:val="none" w:sz="0" w:space="0" w:color="auto"/>
      </w:divBdr>
    </w:div>
    <w:div w:id="1477456113">
      <w:bodyDiv w:val="1"/>
      <w:marLeft w:val="0"/>
      <w:marRight w:val="0"/>
      <w:marTop w:val="0"/>
      <w:marBottom w:val="0"/>
      <w:divBdr>
        <w:top w:val="none" w:sz="0" w:space="0" w:color="auto"/>
        <w:left w:val="none" w:sz="0" w:space="0" w:color="auto"/>
        <w:bottom w:val="none" w:sz="0" w:space="0" w:color="auto"/>
        <w:right w:val="none" w:sz="0" w:space="0" w:color="auto"/>
      </w:divBdr>
    </w:div>
    <w:div w:id="1478649147">
      <w:bodyDiv w:val="1"/>
      <w:marLeft w:val="0"/>
      <w:marRight w:val="0"/>
      <w:marTop w:val="0"/>
      <w:marBottom w:val="0"/>
      <w:divBdr>
        <w:top w:val="none" w:sz="0" w:space="0" w:color="auto"/>
        <w:left w:val="none" w:sz="0" w:space="0" w:color="auto"/>
        <w:bottom w:val="none" w:sz="0" w:space="0" w:color="auto"/>
        <w:right w:val="none" w:sz="0" w:space="0" w:color="auto"/>
      </w:divBdr>
    </w:div>
    <w:div w:id="1478956105">
      <w:bodyDiv w:val="1"/>
      <w:marLeft w:val="0"/>
      <w:marRight w:val="0"/>
      <w:marTop w:val="0"/>
      <w:marBottom w:val="0"/>
      <w:divBdr>
        <w:top w:val="none" w:sz="0" w:space="0" w:color="auto"/>
        <w:left w:val="none" w:sz="0" w:space="0" w:color="auto"/>
        <w:bottom w:val="none" w:sz="0" w:space="0" w:color="auto"/>
        <w:right w:val="none" w:sz="0" w:space="0" w:color="auto"/>
      </w:divBdr>
    </w:div>
    <w:div w:id="1480418220">
      <w:bodyDiv w:val="1"/>
      <w:marLeft w:val="0"/>
      <w:marRight w:val="0"/>
      <w:marTop w:val="0"/>
      <w:marBottom w:val="0"/>
      <w:divBdr>
        <w:top w:val="none" w:sz="0" w:space="0" w:color="auto"/>
        <w:left w:val="none" w:sz="0" w:space="0" w:color="auto"/>
        <w:bottom w:val="none" w:sz="0" w:space="0" w:color="auto"/>
        <w:right w:val="none" w:sz="0" w:space="0" w:color="auto"/>
      </w:divBdr>
    </w:div>
    <w:div w:id="1482575502">
      <w:bodyDiv w:val="1"/>
      <w:marLeft w:val="0"/>
      <w:marRight w:val="0"/>
      <w:marTop w:val="0"/>
      <w:marBottom w:val="0"/>
      <w:divBdr>
        <w:top w:val="none" w:sz="0" w:space="0" w:color="auto"/>
        <w:left w:val="none" w:sz="0" w:space="0" w:color="auto"/>
        <w:bottom w:val="none" w:sz="0" w:space="0" w:color="auto"/>
        <w:right w:val="none" w:sz="0" w:space="0" w:color="auto"/>
      </w:divBdr>
    </w:div>
    <w:div w:id="1496914807">
      <w:bodyDiv w:val="1"/>
      <w:marLeft w:val="0"/>
      <w:marRight w:val="0"/>
      <w:marTop w:val="0"/>
      <w:marBottom w:val="0"/>
      <w:divBdr>
        <w:top w:val="none" w:sz="0" w:space="0" w:color="auto"/>
        <w:left w:val="none" w:sz="0" w:space="0" w:color="auto"/>
        <w:bottom w:val="none" w:sz="0" w:space="0" w:color="auto"/>
        <w:right w:val="none" w:sz="0" w:space="0" w:color="auto"/>
      </w:divBdr>
    </w:div>
    <w:div w:id="1499536095">
      <w:bodyDiv w:val="1"/>
      <w:marLeft w:val="0"/>
      <w:marRight w:val="0"/>
      <w:marTop w:val="0"/>
      <w:marBottom w:val="0"/>
      <w:divBdr>
        <w:top w:val="none" w:sz="0" w:space="0" w:color="auto"/>
        <w:left w:val="none" w:sz="0" w:space="0" w:color="auto"/>
        <w:bottom w:val="none" w:sz="0" w:space="0" w:color="auto"/>
        <w:right w:val="none" w:sz="0" w:space="0" w:color="auto"/>
      </w:divBdr>
    </w:div>
    <w:div w:id="1501893649">
      <w:bodyDiv w:val="1"/>
      <w:marLeft w:val="0"/>
      <w:marRight w:val="0"/>
      <w:marTop w:val="0"/>
      <w:marBottom w:val="0"/>
      <w:divBdr>
        <w:top w:val="none" w:sz="0" w:space="0" w:color="auto"/>
        <w:left w:val="none" w:sz="0" w:space="0" w:color="auto"/>
        <w:bottom w:val="none" w:sz="0" w:space="0" w:color="auto"/>
        <w:right w:val="none" w:sz="0" w:space="0" w:color="auto"/>
      </w:divBdr>
    </w:div>
    <w:div w:id="1503161914">
      <w:bodyDiv w:val="1"/>
      <w:marLeft w:val="0"/>
      <w:marRight w:val="0"/>
      <w:marTop w:val="0"/>
      <w:marBottom w:val="0"/>
      <w:divBdr>
        <w:top w:val="none" w:sz="0" w:space="0" w:color="auto"/>
        <w:left w:val="none" w:sz="0" w:space="0" w:color="auto"/>
        <w:bottom w:val="none" w:sz="0" w:space="0" w:color="auto"/>
        <w:right w:val="none" w:sz="0" w:space="0" w:color="auto"/>
      </w:divBdr>
    </w:div>
    <w:div w:id="1504314968">
      <w:bodyDiv w:val="1"/>
      <w:marLeft w:val="0"/>
      <w:marRight w:val="0"/>
      <w:marTop w:val="0"/>
      <w:marBottom w:val="0"/>
      <w:divBdr>
        <w:top w:val="none" w:sz="0" w:space="0" w:color="auto"/>
        <w:left w:val="none" w:sz="0" w:space="0" w:color="auto"/>
        <w:bottom w:val="none" w:sz="0" w:space="0" w:color="auto"/>
        <w:right w:val="none" w:sz="0" w:space="0" w:color="auto"/>
      </w:divBdr>
    </w:div>
    <w:div w:id="1510483904">
      <w:bodyDiv w:val="1"/>
      <w:marLeft w:val="0"/>
      <w:marRight w:val="0"/>
      <w:marTop w:val="0"/>
      <w:marBottom w:val="0"/>
      <w:divBdr>
        <w:top w:val="none" w:sz="0" w:space="0" w:color="auto"/>
        <w:left w:val="none" w:sz="0" w:space="0" w:color="auto"/>
        <w:bottom w:val="none" w:sz="0" w:space="0" w:color="auto"/>
        <w:right w:val="none" w:sz="0" w:space="0" w:color="auto"/>
      </w:divBdr>
    </w:div>
    <w:div w:id="1515070434">
      <w:bodyDiv w:val="1"/>
      <w:marLeft w:val="0"/>
      <w:marRight w:val="0"/>
      <w:marTop w:val="0"/>
      <w:marBottom w:val="0"/>
      <w:divBdr>
        <w:top w:val="none" w:sz="0" w:space="0" w:color="auto"/>
        <w:left w:val="none" w:sz="0" w:space="0" w:color="auto"/>
        <w:bottom w:val="none" w:sz="0" w:space="0" w:color="auto"/>
        <w:right w:val="none" w:sz="0" w:space="0" w:color="auto"/>
      </w:divBdr>
    </w:div>
    <w:div w:id="1526403546">
      <w:bodyDiv w:val="1"/>
      <w:marLeft w:val="0"/>
      <w:marRight w:val="0"/>
      <w:marTop w:val="0"/>
      <w:marBottom w:val="0"/>
      <w:divBdr>
        <w:top w:val="none" w:sz="0" w:space="0" w:color="auto"/>
        <w:left w:val="none" w:sz="0" w:space="0" w:color="auto"/>
        <w:bottom w:val="none" w:sz="0" w:space="0" w:color="auto"/>
        <w:right w:val="none" w:sz="0" w:space="0" w:color="auto"/>
      </w:divBdr>
    </w:div>
    <w:div w:id="1531601928">
      <w:bodyDiv w:val="1"/>
      <w:marLeft w:val="0"/>
      <w:marRight w:val="0"/>
      <w:marTop w:val="0"/>
      <w:marBottom w:val="0"/>
      <w:divBdr>
        <w:top w:val="none" w:sz="0" w:space="0" w:color="auto"/>
        <w:left w:val="none" w:sz="0" w:space="0" w:color="auto"/>
        <w:bottom w:val="none" w:sz="0" w:space="0" w:color="auto"/>
        <w:right w:val="none" w:sz="0" w:space="0" w:color="auto"/>
      </w:divBdr>
    </w:div>
    <w:div w:id="1539079711">
      <w:bodyDiv w:val="1"/>
      <w:marLeft w:val="0"/>
      <w:marRight w:val="0"/>
      <w:marTop w:val="0"/>
      <w:marBottom w:val="0"/>
      <w:divBdr>
        <w:top w:val="none" w:sz="0" w:space="0" w:color="auto"/>
        <w:left w:val="none" w:sz="0" w:space="0" w:color="auto"/>
        <w:bottom w:val="none" w:sz="0" w:space="0" w:color="auto"/>
        <w:right w:val="none" w:sz="0" w:space="0" w:color="auto"/>
      </w:divBdr>
    </w:div>
    <w:div w:id="1543513286">
      <w:bodyDiv w:val="1"/>
      <w:marLeft w:val="0"/>
      <w:marRight w:val="0"/>
      <w:marTop w:val="0"/>
      <w:marBottom w:val="0"/>
      <w:divBdr>
        <w:top w:val="none" w:sz="0" w:space="0" w:color="auto"/>
        <w:left w:val="none" w:sz="0" w:space="0" w:color="auto"/>
        <w:bottom w:val="none" w:sz="0" w:space="0" w:color="auto"/>
        <w:right w:val="none" w:sz="0" w:space="0" w:color="auto"/>
      </w:divBdr>
    </w:div>
    <w:div w:id="1554081611">
      <w:bodyDiv w:val="1"/>
      <w:marLeft w:val="0"/>
      <w:marRight w:val="0"/>
      <w:marTop w:val="0"/>
      <w:marBottom w:val="0"/>
      <w:divBdr>
        <w:top w:val="none" w:sz="0" w:space="0" w:color="auto"/>
        <w:left w:val="none" w:sz="0" w:space="0" w:color="auto"/>
        <w:bottom w:val="none" w:sz="0" w:space="0" w:color="auto"/>
        <w:right w:val="none" w:sz="0" w:space="0" w:color="auto"/>
      </w:divBdr>
    </w:div>
    <w:div w:id="1554120732">
      <w:bodyDiv w:val="1"/>
      <w:marLeft w:val="0"/>
      <w:marRight w:val="0"/>
      <w:marTop w:val="0"/>
      <w:marBottom w:val="0"/>
      <w:divBdr>
        <w:top w:val="none" w:sz="0" w:space="0" w:color="auto"/>
        <w:left w:val="none" w:sz="0" w:space="0" w:color="auto"/>
        <w:bottom w:val="none" w:sz="0" w:space="0" w:color="auto"/>
        <w:right w:val="none" w:sz="0" w:space="0" w:color="auto"/>
      </w:divBdr>
    </w:div>
    <w:div w:id="1576357681">
      <w:bodyDiv w:val="1"/>
      <w:marLeft w:val="0"/>
      <w:marRight w:val="0"/>
      <w:marTop w:val="0"/>
      <w:marBottom w:val="0"/>
      <w:divBdr>
        <w:top w:val="none" w:sz="0" w:space="0" w:color="auto"/>
        <w:left w:val="none" w:sz="0" w:space="0" w:color="auto"/>
        <w:bottom w:val="none" w:sz="0" w:space="0" w:color="auto"/>
        <w:right w:val="none" w:sz="0" w:space="0" w:color="auto"/>
      </w:divBdr>
    </w:div>
    <w:div w:id="1579242824">
      <w:bodyDiv w:val="1"/>
      <w:marLeft w:val="0"/>
      <w:marRight w:val="0"/>
      <w:marTop w:val="0"/>
      <w:marBottom w:val="0"/>
      <w:divBdr>
        <w:top w:val="none" w:sz="0" w:space="0" w:color="auto"/>
        <w:left w:val="none" w:sz="0" w:space="0" w:color="auto"/>
        <w:bottom w:val="none" w:sz="0" w:space="0" w:color="auto"/>
        <w:right w:val="none" w:sz="0" w:space="0" w:color="auto"/>
      </w:divBdr>
    </w:div>
    <w:div w:id="1582713933">
      <w:bodyDiv w:val="1"/>
      <w:marLeft w:val="0"/>
      <w:marRight w:val="0"/>
      <w:marTop w:val="0"/>
      <w:marBottom w:val="0"/>
      <w:divBdr>
        <w:top w:val="none" w:sz="0" w:space="0" w:color="auto"/>
        <w:left w:val="none" w:sz="0" w:space="0" w:color="auto"/>
        <w:bottom w:val="none" w:sz="0" w:space="0" w:color="auto"/>
        <w:right w:val="none" w:sz="0" w:space="0" w:color="auto"/>
      </w:divBdr>
    </w:div>
    <w:div w:id="1584140432">
      <w:bodyDiv w:val="1"/>
      <w:marLeft w:val="0"/>
      <w:marRight w:val="0"/>
      <w:marTop w:val="0"/>
      <w:marBottom w:val="0"/>
      <w:divBdr>
        <w:top w:val="none" w:sz="0" w:space="0" w:color="auto"/>
        <w:left w:val="none" w:sz="0" w:space="0" w:color="auto"/>
        <w:bottom w:val="none" w:sz="0" w:space="0" w:color="auto"/>
        <w:right w:val="none" w:sz="0" w:space="0" w:color="auto"/>
      </w:divBdr>
    </w:div>
    <w:div w:id="1589772685">
      <w:bodyDiv w:val="1"/>
      <w:marLeft w:val="0"/>
      <w:marRight w:val="0"/>
      <w:marTop w:val="0"/>
      <w:marBottom w:val="0"/>
      <w:divBdr>
        <w:top w:val="none" w:sz="0" w:space="0" w:color="auto"/>
        <w:left w:val="none" w:sz="0" w:space="0" w:color="auto"/>
        <w:bottom w:val="none" w:sz="0" w:space="0" w:color="auto"/>
        <w:right w:val="none" w:sz="0" w:space="0" w:color="auto"/>
      </w:divBdr>
    </w:div>
    <w:div w:id="1599829192">
      <w:bodyDiv w:val="1"/>
      <w:marLeft w:val="0"/>
      <w:marRight w:val="0"/>
      <w:marTop w:val="0"/>
      <w:marBottom w:val="0"/>
      <w:divBdr>
        <w:top w:val="none" w:sz="0" w:space="0" w:color="auto"/>
        <w:left w:val="none" w:sz="0" w:space="0" w:color="auto"/>
        <w:bottom w:val="none" w:sz="0" w:space="0" w:color="auto"/>
        <w:right w:val="none" w:sz="0" w:space="0" w:color="auto"/>
      </w:divBdr>
    </w:div>
    <w:div w:id="1601449101">
      <w:bodyDiv w:val="1"/>
      <w:marLeft w:val="0"/>
      <w:marRight w:val="0"/>
      <w:marTop w:val="0"/>
      <w:marBottom w:val="0"/>
      <w:divBdr>
        <w:top w:val="none" w:sz="0" w:space="0" w:color="auto"/>
        <w:left w:val="none" w:sz="0" w:space="0" w:color="auto"/>
        <w:bottom w:val="none" w:sz="0" w:space="0" w:color="auto"/>
        <w:right w:val="none" w:sz="0" w:space="0" w:color="auto"/>
      </w:divBdr>
    </w:div>
    <w:div w:id="1613632607">
      <w:bodyDiv w:val="1"/>
      <w:marLeft w:val="0"/>
      <w:marRight w:val="0"/>
      <w:marTop w:val="0"/>
      <w:marBottom w:val="0"/>
      <w:divBdr>
        <w:top w:val="none" w:sz="0" w:space="0" w:color="auto"/>
        <w:left w:val="none" w:sz="0" w:space="0" w:color="auto"/>
        <w:bottom w:val="none" w:sz="0" w:space="0" w:color="auto"/>
        <w:right w:val="none" w:sz="0" w:space="0" w:color="auto"/>
      </w:divBdr>
    </w:div>
    <w:div w:id="1632898155">
      <w:bodyDiv w:val="1"/>
      <w:marLeft w:val="0"/>
      <w:marRight w:val="0"/>
      <w:marTop w:val="0"/>
      <w:marBottom w:val="0"/>
      <w:divBdr>
        <w:top w:val="none" w:sz="0" w:space="0" w:color="auto"/>
        <w:left w:val="none" w:sz="0" w:space="0" w:color="auto"/>
        <w:bottom w:val="none" w:sz="0" w:space="0" w:color="auto"/>
        <w:right w:val="none" w:sz="0" w:space="0" w:color="auto"/>
      </w:divBdr>
    </w:div>
    <w:div w:id="1642342814">
      <w:bodyDiv w:val="1"/>
      <w:marLeft w:val="0"/>
      <w:marRight w:val="0"/>
      <w:marTop w:val="0"/>
      <w:marBottom w:val="0"/>
      <w:divBdr>
        <w:top w:val="none" w:sz="0" w:space="0" w:color="auto"/>
        <w:left w:val="none" w:sz="0" w:space="0" w:color="auto"/>
        <w:bottom w:val="none" w:sz="0" w:space="0" w:color="auto"/>
        <w:right w:val="none" w:sz="0" w:space="0" w:color="auto"/>
      </w:divBdr>
    </w:div>
    <w:div w:id="1644382249">
      <w:bodyDiv w:val="1"/>
      <w:marLeft w:val="0"/>
      <w:marRight w:val="0"/>
      <w:marTop w:val="0"/>
      <w:marBottom w:val="0"/>
      <w:divBdr>
        <w:top w:val="none" w:sz="0" w:space="0" w:color="auto"/>
        <w:left w:val="none" w:sz="0" w:space="0" w:color="auto"/>
        <w:bottom w:val="none" w:sz="0" w:space="0" w:color="auto"/>
        <w:right w:val="none" w:sz="0" w:space="0" w:color="auto"/>
      </w:divBdr>
    </w:div>
    <w:div w:id="1652908632">
      <w:bodyDiv w:val="1"/>
      <w:marLeft w:val="0"/>
      <w:marRight w:val="0"/>
      <w:marTop w:val="0"/>
      <w:marBottom w:val="0"/>
      <w:divBdr>
        <w:top w:val="none" w:sz="0" w:space="0" w:color="auto"/>
        <w:left w:val="none" w:sz="0" w:space="0" w:color="auto"/>
        <w:bottom w:val="none" w:sz="0" w:space="0" w:color="auto"/>
        <w:right w:val="none" w:sz="0" w:space="0" w:color="auto"/>
      </w:divBdr>
    </w:div>
    <w:div w:id="1657609785">
      <w:bodyDiv w:val="1"/>
      <w:marLeft w:val="0"/>
      <w:marRight w:val="0"/>
      <w:marTop w:val="0"/>
      <w:marBottom w:val="0"/>
      <w:divBdr>
        <w:top w:val="none" w:sz="0" w:space="0" w:color="auto"/>
        <w:left w:val="none" w:sz="0" w:space="0" w:color="auto"/>
        <w:bottom w:val="none" w:sz="0" w:space="0" w:color="auto"/>
        <w:right w:val="none" w:sz="0" w:space="0" w:color="auto"/>
      </w:divBdr>
    </w:div>
    <w:div w:id="1657755987">
      <w:bodyDiv w:val="1"/>
      <w:marLeft w:val="0"/>
      <w:marRight w:val="0"/>
      <w:marTop w:val="0"/>
      <w:marBottom w:val="0"/>
      <w:divBdr>
        <w:top w:val="none" w:sz="0" w:space="0" w:color="auto"/>
        <w:left w:val="none" w:sz="0" w:space="0" w:color="auto"/>
        <w:bottom w:val="none" w:sz="0" w:space="0" w:color="auto"/>
        <w:right w:val="none" w:sz="0" w:space="0" w:color="auto"/>
      </w:divBdr>
    </w:div>
    <w:div w:id="1659572192">
      <w:bodyDiv w:val="1"/>
      <w:marLeft w:val="0"/>
      <w:marRight w:val="0"/>
      <w:marTop w:val="0"/>
      <w:marBottom w:val="0"/>
      <w:divBdr>
        <w:top w:val="none" w:sz="0" w:space="0" w:color="auto"/>
        <w:left w:val="none" w:sz="0" w:space="0" w:color="auto"/>
        <w:bottom w:val="none" w:sz="0" w:space="0" w:color="auto"/>
        <w:right w:val="none" w:sz="0" w:space="0" w:color="auto"/>
      </w:divBdr>
    </w:div>
    <w:div w:id="1661930193">
      <w:bodyDiv w:val="1"/>
      <w:marLeft w:val="0"/>
      <w:marRight w:val="0"/>
      <w:marTop w:val="0"/>
      <w:marBottom w:val="0"/>
      <w:divBdr>
        <w:top w:val="none" w:sz="0" w:space="0" w:color="auto"/>
        <w:left w:val="none" w:sz="0" w:space="0" w:color="auto"/>
        <w:bottom w:val="none" w:sz="0" w:space="0" w:color="auto"/>
        <w:right w:val="none" w:sz="0" w:space="0" w:color="auto"/>
      </w:divBdr>
    </w:div>
    <w:div w:id="1664317338">
      <w:bodyDiv w:val="1"/>
      <w:marLeft w:val="0"/>
      <w:marRight w:val="0"/>
      <w:marTop w:val="0"/>
      <w:marBottom w:val="0"/>
      <w:divBdr>
        <w:top w:val="none" w:sz="0" w:space="0" w:color="auto"/>
        <w:left w:val="none" w:sz="0" w:space="0" w:color="auto"/>
        <w:bottom w:val="none" w:sz="0" w:space="0" w:color="auto"/>
        <w:right w:val="none" w:sz="0" w:space="0" w:color="auto"/>
      </w:divBdr>
    </w:div>
    <w:div w:id="1676688116">
      <w:bodyDiv w:val="1"/>
      <w:marLeft w:val="0"/>
      <w:marRight w:val="0"/>
      <w:marTop w:val="0"/>
      <w:marBottom w:val="0"/>
      <w:divBdr>
        <w:top w:val="none" w:sz="0" w:space="0" w:color="auto"/>
        <w:left w:val="none" w:sz="0" w:space="0" w:color="auto"/>
        <w:bottom w:val="none" w:sz="0" w:space="0" w:color="auto"/>
        <w:right w:val="none" w:sz="0" w:space="0" w:color="auto"/>
      </w:divBdr>
    </w:div>
    <w:div w:id="1682048429">
      <w:bodyDiv w:val="1"/>
      <w:marLeft w:val="0"/>
      <w:marRight w:val="0"/>
      <w:marTop w:val="0"/>
      <w:marBottom w:val="0"/>
      <w:divBdr>
        <w:top w:val="none" w:sz="0" w:space="0" w:color="auto"/>
        <w:left w:val="none" w:sz="0" w:space="0" w:color="auto"/>
        <w:bottom w:val="none" w:sz="0" w:space="0" w:color="auto"/>
        <w:right w:val="none" w:sz="0" w:space="0" w:color="auto"/>
      </w:divBdr>
    </w:div>
    <w:div w:id="1689327182">
      <w:bodyDiv w:val="1"/>
      <w:marLeft w:val="0"/>
      <w:marRight w:val="0"/>
      <w:marTop w:val="0"/>
      <w:marBottom w:val="0"/>
      <w:divBdr>
        <w:top w:val="none" w:sz="0" w:space="0" w:color="auto"/>
        <w:left w:val="none" w:sz="0" w:space="0" w:color="auto"/>
        <w:bottom w:val="none" w:sz="0" w:space="0" w:color="auto"/>
        <w:right w:val="none" w:sz="0" w:space="0" w:color="auto"/>
      </w:divBdr>
    </w:div>
    <w:div w:id="1691058117">
      <w:bodyDiv w:val="1"/>
      <w:marLeft w:val="0"/>
      <w:marRight w:val="0"/>
      <w:marTop w:val="0"/>
      <w:marBottom w:val="0"/>
      <w:divBdr>
        <w:top w:val="none" w:sz="0" w:space="0" w:color="auto"/>
        <w:left w:val="none" w:sz="0" w:space="0" w:color="auto"/>
        <w:bottom w:val="none" w:sz="0" w:space="0" w:color="auto"/>
        <w:right w:val="none" w:sz="0" w:space="0" w:color="auto"/>
      </w:divBdr>
    </w:div>
    <w:div w:id="1706632919">
      <w:bodyDiv w:val="1"/>
      <w:marLeft w:val="0"/>
      <w:marRight w:val="0"/>
      <w:marTop w:val="0"/>
      <w:marBottom w:val="0"/>
      <w:divBdr>
        <w:top w:val="none" w:sz="0" w:space="0" w:color="auto"/>
        <w:left w:val="none" w:sz="0" w:space="0" w:color="auto"/>
        <w:bottom w:val="none" w:sz="0" w:space="0" w:color="auto"/>
        <w:right w:val="none" w:sz="0" w:space="0" w:color="auto"/>
      </w:divBdr>
    </w:div>
    <w:div w:id="1709524820">
      <w:bodyDiv w:val="1"/>
      <w:marLeft w:val="0"/>
      <w:marRight w:val="0"/>
      <w:marTop w:val="0"/>
      <w:marBottom w:val="0"/>
      <w:divBdr>
        <w:top w:val="none" w:sz="0" w:space="0" w:color="auto"/>
        <w:left w:val="none" w:sz="0" w:space="0" w:color="auto"/>
        <w:bottom w:val="none" w:sz="0" w:space="0" w:color="auto"/>
        <w:right w:val="none" w:sz="0" w:space="0" w:color="auto"/>
      </w:divBdr>
    </w:div>
    <w:div w:id="1711414949">
      <w:bodyDiv w:val="1"/>
      <w:marLeft w:val="0"/>
      <w:marRight w:val="0"/>
      <w:marTop w:val="0"/>
      <w:marBottom w:val="0"/>
      <w:divBdr>
        <w:top w:val="none" w:sz="0" w:space="0" w:color="auto"/>
        <w:left w:val="none" w:sz="0" w:space="0" w:color="auto"/>
        <w:bottom w:val="none" w:sz="0" w:space="0" w:color="auto"/>
        <w:right w:val="none" w:sz="0" w:space="0" w:color="auto"/>
      </w:divBdr>
    </w:div>
    <w:div w:id="1715226587">
      <w:bodyDiv w:val="1"/>
      <w:marLeft w:val="0"/>
      <w:marRight w:val="0"/>
      <w:marTop w:val="0"/>
      <w:marBottom w:val="0"/>
      <w:divBdr>
        <w:top w:val="none" w:sz="0" w:space="0" w:color="auto"/>
        <w:left w:val="none" w:sz="0" w:space="0" w:color="auto"/>
        <w:bottom w:val="none" w:sz="0" w:space="0" w:color="auto"/>
        <w:right w:val="none" w:sz="0" w:space="0" w:color="auto"/>
      </w:divBdr>
    </w:div>
    <w:div w:id="1715622192">
      <w:bodyDiv w:val="1"/>
      <w:marLeft w:val="0"/>
      <w:marRight w:val="0"/>
      <w:marTop w:val="0"/>
      <w:marBottom w:val="0"/>
      <w:divBdr>
        <w:top w:val="none" w:sz="0" w:space="0" w:color="auto"/>
        <w:left w:val="none" w:sz="0" w:space="0" w:color="auto"/>
        <w:bottom w:val="none" w:sz="0" w:space="0" w:color="auto"/>
        <w:right w:val="none" w:sz="0" w:space="0" w:color="auto"/>
      </w:divBdr>
    </w:div>
    <w:div w:id="1720321736">
      <w:bodyDiv w:val="1"/>
      <w:marLeft w:val="0"/>
      <w:marRight w:val="0"/>
      <w:marTop w:val="0"/>
      <w:marBottom w:val="0"/>
      <w:divBdr>
        <w:top w:val="none" w:sz="0" w:space="0" w:color="auto"/>
        <w:left w:val="none" w:sz="0" w:space="0" w:color="auto"/>
        <w:bottom w:val="none" w:sz="0" w:space="0" w:color="auto"/>
        <w:right w:val="none" w:sz="0" w:space="0" w:color="auto"/>
      </w:divBdr>
    </w:div>
    <w:div w:id="1723211335">
      <w:bodyDiv w:val="1"/>
      <w:marLeft w:val="0"/>
      <w:marRight w:val="0"/>
      <w:marTop w:val="0"/>
      <w:marBottom w:val="0"/>
      <w:divBdr>
        <w:top w:val="none" w:sz="0" w:space="0" w:color="auto"/>
        <w:left w:val="none" w:sz="0" w:space="0" w:color="auto"/>
        <w:bottom w:val="none" w:sz="0" w:space="0" w:color="auto"/>
        <w:right w:val="none" w:sz="0" w:space="0" w:color="auto"/>
      </w:divBdr>
    </w:div>
    <w:div w:id="1724255624">
      <w:bodyDiv w:val="1"/>
      <w:marLeft w:val="0"/>
      <w:marRight w:val="0"/>
      <w:marTop w:val="0"/>
      <w:marBottom w:val="0"/>
      <w:divBdr>
        <w:top w:val="none" w:sz="0" w:space="0" w:color="auto"/>
        <w:left w:val="none" w:sz="0" w:space="0" w:color="auto"/>
        <w:bottom w:val="none" w:sz="0" w:space="0" w:color="auto"/>
        <w:right w:val="none" w:sz="0" w:space="0" w:color="auto"/>
      </w:divBdr>
    </w:div>
    <w:div w:id="1737513159">
      <w:bodyDiv w:val="1"/>
      <w:marLeft w:val="0"/>
      <w:marRight w:val="0"/>
      <w:marTop w:val="0"/>
      <w:marBottom w:val="0"/>
      <w:divBdr>
        <w:top w:val="none" w:sz="0" w:space="0" w:color="auto"/>
        <w:left w:val="none" w:sz="0" w:space="0" w:color="auto"/>
        <w:bottom w:val="none" w:sz="0" w:space="0" w:color="auto"/>
        <w:right w:val="none" w:sz="0" w:space="0" w:color="auto"/>
      </w:divBdr>
    </w:div>
    <w:div w:id="1739866964">
      <w:bodyDiv w:val="1"/>
      <w:marLeft w:val="0"/>
      <w:marRight w:val="0"/>
      <w:marTop w:val="0"/>
      <w:marBottom w:val="0"/>
      <w:divBdr>
        <w:top w:val="none" w:sz="0" w:space="0" w:color="auto"/>
        <w:left w:val="none" w:sz="0" w:space="0" w:color="auto"/>
        <w:bottom w:val="none" w:sz="0" w:space="0" w:color="auto"/>
        <w:right w:val="none" w:sz="0" w:space="0" w:color="auto"/>
      </w:divBdr>
    </w:div>
    <w:div w:id="1739933792">
      <w:bodyDiv w:val="1"/>
      <w:marLeft w:val="0"/>
      <w:marRight w:val="0"/>
      <w:marTop w:val="0"/>
      <w:marBottom w:val="0"/>
      <w:divBdr>
        <w:top w:val="none" w:sz="0" w:space="0" w:color="auto"/>
        <w:left w:val="none" w:sz="0" w:space="0" w:color="auto"/>
        <w:bottom w:val="none" w:sz="0" w:space="0" w:color="auto"/>
        <w:right w:val="none" w:sz="0" w:space="0" w:color="auto"/>
      </w:divBdr>
    </w:div>
    <w:div w:id="1741899173">
      <w:bodyDiv w:val="1"/>
      <w:marLeft w:val="0"/>
      <w:marRight w:val="0"/>
      <w:marTop w:val="0"/>
      <w:marBottom w:val="0"/>
      <w:divBdr>
        <w:top w:val="none" w:sz="0" w:space="0" w:color="auto"/>
        <w:left w:val="none" w:sz="0" w:space="0" w:color="auto"/>
        <w:bottom w:val="none" w:sz="0" w:space="0" w:color="auto"/>
        <w:right w:val="none" w:sz="0" w:space="0" w:color="auto"/>
      </w:divBdr>
    </w:div>
    <w:div w:id="1744141731">
      <w:bodyDiv w:val="1"/>
      <w:marLeft w:val="0"/>
      <w:marRight w:val="0"/>
      <w:marTop w:val="0"/>
      <w:marBottom w:val="0"/>
      <w:divBdr>
        <w:top w:val="none" w:sz="0" w:space="0" w:color="auto"/>
        <w:left w:val="none" w:sz="0" w:space="0" w:color="auto"/>
        <w:bottom w:val="none" w:sz="0" w:space="0" w:color="auto"/>
        <w:right w:val="none" w:sz="0" w:space="0" w:color="auto"/>
      </w:divBdr>
    </w:div>
    <w:div w:id="1747074520">
      <w:bodyDiv w:val="1"/>
      <w:marLeft w:val="0"/>
      <w:marRight w:val="0"/>
      <w:marTop w:val="0"/>
      <w:marBottom w:val="0"/>
      <w:divBdr>
        <w:top w:val="none" w:sz="0" w:space="0" w:color="auto"/>
        <w:left w:val="none" w:sz="0" w:space="0" w:color="auto"/>
        <w:bottom w:val="none" w:sz="0" w:space="0" w:color="auto"/>
        <w:right w:val="none" w:sz="0" w:space="0" w:color="auto"/>
      </w:divBdr>
    </w:div>
    <w:div w:id="1753432259">
      <w:bodyDiv w:val="1"/>
      <w:marLeft w:val="0"/>
      <w:marRight w:val="0"/>
      <w:marTop w:val="0"/>
      <w:marBottom w:val="0"/>
      <w:divBdr>
        <w:top w:val="none" w:sz="0" w:space="0" w:color="auto"/>
        <w:left w:val="none" w:sz="0" w:space="0" w:color="auto"/>
        <w:bottom w:val="none" w:sz="0" w:space="0" w:color="auto"/>
        <w:right w:val="none" w:sz="0" w:space="0" w:color="auto"/>
      </w:divBdr>
    </w:div>
    <w:div w:id="1767337699">
      <w:bodyDiv w:val="1"/>
      <w:marLeft w:val="0"/>
      <w:marRight w:val="0"/>
      <w:marTop w:val="0"/>
      <w:marBottom w:val="0"/>
      <w:divBdr>
        <w:top w:val="none" w:sz="0" w:space="0" w:color="auto"/>
        <w:left w:val="none" w:sz="0" w:space="0" w:color="auto"/>
        <w:bottom w:val="none" w:sz="0" w:space="0" w:color="auto"/>
        <w:right w:val="none" w:sz="0" w:space="0" w:color="auto"/>
      </w:divBdr>
    </w:div>
    <w:div w:id="1768961915">
      <w:bodyDiv w:val="1"/>
      <w:marLeft w:val="0"/>
      <w:marRight w:val="0"/>
      <w:marTop w:val="0"/>
      <w:marBottom w:val="0"/>
      <w:divBdr>
        <w:top w:val="none" w:sz="0" w:space="0" w:color="auto"/>
        <w:left w:val="none" w:sz="0" w:space="0" w:color="auto"/>
        <w:bottom w:val="none" w:sz="0" w:space="0" w:color="auto"/>
        <w:right w:val="none" w:sz="0" w:space="0" w:color="auto"/>
      </w:divBdr>
    </w:div>
    <w:div w:id="1769350709">
      <w:bodyDiv w:val="1"/>
      <w:marLeft w:val="0"/>
      <w:marRight w:val="0"/>
      <w:marTop w:val="0"/>
      <w:marBottom w:val="0"/>
      <w:divBdr>
        <w:top w:val="none" w:sz="0" w:space="0" w:color="auto"/>
        <w:left w:val="none" w:sz="0" w:space="0" w:color="auto"/>
        <w:bottom w:val="none" w:sz="0" w:space="0" w:color="auto"/>
        <w:right w:val="none" w:sz="0" w:space="0" w:color="auto"/>
      </w:divBdr>
    </w:div>
    <w:div w:id="1774397863">
      <w:bodyDiv w:val="1"/>
      <w:marLeft w:val="0"/>
      <w:marRight w:val="0"/>
      <w:marTop w:val="0"/>
      <w:marBottom w:val="0"/>
      <w:divBdr>
        <w:top w:val="none" w:sz="0" w:space="0" w:color="auto"/>
        <w:left w:val="none" w:sz="0" w:space="0" w:color="auto"/>
        <w:bottom w:val="none" w:sz="0" w:space="0" w:color="auto"/>
        <w:right w:val="none" w:sz="0" w:space="0" w:color="auto"/>
      </w:divBdr>
    </w:div>
    <w:div w:id="1776943481">
      <w:bodyDiv w:val="1"/>
      <w:marLeft w:val="0"/>
      <w:marRight w:val="0"/>
      <w:marTop w:val="0"/>
      <w:marBottom w:val="0"/>
      <w:divBdr>
        <w:top w:val="none" w:sz="0" w:space="0" w:color="auto"/>
        <w:left w:val="none" w:sz="0" w:space="0" w:color="auto"/>
        <w:bottom w:val="none" w:sz="0" w:space="0" w:color="auto"/>
        <w:right w:val="none" w:sz="0" w:space="0" w:color="auto"/>
      </w:divBdr>
    </w:div>
    <w:div w:id="1795251972">
      <w:bodyDiv w:val="1"/>
      <w:marLeft w:val="0"/>
      <w:marRight w:val="0"/>
      <w:marTop w:val="0"/>
      <w:marBottom w:val="0"/>
      <w:divBdr>
        <w:top w:val="none" w:sz="0" w:space="0" w:color="auto"/>
        <w:left w:val="none" w:sz="0" w:space="0" w:color="auto"/>
        <w:bottom w:val="none" w:sz="0" w:space="0" w:color="auto"/>
        <w:right w:val="none" w:sz="0" w:space="0" w:color="auto"/>
      </w:divBdr>
    </w:div>
    <w:div w:id="1797605666">
      <w:bodyDiv w:val="1"/>
      <w:marLeft w:val="0"/>
      <w:marRight w:val="0"/>
      <w:marTop w:val="0"/>
      <w:marBottom w:val="0"/>
      <w:divBdr>
        <w:top w:val="none" w:sz="0" w:space="0" w:color="auto"/>
        <w:left w:val="none" w:sz="0" w:space="0" w:color="auto"/>
        <w:bottom w:val="none" w:sz="0" w:space="0" w:color="auto"/>
        <w:right w:val="none" w:sz="0" w:space="0" w:color="auto"/>
      </w:divBdr>
    </w:div>
    <w:div w:id="1800608364">
      <w:bodyDiv w:val="1"/>
      <w:marLeft w:val="0"/>
      <w:marRight w:val="0"/>
      <w:marTop w:val="0"/>
      <w:marBottom w:val="0"/>
      <w:divBdr>
        <w:top w:val="none" w:sz="0" w:space="0" w:color="auto"/>
        <w:left w:val="none" w:sz="0" w:space="0" w:color="auto"/>
        <w:bottom w:val="none" w:sz="0" w:space="0" w:color="auto"/>
        <w:right w:val="none" w:sz="0" w:space="0" w:color="auto"/>
      </w:divBdr>
    </w:div>
    <w:div w:id="1816681945">
      <w:bodyDiv w:val="1"/>
      <w:marLeft w:val="0"/>
      <w:marRight w:val="0"/>
      <w:marTop w:val="0"/>
      <w:marBottom w:val="0"/>
      <w:divBdr>
        <w:top w:val="none" w:sz="0" w:space="0" w:color="auto"/>
        <w:left w:val="none" w:sz="0" w:space="0" w:color="auto"/>
        <w:bottom w:val="none" w:sz="0" w:space="0" w:color="auto"/>
        <w:right w:val="none" w:sz="0" w:space="0" w:color="auto"/>
      </w:divBdr>
    </w:div>
    <w:div w:id="1829900875">
      <w:bodyDiv w:val="1"/>
      <w:marLeft w:val="0"/>
      <w:marRight w:val="0"/>
      <w:marTop w:val="0"/>
      <w:marBottom w:val="0"/>
      <w:divBdr>
        <w:top w:val="none" w:sz="0" w:space="0" w:color="auto"/>
        <w:left w:val="none" w:sz="0" w:space="0" w:color="auto"/>
        <w:bottom w:val="none" w:sz="0" w:space="0" w:color="auto"/>
        <w:right w:val="none" w:sz="0" w:space="0" w:color="auto"/>
      </w:divBdr>
    </w:div>
    <w:div w:id="1849170943">
      <w:bodyDiv w:val="1"/>
      <w:marLeft w:val="0"/>
      <w:marRight w:val="0"/>
      <w:marTop w:val="0"/>
      <w:marBottom w:val="0"/>
      <w:divBdr>
        <w:top w:val="none" w:sz="0" w:space="0" w:color="auto"/>
        <w:left w:val="none" w:sz="0" w:space="0" w:color="auto"/>
        <w:bottom w:val="none" w:sz="0" w:space="0" w:color="auto"/>
        <w:right w:val="none" w:sz="0" w:space="0" w:color="auto"/>
      </w:divBdr>
    </w:div>
    <w:div w:id="1860512088">
      <w:bodyDiv w:val="1"/>
      <w:marLeft w:val="0"/>
      <w:marRight w:val="0"/>
      <w:marTop w:val="0"/>
      <w:marBottom w:val="0"/>
      <w:divBdr>
        <w:top w:val="none" w:sz="0" w:space="0" w:color="auto"/>
        <w:left w:val="none" w:sz="0" w:space="0" w:color="auto"/>
        <w:bottom w:val="none" w:sz="0" w:space="0" w:color="auto"/>
        <w:right w:val="none" w:sz="0" w:space="0" w:color="auto"/>
      </w:divBdr>
    </w:div>
    <w:div w:id="1861164051">
      <w:bodyDiv w:val="1"/>
      <w:marLeft w:val="0"/>
      <w:marRight w:val="0"/>
      <w:marTop w:val="0"/>
      <w:marBottom w:val="0"/>
      <w:divBdr>
        <w:top w:val="none" w:sz="0" w:space="0" w:color="auto"/>
        <w:left w:val="none" w:sz="0" w:space="0" w:color="auto"/>
        <w:bottom w:val="none" w:sz="0" w:space="0" w:color="auto"/>
        <w:right w:val="none" w:sz="0" w:space="0" w:color="auto"/>
      </w:divBdr>
    </w:div>
    <w:div w:id="1868911534">
      <w:bodyDiv w:val="1"/>
      <w:marLeft w:val="0"/>
      <w:marRight w:val="0"/>
      <w:marTop w:val="0"/>
      <w:marBottom w:val="0"/>
      <w:divBdr>
        <w:top w:val="none" w:sz="0" w:space="0" w:color="auto"/>
        <w:left w:val="none" w:sz="0" w:space="0" w:color="auto"/>
        <w:bottom w:val="none" w:sz="0" w:space="0" w:color="auto"/>
        <w:right w:val="none" w:sz="0" w:space="0" w:color="auto"/>
      </w:divBdr>
    </w:div>
    <w:div w:id="1874146797">
      <w:bodyDiv w:val="1"/>
      <w:marLeft w:val="0"/>
      <w:marRight w:val="0"/>
      <w:marTop w:val="0"/>
      <w:marBottom w:val="0"/>
      <w:divBdr>
        <w:top w:val="none" w:sz="0" w:space="0" w:color="auto"/>
        <w:left w:val="none" w:sz="0" w:space="0" w:color="auto"/>
        <w:bottom w:val="none" w:sz="0" w:space="0" w:color="auto"/>
        <w:right w:val="none" w:sz="0" w:space="0" w:color="auto"/>
      </w:divBdr>
    </w:div>
    <w:div w:id="1879001170">
      <w:bodyDiv w:val="1"/>
      <w:marLeft w:val="0"/>
      <w:marRight w:val="0"/>
      <w:marTop w:val="0"/>
      <w:marBottom w:val="0"/>
      <w:divBdr>
        <w:top w:val="none" w:sz="0" w:space="0" w:color="auto"/>
        <w:left w:val="none" w:sz="0" w:space="0" w:color="auto"/>
        <w:bottom w:val="none" w:sz="0" w:space="0" w:color="auto"/>
        <w:right w:val="none" w:sz="0" w:space="0" w:color="auto"/>
      </w:divBdr>
    </w:div>
    <w:div w:id="1885210192">
      <w:bodyDiv w:val="1"/>
      <w:marLeft w:val="0"/>
      <w:marRight w:val="0"/>
      <w:marTop w:val="0"/>
      <w:marBottom w:val="0"/>
      <w:divBdr>
        <w:top w:val="none" w:sz="0" w:space="0" w:color="auto"/>
        <w:left w:val="none" w:sz="0" w:space="0" w:color="auto"/>
        <w:bottom w:val="none" w:sz="0" w:space="0" w:color="auto"/>
        <w:right w:val="none" w:sz="0" w:space="0" w:color="auto"/>
      </w:divBdr>
    </w:div>
    <w:div w:id="1885750583">
      <w:bodyDiv w:val="1"/>
      <w:marLeft w:val="0"/>
      <w:marRight w:val="0"/>
      <w:marTop w:val="0"/>
      <w:marBottom w:val="0"/>
      <w:divBdr>
        <w:top w:val="none" w:sz="0" w:space="0" w:color="auto"/>
        <w:left w:val="none" w:sz="0" w:space="0" w:color="auto"/>
        <w:bottom w:val="none" w:sz="0" w:space="0" w:color="auto"/>
        <w:right w:val="none" w:sz="0" w:space="0" w:color="auto"/>
      </w:divBdr>
    </w:div>
    <w:div w:id="1889758462">
      <w:bodyDiv w:val="1"/>
      <w:marLeft w:val="0"/>
      <w:marRight w:val="0"/>
      <w:marTop w:val="0"/>
      <w:marBottom w:val="0"/>
      <w:divBdr>
        <w:top w:val="none" w:sz="0" w:space="0" w:color="auto"/>
        <w:left w:val="none" w:sz="0" w:space="0" w:color="auto"/>
        <w:bottom w:val="none" w:sz="0" w:space="0" w:color="auto"/>
        <w:right w:val="none" w:sz="0" w:space="0" w:color="auto"/>
      </w:divBdr>
    </w:div>
    <w:div w:id="1906718348">
      <w:bodyDiv w:val="1"/>
      <w:marLeft w:val="0"/>
      <w:marRight w:val="0"/>
      <w:marTop w:val="0"/>
      <w:marBottom w:val="0"/>
      <w:divBdr>
        <w:top w:val="none" w:sz="0" w:space="0" w:color="auto"/>
        <w:left w:val="none" w:sz="0" w:space="0" w:color="auto"/>
        <w:bottom w:val="none" w:sz="0" w:space="0" w:color="auto"/>
        <w:right w:val="none" w:sz="0" w:space="0" w:color="auto"/>
      </w:divBdr>
    </w:div>
    <w:div w:id="1908301904">
      <w:bodyDiv w:val="1"/>
      <w:marLeft w:val="0"/>
      <w:marRight w:val="0"/>
      <w:marTop w:val="0"/>
      <w:marBottom w:val="0"/>
      <w:divBdr>
        <w:top w:val="none" w:sz="0" w:space="0" w:color="auto"/>
        <w:left w:val="none" w:sz="0" w:space="0" w:color="auto"/>
        <w:bottom w:val="none" w:sz="0" w:space="0" w:color="auto"/>
        <w:right w:val="none" w:sz="0" w:space="0" w:color="auto"/>
      </w:divBdr>
    </w:div>
    <w:div w:id="1919435329">
      <w:bodyDiv w:val="1"/>
      <w:marLeft w:val="0"/>
      <w:marRight w:val="0"/>
      <w:marTop w:val="0"/>
      <w:marBottom w:val="0"/>
      <w:divBdr>
        <w:top w:val="none" w:sz="0" w:space="0" w:color="auto"/>
        <w:left w:val="none" w:sz="0" w:space="0" w:color="auto"/>
        <w:bottom w:val="none" w:sz="0" w:space="0" w:color="auto"/>
        <w:right w:val="none" w:sz="0" w:space="0" w:color="auto"/>
      </w:divBdr>
    </w:div>
    <w:div w:id="1928608212">
      <w:bodyDiv w:val="1"/>
      <w:marLeft w:val="0"/>
      <w:marRight w:val="0"/>
      <w:marTop w:val="0"/>
      <w:marBottom w:val="0"/>
      <w:divBdr>
        <w:top w:val="none" w:sz="0" w:space="0" w:color="auto"/>
        <w:left w:val="none" w:sz="0" w:space="0" w:color="auto"/>
        <w:bottom w:val="none" w:sz="0" w:space="0" w:color="auto"/>
        <w:right w:val="none" w:sz="0" w:space="0" w:color="auto"/>
      </w:divBdr>
    </w:div>
    <w:div w:id="1931156541">
      <w:bodyDiv w:val="1"/>
      <w:marLeft w:val="0"/>
      <w:marRight w:val="0"/>
      <w:marTop w:val="0"/>
      <w:marBottom w:val="0"/>
      <w:divBdr>
        <w:top w:val="none" w:sz="0" w:space="0" w:color="auto"/>
        <w:left w:val="none" w:sz="0" w:space="0" w:color="auto"/>
        <w:bottom w:val="none" w:sz="0" w:space="0" w:color="auto"/>
        <w:right w:val="none" w:sz="0" w:space="0" w:color="auto"/>
      </w:divBdr>
    </w:div>
    <w:div w:id="1936553071">
      <w:bodyDiv w:val="1"/>
      <w:marLeft w:val="0"/>
      <w:marRight w:val="0"/>
      <w:marTop w:val="0"/>
      <w:marBottom w:val="0"/>
      <w:divBdr>
        <w:top w:val="none" w:sz="0" w:space="0" w:color="auto"/>
        <w:left w:val="none" w:sz="0" w:space="0" w:color="auto"/>
        <w:bottom w:val="none" w:sz="0" w:space="0" w:color="auto"/>
        <w:right w:val="none" w:sz="0" w:space="0" w:color="auto"/>
      </w:divBdr>
    </w:div>
    <w:div w:id="1939025242">
      <w:bodyDiv w:val="1"/>
      <w:marLeft w:val="0"/>
      <w:marRight w:val="0"/>
      <w:marTop w:val="0"/>
      <w:marBottom w:val="0"/>
      <w:divBdr>
        <w:top w:val="none" w:sz="0" w:space="0" w:color="auto"/>
        <w:left w:val="none" w:sz="0" w:space="0" w:color="auto"/>
        <w:bottom w:val="none" w:sz="0" w:space="0" w:color="auto"/>
        <w:right w:val="none" w:sz="0" w:space="0" w:color="auto"/>
      </w:divBdr>
    </w:div>
    <w:div w:id="1959336073">
      <w:bodyDiv w:val="1"/>
      <w:marLeft w:val="0"/>
      <w:marRight w:val="0"/>
      <w:marTop w:val="0"/>
      <w:marBottom w:val="0"/>
      <w:divBdr>
        <w:top w:val="none" w:sz="0" w:space="0" w:color="auto"/>
        <w:left w:val="none" w:sz="0" w:space="0" w:color="auto"/>
        <w:bottom w:val="none" w:sz="0" w:space="0" w:color="auto"/>
        <w:right w:val="none" w:sz="0" w:space="0" w:color="auto"/>
      </w:divBdr>
    </w:div>
    <w:div w:id="1968973488">
      <w:bodyDiv w:val="1"/>
      <w:marLeft w:val="0"/>
      <w:marRight w:val="0"/>
      <w:marTop w:val="0"/>
      <w:marBottom w:val="0"/>
      <w:divBdr>
        <w:top w:val="none" w:sz="0" w:space="0" w:color="auto"/>
        <w:left w:val="none" w:sz="0" w:space="0" w:color="auto"/>
        <w:bottom w:val="none" w:sz="0" w:space="0" w:color="auto"/>
        <w:right w:val="none" w:sz="0" w:space="0" w:color="auto"/>
      </w:divBdr>
    </w:div>
    <w:div w:id="1974094600">
      <w:bodyDiv w:val="1"/>
      <w:marLeft w:val="0"/>
      <w:marRight w:val="0"/>
      <w:marTop w:val="0"/>
      <w:marBottom w:val="0"/>
      <w:divBdr>
        <w:top w:val="none" w:sz="0" w:space="0" w:color="auto"/>
        <w:left w:val="none" w:sz="0" w:space="0" w:color="auto"/>
        <w:bottom w:val="none" w:sz="0" w:space="0" w:color="auto"/>
        <w:right w:val="none" w:sz="0" w:space="0" w:color="auto"/>
      </w:divBdr>
    </w:div>
    <w:div w:id="1984658017">
      <w:bodyDiv w:val="1"/>
      <w:marLeft w:val="0"/>
      <w:marRight w:val="0"/>
      <w:marTop w:val="0"/>
      <w:marBottom w:val="0"/>
      <w:divBdr>
        <w:top w:val="none" w:sz="0" w:space="0" w:color="auto"/>
        <w:left w:val="none" w:sz="0" w:space="0" w:color="auto"/>
        <w:bottom w:val="none" w:sz="0" w:space="0" w:color="auto"/>
        <w:right w:val="none" w:sz="0" w:space="0" w:color="auto"/>
      </w:divBdr>
    </w:div>
    <w:div w:id="1993561150">
      <w:bodyDiv w:val="1"/>
      <w:marLeft w:val="0"/>
      <w:marRight w:val="0"/>
      <w:marTop w:val="0"/>
      <w:marBottom w:val="0"/>
      <w:divBdr>
        <w:top w:val="none" w:sz="0" w:space="0" w:color="auto"/>
        <w:left w:val="none" w:sz="0" w:space="0" w:color="auto"/>
        <w:bottom w:val="none" w:sz="0" w:space="0" w:color="auto"/>
        <w:right w:val="none" w:sz="0" w:space="0" w:color="auto"/>
      </w:divBdr>
    </w:div>
    <w:div w:id="2006399578">
      <w:bodyDiv w:val="1"/>
      <w:marLeft w:val="0"/>
      <w:marRight w:val="0"/>
      <w:marTop w:val="0"/>
      <w:marBottom w:val="0"/>
      <w:divBdr>
        <w:top w:val="none" w:sz="0" w:space="0" w:color="auto"/>
        <w:left w:val="none" w:sz="0" w:space="0" w:color="auto"/>
        <w:bottom w:val="none" w:sz="0" w:space="0" w:color="auto"/>
        <w:right w:val="none" w:sz="0" w:space="0" w:color="auto"/>
      </w:divBdr>
    </w:div>
    <w:div w:id="2009169806">
      <w:bodyDiv w:val="1"/>
      <w:marLeft w:val="0"/>
      <w:marRight w:val="0"/>
      <w:marTop w:val="0"/>
      <w:marBottom w:val="0"/>
      <w:divBdr>
        <w:top w:val="none" w:sz="0" w:space="0" w:color="auto"/>
        <w:left w:val="none" w:sz="0" w:space="0" w:color="auto"/>
        <w:bottom w:val="none" w:sz="0" w:space="0" w:color="auto"/>
        <w:right w:val="none" w:sz="0" w:space="0" w:color="auto"/>
      </w:divBdr>
    </w:div>
    <w:div w:id="2018849981">
      <w:bodyDiv w:val="1"/>
      <w:marLeft w:val="0"/>
      <w:marRight w:val="0"/>
      <w:marTop w:val="0"/>
      <w:marBottom w:val="0"/>
      <w:divBdr>
        <w:top w:val="none" w:sz="0" w:space="0" w:color="auto"/>
        <w:left w:val="none" w:sz="0" w:space="0" w:color="auto"/>
        <w:bottom w:val="none" w:sz="0" w:space="0" w:color="auto"/>
        <w:right w:val="none" w:sz="0" w:space="0" w:color="auto"/>
      </w:divBdr>
    </w:div>
    <w:div w:id="2020423477">
      <w:bodyDiv w:val="1"/>
      <w:marLeft w:val="0"/>
      <w:marRight w:val="0"/>
      <w:marTop w:val="0"/>
      <w:marBottom w:val="0"/>
      <w:divBdr>
        <w:top w:val="none" w:sz="0" w:space="0" w:color="auto"/>
        <w:left w:val="none" w:sz="0" w:space="0" w:color="auto"/>
        <w:bottom w:val="none" w:sz="0" w:space="0" w:color="auto"/>
        <w:right w:val="none" w:sz="0" w:space="0" w:color="auto"/>
      </w:divBdr>
    </w:div>
    <w:div w:id="2021812670">
      <w:bodyDiv w:val="1"/>
      <w:marLeft w:val="0"/>
      <w:marRight w:val="0"/>
      <w:marTop w:val="0"/>
      <w:marBottom w:val="0"/>
      <w:divBdr>
        <w:top w:val="none" w:sz="0" w:space="0" w:color="auto"/>
        <w:left w:val="none" w:sz="0" w:space="0" w:color="auto"/>
        <w:bottom w:val="none" w:sz="0" w:space="0" w:color="auto"/>
        <w:right w:val="none" w:sz="0" w:space="0" w:color="auto"/>
      </w:divBdr>
    </w:div>
    <w:div w:id="2025009070">
      <w:bodyDiv w:val="1"/>
      <w:marLeft w:val="0"/>
      <w:marRight w:val="0"/>
      <w:marTop w:val="0"/>
      <w:marBottom w:val="0"/>
      <w:divBdr>
        <w:top w:val="none" w:sz="0" w:space="0" w:color="auto"/>
        <w:left w:val="none" w:sz="0" w:space="0" w:color="auto"/>
        <w:bottom w:val="none" w:sz="0" w:space="0" w:color="auto"/>
        <w:right w:val="none" w:sz="0" w:space="0" w:color="auto"/>
      </w:divBdr>
    </w:div>
    <w:div w:id="2031026452">
      <w:bodyDiv w:val="1"/>
      <w:marLeft w:val="0"/>
      <w:marRight w:val="0"/>
      <w:marTop w:val="0"/>
      <w:marBottom w:val="0"/>
      <w:divBdr>
        <w:top w:val="none" w:sz="0" w:space="0" w:color="auto"/>
        <w:left w:val="none" w:sz="0" w:space="0" w:color="auto"/>
        <w:bottom w:val="none" w:sz="0" w:space="0" w:color="auto"/>
        <w:right w:val="none" w:sz="0" w:space="0" w:color="auto"/>
      </w:divBdr>
    </w:div>
    <w:div w:id="2032024696">
      <w:bodyDiv w:val="1"/>
      <w:marLeft w:val="0"/>
      <w:marRight w:val="0"/>
      <w:marTop w:val="0"/>
      <w:marBottom w:val="0"/>
      <w:divBdr>
        <w:top w:val="none" w:sz="0" w:space="0" w:color="auto"/>
        <w:left w:val="none" w:sz="0" w:space="0" w:color="auto"/>
        <w:bottom w:val="none" w:sz="0" w:space="0" w:color="auto"/>
        <w:right w:val="none" w:sz="0" w:space="0" w:color="auto"/>
      </w:divBdr>
    </w:div>
    <w:div w:id="2036807983">
      <w:bodyDiv w:val="1"/>
      <w:marLeft w:val="0"/>
      <w:marRight w:val="0"/>
      <w:marTop w:val="0"/>
      <w:marBottom w:val="0"/>
      <w:divBdr>
        <w:top w:val="none" w:sz="0" w:space="0" w:color="auto"/>
        <w:left w:val="none" w:sz="0" w:space="0" w:color="auto"/>
        <w:bottom w:val="none" w:sz="0" w:space="0" w:color="auto"/>
        <w:right w:val="none" w:sz="0" w:space="0" w:color="auto"/>
      </w:divBdr>
    </w:div>
    <w:div w:id="2052991757">
      <w:bodyDiv w:val="1"/>
      <w:marLeft w:val="0"/>
      <w:marRight w:val="0"/>
      <w:marTop w:val="0"/>
      <w:marBottom w:val="0"/>
      <w:divBdr>
        <w:top w:val="none" w:sz="0" w:space="0" w:color="auto"/>
        <w:left w:val="none" w:sz="0" w:space="0" w:color="auto"/>
        <w:bottom w:val="none" w:sz="0" w:space="0" w:color="auto"/>
        <w:right w:val="none" w:sz="0" w:space="0" w:color="auto"/>
      </w:divBdr>
    </w:div>
    <w:div w:id="2055500403">
      <w:bodyDiv w:val="1"/>
      <w:marLeft w:val="0"/>
      <w:marRight w:val="0"/>
      <w:marTop w:val="0"/>
      <w:marBottom w:val="0"/>
      <w:divBdr>
        <w:top w:val="none" w:sz="0" w:space="0" w:color="auto"/>
        <w:left w:val="none" w:sz="0" w:space="0" w:color="auto"/>
        <w:bottom w:val="none" w:sz="0" w:space="0" w:color="auto"/>
        <w:right w:val="none" w:sz="0" w:space="0" w:color="auto"/>
      </w:divBdr>
    </w:div>
    <w:div w:id="2064667987">
      <w:bodyDiv w:val="1"/>
      <w:marLeft w:val="0"/>
      <w:marRight w:val="0"/>
      <w:marTop w:val="0"/>
      <w:marBottom w:val="0"/>
      <w:divBdr>
        <w:top w:val="none" w:sz="0" w:space="0" w:color="auto"/>
        <w:left w:val="none" w:sz="0" w:space="0" w:color="auto"/>
        <w:bottom w:val="none" w:sz="0" w:space="0" w:color="auto"/>
        <w:right w:val="none" w:sz="0" w:space="0" w:color="auto"/>
      </w:divBdr>
    </w:div>
    <w:div w:id="2073114365">
      <w:bodyDiv w:val="1"/>
      <w:marLeft w:val="0"/>
      <w:marRight w:val="0"/>
      <w:marTop w:val="0"/>
      <w:marBottom w:val="0"/>
      <w:divBdr>
        <w:top w:val="none" w:sz="0" w:space="0" w:color="auto"/>
        <w:left w:val="none" w:sz="0" w:space="0" w:color="auto"/>
        <w:bottom w:val="none" w:sz="0" w:space="0" w:color="auto"/>
        <w:right w:val="none" w:sz="0" w:space="0" w:color="auto"/>
      </w:divBdr>
    </w:div>
    <w:div w:id="2073115632">
      <w:bodyDiv w:val="1"/>
      <w:marLeft w:val="0"/>
      <w:marRight w:val="0"/>
      <w:marTop w:val="0"/>
      <w:marBottom w:val="0"/>
      <w:divBdr>
        <w:top w:val="none" w:sz="0" w:space="0" w:color="auto"/>
        <w:left w:val="none" w:sz="0" w:space="0" w:color="auto"/>
        <w:bottom w:val="none" w:sz="0" w:space="0" w:color="auto"/>
        <w:right w:val="none" w:sz="0" w:space="0" w:color="auto"/>
      </w:divBdr>
    </w:div>
    <w:div w:id="2078504857">
      <w:bodyDiv w:val="1"/>
      <w:marLeft w:val="0"/>
      <w:marRight w:val="0"/>
      <w:marTop w:val="0"/>
      <w:marBottom w:val="0"/>
      <w:divBdr>
        <w:top w:val="none" w:sz="0" w:space="0" w:color="auto"/>
        <w:left w:val="none" w:sz="0" w:space="0" w:color="auto"/>
        <w:bottom w:val="none" w:sz="0" w:space="0" w:color="auto"/>
        <w:right w:val="none" w:sz="0" w:space="0" w:color="auto"/>
      </w:divBdr>
    </w:div>
    <w:div w:id="2081828432">
      <w:bodyDiv w:val="1"/>
      <w:marLeft w:val="0"/>
      <w:marRight w:val="0"/>
      <w:marTop w:val="0"/>
      <w:marBottom w:val="0"/>
      <w:divBdr>
        <w:top w:val="none" w:sz="0" w:space="0" w:color="auto"/>
        <w:left w:val="none" w:sz="0" w:space="0" w:color="auto"/>
        <w:bottom w:val="none" w:sz="0" w:space="0" w:color="auto"/>
        <w:right w:val="none" w:sz="0" w:space="0" w:color="auto"/>
      </w:divBdr>
    </w:div>
    <w:div w:id="2085058296">
      <w:bodyDiv w:val="1"/>
      <w:marLeft w:val="0"/>
      <w:marRight w:val="0"/>
      <w:marTop w:val="0"/>
      <w:marBottom w:val="0"/>
      <w:divBdr>
        <w:top w:val="none" w:sz="0" w:space="0" w:color="auto"/>
        <w:left w:val="none" w:sz="0" w:space="0" w:color="auto"/>
        <w:bottom w:val="none" w:sz="0" w:space="0" w:color="auto"/>
        <w:right w:val="none" w:sz="0" w:space="0" w:color="auto"/>
      </w:divBdr>
    </w:div>
    <w:div w:id="2085715833">
      <w:bodyDiv w:val="1"/>
      <w:marLeft w:val="0"/>
      <w:marRight w:val="0"/>
      <w:marTop w:val="0"/>
      <w:marBottom w:val="0"/>
      <w:divBdr>
        <w:top w:val="none" w:sz="0" w:space="0" w:color="auto"/>
        <w:left w:val="none" w:sz="0" w:space="0" w:color="auto"/>
        <w:bottom w:val="none" w:sz="0" w:space="0" w:color="auto"/>
        <w:right w:val="none" w:sz="0" w:space="0" w:color="auto"/>
      </w:divBdr>
    </w:div>
    <w:div w:id="2086759680">
      <w:bodyDiv w:val="1"/>
      <w:marLeft w:val="0"/>
      <w:marRight w:val="0"/>
      <w:marTop w:val="0"/>
      <w:marBottom w:val="0"/>
      <w:divBdr>
        <w:top w:val="none" w:sz="0" w:space="0" w:color="auto"/>
        <w:left w:val="none" w:sz="0" w:space="0" w:color="auto"/>
        <w:bottom w:val="none" w:sz="0" w:space="0" w:color="auto"/>
        <w:right w:val="none" w:sz="0" w:space="0" w:color="auto"/>
      </w:divBdr>
    </w:div>
    <w:div w:id="2087258575">
      <w:bodyDiv w:val="1"/>
      <w:marLeft w:val="0"/>
      <w:marRight w:val="0"/>
      <w:marTop w:val="0"/>
      <w:marBottom w:val="0"/>
      <w:divBdr>
        <w:top w:val="none" w:sz="0" w:space="0" w:color="auto"/>
        <w:left w:val="none" w:sz="0" w:space="0" w:color="auto"/>
        <w:bottom w:val="none" w:sz="0" w:space="0" w:color="auto"/>
        <w:right w:val="none" w:sz="0" w:space="0" w:color="auto"/>
      </w:divBdr>
    </w:div>
    <w:div w:id="2090885539">
      <w:bodyDiv w:val="1"/>
      <w:marLeft w:val="0"/>
      <w:marRight w:val="0"/>
      <w:marTop w:val="0"/>
      <w:marBottom w:val="0"/>
      <w:divBdr>
        <w:top w:val="none" w:sz="0" w:space="0" w:color="auto"/>
        <w:left w:val="none" w:sz="0" w:space="0" w:color="auto"/>
        <w:bottom w:val="none" w:sz="0" w:space="0" w:color="auto"/>
        <w:right w:val="none" w:sz="0" w:space="0" w:color="auto"/>
      </w:divBdr>
    </w:div>
    <w:div w:id="2100519769">
      <w:bodyDiv w:val="1"/>
      <w:marLeft w:val="0"/>
      <w:marRight w:val="0"/>
      <w:marTop w:val="0"/>
      <w:marBottom w:val="0"/>
      <w:divBdr>
        <w:top w:val="none" w:sz="0" w:space="0" w:color="auto"/>
        <w:left w:val="none" w:sz="0" w:space="0" w:color="auto"/>
        <w:bottom w:val="none" w:sz="0" w:space="0" w:color="auto"/>
        <w:right w:val="none" w:sz="0" w:space="0" w:color="auto"/>
      </w:divBdr>
    </w:div>
    <w:div w:id="2100984556">
      <w:bodyDiv w:val="1"/>
      <w:marLeft w:val="0"/>
      <w:marRight w:val="0"/>
      <w:marTop w:val="0"/>
      <w:marBottom w:val="0"/>
      <w:divBdr>
        <w:top w:val="none" w:sz="0" w:space="0" w:color="auto"/>
        <w:left w:val="none" w:sz="0" w:space="0" w:color="auto"/>
        <w:bottom w:val="none" w:sz="0" w:space="0" w:color="auto"/>
        <w:right w:val="none" w:sz="0" w:space="0" w:color="auto"/>
      </w:divBdr>
    </w:div>
    <w:div w:id="2101871896">
      <w:bodyDiv w:val="1"/>
      <w:marLeft w:val="0"/>
      <w:marRight w:val="0"/>
      <w:marTop w:val="0"/>
      <w:marBottom w:val="0"/>
      <w:divBdr>
        <w:top w:val="none" w:sz="0" w:space="0" w:color="auto"/>
        <w:left w:val="none" w:sz="0" w:space="0" w:color="auto"/>
        <w:bottom w:val="none" w:sz="0" w:space="0" w:color="auto"/>
        <w:right w:val="none" w:sz="0" w:space="0" w:color="auto"/>
      </w:divBdr>
    </w:div>
    <w:div w:id="2115125146">
      <w:bodyDiv w:val="1"/>
      <w:marLeft w:val="0"/>
      <w:marRight w:val="0"/>
      <w:marTop w:val="0"/>
      <w:marBottom w:val="0"/>
      <w:divBdr>
        <w:top w:val="none" w:sz="0" w:space="0" w:color="auto"/>
        <w:left w:val="none" w:sz="0" w:space="0" w:color="auto"/>
        <w:bottom w:val="none" w:sz="0" w:space="0" w:color="auto"/>
        <w:right w:val="none" w:sz="0" w:space="0" w:color="auto"/>
      </w:divBdr>
    </w:div>
    <w:div w:id="2132359186">
      <w:bodyDiv w:val="1"/>
      <w:marLeft w:val="0"/>
      <w:marRight w:val="0"/>
      <w:marTop w:val="0"/>
      <w:marBottom w:val="0"/>
      <w:divBdr>
        <w:top w:val="none" w:sz="0" w:space="0" w:color="auto"/>
        <w:left w:val="none" w:sz="0" w:space="0" w:color="auto"/>
        <w:bottom w:val="none" w:sz="0" w:space="0" w:color="auto"/>
        <w:right w:val="none" w:sz="0" w:space="0" w:color="auto"/>
      </w:divBdr>
    </w:div>
    <w:div w:id="2132673555">
      <w:bodyDiv w:val="1"/>
      <w:marLeft w:val="0"/>
      <w:marRight w:val="0"/>
      <w:marTop w:val="0"/>
      <w:marBottom w:val="0"/>
      <w:divBdr>
        <w:top w:val="none" w:sz="0" w:space="0" w:color="auto"/>
        <w:left w:val="none" w:sz="0" w:space="0" w:color="auto"/>
        <w:bottom w:val="none" w:sz="0" w:space="0" w:color="auto"/>
        <w:right w:val="none" w:sz="0" w:space="0" w:color="auto"/>
      </w:divBdr>
    </w:div>
    <w:div w:id="2137598372">
      <w:bodyDiv w:val="1"/>
      <w:marLeft w:val="0"/>
      <w:marRight w:val="0"/>
      <w:marTop w:val="0"/>
      <w:marBottom w:val="0"/>
      <w:divBdr>
        <w:top w:val="none" w:sz="0" w:space="0" w:color="auto"/>
        <w:left w:val="none" w:sz="0" w:space="0" w:color="auto"/>
        <w:bottom w:val="none" w:sz="0" w:space="0" w:color="auto"/>
        <w:right w:val="none" w:sz="0" w:space="0" w:color="auto"/>
      </w:divBdr>
    </w:div>
    <w:div w:id="2141069771">
      <w:bodyDiv w:val="1"/>
      <w:marLeft w:val="0"/>
      <w:marRight w:val="0"/>
      <w:marTop w:val="0"/>
      <w:marBottom w:val="0"/>
      <w:divBdr>
        <w:top w:val="none" w:sz="0" w:space="0" w:color="auto"/>
        <w:left w:val="none" w:sz="0" w:space="0" w:color="auto"/>
        <w:bottom w:val="none" w:sz="0" w:space="0" w:color="auto"/>
        <w:right w:val="none" w:sz="0" w:space="0" w:color="auto"/>
      </w:divBdr>
    </w:div>
    <w:div w:id="2141223906">
      <w:bodyDiv w:val="1"/>
      <w:marLeft w:val="0"/>
      <w:marRight w:val="0"/>
      <w:marTop w:val="0"/>
      <w:marBottom w:val="0"/>
      <w:divBdr>
        <w:top w:val="none" w:sz="0" w:space="0" w:color="auto"/>
        <w:left w:val="none" w:sz="0" w:space="0" w:color="auto"/>
        <w:bottom w:val="none" w:sz="0" w:space="0" w:color="auto"/>
        <w:right w:val="none" w:sz="0" w:space="0" w:color="auto"/>
      </w:divBdr>
    </w:div>
    <w:div w:id="214296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worldsteel.org/media-centre/press-releases/2018/worldsteel-short-range-outlook-april-2018.html" TargetMode="External"/><Relationship Id="rId2" Type="http://schemas.openxmlformats.org/officeDocument/2006/relationships/hyperlink" Target="https://www.cnbc.com/2017/12/12/reuters-america-interview-cement-demand-set-to-rise-1-point-5-pct-in-2018--world-cement-association.html" TargetMode="External"/><Relationship Id="rId1" Type="http://schemas.openxmlformats.org/officeDocument/2006/relationships/hyperlink" Target="http://www.worldsteel.org"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3D9EB-BEEE-4837-A494-C7BD4A77F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4732</Words>
  <Characters>26975</Characters>
  <Application>Microsoft Office Word</Application>
  <DocSecurity>0</DocSecurity>
  <Lines>224</Lines>
  <Paragraphs>63</Paragraphs>
  <ScaleCrop>false</ScaleCrop>
  <HeadingPairs>
    <vt:vector size="2" baseType="variant">
      <vt:variant>
        <vt:lpstr>Konu Başlığı</vt:lpstr>
      </vt:variant>
      <vt:variant>
        <vt:i4>1</vt:i4>
      </vt:variant>
    </vt:vector>
  </HeadingPairs>
  <TitlesOfParts>
    <vt:vector size="1" baseType="lpstr">
      <vt:lpstr>1</vt:lpstr>
    </vt:vector>
  </TitlesOfParts>
  <Company>DTM</Company>
  <LinksUpToDate>false</LinksUpToDate>
  <CharactersWithSpaces>31644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ozdoganas</dc:creator>
  <cp:lastModifiedBy>Kübra DÖNMEZ</cp:lastModifiedBy>
  <cp:revision>91</cp:revision>
  <cp:lastPrinted>2018-08-28T06:47:00Z</cp:lastPrinted>
  <dcterms:created xsi:type="dcterms:W3CDTF">2018-06-29T13:46:00Z</dcterms:created>
  <dcterms:modified xsi:type="dcterms:W3CDTF">2018-09-05T08:18:00Z</dcterms:modified>
</cp:coreProperties>
</file>