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C16" w:rsidRDefault="000B4C2B" w:rsidP="000D1BEC">
      <w:pPr>
        <w:pStyle w:val="Balk1"/>
        <w:spacing w:line="276" w:lineRule="auto"/>
        <w:rPr>
          <w:rFonts w:ascii="Times New Roman" w:hAnsi="Times New Roman" w:cs="Times New Roman"/>
          <w:bCs w:val="0"/>
          <w:sz w:val="24"/>
          <w:szCs w:val="24"/>
          <w:lang w:eastAsia="tr-TR"/>
        </w:rPr>
      </w:pPr>
      <w:bookmarkStart w:id="0" w:name="_Toc317854272"/>
      <w:r>
        <w:rPr>
          <w:rFonts w:ascii="Times New Roman" w:hAnsi="Times New Roman" w:cs="Times New Roman"/>
          <w:bCs w:val="0"/>
          <w:sz w:val="24"/>
          <w:szCs w:val="24"/>
          <w:lang w:eastAsia="tr-TR"/>
        </w:rPr>
        <w:t>BİLGİLENDİRME RAPORU</w:t>
      </w:r>
      <w:bookmarkEnd w:id="0"/>
    </w:p>
    <w:p w:rsidR="000B4C2B" w:rsidRPr="000B4C2B" w:rsidRDefault="000B4C2B" w:rsidP="000B4C2B"/>
    <w:p w:rsidR="00630013" w:rsidRDefault="000B4C2B" w:rsidP="000D1BEC">
      <w:pPr>
        <w:tabs>
          <w:tab w:val="left" w:pos="0"/>
        </w:tabs>
        <w:spacing w:line="276" w:lineRule="auto"/>
        <w:ind w:left="360" w:hanging="360"/>
        <w:jc w:val="both"/>
        <w:rPr>
          <w:b/>
        </w:rPr>
      </w:pPr>
      <w:r>
        <w:rPr>
          <w:b/>
        </w:rPr>
        <w:t>1. SORUŞTURMAYA İLİŞKİN GENEL BİLGİ VE İŞLEMLER</w:t>
      </w:r>
      <w:r w:rsidR="000B5C16">
        <w:rPr>
          <w:b/>
        </w:rPr>
        <w:tab/>
      </w:r>
    </w:p>
    <w:p w:rsidR="000B5C16" w:rsidRDefault="000B4C2B" w:rsidP="000D1BEC">
      <w:pPr>
        <w:tabs>
          <w:tab w:val="left" w:pos="0"/>
        </w:tabs>
        <w:spacing w:line="276" w:lineRule="auto"/>
        <w:jc w:val="both"/>
        <w:rPr>
          <w:b/>
        </w:rPr>
      </w:pPr>
      <w:r>
        <w:rPr>
          <w:b/>
        </w:rPr>
        <w:t xml:space="preserve">1.1 </w:t>
      </w:r>
      <w:r w:rsidR="000B5C16" w:rsidRPr="000B5C16">
        <w:rPr>
          <w:b/>
        </w:rPr>
        <w:t xml:space="preserve">Mevcut </w:t>
      </w:r>
      <w:r w:rsidR="00F655D1" w:rsidRPr="000B5C16">
        <w:rPr>
          <w:b/>
        </w:rPr>
        <w:t>Önlem</w:t>
      </w:r>
      <w:r w:rsidR="00F655D1">
        <w:rPr>
          <w:b/>
        </w:rPr>
        <w:t xml:space="preserve"> v</w:t>
      </w:r>
      <w:r w:rsidR="00F655D1" w:rsidRPr="000B5C16">
        <w:rPr>
          <w:b/>
        </w:rPr>
        <w:t>e Soruşturma</w:t>
      </w:r>
    </w:p>
    <w:p w:rsidR="00EA13DB" w:rsidRPr="00EA13DB" w:rsidRDefault="00EA13DB" w:rsidP="00EA13DB">
      <w:pPr>
        <w:pStyle w:val="Default"/>
        <w:spacing w:after="240" w:line="276" w:lineRule="auto"/>
        <w:jc w:val="both"/>
        <w:rPr>
          <w:color w:val="auto"/>
          <w:szCs w:val="20"/>
        </w:rPr>
      </w:pPr>
      <w:r w:rsidRPr="00EA13DB">
        <w:rPr>
          <w:color w:val="auto"/>
          <w:szCs w:val="20"/>
        </w:rPr>
        <w:t xml:space="preserve">(1) Çin Halk Cumhuriyeti (ÇHC) menşeli 6802.23 ve 6802.93 gümrük tarife pozisyonları (GTP) altında yer alan “granit” ürününe yönelik olarak 14/9/2006 tarih ve 26289 sayılı Resmi Gazete’de yayımlanan 2006/25 sayılı İthalatta Haksız Rekabetin Önlenmesi Hakkında Tebliğ (Tebliğ No: 2006/25) ile 90 ABD Doları/Ton seviyesinde </w:t>
      </w:r>
      <w:proofErr w:type="gramStart"/>
      <w:r w:rsidRPr="00EA13DB">
        <w:rPr>
          <w:color w:val="auto"/>
          <w:szCs w:val="20"/>
        </w:rPr>
        <w:t>dampinge</w:t>
      </w:r>
      <w:proofErr w:type="gramEnd"/>
      <w:r w:rsidRPr="00EA13DB">
        <w:rPr>
          <w:color w:val="auto"/>
          <w:szCs w:val="20"/>
        </w:rPr>
        <w:t xml:space="preserve"> karşı kesin önlem yürürlüğe konulmuştur.</w:t>
      </w:r>
    </w:p>
    <w:p w:rsidR="00EA13DB" w:rsidRPr="00EA13DB" w:rsidRDefault="00EA13DB" w:rsidP="00EA13DB">
      <w:pPr>
        <w:pStyle w:val="Default"/>
        <w:spacing w:after="240" w:line="276" w:lineRule="auto"/>
        <w:jc w:val="both"/>
        <w:rPr>
          <w:color w:val="auto"/>
          <w:szCs w:val="20"/>
        </w:rPr>
      </w:pPr>
      <w:r w:rsidRPr="00EA13DB">
        <w:rPr>
          <w:color w:val="auto"/>
          <w:szCs w:val="20"/>
        </w:rPr>
        <w:t xml:space="preserve">(2) 28/7/2011 tarihli ve 28008 sayılı Resmi Gazete’de yayımlanan 2011/3 sayılı İthalatta Haksız Rekabetin Önlenmesi Hakkında Tebliğ (Tebliğ No: 2011/3) ile başlatılan nihai gözden geçirme soruşturması (NGGS), 10/07/2012 tarihli 28349 sayılı Resmi Gazete’de yayımlanan İthalatta Haksız Rekabetin Önlenmesine İlişkin Tebliğ (Tebliğ No: 2012/14) ile sonuçlandırılmış ve </w:t>
      </w:r>
      <w:proofErr w:type="gramStart"/>
      <w:r w:rsidRPr="00EA13DB">
        <w:rPr>
          <w:color w:val="auto"/>
          <w:szCs w:val="20"/>
        </w:rPr>
        <w:t>dampinge</w:t>
      </w:r>
      <w:proofErr w:type="gramEnd"/>
      <w:r w:rsidRPr="00EA13DB">
        <w:rPr>
          <w:color w:val="auto"/>
          <w:szCs w:val="20"/>
        </w:rPr>
        <w:t xml:space="preserve"> karşı kesin önlem oranı 174 ABD Doları/Ton seviyesine çıkarılarak önlemin yürürlük süresi beş yıl uzatılmıştır.</w:t>
      </w:r>
    </w:p>
    <w:p w:rsidR="00EA13DB" w:rsidRPr="00EA13DB" w:rsidRDefault="00EA13DB" w:rsidP="00EA13DB">
      <w:pPr>
        <w:pStyle w:val="Default"/>
        <w:spacing w:after="240" w:line="276" w:lineRule="auto"/>
        <w:jc w:val="both"/>
        <w:rPr>
          <w:color w:val="auto"/>
          <w:szCs w:val="20"/>
        </w:rPr>
      </w:pPr>
      <w:proofErr w:type="gramStart"/>
      <w:r w:rsidRPr="00EA13DB">
        <w:rPr>
          <w:color w:val="auto"/>
          <w:szCs w:val="20"/>
        </w:rPr>
        <w:t>(3) Benzer ürünün Vietnam üzerinden ülkemize ihraç edilerek mevcut önlemin etkisiz kılındığına yönelik iddiaların araştırılması için 12/12/2014 tarihli ve 29203 sayılı Resmî Gazete’de yayımlanan 2014/42 sayılı İthalatta Haksız Rekabetin Önlenmesine İlişkin Tebliğ (Tebliğ No: 2014/42) ile Vietnam menşeli granit ithalatına yönelik olarak başlatılan soruşturma neticesinde 17/2/2016 tarihli ve 29627 sayılı Resmî Gazete’de yayımlanan 2016/4 sayılı İthalatta Haksız Rekabetin Önlenmesine İlişkin Tebliğ (Tebliğ No: 2016/4) ile mevcut önlemin Vietnam menşeli olanlarına da teşmil edilmesine karar verilmiştir.</w:t>
      </w:r>
      <w:proofErr w:type="gramEnd"/>
    </w:p>
    <w:p w:rsidR="00EA13DB" w:rsidRPr="00EA13DB" w:rsidRDefault="00EA13DB" w:rsidP="00EA13DB">
      <w:pPr>
        <w:pStyle w:val="Default"/>
        <w:spacing w:after="240" w:line="276" w:lineRule="auto"/>
        <w:jc w:val="both"/>
        <w:rPr>
          <w:color w:val="auto"/>
          <w:szCs w:val="20"/>
        </w:rPr>
      </w:pPr>
      <w:r w:rsidRPr="00EA13DB">
        <w:rPr>
          <w:color w:val="auto"/>
          <w:szCs w:val="20"/>
        </w:rPr>
        <w:t xml:space="preserve">(4) Mer’i önlemin yürürlük süresinin bitiminden önce, 12/1/2017 tarihli ve 29946 sayılı Resmi Gazete’de yayımlanan 2017/2 sayılı İthalatta Haksız Rekabetin Önlenmesine İlişkin Tebliğ (Tebliğ No: 2017/2) ile yerli üretim dalının önleme konu ürün ve ülke kapsamında bir nihai gözden geçirme soruşturması açılması talebinde bulunabileceği ilan edilmiştir. </w:t>
      </w:r>
    </w:p>
    <w:p w:rsidR="007423AB" w:rsidRDefault="00EA13DB" w:rsidP="00EA13DB">
      <w:pPr>
        <w:pStyle w:val="Default"/>
        <w:spacing w:after="240" w:line="276" w:lineRule="auto"/>
        <w:jc w:val="both"/>
        <w:rPr>
          <w:noProof/>
          <w:lang w:val="en-US"/>
        </w:rPr>
      </w:pPr>
      <w:r w:rsidRPr="00EA13DB">
        <w:rPr>
          <w:color w:val="auto"/>
          <w:szCs w:val="20"/>
        </w:rPr>
        <w:t xml:space="preserve">(5) Bahse konu önlemin yürürlükten kalkması halinde önleme konu ÇHC menşeli üründe </w:t>
      </w:r>
      <w:proofErr w:type="gramStart"/>
      <w:r w:rsidRPr="00EA13DB">
        <w:rPr>
          <w:color w:val="auto"/>
          <w:szCs w:val="20"/>
        </w:rPr>
        <w:t>dampingin</w:t>
      </w:r>
      <w:proofErr w:type="gramEnd"/>
      <w:r w:rsidRPr="00EA13DB">
        <w:rPr>
          <w:color w:val="auto"/>
          <w:szCs w:val="20"/>
        </w:rPr>
        <w:t xml:space="preserve"> ve zararın devam edebileceği veya yeniden meydana gelebileceği iddiasıyla </w:t>
      </w:r>
      <w:proofErr w:type="spellStart"/>
      <w:r w:rsidRPr="00EA13DB">
        <w:rPr>
          <w:color w:val="auto"/>
          <w:szCs w:val="20"/>
        </w:rPr>
        <w:t>Granitaş</w:t>
      </w:r>
      <w:proofErr w:type="spellEnd"/>
      <w:r w:rsidRPr="00EA13DB">
        <w:rPr>
          <w:color w:val="auto"/>
          <w:szCs w:val="20"/>
        </w:rPr>
        <w:t xml:space="preserve"> Granit Sanayi ve Pazarlama A.Ş. (</w:t>
      </w:r>
      <w:proofErr w:type="spellStart"/>
      <w:r w:rsidRPr="00EA13DB">
        <w:rPr>
          <w:color w:val="auto"/>
          <w:szCs w:val="20"/>
        </w:rPr>
        <w:t>Granitaş</w:t>
      </w:r>
      <w:proofErr w:type="spellEnd"/>
      <w:r w:rsidRPr="00EA13DB">
        <w:rPr>
          <w:color w:val="auto"/>
          <w:szCs w:val="20"/>
        </w:rPr>
        <w:t xml:space="preserve">), </w:t>
      </w:r>
      <w:proofErr w:type="spellStart"/>
      <w:r w:rsidRPr="00EA13DB">
        <w:rPr>
          <w:color w:val="auto"/>
          <w:szCs w:val="20"/>
        </w:rPr>
        <w:t>Granitaş</w:t>
      </w:r>
      <w:proofErr w:type="spellEnd"/>
      <w:r w:rsidRPr="00EA13DB">
        <w:rPr>
          <w:color w:val="auto"/>
          <w:szCs w:val="20"/>
        </w:rPr>
        <w:t xml:space="preserve"> Anadolu Granitleri San. </w:t>
      </w:r>
      <w:proofErr w:type="gramStart"/>
      <w:r w:rsidRPr="00EA13DB">
        <w:rPr>
          <w:color w:val="auto"/>
          <w:szCs w:val="20"/>
        </w:rPr>
        <w:t>ve</w:t>
      </w:r>
      <w:proofErr w:type="gramEnd"/>
      <w:r w:rsidRPr="00EA13DB">
        <w:rPr>
          <w:color w:val="auto"/>
          <w:szCs w:val="20"/>
        </w:rPr>
        <w:t xml:space="preserve"> Tic. A.Ş.(</w:t>
      </w:r>
      <w:proofErr w:type="spellStart"/>
      <w:r w:rsidRPr="00EA13DB">
        <w:rPr>
          <w:color w:val="auto"/>
          <w:szCs w:val="20"/>
        </w:rPr>
        <w:t>Granitaş</w:t>
      </w:r>
      <w:proofErr w:type="spellEnd"/>
      <w:r w:rsidRPr="00EA13DB">
        <w:rPr>
          <w:color w:val="auto"/>
          <w:szCs w:val="20"/>
        </w:rPr>
        <w:t xml:space="preserve"> Anadolu), Derya Granit ve Mermer San. Dış Tic. Ltd. Şti.(Derya Granit), Van Mermer ve Madencilik Sanayi A.Ş. (Van Mermer) ve </w:t>
      </w:r>
      <w:proofErr w:type="spellStart"/>
      <w:r w:rsidRPr="00EA13DB">
        <w:rPr>
          <w:color w:val="auto"/>
          <w:szCs w:val="20"/>
        </w:rPr>
        <w:t>Granitürk</w:t>
      </w:r>
      <w:proofErr w:type="spellEnd"/>
      <w:r w:rsidRPr="00EA13DB">
        <w:rPr>
          <w:color w:val="auto"/>
          <w:szCs w:val="20"/>
        </w:rPr>
        <w:t xml:space="preserve"> İnşaat Maden Nakliye Turizm Akaryakıt Kömür Gıda San. </w:t>
      </w:r>
      <w:proofErr w:type="gramStart"/>
      <w:r w:rsidRPr="00EA13DB">
        <w:rPr>
          <w:color w:val="auto"/>
          <w:szCs w:val="20"/>
        </w:rPr>
        <w:t>ve</w:t>
      </w:r>
      <w:proofErr w:type="gramEnd"/>
      <w:r w:rsidRPr="00EA13DB">
        <w:rPr>
          <w:color w:val="auto"/>
          <w:szCs w:val="20"/>
        </w:rPr>
        <w:t xml:space="preserve"> Tic. A.Ş. (</w:t>
      </w:r>
      <w:proofErr w:type="spellStart"/>
      <w:r w:rsidRPr="00EA13DB">
        <w:rPr>
          <w:color w:val="auto"/>
          <w:szCs w:val="20"/>
        </w:rPr>
        <w:t>Granitürk</w:t>
      </w:r>
      <w:proofErr w:type="spellEnd"/>
      <w:r w:rsidRPr="00EA13DB">
        <w:rPr>
          <w:color w:val="auto"/>
          <w:szCs w:val="20"/>
        </w:rPr>
        <w:t>) tarafından yapılan başvuru üzerine, 5/7/2017 tarihli ve 30115 sayılı Resmi Gazete’de yayımlanan İthalatta Haksız Rekabetin Önlenmesine İlişkin Tebliğ (Tebliğ No: 2017/15) ile başlatılan NGGS, T.C. Ekonomi Bakanlığı (Bakanlık) İthalat Genel Müdürlüğü (Genel Müdürlük) tarafından yürütülerek</w:t>
      </w:r>
      <w:r w:rsidR="007423AB" w:rsidRPr="00482312">
        <w:rPr>
          <w:color w:val="auto"/>
        </w:rPr>
        <w:t xml:space="preserve"> </w:t>
      </w:r>
      <w:r w:rsidR="006C4BDB">
        <w:rPr>
          <w:color w:val="auto"/>
        </w:rPr>
        <w:t>tamamlanmıştır</w:t>
      </w:r>
      <w:r w:rsidR="007423AB" w:rsidRPr="00482312">
        <w:rPr>
          <w:color w:val="auto"/>
        </w:rPr>
        <w:t>.</w:t>
      </w:r>
    </w:p>
    <w:p w:rsidR="00DC4ED0" w:rsidRPr="00DC4ED0" w:rsidRDefault="000B4C2B" w:rsidP="000B4C2B">
      <w:pPr>
        <w:spacing w:line="276" w:lineRule="auto"/>
        <w:jc w:val="both"/>
        <w:rPr>
          <w:b/>
        </w:rPr>
      </w:pPr>
      <w:bookmarkStart w:id="1" w:name="_Toc317854276"/>
      <w:r>
        <w:rPr>
          <w:b/>
        </w:rPr>
        <w:t xml:space="preserve">1.2 </w:t>
      </w:r>
      <w:r w:rsidR="00DC4ED0" w:rsidRPr="00DC4ED0">
        <w:rPr>
          <w:b/>
        </w:rPr>
        <w:t xml:space="preserve">Yerli </w:t>
      </w:r>
      <w:r w:rsidR="00F655D1" w:rsidRPr="00DC4ED0">
        <w:rPr>
          <w:b/>
        </w:rPr>
        <w:t>Üretim Dalı</w:t>
      </w:r>
      <w:r w:rsidR="00F655D1">
        <w:rPr>
          <w:b/>
        </w:rPr>
        <w:t>nın</w:t>
      </w:r>
      <w:r w:rsidR="00F655D1" w:rsidRPr="00DC4ED0">
        <w:rPr>
          <w:b/>
        </w:rPr>
        <w:t xml:space="preserve"> Temsil Niteliği</w:t>
      </w:r>
      <w:bookmarkEnd w:id="1"/>
    </w:p>
    <w:p w:rsidR="00F463F2" w:rsidRDefault="00DC4ED0" w:rsidP="00EA13DB">
      <w:pPr>
        <w:spacing w:line="276" w:lineRule="auto"/>
        <w:jc w:val="both"/>
        <w:rPr>
          <w:szCs w:val="20"/>
        </w:rPr>
      </w:pPr>
      <w:r w:rsidRPr="00DC4ED0">
        <w:rPr>
          <w:szCs w:val="20"/>
        </w:rPr>
        <w:t xml:space="preserve">(1) </w:t>
      </w:r>
      <w:r w:rsidR="00EA13DB" w:rsidRPr="00EA13DB">
        <w:rPr>
          <w:szCs w:val="20"/>
        </w:rPr>
        <w:t xml:space="preserve">Yönetmeliğin 18 inci ve 20 </w:t>
      </w:r>
      <w:proofErr w:type="spellStart"/>
      <w:r w:rsidR="00EA13DB" w:rsidRPr="00EA13DB">
        <w:rPr>
          <w:szCs w:val="20"/>
        </w:rPr>
        <w:t>nci</w:t>
      </w:r>
      <w:proofErr w:type="spellEnd"/>
      <w:r w:rsidR="00EA13DB" w:rsidRPr="00EA13DB">
        <w:rPr>
          <w:szCs w:val="20"/>
        </w:rPr>
        <w:t xml:space="preserve"> maddesi çerçevesinde başvuruda bulunan yerli üreticiler </w:t>
      </w:r>
      <w:proofErr w:type="spellStart"/>
      <w:r w:rsidR="00EA13DB" w:rsidRPr="00EA13DB">
        <w:rPr>
          <w:szCs w:val="20"/>
        </w:rPr>
        <w:t>Granitaş</w:t>
      </w:r>
      <w:proofErr w:type="spellEnd"/>
      <w:r w:rsidR="00EA13DB" w:rsidRPr="00EA13DB">
        <w:rPr>
          <w:szCs w:val="20"/>
        </w:rPr>
        <w:t xml:space="preserve">, </w:t>
      </w:r>
      <w:proofErr w:type="spellStart"/>
      <w:r w:rsidR="00EA13DB" w:rsidRPr="00EA13DB">
        <w:rPr>
          <w:szCs w:val="20"/>
        </w:rPr>
        <w:t>Granitaş</w:t>
      </w:r>
      <w:proofErr w:type="spellEnd"/>
      <w:r w:rsidR="00EA13DB" w:rsidRPr="00EA13DB">
        <w:rPr>
          <w:szCs w:val="20"/>
        </w:rPr>
        <w:t xml:space="preserve"> Anadolu, Derya Granit, Van Mermer ve </w:t>
      </w:r>
      <w:proofErr w:type="spellStart"/>
      <w:r w:rsidR="00EA13DB" w:rsidRPr="00EA13DB">
        <w:rPr>
          <w:szCs w:val="20"/>
        </w:rPr>
        <w:t>Granitürk’ün</w:t>
      </w:r>
      <w:proofErr w:type="spellEnd"/>
      <w:r w:rsidR="00EA13DB" w:rsidRPr="00EA13DB">
        <w:rPr>
          <w:szCs w:val="20"/>
        </w:rPr>
        <w:t xml:space="preserve"> yerli üretim </w:t>
      </w:r>
      <w:proofErr w:type="gramStart"/>
      <w:r w:rsidR="00EA13DB" w:rsidRPr="00EA13DB">
        <w:rPr>
          <w:szCs w:val="20"/>
        </w:rPr>
        <w:t>dalını  temsil</w:t>
      </w:r>
      <w:proofErr w:type="gramEnd"/>
      <w:r w:rsidR="00EA13DB" w:rsidRPr="00EA13DB">
        <w:rPr>
          <w:szCs w:val="20"/>
        </w:rPr>
        <w:t xml:space="preserve"> etme niteliğini haiz olduğu anlaşılmış olup bu kapsamda, anılan firmalar raporun ilgili bölümlerinde yerli üretim dalı olarak anılacaklardır.</w:t>
      </w:r>
    </w:p>
    <w:p w:rsidR="004A59C6" w:rsidRPr="00656016" w:rsidRDefault="000B4C2B" w:rsidP="000B4C2B">
      <w:pPr>
        <w:keepNext/>
        <w:spacing w:line="276" w:lineRule="auto"/>
        <w:outlineLvl w:val="1"/>
        <w:rPr>
          <w:b/>
        </w:rPr>
      </w:pPr>
      <w:r>
        <w:rPr>
          <w:b/>
        </w:rPr>
        <w:lastRenderedPageBreak/>
        <w:t xml:space="preserve">1.3 </w:t>
      </w:r>
      <w:r w:rsidR="004A59C6" w:rsidRPr="00656016">
        <w:rPr>
          <w:b/>
        </w:rPr>
        <w:t xml:space="preserve">Gözden </w:t>
      </w:r>
      <w:r w:rsidR="000861D2" w:rsidRPr="00656016">
        <w:rPr>
          <w:b/>
        </w:rPr>
        <w:t xml:space="preserve">Geçirme Dönemi </w:t>
      </w:r>
    </w:p>
    <w:p w:rsidR="00B00953" w:rsidRDefault="00EA13DB" w:rsidP="00EA13DB">
      <w:pPr>
        <w:spacing w:line="276" w:lineRule="auto"/>
        <w:jc w:val="both"/>
      </w:pPr>
      <w:r>
        <w:t>(</w:t>
      </w:r>
      <w:r w:rsidRPr="00EA13DB">
        <w:t xml:space="preserve">1) Önlemin yürürlükten kalkması durumunda, dampingin ve zararın devamı veya yeniden meydana gelmesinin muhtemel olup </w:t>
      </w:r>
      <w:proofErr w:type="gramStart"/>
      <w:r w:rsidRPr="00EA13DB">
        <w:t>olmadığının  tespiti</w:t>
      </w:r>
      <w:proofErr w:type="gramEnd"/>
      <w:r w:rsidRPr="00EA13DB">
        <w:t xml:space="preserve">  için 01/01/2014–31/12/2016 arasındaki dönem gözden geçirme dönemi olarak alınmıştır.</w:t>
      </w:r>
    </w:p>
    <w:p w:rsidR="00EA13DB" w:rsidRPr="00DC4ED0" w:rsidRDefault="00EA13DB" w:rsidP="00EA13DB">
      <w:pPr>
        <w:spacing w:line="276" w:lineRule="auto"/>
        <w:jc w:val="both"/>
        <w:rPr>
          <w:szCs w:val="20"/>
        </w:rPr>
      </w:pPr>
    </w:p>
    <w:p w:rsidR="00DC4ED0" w:rsidRPr="00DC4ED0" w:rsidRDefault="000B4C2B" w:rsidP="000B4C2B">
      <w:pPr>
        <w:keepNext/>
        <w:spacing w:line="276" w:lineRule="auto"/>
        <w:outlineLvl w:val="1"/>
        <w:rPr>
          <w:b/>
        </w:rPr>
      </w:pPr>
      <w:bookmarkStart w:id="2" w:name="_Toc317854277"/>
      <w:r>
        <w:rPr>
          <w:b/>
        </w:rPr>
        <w:t xml:space="preserve">1.4 </w:t>
      </w:r>
      <w:r w:rsidR="00DC4ED0" w:rsidRPr="00DC4ED0">
        <w:rPr>
          <w:b/>
        </w:rPr>
        <w:t xml:space="preserve">İlgili </w:t>
      </w:r>
      <w:r w:rsidR="000861D2">
        <w:rPr>
          <w:b/>
        </w:rPr>
        <w:t>Tarafların Bilgilendirilmesi v</w:t>
      </w:r>
      <w:r w:rsidR="000861D2" w:rsidRPr="00DC4ED0">
        <w:rPr>
          <w:b/>
        </w:rPr>
        <w:t>e Toplanan Bilgilerin Değerlendirilmesi</w:t>
      </w:r>
      <w:bookmarkEnd w:id="2"/>
    </w:p>
    <w:p w:rsidR="00EA13DB" w:rsidRPr="00EA13DB" w:rsidRDefault="00EA13DB" w:rsidP="00EA13DB">
      <w:pPr>
        <w:keepNext/>
        <w:spacing w:line="276" w:lineRule="auto"/>
        <w:jc w:val="both"/>
        <w:outlineLvl w:val="1"/>
        <w:rPr>
          <w:szCs w:val="20"/>
        </w:rPr>
      </w:pPr>
      <w:r w:rsidRPr="00EA13DB">
        <w:rPr>
          <w:szCs w:val="20"/>
        </w:rPr>
        <w:t>(1) Soruşturma</w:t>
      </w:r>
      <w:r>
        <w:rPr>
          <w:szCs w:val="20"/>
        </w:rPr>
        <w:t>nın</w:t>
      </w:r>
      <w:r w:rsidRPr="00EA13DB">
        <w:rPr>
          <w:szCs w:val="20"/>
        </w:rPr>
        <w:t xml:space="preserve"> açılmasını müteakip, soruşturma konusu ürünün Bakanlık tarafından bilinen </w:t>
      </w:r>
      <w:proofErr w:type="spellStart"/>
      <w:r w:rsidRPr="00EA13DB">
        <w:rPr>
          <w:szCs w:val="20"/>
        </w:rPr>
        <w:t>ÇHC’de</w:t>
      </w:r>
      <w:proofErr w:type="spellEnd"/>
      <w:r w:rsidRPr="00EA13DB">
        <w:rPr>
          <w:szCs w:val="20"/>
        </w:rPr>
        <w:t xml:space="preserve"> yerleşik üreticilerine/ihracatçılarına, Türkiye’de yerleşik ithalatçılarına ve ayrıca soruşturmaya konu ülkede yerleşik diğer üreticilere/ihracatçılara iletilebilmesini teminen anılan ülkelerin Ankara’daki Büyükelçiliklerine soruşturmanın açılışına ilişkin bildirimde bulunulmuştur.</w:t>
      </w:r>
    </w:p>
    <w:p w:rsidR="00EA13DB" w:rsidRPr="00EA13DB" w:rsidRDefault="00EA13DB" w:rsidP="00EA13DB">
      <w:pPr>
        <w:keepNext/>
        <w:spacing w:line="276" w:lineRule="auto"/>
        <w:jc w:val="both"/>
        <w:outlineLvl w:val="1"/>
        <w:rPr>
          <w:szCs w:val="20"/>
        </w:rPr>
      </w:pPr>
    </w:p>
    <w:p w:rsidR="00EA13DB" w:rsidRPr="00EA13DB" w:rsidRDefault="00EA13DB" w:rsidP="00EA13DB">
      <w:pPr>
        <w:keepNext/>
        <w:spacing w:line="276" w:lineRule="auto"/>
        <w:jc w:val="both"/>
        <w:outlineLvl w:val="1"/>
        <w:rPr>
          <w:szCs w:val="20"/>
        </w:rPr>
      </w:pPr>
      <w:r w:rsidRPr="00EA13DB">
        <w:rPr>
          <w:szCs w:val="20"/>
        </w:rPr>
        <w:t>(2) Bildirimde, soruşturma açılış Tebliğine, başvurunun gizli olmayan özetine ve soru formlarına nereden erişileceği hususunda bilgi verilmiştir.</w:t>
      </w:r>
    </w:p>
    <w:p w:rsidR="00EA13DB" w:rsidRPr="00EA13DB" w:rsidRDefault="00EA13DB" w:rsidP="00EA13DB">
      <w:pPr>
        <w:keepNext/>
        <w:spacing w:line="276" w:lineRule="auto"/>
        <w:jc w:val="both"/>
        <w:outlineLvl w:val="1"/>
        <w:rPr>
          <w:szCs w:val="20"/>
        </w:rPr>
      </w:pPr>
    </w:p>
    <w:p w:rsidR="00EA13DB" w:rsidRPr="00EA13DB" w:rsidRDefault="00EA13DB" w:rsidP="00EA13DB">
      <w:pPr>
        <w:keepNext/>
        <w:spacing w:line="276" w:lineRule="auto"/>
        <w:jc w:val="both"/>
        <w:outlineLvl w:val="1"/>
        <w:rPr>
          <w:szCs w:val="20"/>
        </w:rPr>
      </w:pPr>
      <w:r w:rsidRPr="00EA13DB">
        <w:rPr>
          <w:szCs w:val="20"/>
        </w:rPr>
        <w:t>(3) Taraflara soru formunu yanıtlamaları için posta süresi dâhil 37 gün süre tanınmıştır. Ayrıca ilgili tarafların süre uzatımı yönündeki makul talepleri karşılanmıştır.</w:t>
      </w:r>
    </w:p>
    <w:p w:rsidR="00EA13DB" w:rsidRPr="00EA13DB" w:rsidRDefault="00EA13DB" w:rsidP="00EA13DB">
      <w:pPr>
        <w:keepNext/>
        <w:spacing w:line="276" w:lineRule="auto"/>
        <w:jc w:val="both"/>
        <w:outlineLvl w:val="1"/>
        <w:rPr>
          <w:szCs w:val="20"/>
        </w:rPr>
      </w:pPr>
      <w:r w:rsidRPr="00EA13DB">
        <w:rPr>
          <w:szCs w:val="20"/>
        </w:rPr>
        <w:t xml:space="preserve"> </w:t>
      </w:r>
    </w:p>
    <w:p w:rsidR="00EA13DB" w:rsidRPr="00EA13DB" w:rsidRDefault="00EA13DB" w:rsidP="00EA13DB">
      <w:pPr>
        <w:keepNext/>
        <w:spacing w:line="276" w:lineRule="auto"/>
        <w:jc w:val="both"/>
        <w:outlineLvl w:val="1"/>
        <w:rPr>
          <w:szCs w:val="20"/>
        </w:rPr>
      </w:pPr>
      <w:r w:rsidRPr="00EA13DB">
        <w:rPr>
          <w:szCs w:val="20"/>
        </w:rPr>
        <w:t xml:space="preserve">(4) Yerli üretim dalı, soruşturma süresi boyunca Bakanlık ile işbirliği içinde olmuş ve gerektiğinde talep edilen ilave bilgileri temin etmiştir. </w:t>
      </w:r>
    </w:p>
    <w:p w:rsidR="00EA13DB" w:rsidRPr="00EA13DB" w:rsidRDefault="00EA13DB" w:rsidP="00EA13DB">
      <w:pPr>
        <w:keepNext/>
        <w:spacing w:line="276" w:lineRule="auto"/>
        <w:jc w:val="both"/>
        <w:outlineLvl w:val="1"/>
        <w:rPr>
          <w:szCs w:val="20"/>
        </w:rPr>
      </w:pPr>
    </w:p>
    <w:p w:rsidR="00EA13DB" w:rsidRPr="00EA13DB" w:rsidRDefault="00EA13DB" w:rsidP="00EA13DB">
      <w:pPr>
        <w:keepNext/>
        <w:spacing w:line="276" w:lineRule="auto"/>
        <w:jc w:val="both"/>
        <w:outlineLvl w:val="1"/>
        <w:rPr>
          <w:szCs w:val="20"/>
        </w:rPr>
      </w:pPr>
      <w:r w:rsidRPr="00EA13DB">
        <w:rPr>
          <w:szCs w:val="20"/>
        </w:rPr>
        <w:t xml:space="preserve">(5) Soruşturma döneminde ithalat gerçekleştirdiği tespit edilen ithalatçı firmalardan kendilerine soru formu gönderilmiş olanlardan </w:t>
      </w:r>
      <w:proofErr w:type="spellStart"/>
      <w:r w:rsidRPr="00EA13DB">
        <w:rPr>
          <w:szCs w:val="20"/>
        </w:rPr>
        <w:t>Granmer</w:t>
      </w:r>
      <w:proofErr w:type="spellEnd"/>
      <w:r w:rsidRPr="00EA13DB">
        <w:rPr>
          <w:szCs w:val="20"/>
        </w:rPr>
        <w:t xml:space="preserve"> Granit Mermer San. Tic. </w:t>
      </w:r>
      <w:proofErr w:type="spellStart"/>
      <w:r w:rsidRPr="00EA13DB">
        <w:rPr>
          <w:szCs w:val="20"/>
        </w:rPr>
        <w:t>A.Ş.’den</w:t>
      </w:r>
      <w:proofErr w:type="spellEnd"/>
      <w:r w:rsidRPr="00EA13DB">
        <w:rPr>
          <w:szCs w:val="20"/>
        </w:rPr>
        <w:t xml:space="preserve"> soru formuna yanıt alınmıştır. </w:t>
      </w:r>
    </w:p>
    <w:p w:rsidR="00EA13DB" w:rsidRPr="00EA13DB" w:rsidRDefault="00EA13DB" w:rsidP="00EA13DB">
      <w:pPr>
        <w:keepNext/>
        <w:spacing w:line="276" w:lineRule="auto"/>
        <w:jc w:val="both"/>
        <w:outlineLvl w:val="1"/>
        <w:rPr>
          <w:szCs w:val="20"/>
        </w:rPr>
      </w:pPr>
    </w:p>
    <w:p w:rsidR="00EA13DB" w:rsidRPr="00EA13DB" w:rsidRDefault="00EA13DB" w:rsidP="00EA13DB">
      <w:pPr>
        <w:keepNext/>
        <w:spacing w:line="276" w:lineRule="auto"/>
        <w:jc w:val="both"/>
        <w:outlineLvl w:val="1"/>
        <w:rPr>
          <w:szCs w:val="20"/>
        </w:rPr>
      </w:pPr>
      <w:r w:rsidRPr="00EA13DB">
        <w:rPr>
          <w:szCs w:val="20"/>
        </w:rPr>
        <w:t>(6) Kendilerine soru formu gönderilmiş olan üretici/ihracatçı firmalar tarafından soru formuna yanıt verilmemiştir.</w:t>
      </w:r>
    </w:p>
    <w:p w:rsidR="00EA13DB" w:rsidRPr="00EA13DB" w:rsidRDefault="00EA13DB" w:rsidP="00EA13DB">
      <w:pPr>
        <w:keepNext/>
        <w:spacing w:line="276" w:lineRule="auto"/>
        <w:jc w:val="both"/>
        <w:outlineLvl w:val="1"/>
        <w:rPr>
          <w:szCs w:val="20"/>
        </w:rPr>
      </w:pPr>
    </w:p>
    <w:p w:rsidR="00EA13DB" w:rsidRDefault="00EA13DB" w:rsidP="00EA13DB">
      <w:pPr>
        <w:keepNext/>
        <w:spacing w:line="276" w:lineRule="auto"/>
        <w:jc w:val="both"/>
        <w:outlineLvl w:val="1"/>
        <w:rPr>
          <w:szCs w:val="20"/>
        </w:rPr>
      </w:pPr>
      <w:r w:rsidRPr="00EA13DB">
        <w:rPr>
          <w:szCs w:val="20"/>
        </w:rPr>
        <w:t xml:space="preserve">(7) Soruşturma sonucunda alınacak karara esas teşkil edecek nitelikteki bilgi ve bulguları içeren “Nihai Bildirim Raporu” ilgili tarafların bilgisine sunulmuştur. Nihai Bildirim Raporu’na ilişkin olarak ilgili taraflar görüş bildirmemiş olup dinleme toplantısı talebi de olmamıştır. </w:t>
      </w:r>
    </w:p>
    <w:p w:rsidR="00EA13DB" w:rsidRDefault="00EA13DB" w:rsidP="00EA13DB">
      <w:pPr>
        <w:keepNext/>
        <w:spacing w:line="276" w:lineRule="auto"/>
        <w:jc w:val="both"/>
        <w:outlineLvl w:val="1"/>
        <w:rPr>
          <w:szCs w:val="20"/>
        </w:rPr>
      </w:pPr>
    </w:p>
    <w:p w:rsidR="00DC4ED0" w:rsidRDefault="00856A12" w:rsidP="00EA13DB">
      <w:pPr>
        <w:keepNext/>
        <w:spacing w:line="276" w:lineRule="auto"/>
        <w:jc w:val="both"/>
        <w:outlineLvl w:val="1"/>
        <w:rPr>
          <w:noProof/>
        </w:rPr>
      </w:pPr>
      <w:r>
        <w:rPr>
          <w:noProof/>
        </w:rPr>
        <w:t>(</w:t>
      </w:r>
      <w:r w:rsidR="00EA13DB">
        <w:rPr>
          <w:noProof/>
        </w:rPr>
        <w:t>8</w:t>
      </w:r>
      <w:r w:rsidRPr="00482312">
        <w:rPr>
          <w:noProof/>
        </w:rPr>
        <w:t>)</w:t>
      </w:r>
      <w:r>
        <w:rPr>
          <w:noProof/>
        </w:rPr>
        <w:t xml:space="preserve"> </w:t>
      </w:r>
      <w:r w:rsidRPr="00482312">
        <w:t>Tarafların soruşturma boyunca ortaya koyduğu tüm bilgi, belge ve görüşler incelenmiş, mezkûr görüşlerden mevzuat kapsamında değerlendirilebilecek olanlarına bu raporun ilgili bölümlerinde değinilmiştir.</w:t>
      </w:r>
      <w:r w:rsidR="00DC4ED0">
        <w:rPr>
          <w:noProof/>
        </w:rPr>
        <w:t xml:space="preserve"> </w:t>
      </w:r>
    </w:p>
    <w:p w:rsidR="00C9134A" w:rsidRDefault="00C9134A" w:rsidP="000D1BEC">
      <w:pPr>
        <w:spacing w:line="276" w:lineRule="auto"/>
        <w:ind w:firstLine="708"/>
        <w:jc w:val="both"/>
      </w:pPr>
    </w:p>
    <w:p w:rsidR="001A5EA8" w:rsidRDefault="000B4C2B" w:rsidP="000B4C2B">
      <w:pPr>
        <w:keepNext/>
        <w:spacing w:line="276" w:lineRule="auto"/>
        <w:outlineLvl w:val="0"/>
        <w:rPr>
          <w:b/>
        </w:rPr>
      </w:pPr>
      <w:bookmarkStart w:id="3" w:name="_Toc317854281"/>
      <w:r>
        <w:rPr>
          <w:b/>
        </w:rPr>
        <w:t>2. SORUŞTURMA</w:t>
      </w:r>
      <w:r w:rsidRPr="001A5EA8">
        <w:rPr>
          <w:b/>
        </w:rPr>
        <w:t xml:space="preserve"> KONUSU ÜRÜN VE BENZER ÜRÜN</w:t>
      </w:r>
      <w:bookmarkEnd w:id="3"/>
    </w:p>
    <w:p w:rsidR="00EA13DB" w:rsidRDefault="00EA13DB" w:rsidP="00EA13DB">
      <w:pPr>
        <w:spacing w:line="276" w:lineRule="auto"/>
        <w:jc w:val="both"/>
        <w:rPr>
          <w:noProof/>
        </w:rPr>
      </w:pPr>
      <w:r>
        <w:rPr>
          <w:noProof/>
        </w:rPr>
        <w:t xml:space="preserve">(1) Benzer ürün, 6802.23 ve 6802.93 GTP altında kayıtlı “Granit”tir. Granit, en sert doğal taşlardan birisi olup, su, güneş, donma gibi pek çok tabiat olayına karşı dayanıklılığı ve estetik bir yapıya sahip olması nedeniyle, günümüzde yapı sektöründe dış cephe kaplamada, zemin kaplamada ve mutfak ve banyo tezgâhları gibi çeşitli alanlarda kullanılmaktadır. </w:t>
      </w:r>
    </w:p>
    <w:p w:rsidR="00EA13DB" w:rsidRDefault="00EA13DB" w:rsidP="00EA13DB">
      <w:pPr>
        <w:spacing w:line="276" w:lineRule="auto"/>
        <w:jc w:val="both"/>
        <w:rPr>
          <w:noProof/>
        </w:rPr>
      </w:pPr>
    </w:p>
    <w:p w:rsidR="00EA13DB" w:rsidRDefault="00EA13DB" w:rsidP="00EA13DB">
      <w:pPr>
        <w:spacing w:line="276" w:lineRule="auto"/>
        <w:jc w:val="both"/>
        <w:rPr>
          <w:noProof/>
        </w:rPr>
      </w:pPr>
      <w:r>
        <w:rPr>
          <w:noProof/>
        </w:rPr>
        <w:t xml:space="preserve">(2) Granitin bu dayanıklı yapısı nedeniyle, düzgün şekilde kesilmesi ve parlatılması da diğer taşlara nazaran daha zor ve zahmetli bir işlem gerektirmektedir. Genellikle 2-3 cm kalınlığında </w:t>
      </w:r>
      <w:r>
        <w:rPr>
          <w:noProof/>
        </w:rPr>
        <w:lastRenderedPageBreak/>
        <w:t>kesilen plakalar, kullanılacağı zamana kadar plaka olarak saklanmakta ve ihtiyaca göre ebatlandırılarak pazarlanmaktadır.</w:t>
      </w:r>
    </w:p>
    <w:p w:rsidR="00EA13DB" w:rsidRDefault="00EA13DB" w:rsidP="00EA13DB">
      <w:pPr>
        <w:spacing w:line="276" w:lineRule="auto"/>
        <w:jc w:val="both"/>
        <w:rPr>
          <w:noProof/>
        </w:rPr>
      </w:pPr>
    </w:p>
    <w:p w:rsidR="00642A1A" w:rsidRDefault="00EA13DB" w:rsidP="00EA13DB">
      <w:pPr>
        <w:spacing w:line="276" w:lineRule="auto"/>
        <w:jc w:val="both"/>
        <w:rPr>
          <w:noProof/>
        </w:rPr>
      </w:pPr>
      <w:r>
        <w:rPr>
          <w:noProof/>
        </w:rPr>
        <w:t>(3)Yerli üretim dalı tarafından imal edilen “granit” ile önlem konusu ülke menşeli “granit”in benzer ürün olduğu tespiti, mevcut önleme esas soruşturmada yapılmıştır. Bu kapsamda yerli üretim dalı tarafından üretilen benzer ürün ile benzer ülke menşeli granitler arasında teknik ve fiziki özellikler, ürün çeşitliliği, kullanım alanları, tüketici algılaması ve dağıtım kanalları bakımından yerli üretici tarafından üretilen ürün ile önleme konu ülke menşeli ürün arasında “benzer ürün” tanımı açısından ayrım yaratan herhangi bir farklılığın ortaya çıktığına ilişkin yeni bir bilgiye ulaşılmamıştır.</w:t>
      </w:r>
    </w:p>
    <w:p w:rsidR="0047648B" w:rsidRDefault="0047648B" w:rsidP="00EA13DB">
      <w:pPr>
        <w:spacing w:line="276" w:lineRule="auto"/>
        <w:jc w:val="both"/>
        <w:rPr>
          <w:noProof/>
        </w:rPr>
      </w:pPr>
    </w:p>
    <w:p w:rsidR="0047648B" w:rsidRDefault="006E05DA" w:rsidP="00EA13DB">
      <w:pPr>
        <w:spacing w:line="276" w:lineRule="auto"/>
        <w:jc w:val="both"/>
        <w:rPr>
          <w:noProof/>
        </w:rPr>
      </w:pPr>
      <w:r>
        <w:rPr>
          <w:noProof/>
        </w:rPr>
        <w:t>(4) S</w:t>
      </w:r>
      <w:r w:rsidR="0047648B">
        <w:rPr>
          <w:noProof/>
        </w:rPr>
        <w:t>oruşturma konusu ürün ve benzer ürün ile ilgili açıklamalar bağlayıcı nitelikte olmayıp genel içerikli ve bilgi amaçlıdır.</w:t>
      </w:r>
    </w:p>
    <w:p w:rsidR="00EA13DB" w:rsidRPr="00551AAB" w:rsidRDefault="00EA13DB" w:rsidP="00EA13DB">
      <w:pPr>
        <w:spacing w:line="276" w:lineRule="auto"/>
        <w:jc w:val="both"/>
      </w:pPr>
    </w:p>
    <w:p w:rsidR="00F32FD2" w:rsidRPr="0053312B" w:rsidRDefault="000B4C2B" w:rsidP="000B4C2B">
      <w:pPr>
        <w:pStyle w:val="Balk1"/>
        <w:spacing w:line="276" w:lineRule="auto"/>
        <w:jc w:val="left"/>
        <w:rPr>
          <w:rFonts w:ascii="Times New Roman" w:hAnsi="Times New Roman" w:cs="Times New Roman"/>
          <w:bCs w:val="0"/>
          <w:sz w:val="24"/>
          <w:szCs w:val="24"/>
          <w:lang w:eastAsia="tr-TR"/>
        </w:rPr>
      </w:pPr>
      <w:bookmarkStart w:id="4" w:name="_Toc317854284"/>
      <w:r>
        <w:rPr>
          <w:rFonts w:ascii="Times New Roman" w:hAnsi="Times New Roman" w:cs="Times New Roman"/>
          <w:bCs w:val="0"/>
          <w:sz w:val="24"/>
          <w:szCs w:val="24"/>
          <w:lang w:eastAsia="tr-TR"/>
        </w:rPr>
        <w:t xml:space="preserve">3. </w:t>
      </w:r>
      <w:r w:rsidRPr="0053312B">
        <w:rPr>
          <w:rFonts w:ascii="Times New Roman" w:hAnsi="Times New Roman" w:cs="Times New Roman"/>
          <w:bCs w:val="0"/>
          <w:sz w:val="24"/>
          <w:szCs w:val="24"/>
          <w:lang w:eastAsia="tr-TR"/>
        </w:rPr>
        <w:t xml:space="preserve">DAMPİNGİN DEVAMI </w:t>
      </w:r>
      <w:r>
        <w:rPr>
          <w:rFonts w:ascii="Times New Roman" w:hAnsi="Times New Roman" w:cs="Times New Roman"/>
          <w:bCs w:val="0"/>
          <w:sz w:val="24"/>
          <w:szCs w:val="24"/>
          <w:lang w:eastAsia="tr-TR"/>
        </w:rPr>
        <w:t xml:space="preserve">VEYA </w:t>
      </w:r>
      <w:r w:rsidRPr="0053312B">
        <w:rPr>
          <w:rFonts w:ascii="Times New Roman" w:hAnsi="Times New Roman" w:cs="Times New Roman"/>
          <w:bCs w:val="0"/>
          <w:sz w:val="24"/>
          <w:szCs w:val="24"/>
          <w:lang w:eastAsia="tr-TR"/>
        </w:rPr>
        <w:t>YENİDEN MEYDANA GELMESİ İHTİMALİ</w:t>
      </w:r>
      <w:bookmarkEnd w:id="4"/>
    </w:p>
    <w:p w:rsidR="00146208" w:rsidRPr="00146208" w:rsidRDefault="000B4C2B" w:rsidP="000B4C2B">
      <w:pPr>
        <w:keepNext/>
        <w:spacing w:line="276" w:lineRule="auto"/>
        <w:outlineLvl w:val="1"/>
        <w:rPr>
          <w:b/>
        </w:rPr>
      </w:pPr>
      <w:bookmarkStart w:id="5" w:name="_Toc317854285"/>
      <w:r>
        <w:rPr>
          <w:b/>
        </w:rPr>
        <w:t xml:space="preserve">3.1 </w:t>
      </w:r>
      <w:r w:rsidR="00146208" w:rsidRPr="00146208">
        <w:rPr>
          <w:b/>
        </w:rPr>
        <w:t xml:space="preserve">Genel </w:t>
      </w:r>
      <w:r w:rsidR="000861D2" w:rsidRPr="00146208">
        <w:rPr>
          <w:b/>
        </w:rPr>
        <w:t>Açıklamalar</w:t>
      </w:r>
      <w:bookmarkEnd w:id="5"/>
      <w:r w:rsidR="000861D2" w:rsidRPr="00146208">
        <w:rPr>
          <w:b/>
        </w:rPr>
        <w:t xml:space="preserve"> </w:t>
      </w:r>
    </w:p>
    <w:p w:rsidR="000F738D" w:rsidRDefault="00146208" w:rsidP="000B4C2B">
      <w:pPr>
        <w:spacing w:line="276" w:lineRule="auto"/>
        <w:jc w:val="both"/>
        <w:outlineLvl w:val="0"/>
        <w:rPr>
          <w:bCs/>
          <w:szCs w:val="20"/>
        </w:rPr>
      </w:pPr>
      <w:r w:rsidRPr="00146208">
        <w:rPr>
          <w:bCs/>
          <w:szCs w:val="20"/>
        </w:rPr>
        <w:t>(1</w:t>
      </w:r>
      <w:r w:rsidRPr="00146208">
        <w:rPr>
          <w:szCs w:val="20"/>
        </w:rPr>
        <w:t xml:space="preserve">) </w:t>
      </w:r>
      <w:r w:rsidR="00642A1A" w:rsidRPr="009D25BB">
        <w:rPr>
          <w:bCs/>
          <w:szCs w:val="20"/>
        </w:rPr>
        <w:t xml:space="preserve">Yönetmeliğin 35 inci maddesi çerçevesinde </w:t>
      </w:r>
      <w:r w:rsidR="00AF3894">
        <w:rPr>
          <w:bCs/>
          <w:szCs w:val="20"/>
        </w:rPr>
        <w:t>önlem</w:t>
      </w:r>
      <w:r w:rsidR="00642A1A" w:rsidRPr="009D25BB">
        <w:rPr>
          <w:bCs/>
          <w:szCs w:val="20"/>
        </w:rPr>
        <w:t xml:space="preserve">in yürürlükten kalkması halinde </w:t>
      </w:r>
      <w:proofErr w:type="gramStart"/>
      <w:r w:rsidR="00642A1A" w:rsidRPr="009D25BB">
        <w:rPr>
          <w:bCs/>
          <w:szCs w:val="20"/>
        </w:rPr>
        <w:t>dampingin</w:t>
      </w:r>
      <w:proofErr w:type="gramEnd"/>
      <w:r w:rsidR="00642A1A" w:rsidRPr="009D25BB">
        <w:rPr>
          <w:bCs/>
          <w:szCs w:val="20"/>
        </w:rPr>
        <w:t xml:space="preserve"> devam etmesinin veya yeniden meydana gelmesinin muhtemel olup olmadığı incelenmiştir. </w:t>
      </w:r>
      <w:r w:rsidR="002C183C" w:rsidRPr="00146208">
        <w:rPr>
          <w:bCs/>
          <w:szCs w:val="20"/>
        </w:rPr>
        <w:t xml:space="preserve"> </w:t>
      </w:r>
    </w:p>
    <w:p w:rsidR="000F738D" w:rsidRDefault="000F738D" w:rsidP="000B4C2B">
      <w:pPr>
        <w:spacing w:before="240" w:line="276" w:lineRule="auto"/>
        <w:jc w:val="both"/>
        <w:rPr>
          <w:bCs/>
          <w:szCs w:val="20"/>
        </w:rPr>
      </w:pPr>
      <w:r w:rsidRPr="00885216">
        <w:t xml:space="preserve">(2) </w:t>
      </w:r>
      <w:r w:rsidR="0047648B">
        <w:t xml:space="preserve">Yönetmeliğin 40 </w:t>
      </w:r>
      <w:proofErr w:type="spellStart"/>
      <w:r w:rsidR="0047648B">
        <w:t>ıncı</w:t>
      </w:r>
      <w:proofErr w:type="spellEnd"/>
      <w:r w:rsidR="0047648B">
        <w:t xml:space="preserve"> ve 41 inci maddeleri çerçevesinde, s</w:t>
      </w:r>
      <w:r w:rsidRPr="00885216">
        <w:t xml:space="preserve">oruşturma sırasında yeni bir </w:t>
      </w:r>
      <w:proofErr w:type="gramStart"/>
      <w:r w:rsidRPr="00885216">
        <w:t>damping</w:t>
      </w:r>
      <w:proofErr w:type="gramEnd"/>
      <w:r w:rsidRPr="00885216">
        <w:t xml:space="preserve"> marjı hesaplanmamış, esas soruşturmada hesaplanmış olan damping marjı göst</w:t>
      </w:r>
      <w:r>
        <w:t>erge olarak dikkate alınmıştır.</w:t>
      </w:r>
    </w:p>
    <w:p w:rsidR="00642A1A" w:rsidRDefault="00642A1A" w:rsidP="000D1BEC">
      <w:pPr>
        <w:spacing w:line="276" w:lineRule="auto"/>
        <w:jc w:val="both"/>
        <w:rPr>
          <w:bCs/>
          <w:szCs w:val="20"/>
        </w:rPr>
      </w:pPr>
    </w:p>
    <w:p w:rsidR="009610F2" w:rsidRDefault="000B4C2B" w:rsidP="000B4C2B">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bookmarkStart w:id="6" w:name="_Toc239562553"/>
      <w:r>
        <w:rPr>
          <w:rFonts w:ascii="Times New Roman" w:hAnsi="Times New Roman"/>
          <w:sz w:val="24"/>
          <w:szCs w:val="24"/>
        </w:rPr>
        <w:t xml:space="preserve">3.2 </w:t>
      </w:r>
      <w:r w:rsidR="00250D34">
        <w:rPr>
          <w:rFonts w:ascii="Times New Roman" w:hAnsi="Times New Roman"/>
          <w:sz w:val="24"/>
          <w:szCs w:val="24"/>
        </w:rPr>
        <w:t>Esas Soruşturma</w:t>
      </w:r>
      <w:r w:rsidR="009610F2">
        <w:rPr>
          <w:rFonts w:ascii="Times New Roman" w:hAnsi="Times New Roman"/>
          <w:sz w:val="24"/>
          <w:szCs w:val="24"/>
        </w:rPr>
        <w:t>d</w:t>
      </w:r>
      <w:r w:rsidR="00250D34">
        <w:rPr>
          <w:rFonts w:ascii="Times New Roman" w:hAnsi="Times New Roman"/>
          <w:sz w:val="24"/>
          <w:szCs w:val="24"/>
        </w:rPr>
        <w:t>a</w:t>
      </w:r>
      <w:r w:rsidR="000861D2">
        <w:rPr>
          <w:rFonts w:ascii="Times New Roman" w:hAnsi="Times New Roman"/>
          <w:sz w:val="24"/>
          <w:szCs w:val="24"/>
        </w:rPr>
        <w:t xml:space="preserve"> Tespit E</w:t>
      </w:r>
      <w:r w:rsidR="009610F2" w:rsidRPr="00595D1A">
        <w:rPr>
          <w:rFonts w:ascii="Times New Roman" w:hAnsi="Times New Roman"/>
          <w:sz w:val="24"/>
          <w:szCs w:val="24"/>
        </w:rPr>
        <w:t>dilen Damping Marj</w:t>
      </w:r>
      <w:bookmarkEnd w:id="6"/>
      <w:r w:rsidR="009610F2">
        <w:rPr>
          <w:rFonts w:ascii="Times New Roman" w:hAnsi="Times New Roman"/>
          <w:sz w:val="24"/>
          <w:szCs w:val="24"/>
        </w:rPr>
        <w:t>ları</w:t>
      </w:r>
    </w:p>
    <w:p w:rsidR="00EA13DB" w:rsidRDefault="00EA13DB" w:rsidP="00EA13DB">
      <w:pPr>
        <w:jc w:val="both"/>
      </w:pPr>
      <w:r w:rsidRPr="007545D0">
        <w:rPr>
          <w:bCs/>
        </w:rPr>
        <w:t xml:space="preserve">(1) </w:t>
      </w:r>
      <w:r>
        <w:t xml:space="preserve">Mevcut dampinge karşı önlemin hukuki ve idari altyapısını teşkil eden esas soruşturma esnasında tespit edilen </w:t>
      </w:r>
      <w:proofErr w:type="gramStart"/>
      <w:r>
        <w:t>damping</w:t>
      </w:r>
      <w:proofErr w:type="gramEnd"/>
      <w:r>
        <w:t xml:space="preserve"> marjları, firmaların önlemin yürürlükten kalkması halindeki muhtemel davranışlarını yansıtacak önemli bir göstergedir. </w:t>
      </w:r>
    </w:p>
    <w:p w:rsidR="00EA13DB" w:rsidRDefault="00EA13DB" w:rsidP="00EA13DB">
      <w:pPr>
        <w:ind w:firstLine="709"/>
        <w:jc w:val="both"/>
      </w:pPr>
    </w:p>
    <w:p w:rsidR="00EA13DB" w:rsidRDefault="00EA13DB" w:rsidP="00EA13DB">
      <w:pPr>
        <w:jc w:val="both"/>
      </w:pPr>
      <w:r>
        <w:t xml:space="preserve">(2) Bu çerçevede esas soruşturmada ÇHC menşeli granit için oran olarak CIF ihraç fiyatının %102,65’i; tutar olarak 270 ABD Doları/Ton </w:t>
      </w:r>
      <w:proofErr w:type="gramStart"/>
      <w:r>
        <w:t>damping</w:t>
      </w:r>
      <w:proofErr w:type="gramEnd"/>
      <w:r>
        <w:t xml:space="preserve"> marjı hesaplanmıştır.</w:t>
      </w:r>
    </w:p>
    <w:p w:rsidR="00466634" w:rsidRDefault="00466634" w:rsidP="00B84084">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p>
    <w:p w:rsidR="00B84084" w:rsidRPr="00B84084" w:rsidRDefault="00B635E0" w:rsidP="00B84084">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r w:rsidRPr="00B84084">
        <w:rPr>
          <w:rFonts w:ascii="Times New Roman" w:hAnsi="Times New Roman"/>
          <w:sz w:val="24"/>
          <w:szCs w:val="24"/>
        </w:rPr>
        <w:t>3.</w:t>
      </w:r>
      <w:r w:rsidR="00B84084" w:rsidRPr="00B84084">
        <w:rPr>
          <w:rFonts w:ascii="Times New Roman" w:hAnsi="Times New Roman"/>
          <w:sz w:val="24"/>
          <w:szCs w:val="24"/>
        </w:rPr>
        <w:t>3</w:t>
      </w:r>
      <w:r w:rsidRPr="00B84084">
        <w:rPr>
          <w:rFonts w:ascii="Times New Roman" w:hAnsi="Times New Roman"/>
          <w:sz w:val="24"/>
          <w:szCs w:val="24"/>
        </w:rPr>
        <w:t xml:space="preserve"> </w:t>
      </w:r>
      <w:r w:rsidR="005D19A4" w:rsidRPr="005D19A4">
        <w:rPr>
          <w:rFonts w:ascii="Times New Roman" w:hAnsi="Times New Roman"/>
          <w:sz w:val="24"/>
          <w:szCs w:val="24"/>
        </w:rPr>
        <w:t>Soruşturma konusu ürünün yurtiçi pazar gelişimi</w:t>
      </w:r>
    </w:p>
    <w:p w:rsidR="00B635E0" w:rsidRDefault="005D19A4" w:rsidP="000F3781">
      <w:pPr>
        <w:pStyle w:val="Balk2"/>
        <w:pBdr>
          <w:top w:val="none" w:sz="0" w:space="0" w:color="auto"/>
          <w:left w:val="none" w:sz="0" w:space="0" w:color="auto"/>
          <w:bottom w:val="none" w:sz="0" w:space="0" w:color="auto"/>
          <w:right w:val="none" w:sz="0" w:space="0" w:color="auto"/>
        </w:pBdr>
        <w:spacing w:line="276" w:lineRule="auto"/>
        <w:jc w:val="both"/>
        <w:rPr>
          <w:rFonts w:ascii="Times New Roman" w:hAnsi="Times New Roman"/>
          <w:b w:val="0"/>
          <w:bCs/>
          <w:sz w:val="24"/>
          <w:szCs w:val="24"/>
          <w:lang w:eastAsia="tr-TR"/>
        </w:rPr>
      </w:pPr>
      <w:r w:rsidRPr="000F3781">
        <w:rPr>
          <w:rFonts w:ascii="Times New Roman" w:hAnsi="Times New Roman"/>
          <w:b w:val="0"/>
          <w:sz w:val="24"/>
          <w:szCs w:val="24"/>
        </w:rPr>
        <w:t>(</w:t>
      </w:r>
      <w:r w:rsidRPr="000F3781">
        <w:rPr>
          <w:rFonts w:ascii="Times New Roman" w:hAnsi="Times New Roman"/>
          <w:b w:val="0"/>
          <w:bCs/>
          <w:sz w:val="24"/>
          <w:szCs w:val="24"/>
          <w:lang w:eastAsia="tr-TR"/>
        </w:rPr>
        <w:t xml:space="preserve">1) Soruşturma konusu ürün ithalatının Türkiye pazarına yönelme ihtimalinin artış göstereceği değerlendirilmektedir. Ürünün ağırlıklı olarak inşaat projelerinde kullanıldığı bilinmekte olup inşaat sektöründeki reel büyümenin 2016 yılında yıllık </w:t>
      </w:r>
      <w:proofErr w:type="gramStart"/>
      <w:r w:rsidRPr="000F3781">
        <w:rPr>
          <w:rFonts w:ascii="Times New Roman" w:hAnsi="Times New Roman"/>
          <w:b w:val="0"/>
          <w:bCs/>
          <w:sz w:val="24"/>
          <w:szCs w:val="24"/>
          <w:lang w:eastAsia="tr-TR"/>
        </w:rPr>
        <w:t>bazda</w:t>
      </w:r>
      <w:proofErr w:type="gramEnd"/>
      <w:r w:rsidRPr="000F3781">
        <w:rPr>
          <w:rFonts w:ascii="Times New Roman" w:hAnsi="Times New Roman"/>
          <w:b w:val="0"/>
          <w:bCs/>
          <w:sz w:val="24"/>
          <w:szCs w:val="24"/>
          <w:lang w:eastAsia="tr-TR"/>
        </w:rPr>
        <w:t xml:space="preserve"> %5,4 ile %3,2 olan GSYH büyümesinin üzerinde gerçekleştiği, 2017’nin ilk 9 ayında ise %10,2 ile %7,4’lük GSYH büyümesini aştığı izlenmiştir. Bu dönemde inşaat yatırımları bir önceki yılın aynı döneminde göre %16 i</w:t>
      </w:r>
      <w:r w:rsidR="006E05DA">
        <w:rPr>
          <w:rFonts w:ascii="Times New Roman" w:hAnsi="Times New Roman"/>
          <w:b w:val="0"/>
          <w:bCs/>
          <w:sz w:val="24"/>
          <w:szCs w:val="24"/>
          <w:lang w:eastAsia="tr-TR"/>
        </w:rPr>
        <w:t>le hızlı bir artış kaydetmiştir</w:t>
      </w:r>
      <w:r w:rsidRPr="000F3781">
        <w:rPr>
          <w:rFonts w:ascii="Times New Roman" w:hAnsi="Times New Roman"/>
          <w:b w:val="0"/>
          <w:bCs/>
          <w:sz w:val="24"/>
          <w:szCs w:val="24"/>
          <w:lang w:eastAsia="tr-TR"/>
        </w:rPr>
        <w:t>.</w:t>
      </w:r>
      <w:r w:rsidR="006E05DA">
        <w:rPr>
          <w:rFonts w:ascii="Times New Roman" w:hAnsi="Times New Roman"/>
          <w:b w:val="0"/>
          <w:bCs/>
          <w:sz w:val="24"/>
          <w:szCs w:val="24"/>
          <w:lang w:eastAsia="tr-TR"/>
        </w:rPr>
        <w:t xml:space="preserve"> (Türkiye İş Bankası İnşaat Sektörü Raporu, 2018, sayfa: 12) </w:t>
      </w:r>
      <w:r w:rsidRPr="000F3781">
        <w:rPr>
          <w:rFonts w:ascii="Times New Roman" w:hAnsi="Times New Roman"/>
          <w:b w:val="0"/>
          <w:bCs/>
          <w:sz w:val="24"/>
          <w:szCs w:val="24"/>
          <w:lang w:eastAsia="tr-TR"/>
        </w:rPr>
        <w:t xml:space="preserve"> Bu çerçevede, inşaat sektöründeki büyümenin, ürüne yönelik talebi de artıracağından önlemin yürürlükten kalkması durumunda ÇHC menşeli ürünlerin Türkiye pazarına yönelme ihtimalinin yüksek olduğu değerlendirilmektedir.</w:t>
      </w:r>
    </w:p>
    <w:p w:rsidR="000F3781" w:rsidRPr="000F3781" w:rsidRDefault="000F3781" w:rsidP="000F3781"/>
    <w:p w:rsidR="00146208" w:rsidRPr="00146208" w:rsidRDefault="000B4C2B" w:rsidP="000B4C2B">
      <w:pPr>
        <w:pStyle w:val="Balk1"/>
        <w:spacing w:line="276" w:lineRule="auto"/>
        <w:jc w:val="left"/>
        <w:rPr>
          <w:rFonts w:ascii="Times New Roman" w:hAnsi="Times New Roman" w:cs="Times New Roman"/>
          <w:bCs w:val="0"/>
          <w:sz w:val="24"/>
          <w:szCs w:val="24"/>
          <w:lang w:eastAsia="tr-TR"/>
        </w:rPr>
      </w:pPr>
      <w:bookmarkStart w:id="7" w:name="_Toc317854286"/>
      <w:r>
        <w:rPr>
          <w:rFonts w:ascii="Times New Roman" w:hAnsi="Times New Roman" w:cs="Times New Roman"/>
          <w:bCs w:val="0"/>
          <w:sz w:val="24"/>
          <w:szCs w:val="24"/>
          <w:lang w:eastAsia="tr-TR"/>
        </w:rPr>
        <w:lastRenderedPageBreak/>
        <w:t xml:space="preserve">4. ZARARIN DEVAMI VEYA YENİDEN </w:t>
      </w:r>
      <w:bookmarkEnd w:id="7"/>
      <w:r>
        <w:rPr>
          <w:rFonts w:ascii="Times New Roman" w:hAnsi="Times New Roman" w:cs="Times New Roman"/>
          <w:bCs w:val="0"/>
          <w:sz w:val="24"/>
          <w:szCs w:val="24"/>
          <w:lang w:eastAsia="tr-TR"/>
        </w:rPr>
        <w:t>MEYDANA GELMESİ İHTİMALİ</w:t>
      </w:r>
    </w:p>
    <w:p w:rsidR="00146208" w:rsidRPr="00146208" w:rsidRDefault="000B4C2B" w:rsidP="000B4C2B">
      <w:pPr>
        <w:keepNext/>
        <w:spacing w:line="276" w:lineRule="auto"/>
        <w:outlineLvl w:val="1"/>
        <w:rPr>
          <w:b/>
        </w:rPr>
      </w:pPr>
      <w:bookmarkStart w:id="8" w:name="_Toc317854287"/>
      <w:r>
        <w:rPr>
          <w:b/>
        </w:rPr>
        <w:t xml:space="preserve">4.1 </w:t>
      </w:r>
      <w:r w:rsidR="000861D2">
        <w:rPr>
          <w:b/>
        </w:rPr>
        <w:t>Genel A</w:t>
      </w:r>
      <w:r w:rsidR="00146208" w:rsidRPr="00146208">
        <w:rPr>
          <w:b/>
        </w:rPr>
        <w:t>çıklamalar</w:t>
      </w:r>
      <w:bookmarkEnd w:id="8"/>
    </w:p>
    <w:p w:rsidR="000626E7" w:rsidRPr="00482312" w:rsidRDefault="00146208" w:rsidP="000B4C2B">
      <w:pPr>
        <w:spacing w:after="240" w:line="276" w:lineRule="auto"/>
        <w:jc w:val="both"/>
      </w:pPr>
      <w:r w:rsidRPr="00146208">
        <w:rPr>
          <w:szCs w:val="20"/>
        </w:rPr>
        <w:t xml:space="preserve">(1) </w:t>
      </w:r>
      <w:r w:rsidR="000626E7" w:rsidRPr="00482312">
        <w:t xml:space="preserve">Yönetmeliğin 35 inci maddesi çerçevesinde, gözden geçirme döneminde </w:t>
      </w:r>
      <w:r w:rsidR="00533A73">
        <w:rPr>
          <w:szCs w:val="20"/>
        </w:rPr>
        <w:t>yerli üretim dalındaki</w:t>
      </w:r>
      <w:r w:rsidR="000626E7" w:rsidRPr="00482312">
        <w:t xml:space="preserve"> zarar durumu ve önlemlerin yürürlükten kalkması halinde zarara etki edebilecek muhtemel gelişmeler incelenmiştir. Bu çerçevede, ithalatın miktarı ve gelişimi, ithalat fiyatlarının gelişimi, fiyat kırılması ve baskısı ile </w:t>
      </w:r>
      <w:r w:rsidR="00533A73">
        <w:rPr>
          <w:szCs w:val="20"/>
        </w:rPr>
        <w:t>yerli üretim dalının</w:t>
      </w:r>
      <w:r w:rsidR="000626E7" w:rsidRPr="00482312">
        <w:t xml:space="preserve"> ekonomik göstergeleri </w:t>
      </w:r>
      <w:r w:rsidR="00754268">
        <w:t>yukarıda</w:t>
      </w:r>
      <w:r w:rsidR="000626E7">
        <w:t xml:space="preserve"> belirtilen gözden geçirme dönemi için </w:t>
      </w:r>
      <w:r w:rsidR="000626E7" w:rsidRPr="00482312">
        <w:t xml:space="preserve">incelenmiştir. </w:t>
      </w:r>
    </w:p>
    <w:p w:rsidR="00E70EF9" w:rsidRDefault="000626E7" w:rsidP="000B4C2B">
      <w:pPr>
        <w:spacing w:before="240" w:line="276" w:lineRule="auto"/>
        <w:jc w:val="both"/>
        <w:rPr>
          <w:szCs w:val="20"/>
        </w:rPr>
      </w:pPr>
      <w:r w:rsidRPr="00482312">
        <w:t>(2) Soruşturma</w:t>
      </w:r>
      <w:r w:rsidRPr="00482312">
        <w:rPr>
          <w:bCs/>
          <w:noProof/>
        </w:rPr>
        <w:t xml:space="preserve"> konusu ürünün genel ithalatı ve soruşturmaya konu ülkeden yapılan ithalatın incelemesinde Türkiye İstatistik Kurumu (TÜİK) verileri kullanılmıştır.</w:t>
      </w:r>
    </w:p>
    <w:p w:rsidR="00C669F8" w:rsidRDefault="00C669F8" w:rsidP="000D1BEC">
      <w:pPr>
        <w:keepNext/>
        <w:spacing w:line="276" w:lineRule="auto"/>
        <w:jc w:val="center"/>
        <w:outlineLvl w:val="1"/>
        <w:rPr>
          <w:b/>
        </w:rPr>
      </w:pPr>
      <w:bookmarkStart w:id="9" w:name="_Toc239562545"/>
    </w:p>
    <w:bookmarkEnd w:id="9"/>
    <w:p w:rsidR="00260B5F" w:rsidRPr="00C72F52" w:rsidRDefault="000B4C2B" w:rsidP="000B4C2B">
      <w:pPr>
        <w:keepNext/>
        <w:spacing w:line="276" w:lineRule="auto"/>
        <w:outlineLvl w:val="1"/>
        <w:rPr>
          <w:b/>
          <w:iCs/>
        </w:rPr>
      </w:pPr>
      <w:r>
        <w:rPr>
          <w:b/>
          <w:iCs/>
        </w:rPr>
        <w:t xml:space="preserve">4.2 Ürünün </w:t>
      </w:r>
      <w:r w:rsidR="00260B5F">
        <w:rPr>
          <w:b/>
          <w:iCs/>
        </w:rPr>
        <w:t>Genel İthalat</w:t>
      </w:r>
      <w:r w:rsidR="00B92F63">
        <w:rPr>
          <w:b/>
          <w:iCs/>
        </w:rPr>
        <w:t>ın</w:t>
      </w:r>
      <w:r>
        <w:rPr>
          <w:b/>
          <w:iCs/>
        </w:rPr>
        <w:t>ın</w:t>
      </w:r>
      <w:r w:rsidR="00B92F63">
        <w:rPr>
          <w:b/>
          <w:iCs/>
        </w:rPr>
        <w:t xml:space="preserve"> </w:t>
      </w:r>
      <w:r w:rsidR="000861D2">
        <w:rPr>
          <w:b/>
          <w:iCs/>
        </w:rPr>
        <w:t>Gelişimi ve Fiyatları</w:t>
      </w:r>
    </w:p>
    <w:p w:rsidR="004473BB" w:rsidRPr="007C64E2" w:rsidRDefault="004473BB" w:rsidP="004473BB">
      <w:pPr>
        <w:spacing w:after="240"/>
        <w:jc w:val="both"/>
        <w:rPr>
          <w:bCs/>
          <w:noProof/>
        </w:rPr>
      </w:pPr>
      <w:r w:rsidRPr="006A2832">
        <w:rPr>
          <w:bCs/>
        </w:rPr>
        <w:t xml:space="preserve">(1) </w:t>
      </w:r>
      <w:r>
        <w:t xml:space="preserve">Önleme konu ürüne ilişkin genel ithalat istatistiklerine bakıldığında, 2014 yılında 340 bin ton olan genel ithalat, 2015 yılında 312 bin ton ve 2016 yılında 306 bin ton </w:t>
      </w:r>
      <w:r w:rsidRPr="007C64E2">
        <w:rPr>
          <w:bCs/>
          <w:noProof/>
        </w:rPr>
        <w:t xml:space="preserve">seviyesinde gerçekleşmiştir. </w:t>
      </w:r>
    </w:p>
    <w:p w:rsidR="004473BB" w:rsidRDefault="004473BB" w:rsidP="004473BB">
      <w:pPr>
        <w:spacing w:after="240"/>
        <w:jc w:val="both"/>
      </w:pPr>
      <w:r w:rsidRPr="007C64E2">
        <w:rPr>
          <w:bCs/>
          <w:noProof/>
        </w:rPr>
        <w:t>(2) Genel ithalatının değer bazında 2014 yılında 193 milyon ABD Doları, 2015 yılında 170 milyon</w:t>
      </w:r>
      <w:r>
        <w:t xml:space="preserve"> ABD Doları ve 2016 yılında da 169 milyon ABD Doları düzeyinde gerçekleştiği görülmektedir.</w:t>
      </w:r>
    </w:p>
    <w:p w:rsidR="004473BB" w:rsidRDefault="004473BB" w:rsidP="004473BB">
      <w:pPr>
        <w:keepNext/>
        <w:jc w:val="both"/>
        <w:outlineLvl w:val="1"/>
      </w:pPr>
      <w:r>
        <w:t>(3) Genel ithalatın birim fiyatları ise 2014 yılında 568 ABD Doları/Ton, 2015 yılında 548 ABD Doları/Ton ve 2016 yılında da 553 ABD Doları/Ton olarak gerçekleşmiştir.</w:t>
      </w:r>
    </w:p>
    <w:p w:rsidR="00186F5C" w:rsidRDefault="00186F5C" w:rsidP="000D1BEC">
      <w:pPr>
        <w:spacing w:line="276" w:lineRule="auto"/>
        <w:ind w:firstLine="720"/>
        <w:jc w:val="both"/>
        <w:rPr>
          <w:bCs/>
        </w:rPr>
      </w:pPr>
    </w:p>
    <w:p w:rsidR="006A2832" w:rsidRPr="00260B5F" w:rsidRDefault="000B4C2B" w:rsidP="000B4C2B">
      <w:pPr>
        <w:keepNext/>
        <w:spacing w:line="276" w:lineRule="auto"/>
        <w:jc w:val="both"/>
        <w:outlineLvl w:val="1"/>
        <w:rPr>
          <w:b/>
          <w:iCs/>
        </w:rPr>
      </w:pPr>
      <w:r>
        <w:rPr>
          <w:b/>
          <w:iCs/>
        </w:rPr>
        <w:t xml:space="preserve">4.3 </w:t>
      </w:r>
      <w:r w:rsidR="00B92F63">
        <w:rPr>
          <w:b/>
          <w:iCs/>
        </w:rPr>
        <w:t>Soruşturma</w:t>
      </w:r>
      <w:r w:rsidR="00260B5F" w:rsidRPr="00260B5F">
        <w:rPr>
          <w:b/>
          <w:iCs/>
        </w:rPr>
        <w:t xml:space="preserve"> Konusu Ülke</w:t>
      </w:r>
      <w:r w:rsidR="000861D2">
        <w:rPr>
          <w:b/>
          <w:iCs/>
        </w:rPr>
        <w:t>ler</w:t>
      </w:r>
      <w:r w:rsidR="00260B5F" w:rsidRPr="00260B5F">
        <w:rPr>
          <w:b/>
          <w:iCs/>
        </w:rPr>
        <w:t>den</w:t>
      </w:r>
      <w:r>
        <w:rPr>
          <w:b/>
          <w:iCs/>
        </w:rPr>
        <w:t xml:space="preserve"> Ürünün</w:t>
      </w:r>
      <w:r w:rsidR="00260B5F" w:rsidRPr="00260B5F">
        <w:rPr>
          <w:b/>
          <w:iCs/>
        </w:rPr>
        <w:t xml:space="preserve"> İthalat</w:t>
      </w:r>
      <w:r w:rsidR="000861D2">
        <w:rPr>
          <w:b/>
          <w:iCs/>
        </w:rPr>
        <w:t>ın</w:t>
      </w:r>
      <w:r>
        <w:rPr>
          <w:b/>
          <w:iCs/>
        </w:rPr>
        <w:t>ın</w:t>
      </w:r>
      <w:r w:rsidR="000861D2">
        <w:rPr>
          <w:b/>
          <w:iCs/>
        </w:rPr>
        <w:t xml:space="preserve"> Gelişimi</w:t>
      </w:r>
      <w:r w:rsidR="00B92F63">
        <w:rPr>
          <w:b/>
          <w:iCs/>
        </w:rPr>
        <w:t xml:space="preserve"> ve Fiyatları</w:t>
      </w:r>
    </w:p>
    <w:p w:rsidR="00522819" w:rsidRDefault="00522819" w:rsidP="00522819">
      <w:pPr>
        <w:spacing w:line="276" w:lineRule="auto"/>
        <w:jc w:val="both"/>
        <w:rPr>
          <w:bCs/>
          <w:noProof/>
        </w:rPr>
      </w:pPr>
      <w:r w:rsidRPr="00522819">
        <w:rPr>
          <w:bCs/>
          <w:noProof/>
        </w:rPr>
        <w:t xml:space="preserve">(1) Önlem konusu ürünün ÇHC’den ithalatı miktar bazında 2014 yılında 7.613 ton iken 2015 yılında 4.930 ton ve 2016 yılında da 3.134 ton olmuştur. Gerçekleşen ithalatın değeri ise 2014 yılında 6,5 milyon ABD Doları iken 2015 yılında 3 milyon ABD Doları ve 2016 yılında da 5,5 milyon ABD Doları seviyesinde gerçekleşmiştir. </w:t>
      </w:r>
    </w:p>
    <w:p w:rsidR="00522819" w:rsidRPr="00522819" w:rsidRDefault="00522819" w:rsidP="00522819">
      <w:pPr>
        <w:spacing w:line="276" w:lineRule="auto"/>
        <w:jc w:val="both"/>
        <w:rPr>
          <w:bCs/>
          <w:noProof/>
        </w:rPr>
      </w:pPr>
    </w:p>
    <w:p w:rsidR="00E54ECB" w:rsidRDefault="00522819" w:rsidP="00522819">
      <w:pPr>
        <w:spacing w:line="276" w:lineRule="auto"/>
        <w:jc w:val="both"/>
      </w:pPr>
      <w:r w:rsidRPr="00522819">
        <w:rPr>
          <w:bCs/>
          <w:noProof/>
        </w:rPr>
        <w:t>(2) ÇHC’den yapılan ithalatın birim fiyatı ise 2014 yılında 857 ABD Doları/Ton iken 2015 yılında 605 ABD Doları/Ton ve 2016 yılında da 1.762 ABD Doları/Ton olarak gerçekleşmiştir</w:t>
      </w:r>
      <w:proofErr w:type="gramStart"/>
      <w:r w:rsidRPr="00522819">
        <w:rPr>
          <w:bCs/>
          <w:noProof/>
        </w:rPr>
        <w:t>.</w:t>
      </w:r>
      <w:r w:rsidR="00E54ECB" w:rsidRPr="00482312">
        <w:t>.</w:t>
      </w:r>
      <w:proofErr w:type="gramEnd"/>
    </w:p>
    <w:p w:rsidR="003412F4" w:rsidRDefault="003412F4" w:rsidP="000D1BEC">
      <w:pPr>
        <w:spacing w:line="276" w:lineRule="auto"/>
        <w:ind w:firstLine="720"/>
        <w:jc w:val="both"/>
        <w:rPr>
          <w:b/>
          <w:iCs/>
        </w:rPr>
      </w:pPr>
    </w:p>
    <w:p w:rsidR="00260B5F" w:rsidRPr="00260B5F" w:rsidRDefault="000B4C2B" w:rsidP="000B4C2B">
      <w:pPr>
        <w:keepNext/>
        <w:spacing w:line="276" w:lineRule="auto"/>
        <w:jc w:val="both"/>
        <w:outlineLvl w:val="1"/>
        <w:rPr>
          <w:b/>
          <w:iCs/>
        </w:rPr>
      </w:pPr>
      <w:r>
        <w:rPr>
          <w:b/>
          <w:iCs/>
        </w:rPr>
        <w:t xml:space="preserve">4.4 </w:t>
      </w:r>
      <w:r w:rsidR="00260B5F">
        <w:rPr>
          <w:b/>
          <w:iCs/>
        </w:rPr>
        <w:t>Diğer</w:t>
      </w:r>
      <w:r w:rsidR="00260B5F" w:rsidRPr="00260B5F">
        <w:rPr>
          <w:b/>
          <w:iCs/>
        </w:rPr>
        <w:t xml:space="preserve"> Ülke</w:t>
      </w:r>
      <w:r w:rsidR="00260B5F">
        <w:rPr>
          <w:b/>
          <w:iCs/>
        </w:rPr>
        <w:t>ler</w:t>
      </w:r>
      <w:r w:rsidR="00260B5F" w:rsidRPr="00260B5F">
        <w:rPr>
          <w:b/>
          <w:iCs/>
        </w:rPr>
        <w:t xml:space="preserve">den </w:t>
      </w:r>
      <w:r>
        <w:rPr>
          <w:b/>
          <w:iCs/>
        </w:rPr>
        <w:t xml:space="preserve">Ürünün </w:t>
      </w:r>
      <w:r w:rsidR="00260B5F" w:rsidRPr="00260B5F">
        <w:rPr>
          <w:b/>
          <w:iCs/>
        </w:rPr>
        <w:t>İthalat</w:t>
      </w:r>
      <w:r w:rsidR="000861D2">
        <w:rPr>
          <w:b/>
          <w:iCs/>
        </w:rPr>
        <w:t>ın</w:t>
      </w:r>
      <w:r>
        <w:rPr>
          <w:b/>
          <w:iCs/>
        </w:rPr>
        <w:t>ın</w:t>
      </w:r>
      <w:r w:rsidR="000861D2">
        <w:rPr>
          <w:b/>
          <w:iCs/>
        </w:rPr>
        <w:t xml:space="preserve"> Gelişimi ve Fiyatları</w:t>
      </w:r>
    </w:p>
    <w:p w:rsidR="00522819" w:rsidRDefault="00522819" w:rsidP="00522819">
      <w:pPr>
        <w:spacing w:line="276" w:lineRule="auto"/>
        <w:jc w:val="both"/>
      </w:pPr>
      <w:bookmarkStart w:id="10" w:name="_Toc239562546"/>
      <w:r>
        <w:t xml:space="preserve">(1) Önleme konu ürüne ilişkin diğer ülkelerden gerçekleşen ithalat istatistiklerine bakıldığında, ürünün 2014 yılında 332 bin ton olan ithalatının, 2015 yılında 306 bin tona ve 2016 yılında ise 303 bin ton seviyesine gerilediği görülmektedir. Önleme konu ürün ithalatı değer olarak incelendiğinde ise 2014 yılında 186 milyon Dolar, 2015 yılında 167 milyon Dolar seviyelerinde gerçekleşen ithalatın 2016 yılında ise 163 milyon Dolara gerilediği tespit edilmiştir.  </w:t>
      </w:r>
    </w:p>
    <w:p w:rsidR="00522819" w:rsidRDefault="00522819" w:rsidP="00522819">
      <w:pPr>
        <w:spacing w:line="276" w:lineRule="auto"/>
        <w:jc w:val="both"/>
      </w:pPr>
    </w:p>
    <w:p w:rsidR="00522819" w:rsidRDefault="00522819" w:rsidP="00522819">
      <w:pPr>
        <w:spacing w:line="276" w:lineRule="auto"/>
        <w:jc w:val="both"/>
      </w:pPr>
      <w:r>
        <w:t xml:space="preserve">(2) Buna göre üçüncü ülkelerden gerçekleşen ithalatın ortalama birim fiyatları incelenen yıllar itibariyle </w:t>
      </w:r>
      <w:proofErr w:type="gramStart"/>
      <w:r>
        <w:t>561  Dolar</w:t>
      </w:r>
      <w:proofErr w:type="gramEnd"/>
      <w:r>
        <w:t>/Ton, 547  Dolar/Ton  ve 540  Dolar/Ton olarak gerçekleşmiştir.</w:t>
      </w:r>
    </w:p>
    <w:p w:rsidR="00522819" w:rsidRDefault="00522819" w:rsidP="00522819">
      <w:pPr>
        <w:spacing w:line="276" w:lineRule="auto"/>
        <w:jc w:val="both"/>
      </w:pPr>
    </w:p>
    <w:p w:rsidR="00D23F2A" w:rsidRDefault="000B4C2B" w:rsidP="00522819">
      <w:pPr>
        <w:spacing w:line="276" w:lineRule="auto"/>
        <w:jc w:val="both"/>
        <w:rPr>
          <w:b/>
          <w:bCs/>
          <w:iCs/>
        </w:rPr>
      </w:pPr>
      <w:r>
        <w:rPr>
          <w:b/>
          <w:bCs/>
          <w:iCs/>
        </w:rPr>
        <w:t xml:space="preserve">4.5 </w:t>
      </w:r>
      <w:r w:rsidR="00942F1A" w:rsidRPr="00574216">
        <w:rPr>
          <w:b/>
          <w:bCs/>
          <w:iCs/>
        </w:rPr>
        <w:t>Yurtiçi Tüketim ve</w:t>
      </w:r>
      <w:r w:rsidR="006A2832" w:rsidRPr="00574216">
        <w:rPr>
          <w:b/>
          <w:bCs/>
          <w:iCs/>
        </w:rPr>
        <w:t xml:space="preserve"> </w:t>
      </w:r>
      <w:bookmarkEnd w:id="10"/>
      <w:r w:rsidR="006A2832" w:rsidRPr="00574216">
        <w:rPr>
          <w:b/>
          <w:bCs/>
          <w:iCs/>
        </w:rPr>
        <w:t>Pazar Payı</w:t>
      </w:r>
      <w:r w:rsidR="006A2832" w:rsidRPr="00A520D7">
        <w:rPr>
          <w:b/>
          <w:bCs/>
          <w:iCs/>
        </w:rPr>
        <w:t xml:space="preserve"> </w:t>
      </w:r>
    </w:p>
    <w:p w:rsidR="000B5C5F" w:rsidRDefault="000B5C5F" w:rsidP="000B5C5F">
      <w:pPr>
        <w:spacing w:after="180" w:line="276" w:lineRule="auto"/>
        <w:jc w:val="both"/>
        <w:rPr>
          <w:noProof/>
        </w:rPr>
      </w:pPr>
      <w:r>
        <w:rPr>
          <w:noProof/>
        </w:rPr>
        <w:t xml:space="preserve">(1) Türkiye toplam benzer mal tüketiminin hesaplanmasında şikâyette bulunan firmaların 2016 yılı yurt içi satış miktarları ile genel ithalat miktarları ton bazında toplanarak ilgili yılda benzer mala ilişkin toplam tüketim verileri elde edilmiştir. </w:t>
      </w:r>
    </w:p>
    <w:p w:rsidR="000B5C5F" w:rsidRDefault="000B5C5F" w:rsidP="000B5C5F">
      <w:pPr>
        <w:spacing w:after="180" w:line="276" w:lineRule="auto"/>
        <w:jc w:val="both"/>
        <w:rPr>
          <w:noProof/>
        </w:rPr>
      </w:pPr>
      <w:r>
        <w:rPr>
          <w:noProof/>
        </w:rPr>
        <w:lastRenderedPageBreak/>
        <w:t xml:space="preserve">(2) Benzer ürünün Türkiye pazarının gelişimini ölçen endeks verilerine göre 2014 yılında 100 olan tüketim endeks değeri 2015 yılında 93’e ve 2016 yılında ise 84’e gerilemiştir. </w:t>
      </w:r>
    </w:p>
    <w:p w:rsidR="000B5C5F" w:rsidRDefault="000B5C5F" w:rsidP="000B5C5F">
      <w:pPr>
        <w:spacing w:after="180" w:line="276" w:lineRule="auto"/>
        <w:jc w:val="both"/>
        <w:rPr>
          <w:noProof/>
        </w:rPr>
      </w:pPr>
      <w:r>
        <w:rPr>
          <w:noProof/>
        </w:rPr>
        <w:t>(3) ÇHC’nin tüketim pazar payı ise 2014 yılında 100 olmak üzere 2015 yılında 70 ve 2016 yılında da 49 seviyesinde gerçekleşmiştir.</w:t>
      </w:r>
    </w:p>
    <w:p w:rsidR="000B5C5F" w:rsidRDefault="000B5C5F" w:rsidP="000B5C5F">
      <w:pPr>
        <w:spacing w:after="180" w:line="276" w:lineRule="auto"/>
        <w:jc w:val="both"/>
        <w:rPr>
          <w:noProof/>
        </w:rPr>
      </w:pPr>
      <w:r>
        <w:rPr>
          <w:noProof/>
        </w:rPr>
        <w:t>(4) Yerli üretim dalının tüketim pazar payı değerleri ise 2014 yılı 100 olmak üzere 2015 yılında 106 ve 2016 yılında ise 67 olarak gerileme göstermiştir.</w:t>
      </w:r>
    </w:p>
    <w:p w:rsidR="00007350" w:rsidRDefault="000B5C5F" w:rsidP="000B5C5F">
      <w:pPr>
        <w:spacing w:after="180" w:line="276" w:lineRule="auto"/>
        <w:jc w:val="both"/>
      </w:pPr>
      <w:r>
        <w:rPr>
          <w:noProof/>
        </w:rPr>
        <w:t>(5) Diğer ülkelerden yapılan ithalatın pazar payı 2014 yılında 100 iken 2015 yılında 99’a gerilemiş ve 2016 yılında ise 109’a yükselmiştir.</w:t>
      </w:r>
    </w:p>
    <w:p w:rsidR="004405B3" w:rsidRPr="00777DDE" w:rsidRDefault="000B4C2B" w:rsidP="000B4C2B">
      <w:pPr>
        <w:spacing w:line="276" w:lineRule="auto"/>
        <w:jc w:val="both"/>
        <w:rPr>
          <w:b/>
          <w:bCs/>
        </w:rPr>
      </w:pPr>
      <w:r>
        <w:rPr>
          <w:b/>
          <w:bCs/>
        </w:rPr>
        <w:t xml:space="preserve">4.6 </w:t>
      </w:r>
      <w:r w:rsidR="004405B3" w:rsidRPr="00777DDE">
        <w:rPr>
          <w:b/>
          <w:bCs/>
        </w:rPr>
        <w:t xml:space="preserve">Fiyat </w:t>
      </w:r>
      <w:r w:rsidR="000861D2">
        <w:rPr>
          <w:b/>
          <w:bCs/>
        </w:rPr>
        <w:t>K</w:t>
      </w:r>
      <w:r w:rsidR="00CA7563" w:rsidRPr="00777DDE">
        <w:rPr>
          <w:b/>
          <w:bCs/>
        </w:rPr>
        <w:t xml:space="preserve">ırılması </w:t>
      </w:r>
      <w:r w:rsidR="00F63122">
        <w:rPr>
          <w:b/>
          <w:bCs/>
        </w:rPr>
        <w:t>ve Baskısı</w:t>
      </w:r>
    </w:p>
    <w:p w:rsidR="00EC4E70" w:rsidRDefault="00EC4E70" w:rsidP="00EC4E70">
      <w:pPr>
        <w:spacing w:after="240" w:line="276" w:lineRule="auto"/>
        <w:jc w:val="both"/>
        <w:rPr>
          <w:noProof/>
        </w:rPr>
      </w:pPr>
      <w:r>
        <w:rPr>
          <w:noProof/>
        </w:rPr>
        <w:t xml:space="preserve">(1) Soruşturma konusu ithal ürün fiyatlarının Türkiye piyasasında yerli üreticinin yurt içi satış fiyatlarının yüzde olarak ne kadar altında kaldığını gösteren fiyat kırılması analizinde önleme konu ülkenin CIF ithal fiyatlarının üzerine gümrük vergisi ve diğer ithalat masrafları ilave edilerek bulunan önlem konusu ürünün Türkiye piyasasına giriş fiyatları, yerli üretim dalının ortalama yurtiçi satış fiyatları ile karşılaştırılmıştır. Önleme konu ülke menşeli ithalatın yurtiçi pazara giriş fiyatı bulunurken CIF ithal fiyatlarına %1,7 gümrük vergisi ile %2 oranında gümrükleme masrafı ilave edilmiştir. Dampinge karşı önlemin mevcut olmadığı piyasa ortamında fiyat etkisi incelendiğinden söz konusu değere dampinge karşı önlem eklenmemiştir. </w:t>
      </w:r>
    </w:p>
    <w:p w:rsidR="00EC4E70" w:rsidRDefault="00EC4E70" w:rsidP="00EC4E70">
      <w:pPr>
        <w:spacing w:after="240" w:line="276" w:lineRule="auto"/>
        <w:jc w:val="both"/>
        <w:rPr>
          <w:noProof/>
        </w:rPr>
      </w:pPr>
      <w:r>
        <w:rPr>
          <w:noProof/>
        </w:rPr>
        <w:t>(2) Buna göre ÇHC menşeli ithalatın yerli üretim dalının fiyatlarını 2014 ve 2016 yıllarında kırmadığı 2015 yılında ise %1</w:t>
      </w:r>
      <w:r w:rsidR="00FB54F9">
        <w:rPr>
          <w:noProof/>
        </w:rPr>
        <w:t>X</w:t>
      </w:r>
      <w:r>
        <w:rPr>
          <w:noProof/>
        </w:rPr>
        <w:t xml:space="preserve"> oranında kırdığı tespit edilmiştir. </w:t>
      </w:r>
    </w:p>
    <w:p w:rsidR="00EC4E70" w:rsidRDefault="00EC4E70" w:rsidP="00EC4E70">
      <w:pPr>
        <w:spacing w:after="240" w:line="276" w:lineRule="auto"/>
        <w:jc w:val="both"/>
        <w:rPr>
          <w:noProof/>
        </w:rPr>
      </w:pPr>
      <w:r>
        <w:rPr>
          <w:noProof/>
        </w:rPr>
        <w:t>(3) Fiyat baskısı ise ithal ürün fiyatlarının Türkiye piyasasında yerli üretim dalının olması gereken satış fiyatının yüzde olarak ne kadar altında kaldığını göstermektedir.  Buna göre ÇHC menşeli ithalat yerli üretim dalının fiyatları üzerinde 2014 ve 2016 yıllarında baskı oluşturmadığı 2015 yılında ise %</w:t>
      </w:r>
      <w:r w:rsidR="00FB54F9">
        <w:rPr>
          <w:noProof/>
        </w:rPr>
        <w:t>X</w:t>
      </w:r>
      <w:r>
        <w:rPr>
          <w:noProof/>
        </w:rPr>
        <w:t xml:space="preserve"> oranında fiyat baskısı oluşturduğu tespit edilmiştir. </w:t>
      </w:r>
    </w:p>
    <w:p w:rsidR="00533A73" w:rsidRPr="00482312" w:rsidRDefault="00EC4E70" w:rsidP="00EC4E70">
      <w:pPr>
        <w:spacing w:after="240" w:line="276" w:lineRule="auto"/>
        <w:jc w:val="both"/>
      </w:pPr>
      <w:r>
        <w:rPr>
          <w:noProof/>
        </w:rPr>
        <w:t>(4) Bu çerçevede, fiyat kırılmasının ve baskısının her yıl olmamasının nedeni olarak; önlemin etkinliği sonrası önlem konusu ülkeden ithalatın kompozisyonun değişmiş olabileceği ve incelenen yıllarında önlem konusu ülkeden ithalatın düşük seviyelere gerilemiş olmasının etkili olabileceği değerlendirilmektedir.</w:t>
      </w:r>
    </w:p>
    <w:p w:rsidR="00D23F2A" w:rsidRDefault="000B4C2B" w:rsidP="000B4C2B">
      <w:pPr>
        <w:spacing w:line="276" w:lineRule="auto"/>
        <w:jc w:val="both"/>
        <w:rPr>
          <w:b/>
        </w:rPr>
      </w:pPr>
      <w:r>
        <w:rPr>
          <w:b/>
        </w:rPr>
        <w:t xml:space="preserve">4.7 </w:t>
      </w:r>
      <w:r w:rsidR="00690110" w:rsidRPr="00C9531E">
        <w:rPr>
          <w:b/>
        </w:rPr>
        <w:t xml:space="preserve">Yerli </w:t>
      </w:r>
      <w:r w:rsidR="000861D2" w:rsidRPr="00C9531E">
        <w:rPr>
          <w:b/>
        </w:rPr>
        <w:t>Üretim Dalının Ekonomik Göstergeleri</w:t>
      </w:r>
    </w:p>
    <w:p w:rsidR="000D1BEC" w:rsidRDefault="0036450D" w:rsidP="0036450D">
      <w:pPr>
        <w:spacing w:line="276" w:lineRule="auto"/>
        <w:jc w:val="both"/>
        <w:rPr>
          <w:bCs/>
          <w:noProof/>
        </w:rPr>
      </w:pPr>
      <w:r w:rsidRPr="0036450D">
        <w:rPr>
          <w:bCs/>
          <w:noProof/>
        </w:rPr>
        <w:t>(1) Yerli üretim dalının ekonomik göstergeleri başvuru sahibi firmaların 2014-2016 dönemine ilişkin verilerinin esas alınması suretiyle incelenmiştir. Diğer taraftan, eğilimin sağlıklı bir şekilde incelenmesi amacıyla Türk Lirası bazındaki veriler için on iki aylık ortalama Üretici Fiyat Endeksi (ÜFE) kullanılarak enflasyondan arındırılmış reel değerler kullanılmış ve 2014 yılı verileri 100 birim olacak şekilde endekslenmiştir.</w:t>
      </w:r>
    </w:p>
    <w:p w:rsidR="0036450D" w:rsidRPr="00482312" w:rsidRDefault="0036450D" w:rsidP="0036450D">
      <w:pPr>
        <w:spacing w:line="276" w:lineRule="auto"/>
        <w:jc w:val="both"/>
        <w:rPr>
          <w:bCs/>
          <w:spacing w:val="-2"/>
        </w:rPr>
      </w:pPr>
    </w:p>
    <w:p w:rsidR="0036450D" w:rsidRPr="00077B00" w:rsidRDefault="0036450D" w:rsidP="0036450D">
      <w:pPr>
        <w:jc w:val="both"/>
        <w:rPr>
          <w:b/>
          <w:bCs/>
        </w:rPr>
      </w:pPr>
      <w:r w:rsidRPr="00077B00">
        <w:rPr>
          <w:b/>
          <w:bCs/>
        </w:rPr>
        <w:t xml:space="preserve">a) Üretim, kapasite ve kapasite kullanım oranı </w:t>
      </w:r>
    </w:p>
    <w:p w:rsidR="0036450D" w:rsidRPr="00077B00" w:rsidRDefault="0036450D" w:rsidP="0036450D">
      <w:pPr>
        <w:tabs>
          <w:tab w:val="num" w:pos="426"/>
        </w:tabs>
        <w:jc w:val="both"/>
      </w:pPr>
      <w:r w:rsidRPr="00077B00">
        <w:t xml:space="preserve">(1) </w:t>
      </w:r>
      <w:r>
        <w:t>Yerli üretim dalını</w:t>
      </w:r>
      <w:r w:rsidRPr="00077B00">
        <w:t xml:space="preserve">n </w:t>
      </w:r>
      <w:r>
        <w:t>benzer üründe</w:t>
      </w:r>
      <w:r w:rsidRPr="00077B00">
        <w:t xml:space="preserve"> 2014 yılında 100 olan üretim miktar endeksi 2015 yılında 84 ve 2016 yılında ise 66 olarak gerçekleşmiştir.</w:t>
      </w:r>
    </w:p>
    <w:p w:rsidR="0036450D" w:rsidRPr="00077B00" w:rsidRDefault="0036450D" w:rsidP="0036450D">
      <w:pPr>
        <w:tabs>
          <w:tab w:val="num" w:pos="426"/>
        </w:tabs>
        <w:ind w:firstLine="426"/>
        <w:jc w:val="both"/>
        <w:rPr>
          <w:b/>
        </w:rPr>
      </w:pPr>
      <w:r w:rsidRPr="00077B00">
        <w:rPr>
          <w:b/>
        </w:rPr>
        <w:t xml:space="preserve"> </w:t>
      </w:r>
    </w:p>
    <w:p w:rsidR="0036450D" w:rsidRDefault="0036450D" w:rsidP="0036450D">
      <w:pPr>
        <w:tabs>
          <w:tab w:val="num" w:pos="426"/>
        </w:tabs>
        <w:jc w:val="both"/>
      </w:pPr>
      <w:r w:rsidRPr="00077B00">
        <w:t xml:space="preserve">(2) Bu dönemde </w:t>
      </w:r>
      <w:r>
        <w:t>yerli üretim dalını</w:t>
      </w:r>
      <w:r w:rsidRPr="00077B00">
        <w:t>n kurulu üretim kapasitesi değişmemiştir. Dönem boyunca kapasite kullanım oranı ise sırasıyla 100, 84 ve 66 olarak düşüş göstermiştir.</w:t>
      </w:r>
    </w:p>
    <w:p w:rsidR="0036450D" w:rsidRPr="00077B00" w:rsidRDefault="0036450D" w:rsidP="0036450D">
      <w:pPr>
        <w:tabs>
          <w:tab w:val="num" w:pos="426"/>
        </w:tabs>
        <w:ind w:firstLine="426"/>
        <w:jc w:val="both"/>
      </w:pPr>
    </w:p>
    <w:p w:rsidR="0036450D" w:rsidRPr="00077B00" w:rsidRDefault="0036450D" w:rsidP="0036450D">
      <w:pPr>
        <w:jc w:val="both"/>
        <w:rPr>
          <w:b/>
          <w:bCs/>
        </w:rPr>
      </w:pPr>
      <w:r w:rsidRPr="00077B00">
        <w:rPr>
          <w:b/>
          <w:bCs/>
        </w:rPr>
        <w:lastRenderedPageBreak/>
        <w:t>b) Yurt içi satışlar ve ihracat</w:t>
      </w:r>
    </w:p>
    <w:p w:rsidR="0036450D" w:rsidRPr="00077B00" w:rsidRDefault="0036450D" w:rsidP="0036450D">
      <w:pPr>
        <w:jc w:val="both"/>
      </w:pPr>
      <w:r>
        <w:t>(1) Yerli üretim dalının benzer</w:t>
      </w:r>
      <w:r w:rsidRPr="00077B00">
        <w:t xml:space="preserve"> üründe 2014 yılında 100 olan yurt içi satış miktar endeksi, 2015 yılında 99’a ve 2014 yılında ise 56’ya gerilemiştir.</w:t>
      </w:r>
    </w:p>
    <w:p w:rsidR="0036450D" w:rsidRPr="00077B00" w:rsidRDefault="0036450D" w:rsidP="0036450D">
      <w:pPr>
        <w:tabs>
          <w:tab w:val="num" w:pos="426"/>
          <w:tab w:val="left" w:pos="709"/>
        </w:tabs>
        <w:ind w:left="426"/>
        <w:jc w:val="both"/>
      </w:pPr>
    </w:p>
    <w:p w:rsidR="0036450D" w:rsidRPr="00077B00" w:rsidRDefault="0036450D" w:rsidP="0036450D">
      <w:pPr>
        <w:jc w:val="both"/>
      </w:pPr>
      <w:r>
        <w:t>(2)</w:t>
      </w:r>
      <w:r w:rsidRPr="00077B00">
        <w:t xml:space="preserve"> Gerçekleşen yurt içi birim satış fiyatları reel olarak incelendiğinde ise 2014 yılında 100 olan endeksin 2015 yılında 83’e gerilediği ve 2016 yılında ise 96’ya yükseldiği görülmüştür.</w:t>
      </w:r>
    </w:p>
    <w:p w:rsidR="0036450D" w:rsidRPr="00077B00" w:rsidRDefault="0036450D" w:rsidP="0036450D">
      <w:pPr>
        <w:pStyle w:val="ListeParagraf"/>
        <w:tabs>
          <w:tab w:val="num" w:pos="426"/>
        </w:tabs>
        <w:ind w:left="0" w:firstLine="426"/>
      </w:pPr>
    </w:p>
    <w:p w:rsidR="0036450D" w:rsidRPr="00077B00" w:rsidRDefault="0036450D" w:rsidP="0036450D">
      <w:pPr>
        <w:jc w:val="both"/>
      </w:pPr>
      <w:r>
        <w:t xml:space="preserve">(3) Yerli üretim dalının </w:t>
      </w:r>
      <w:r w:rsidRPr="00077B00">
        <w:t>aynı dönemdeki yurt dışı satışları ise miktar bazında 2014 yılı 100 olmak üzere 2015 yılında 78’e ve 2016 yılında ise 43’e gerilemiştir.</w:t>
      </w:r>
    </w:p>
    <w:p w:rsidR="0036450D" w:rsidRPr="00077B00" w:rsidRDefault="0036450D" w:rsidP="0036450D">
      <w:pPr>
        <w:ind w:left="426"/>
        <w:jc w:val="both"/>
      </w:pPr>
    </w:p>
    <w:p w:rsidR="0036450D" w:rsidRDefault="0036450D" w:rsidP="0036450D">
      <w:pPr>
        <w:jc w:val="both"/>
      </w:pPr>
      <w:r>
        <w:t xml:space="preserve">(4) </w:t>
      </w:r>
      <w:r w:rsidRPr="00077B00">
        <w:t xml:space="preserve">Yurtdışı ürün satışlarının birim fiyat endeksi ise 2014 yılı 100 olmak üzere 2015 yılında 110 ve 2016 yılında ise 153 düzeyine yükselmiştir. </w:t>
      </w:r>
    </w:p>
    <w:p w:rsidR="0036450D" w:rsidRDefault="0036450D" w:rsidP="0036450D">
      <w:pPr>
        <w:jc w:val="both"/>
      </w:pPr>
    </w:p>
    <w:p w:rsidR="0036450D" w:rsidRPr="00077B00" w:rsidRDefault="0036450D" w:rsidP="0036450D">
      <w:pPr>
        <w:jc w:val="both"/>
        <w:rPr>
          <w:b/>
          <w:bCs/>
        </w:rPr>
      </w:pPr>
      <w:r>
        <w:rPr>
          <w:b/>
          <w:bCs/>
        </w:rPr>
        <w:t>c</w:t>
      </w:r>
      <w:r w:rsidRPr="00077B00">
        <w:rPr>
          <w:b/>
          <w:bCs/>
        </w:rPr>
        <w:t>) Maliyetler ve kârlılık</w:t>
      </w:r>
    </w:p>
    <w:p w:rsidR="0036450D" w:rsidRPr="00077B00" w:rsidRDefault="0036450D" w:rsidP="0036450D">
      <w:pPr>
        <w:tabs>
          <w:tab w:val="num" w:pos="426"/>
        </w:tabs>
        <w:jc w:val="both"/>
      </w:pPr>
      <w:r w:rsidRPr="00077B00">
        <w:t xml:space="preserve">(1) </w:t>
      </w:r>
      <w:r>
        <w:t>Yerli üretim dalının benzer</w:t>
      </w:r>
      <w:r w:rsidRPr="00077B00">
        <w:t xml:space="preserve"> üründe ağırlıklı ortalama birim ticari maliyet endeksi 2014 yılında 100 olmak üzere 2015 yılında 81 ve 2016 yılında ise 91 olarak gerçekleşmiştir.</w:t>
      </w:r>
    </w:p>
    <w:p w:rsidR="0036450D" w:rsidRPr="00077B00" w:rsidRDefault="0036450D" w:rsidP="0036450D">
      <w:pPr>
        <w:shd w:val="clear" w:color="auto" w:fill="FFFFFF"/>
        <w:tabs>
          <w:tab w:val="num" w:pos="426"/>
        </w:tabs>
        <w:ind w:firstLine="426"/>
        <w:jc w:val="both"/>
        <w:rPr>
          <w:b/>
        </w:rPr>
      </w:pPr>
    </w:p>
    <w:p w:rsidR="0036450D" w:rsidRDefault="0036450D" w:rsidP="0036450D">
      <w:pPr>
        <w:tabs>
          <w:tab w:val="num" w:pos="426"/>
        </w:tabs>
        <w:jc w:val="both"/>
      </w:pPr>
      <w:r w:rsidRPr="00077B00">
        <w:t xml:space="preserve">(2) </w:t>
      </w:r>
      <w:r>
        <w:t xml:space="preserve">Yerli üretim dalının </w:t>
      </w:r>
      <w:r w:rsidRPr="00077B00">
        <w:t xml:space="preserve">birim ticari maliyetleri ve ortalama yurt içi satış fiyatları dikkate alınarak hesaplanan yurt içi ürün birim kârlılık endeksi 2014 yılı 100 olmak üzere 2015 yılında 95’e gerilemiş ve 2016 yılında ise 121’e yükselmiştir. </w:t>
      </w:r>
      <w:r>
        <w:t>Toplam karlılık endeksleri ise sırasıyla 100, 96, 124 olarak gerçekleşmiştir.</w:t>
      </w:r>
    </w:p>
    <w:p w:rsidR="0036450D" w:rsidRDefault="0036450D" w:rsidP="0036450D">
      <w:pPr>
        <w:ind w:left="426"/>
        <w:jc w:val="both"/>
      </w:pPr>
    </w:p>
    <w:p w:rsidR="0036450D" w:rsidRPr="00077B00" w:rsidRDefault="0036450D" w:rsidP="0036450D">
      <w:pPr>
        <w:jc w:val="both"/>
        <w:rPr>
          <w:b/>
          <w:bCs/>
        </w:rPr>
      </w:pPr>
      <w:r>
        <w:rPr>
          <w:b/>
          <w:bCs/>
        </w:rPr>
        <w:t>ç</w:t>
      </w:r>
      <w:r w:rsidRPr="00077B00">
        <w:rPr>
          <w:b/>
          <w:bCs/>
        </w:rPr>
        <w:t xml:space="preserve">) </w:t>
      </w:r>
      <w:r>
        <w:rPr>
          <w:b/>
          <w:bCs/>
        </w:rPr>
        <w:t>Yerli üretim dalı p</w:t>
      </w:r>
      <w:r w:rsidRPr="00077B00">
        <w:rPr>
          <w:b/>
          <w:bCs/>
        </w:rPr>
        <w:t>azar payı</w:t>
      </w:r>
    </w:p>
    <w:p w:rsidR="0036450D" w:rsidRPr="00077B00" w:rsidRDefault="0036450D" w:rsidP="0036450D">
      <w:pPr>
        <w:tabs>
          <w:tab w:val="num" w:pos="567"/>
        </w:tabs>
        <w:jc w:val="both"/>
      </w:pPr>
      <w:r>
        <w:t>(1)</w:t>
      </w:r>
      <w:r w:rsidRPr="00077B00">
        <w:t xml:space="preserve"> Önlem konusu ürünün Türkiye toplam pazarındaki gelişimine bakıldığında tüketim endeksinin 2014 yılı 100 olmak üzere 2015 yılında </w:t>
      </w:r>
      <w:r>
        <w:t xml:space="preserve">106’ya yükseldiği </w:t>
      </w:r>
      <w:r w:rsidRPr="00077B00">
        <w:t xml:space="preserve">ve 2016 yılında ise </w:t>
      </w:r>
      <w:r>
        <w:t>67</w:t>
      </w:r>
      <w:r w:rsidRPr="00077B00">
        <w:t>’</w:t>
      </w:r>
      <w:r>
        <w:t>y</w:t>
      </w:r>
      <w:r w:rsidRPr="00077B00">
        <w:t>e gerilediği görülmüştür.</w:t>
      </w:r>
    </w:p>
    <w:p w:rsidR="0036450D" w:rsidRPr="00077B00" w:rsidRDefault="0036450D" w:rsidP="0036450D">
      <w:pPr>
        <w:tabs>
          <w:tab w:val="num" w:pos="426"/>
        </w:tabs>
        <w:ind w:left="426"/>
        <w:jc w:val="both"/>
      </w:pPr>
    </w:p>
    <w:p w:rsidR="0036450D" w:rsidRPr="00077B00" w:rsidRDefault="0036450D" w:rsidP="0036450D">
      <w:pPr>
        <w:jc w:val="both"/>
        <w:rPr>
          <w:b/>
          <w:bCs/>
        </w:rPr>
      </w:pPr>
      <w:r>
        <w:rPr>
          <w:b/>
          <w:bCs/>
        </w:rPr>
        <w:t>d</w:t>
      </w:r>
      <w:r w:rsidRPr="00077B00">
        <w:rPr>
          <w:b/>
          <w:bCs/>
        </w:rPr>
        <w:t>) Stoklar</w:t>
      </w:r>
    </w:p>
    <w:p w:rsidR="0036450D" w:rsidRPr="00077B00" w:rsidRDefault="0036450D" w:rsidP="0036450D">
      <w:pPr>
        <w:jc w:val="both"/>
      </w:pPr>
      <w:r>
        <w:t>(1)</w:t>
      </w:r>
      <w:r w:rsidRPr="00077B00">
        <w:t xml:space="preserve"> </w:t>
      </w:r>
      <w:r>
        <w:t>Yerli üretim dalının</w:t>
      </w:r>
      <w:r w:rsidRPr="00077B00">
        <w:t xml:space="preserve"> </w:t>
      </w:r>
      <w:r>
        <w:t>benzer</w:t>
      </w:r>
      <w:r w:rsidRPr="00077B00">
        <w:t xml:space="preserve"> üründe stok miktar e</w:t>
      </w:r>
      <w:r>
        <w:t>ndeksi 2014 yılı 100 olmak üzer</w:t>
      </w:r>
      <w:r w:rsidRPr="00077B00">
        <w:t>e</w:t>
      </w:r>
      <w:r>
        <w:t xml:space="preserve"> </w:t>
      </w:r>
      <w:r w:rsidRPr="00077B00">
        <w:t>2015 yılında 66’ya gerilemiş ve 2016 yılında ise 130’a yükselmiştir.</w:t>
      </w:r>
    </w:p>
    <w:p w:rsidR="0036450D" w:rsidRPr="00077B00" w:rsidRDefault="0036450D" w:rsidP="0036450D">
      <w:pPr>
        <w:tabs>
          <w:tab w:val="num" w:pos="426"/>
        </w:tabs>
        <w:ind w:firstLine="426"/>
        <w:jc w:val="both"/>
        <w:rPr>
          <w:b/>
        </w:rPr>
      </w:pPr>
    </w:p>
    <w:p w:rsidR="0036450D" w:rsidRPr="00077B00" w:rsidRDefault="0036450D" w:rsidP="0036450D">
      <w:pPr>
        <w:jc w:val="both"/>
        <w:rPr>
          <w:b/>
          <w:bCs/>
        </w:rPr>
      </w:pPr>
      <w:r>
        <w:rPr>
          <w:b/>
          <w:bCs/>
        </w:rPr>
        <w:t>e</w:t>
      </w:r>
      <w:r w:rsidRPr="00077B00">
        <w:rPr>
          <w:b/>
          <w:bCs/>
        </w:rPr>
        <w:t>) İstihdam</w:t>
      </w:r>
    </w:p>
    <w:p w:rsidR="0036450D" w:rsidRPr="00077B00" w:rsidRDefault="0036450D" w:rsidP="0036450D">
      <w:pPr>
        <w:tabs>
          <w:tab w:val="num" w:pos="426"/>
        </w:tabs>
        <w:jc w:val="both"/>
      </w:pPr>
      <w:r w:rsidRPr="00077B00">
        <w:t xml:space="preserve">(1) </w:t>
      </w:r>
      <w:r>
        <w:t>Yerli üretim dalının benzer</w:t>
      </w:r>
      <w:r w:rsidRPr="00077B00">
        <w:t xml:space="preserve"> üründeki çalışan toplam işçi sayısı endeksi 2014 yılı 100 olmak üzere 2015 yılında 87’ye v</w:t>
      </w:r>
      <w:r>
        <w:t>e 2016 yılında ise 71</w:t>
      </w:r>
      <w:r w:rsidRPr="00077B00">
        <w:t xml:space="preserve">’e gerilemiştir.  </w:t>
      </w:r>
    </w:p>
    <w:p w:rsidR="0036450D" w:rsidRPr="00077B00" w:rsidRDefault="0036450D" w:rsidP="0036450D">
      <w:pPr>
        <w:tabs>
          <w:tab w:val="num" w:pos="426"/>
        </w:tabs>
        <w:ind w:firstLine="426"/>
        <w:jc w:val="both"/>
      </w:pPr>
    </w:p>
    <w:p w:rsidR="0036450D" w:rsidRPr="00077B00" w:rsidRDefault="0036450D" w:rsidP="0036450D">
      <w:pPr>
        <w:jc w:val="both"/>
        <w:rPr>
          <w:b/>
          <w:bCs/>
        </w:rPr>
      </w:pPr>
      <w:r>
        <w:rPr>
          <w:b/>
          <w:bCs/>
        </w:rPr>
        <w:t>f</w:t>
      </w:r>
      <w:r w:rsidRPr="00077B00">
        <w:rPr>
          <w:b/>
          <w:bCs/>
        </w:rPr>
        <w:t>) Verimlilik</w:t>
      </w:r>
    </w:p>
    <w:p w:rsidR="0036450D" w:rsidRPr="00077B00" w:rsidRDefault="0036450D" w:rsidP="0036450D">
      <w:pPr>
        <w:tabs>
          <w:tab w:val="num" w:pos="426"/>
        </w:tabs>
        <w:jc w:val="both"/>
      </w:pPr>
      <w:r w:rsidRPr="00077B00">
        <w:t xml:space="preserve">(1) </w:t>
      </w:r>
      <w:r>
        <w:t xml:space="preserve">Yerli üretim dalının </w:t>
      </w:r>
      <w:r w:rsidRPr="00077B00">
        <w:t>üretimde direkt çalışan işçi başına verimlilik endeksi 2014 yılı 100 olmak üzere 2015 yılında 97’ye ve 2016 yılında ise 93’e gerilemiştir.</w:t>
      </w:r>
    </w:p>
    <w:p w:rsidR="0036450D" w:rsidRPr="00077B00" w:rsidRDefault="0036450D" w:rsidP="0036450D">
      <w:pPr>
        <w:tabs>
          <w:tab w:val="num" w:pos="426"/>
        </w:tabs>
        <w:ind w:firstLine="426"/>
        <w:jc w:val="both"/>
      </w:pPr>
      <w:r w:rsidRPr="00077B00">
        <w:t xml:space="preserve"> </w:t>
      </w:r>
    </w:p>
    <w:p w:rsidR="0036450D" w:rsidRPr="00077B00" w:rsidRDefault="0036450D" w:rsidP="0036450D">
      <w:pPr>
        <w:jc w:val="both"/>
        <w:rPr>
          <w:b/>
          <w:bCs/>
        </w:rPr>
      </w:pPr>
      <w:r w:rsidRPr="00077B00">
        <w:rPr>
          <w:b/>
          <w:bCs/>
        </w:rPr>
        <w:t>g) Nakit Akışı</w:t>
      </w:r>
    </w:p>
    <w:p w:rsidR="0036450D" w:rsidRDefault="0036450D" w:rsidP="0036450D">
      <w:pPr>
        <w:tabs>
          <w:tab w:val="num" w:pos="426"/>
        </w:tabs>
        <w:jc w:val="both"/>
      </w:pPr>
      <w:r w:rsidRPr="00077B00">
        <w:t xml:space="preserve">(1) </w:t>
      </w:r>
      <w:r>
        <w:t>Yerli üretim dalının benzer</w:t>
      </w:r>
      <w:r w:rsidRPr="00077B00">
        <w:t xml:space="preserve"> ürün satışları ile yarattığı nakit akışı endeksi 2014 yılı 100 olmak üzere 2015 yılında 95’e 2016 yılında ise 69’a gerilemiştir.</w:t>
      </w:r>
    </w:p>
    <w:p w:rsidR="0036450D" w:rsidRDefault="0036450D" w:rsidP="0036450D">
      <w:pPr>
        <w:ind w:left="720" w:hanging="294"/>
        <w:jc w:val="both"/>
        <w:rPr>
          <w:b/>
          <w:bCs/>
        </w:rPr>
      </w:pPr>
    </w:p>
    <w:p w:rsidR="0036450D" w:rsidRPr="00077B00" w:rsidRDefault="0036450D" w:rsidP="0036450D">
      <w:pPr>
        <w:jc w:val="both"/>
        <w:rPr>
          <w:b/>
          <w:bCs/>
        </w:rPr>
      </w:pPr>
      <w:r w:rsidRPr="00077B00">
        <w:rPr>
          <w:b/>
          <w:bCs/>
        </w:rPr>
        <w:t>ğ) Büyüme</w:t>
      </w:r>
    </w:p>
    <w:p w:rsidR="0036450D" w:rsidRPr="00077B00" w:rsidRDefault="0036450D" w:rsidP="0036450D">
      <w:pPr>
        <w:tabs>
          <w:tab w:val="num" w:pos="426"/>
        </w:tabs>
        <w:jc w:val="both"/>
      </w:pPr>
      <w:r w:rsidRPr="00077B00">
        <w:t xml:space="preserve">(1) </w:t>
      </w:r>
      <w:r>
        <w:t xml:space="preserve">Yerli üretim dalının </w:t>
      </w:r>
      <w:r w:rsidRPr="00077B00">
        <w:t>bütün faaliyetleri ile ilgili aktif büyüklüğü 2014 yılı 100 olmak üzere 2015 yılında 110’a 2016 yılında ise 150’ye yükselmiştir.</w:t>
      </w:r>
    </w:p>
    <w:p w:rsidR="0036450D" w:rsidRPr="00077B00" w:rsidRDefault="0036450D" w:rsidP="0036450D">
      <w:pPr>
        <w:tabs>
          <w:tab w:val="num" w:pos="426"/>
        </w:tabs>
        <w:ind w:firstLine="426"/>
        <w:jc w:val="both"/>
      </w:pPr>
    </w:p>
    <w:p w:rsidR="0036450D" w:rsidRPr="00077B00" w:rsidRDefault="0036450D" w:rsidP="0036450D">
      <w:pPr>
        <w:tabs>
          <w:tab w:val="num" w:pos="426"/>
        </w:tabs>
        <w:jc w:val="both"/>
        <w:rPr>
          <w:b/>
          <w:bCs/>
        </w:rPr>
      </w:pPr>
      <w:r w:rsidRPr="00077B00">
        <w:rPr>
          <w:b/>
          <w:bCs/>
        </w:rPr>
        <w:t xml:space="preserve">h) </w:t>
      </w:r>
      <w:r>
        <w:rPr>
          <w:b/>
          <w:bCs/>
        </w:rPr>
        <w:t>Öz</w:t>
      </w:r>
      <w:r w:rsidRPr="00077B00">
        <w:rPr>
          <w:b/>
          <w:bCs/>
        </w:rPr>
        <w:t xml:space="preserve"> sermaye büyüklüğü</w:t>
      </w:r>
    </w:p>
    <w:p w:rsidR="0036450D" w:rsidRDefault="0036450D" w:rsidP="0036450D">
      <w:pPr>
        <w:tabs>
          <w:tab w:val="num" w:pos="426"/>
        </w:tabs>
        <w:jc w:val="both"/>
      </w:pPr>
      <w:r w:rsidRPr="00077B00">
        <w:t xml:space="preserve">(1) </w:t>
      </w:r>
      <w:r>
        <w:t xml:space="preserve">Yerli üretim dalının </w:t>
      </w:r>
      <w:r w:rsidRPr="00077B00">
        <w:t>sermaye artırma yeteneğini görebilmek amacıyla öz sermayesinin gelişimi incelenmiştir. Buna göre, 2014 yılı 100 alındığında 2015 yılında 106’ya ve 2016 yılında ise 164’e yükselmiştir.</w:t>
      </w:r>
    </w:p>
    <w:p w:rsidR="0036450D" w:rsidRDefault="0036450D" w:rsidP="0036450D">
      <w:pPr>
        <w:tabs>
          <w:tab w:val="num" w:pos="426"/>
        </w:tabs>
        <w:ind w:firstLine="426"/>
        <w:jc w:val="both"/>
      </w:pPr>
    </w:p>
    <w:p w:rsidR="0036450D" w:rsidRPr="00077B00" w:rsidRDefault="0036450D" w:rsidP="0036450D">
      <w:pPr>
        <w:tabs>
          <w:tab w:val="num" w:pos="426"/>
        </w:tabs>
        <w:jc w:val="both"/>
        <w:rPr>
          <w:b/>
          <w:bCs/>
        </w:rPr>
      </w:pPr>
      <w:r w:rsidRPr="00077B00">
        <w:rPr>
          <w:b/>
          <w:bCs/>
        </w:rPr>
        <w:lastRenderedPageBreak/>
        <w:t>ı) Yatırımların Seyri</w:t>
      </w:r>
    </w:p>
    <w:p w:rsidR="0036450D" w:rsidRPr="00077B00" w:rsidRDefault="0036450D" w:rsidP="0036450D">
      <w:pPr>
        <w:tabs>
          <w:tab w:val="num" w:pos="426"/>
        </w:tabs>
        <w:jc w:val="both"/>
      </w:pPr>
      <w:r w:rsidRPr="00077B00">
        <w:t xml:space="preserve">(1) </w:t>
      </w:r>
      <w:r>
        <w:t xml:space="preserve">Yerli üretim dalının </w:t>
      </w:r>
      <w:r w:rsidRPr="00077B00">
        <w:t xml:space="preserve">incelenen dönem itibariyle tevsi yatırımları 2014 yılı 100 olmak üzere 2015 yılında 31’e gerilemiş ve 2016 yılında ise 116’ya yükselmiştir. Yine bu dönemde </w:t>
      </w:r>
      <w:r>
        <w:t xml:space="preserve">yerli üretim dalının </w:t>
      </w:r>
      <w:r w:rsidRPr="00077B00">
        <w:t>yenileme yatırımları 2014 yılı 100 olmak üzere 2015 yılında 69’a gerilerken 2016 yılında ise 153’e yükselmiştir.</w:t>
      </w:r>
    </w:p>
    <w:p w:rsidR="0036450D" w:rsidRPr="00077B00" w:rsidRDefault="0036450D" w:rsidP="0036450D">
      <w:pPr>
        <w:tabs>
          <w:tab w:val="num" w:pos="426"/>
        </w:tabs>
        <w:ind w:firstLine="426"/>
        <w:jc w:val="both"/>
      </w:pPr>
    </w:p>
    <w:p w:rsidR="0036450D" w:rsidRPr="00077B00" w:rsidRDefault="0036450D" w:rsidP="0036450D">
      <w:pPr>
        <w:tabs>
          <w:tab w:val="num" w:pos="426"/>
        </w:tabs>
        <w:jc w:val="both"/>
      </w:pPr>
      <w:r>
        <w:rPr>
          <w:b/>
          <w:bCs/>
        </w:rPr>
        <w:t xml:space="preserve">i) </w:t>
      </w:r>
      <w:r w:rsidRPr="0074455B">
        <w:rPr>
          <w:b/>
          <w:bCs/>
        </w:rPr>
        <w:t>Yatırım hasılatı oranı</w:t>
      </w:r>
    </w:p>
    <w:p w:rsidR="0036450D" w:rsidRPr="00077B00" w:rsidRDefault="0036450D" w:rsidP="0036450D">
      <w:pPr>
        <w:tabs>
          <w:tab w:val="num" w:pos="426"/>
        </w:tabs>
        <w:jc w:val="both"/>
      </w:pPr>
      <w:r w:rsidRPr="00077B00">
        <w:t xml:space="preserve">(1) </w:t>
      </w:r>
      <w:r>
        <w:t xml:space="preserve">Yerli üretim dalının </w:t>
      </w:r>
      <w:r w:rsidRPr="00077B00">
        <w:t>bütün faaliyetleri ile ilgili olarak, 2014 yılı itibariyle 100 olan yat</w:t>
      </w:r>
      <w:r>
        <w:t>ırım hasılatı oranı endeksi 2015</w:t>
      </w:r>
      <w:r w:rsidRPr="00077B00">
        <w:t xml:space="preserve"> yılında 71’e 2016 yılında ise 59’a gerilemiştir. </w:t>
      </w:r>
    </w:p>
    <w:p w:rsidR="00642A1A" w:rsidRPr="00E72E44" w:rsidRDefault="00642A1A" w:rsidP="005400D7">
      <w:pPr>
        <w:tabs>
          <w:tab w:val="left" w:pos="709"/>
        </w:tabs>
        <w:spacing w:line="276" w:lineRule="auto"/>
        <w:jc w:val="both"/>
      </w:pPr>
    </w:p>
    <w:p w:rsidR="00577439" w:rsidRDefault="00577439" w:rsidP="00577439">
      <w:pPr>
        <w:spacing w:line="276" w:lineRule="auto"/>
        <w:jc w:val="both"/>
        <w:rPr>
          <w:b/>
        </w:rPr>
      </w:pPr>
      <w:r w:rsidRPr="00577439">
        <w:rPr>
          <w:b/>
        </w:rPr>
        <w:t xml:space="preserve">4.8 </w:t>
      </w:r>
      <w:r w:rsidR="00D151DD" w:rsidRPr="00577439">
        <w:rPr>
          <w:b/>
        </w:rPr>
        <w:t>Yerli</w:t>
      </w:r>
      <w:r w:rsidR="00D151DD" w:rsidRPr="00D151DD">
        <w:rPr>
          <w:b/>
        </w:rPr>
        <w:t xml:space="preserve"> </w:t>
      </w:r>
      <w:r w:rsidR="000861D2" w:rsidRPr="00D151DD">
        <w:rPr>
          <w:b/>
        </w:rPr>
        <w:t>Üretim Dalının Ekonomik Göstergelerin Değerlendirilmesi</w:t>
      </w:r>
    </w:p>
    <w:p w:rsidR="0036450D" w:rsidRDefault="0036450D" w:rsidP="00303EFA">
      <w:pPr>
        <w:tabs>
          <w:tab w:val="left" w:pos="709"/>
        </w:tabs>
        <w:spacing w:line="276" w:lineRule="auto"/>
        <w:jc w:val="both"/>
      </w:pPr>
      <w:r>
        <w:t xml:space="preserve">(1)Yukarıdaki veriler ışığında, yerli üretim dalının başta üretim miktarı ve değeri, yurtiçi satış ve birim fiyatları, ihracat </w:t>
      </w:r>
      <w:proofErr w:type="gramStart"/>
      <w:r>
        <w:t>miktarı , yurtiçi</w:t>
      </w:r>
      <w:proofErr w:type="gramEnd"/>
      <w:r>
        <w:t xml:space="preserve"> ve ihracat karlılık değeri, kapasite kullanım oranı, istihdam, üretim verimliliği ve ürün nakit akışı olmak üzere temel ekonomik göstergelerinde bozulmalar tespit edilmiştir.</w:t>
      </w:r>
    </w:p>
    <w:p w:rsidR="0036450D" w:rsidRDefault="0036450D" w:rsidP="00303EFA">
      <w:pPr>
        <w:tabs>
          <w:tab w:val="left" w:pos="709"/>
        </w:tabs>
        <w:spacing w:line="276" w:lineRule="auto"/>
        <w:jc w:val="both"/>
      </w:pPr>
    </w:p>
    <w:p w:rsidR="002269AC" w:rsidRDefault="0036450D" w:rsidP="00303EFA">
      <w:pPr>
        <w:tabs>
          <w:tab w:val="left" w:pos="709"/>
        </w:tabs>
        <w:spacing w:line="276" w:lineRule="auto"/>
        <w:jc w:val="both"/>
      </w:pPr>
      <w:r>
        <w:t>(2) Diğer taraftan, yerli üretim dalının üretim maliyetlerinde yaşanan azalmaya bağlı olarak birim karlılığında iyileşme olduğu ve bu iyileşmenin dönem net karına yansıdığı görülmektedir.</w:t>
      </w:r>
    </w:p>
    <w:p w:rsidR="0036450D" w:rsidRDefault="0036450D" w:rsidP="0036450D">
      <w:pPr>
        <w:tabs>
          <w:tab w:val="left" w:pos="709"/>
        </w:tabs>
        <w:spacing w:line="276" w:lineRule="auto"/>
        <w:rPr>
          <w:b/>
          <w:bCs/>
        </w:rPr>
      </w:pPr>
    </w:p>
    <w:p w:rsidR="004A59C6" w:rsidRDefault="00577439" w:rsidP="003A59C1">
      <w:pPr>
        <w:tabs>
          <w:tab w:val="left" w:pos="709"/>
        </w:tabs>
        <w:spacing w:line="276" w:lineRule="auto"/>
        <w:rPr>
          <w:b/>
          <w:bCs/>
        </w:rPr>
      </w:pPr>
      <w:r w:rsidRPr="001C15D8">
        <w:rPr>
          <w:b/>
          <w:bCs/>
        </w:rPr>
        <w:t>5. DAMPİNGİN VE ZARARIN DEVAMI VEYA YENİDEN MEYDANA GELMESİ İHTİMALİNİN DEĞERLENDİRİLMESİ</w:t>
      </w:r>
    </w:p>
    <w:p w:rsidR="00957451" w:rsidRDefault="00577439" w:rsidP="00577439">
      <w:pPr>
        <w:pStyle w:val="GvdeMetniGirintisi3"/>
        <w:spacing w:line="276" w:lineRule="auto"/>
        <w:ind w:left="0" w:firstLine="0"/>
        <w:rPr>
          <w:b/>
          <w:bCs/>
        </w:rPr>
      </w:pPr>
      <w:r>
        <w:rPr>
          <w:b/>
          <w:bCs/>
        </w:rPr>
        <w:t xml:space="preserve">5.1 </w:t>
      </w:r>
      <w:r w:rsidR="00EB7E2F">
        <w:rPr>
          <w:b/>
          <w:bCs/>
        </w:rPr>
        <w:t>Genel Açıklamalar</w:t>
      </w:r>
    </w:p>
    <w:p w:rsidR="008638CD" w:rsidRDefault="008638CD" w:rsidP="001C15D8">
      <w:pPr>
        <w:pStyle w:val="GvdeMetniGirintisi3"/>
        <w:spacing w:line="276" w:lineRule="auto"/>
        <w:ind w:left="0" w:firstLine="0"/>
        <w:rPr>
          <w:bCs/>
        </w:rPr>
      </w:pPr>
      <w:r w:rsidRPr="00AE1D1A">
        <w:t>(1)</w:t>
      </w:r>
      <w:r w:rsidRPr="008638CD">
        <w:rPr>
          <w:b/>
          <w:bCs/>
        </w:rPr>
        <w:t xml:space="preserve"> </w:t>
      </w:r>
      <w:r w:rsidR="001C15D8" w:rsidRPr="001C15D8">
        <w:rPr>
          <w:bCs/>
        </w:rPr>
        <w:t xml:space="preserve">Yönetmeliğin 35 inci maddesi hükümleri gereğince, önlemlerin yürürlükten kalkması halinde </w:t>
      </w:r>
      <w:proofErr w:type="gramStart"/>
      <w:r w:rsidR="001C15D8" w:rsidRPr="001C15D8">
        <w:rPr>
          <w:bCs/>
        </w:rPr>
        <w:t>dampingin</w:t>
      </w:r>
      <w:proofErr w:type="gramEnd"/>
      <w:r w:rsidR="001C15D8" w:rsidRPr="001C15D8">
        <w:rPr>
          <w:bCs/>
        </w:rPr>
        <w:t xml:space="preserve"> ve zararın devam etmesinin veya yeniden meydana gelmesinin muhtemel olup olmadığı değerlendirilmiştir. Diğer taraftan, önleme tabi ülkedeki kapasite ve ihracat </w:t>
      </w:r>
      <w:proofErr w:type="gramStart"/>
      <w:r w:rsidR="001C15D8" w:rsidRPr="001C15D8">
        <w:rPr>
          <w:bCs/>
        </w:rPr>
        <w:t>potansiyeli  incelenmiştir</w:t>
      </w:r>
      <w:proofErr w:type="gramEnd"/>
      <w:r w:rsidR="001C15D8" w:rsidRPr="001C15D8">
        <w:rPr>
          <w:bCs/>
        </w:rPr>
        <w:t>.</w:t>
      </w:r>
    </w:p>
    <w:p w:rsidR="001C15D8" w:rsidRDefault="001C15D8" w:rsidP="001C15D8">
      <w:pPr>
        <w:pStyle w:val="GvdeMetniGirintisi3"/>
        <w:spacing w:line="276" w:lineRule="auto"/>
        <w:ind w:left="0" w:firstLine="0"/>
        <w:rPr>
          <w:b/>
          <w:bCs/>
        </w:rPr>
      </w:pPr>
    </w:p>
    <w:p w:rsidR="00F37A65" w:rsidRPr="00415277" w:rsidRDefault="00F37A65" w:rsidP="00F37A65">
      <w:pPr>
        <w:tabs>
          <w:tab w:val="left" w:pos="709"/>
        </w:tabs>
        <w:rPr>
          <w:b/>
          <w:bCs/>
          <w:color w:val="000000" w:themeColor="text1"/>
        </w:rPr>
      </w:pPr>
      <w:r>
        <w:rPr>
          <w:b/>
          <w:bCs/>
          <w:color w:val="000000" w:themeColor="text1"/>
        </w:rPr>
        <w:t xml:space="preserve">5.2 </w:t>
      </w:r>
      <w:r w:rsidRPr="00415277">
        <w:rPr>
          <w:b/>
          <w:bCs/>
          <w:color w:val="000000" w:themeColor="text1"/>
        </w:rPr>
        <w:t xml:space="preserve">Dampingin Devamı veya Yeniden Meydana Gelme İhtimali </w:t>
      </w:r>
    </w:p>
    <w:p w:rsidR="00F37A65" w:rsidRPr="00415277" w:rsidRDefault="00F37A65" w:rsidP="00F37A65">
      <w:pPr>
        <w:tabs>
          <w:tab w:val="left" w:pos="709"/>
        </w:tabs>
        <w:spacing w:line="276" w:lineRule="auto"/>
        <w:jc w:val="both"/>
        <w:rPr>
          <w:bCs/>
          <w:color w:val="000000" w:themeColor="text1"/>
        </w:rPr>
      </w:pPr>
      <w:r>
        <w:rPr>
          <w:bCs/>
          <w:color w:val="000000" w:themeColor="text1"/>
        </w:rPr>
        <w:t>(</w:t>
      </w:r>
      <w:r w:rsidRPr="00415277">
        <w:rPr>
          <w:bCs/>
          <w:color w:val="000000" w:themeColor="text1"/>
        </w:rPr>
        <w:t xml:space="preserve">1) İnşaat sektöründeki büyümenin ürüne yönelik talebi de artıracağından önlemin yürürlükten kalkması durumunda ÇHC menşeli ürünlerin Türkiye pazarına yönelme ihtimalinin yüksek olduğu, esas soruşturma esnasında tespit edilen </w:t>
      </w:r>
      <w:proofErr w:type="gramStart"/>
      <w:r w:rsidRPr="00415277">
        <w:rPr>
          <w:bCs/>
          <w:color w:val="000000" w:themeColor="text1"/>
        </w:rPr>
        <w:t>damping</w:t>
      </w:r>
      <w:proofErr w:type="gramEnd"/>
      <w:r w:rsidRPr="00415277">
        <w:rPr>
          <w:bCs/>
          <w:color w:val="000000" w:themeColor="text1"/>
        </w:rPr>
        <w:t xml:space="preserve"> marjlarının önlemin yürürlükten kalkması halinde ihracatçı firmaların muhtemel davranışlarını yansıtmada önemli bir gösterge olduğu ve </w:t>
      </w:r>
      <w:r w:rsidRPr="00415277">
        <w:rPr>
          <w:bCs/>
          <w:color w:val="000000" w:themeColor="text1"/>
          <w:spacing w:val="-2"/>
        </w:rPr>
        <w:t xml:space="preserve">önleme konu ülkelerdeki üretici/ihracatçıların üretimlerinin büyük bölümünü ihracata yönlendirdikleri ve Türkiye pazarının potansiyelini, dağıtım ve pazarlama kanallarını iyi bilmeleri nedeniyle pazarın bu üreticiler için cazip koşullar sunduğu değerlendirilmektedir. </w:t>
      </w:r>
    </w:p>
    <w:p w:rsidR="00F37A65" w:rsidRPr="00415277" w:rsidRDefault="00F37A65" w:rsidP="00F37A65">
      <w:pPr>
        <w:ind w:firstLine="567"/>
        <w:jc w:val="both"/>
        <w:rPr>
          <w:b/>
          <w:noProof/>
          <w:color w:val="000000" w:themeColor="text1"/>
        </w:rPr>
      </w:pPr>
    </w:p>
    <w:p w:rsidR="00F37A65" w:rsidRPr="00415277" w:rsidRDefault="00F37A65" w:rsidP="00F37A65">
      <w:pPr>
        <w:jc w:val="both"/>
        <w:rPr>
          <w:color w:val="000000" w:themeColor="text1"/>
        </w:rPr>
      </w:pPr>
      <w:r w:rsidRPr="00415277">
        <w:rPr>
          <w:color w:val="000000" w:themeColor="text1"/>
        </w:rPr>
        <w:t xml:space="preserve">(2) </w:t>
      </w:r>
      <w:r w:rsidRPr="00415277">
        <w:rPr>
          <w:bCs/>
          <w:color w:val="000000" w:themeColor="text1"/>
        </w:rPr>
        <w:t xml:space="preserve">Önleme tabi ülkedeki kapasite ve ihracat </w:t>
      </w:r>
      <w:proofErr w:type="gramStart"/>
      <w:r w:rsidRPr="00415277">
        <w:rPr>
          <w:bCs/>
          <w:color w:val="000000" w:themeColor="text1"/>
        </w:rPr>
        <w:t>potansiyeli  incelenmiştir</w:t>
      </w:r>
      <w:proofErr w:type="gramEnd"/>
      <w:r w:rsidRPr="00415277">
        <w:rPr>
          <w:bCs/>
          <w:color w:val="000000" w:themeColor="text1"/>
        </w:rPr>
        <w:t xml:space="preserve">. Bu çerçevede, </w:t>
      </w:r>
      <w:proofErr w:type="spellStart"/>
      <w:r w:rsidRPr="00415277">
        <w:rPr>
          <w:color w:val="000000" w:themeColor="text1"/>
        </w:rPr>
        <w:t>ÇHC’nin</w:t>
      </w:r>
      <w:proofErr w:type="spellEnd"/>
      <w:r w:rsidRPr="00415277">
        <w:rPr>
          <w:color w:val="000000" w:themeColor="text1"/>
        </w:rPr>
        <w:t xml:space="preserve"> benzer üründe küresel ticaretten aldığı payın tespiti için Uluslararası Ticaret Merkezi (International </w:t>
      </w:r>
      <w:proofErr w:type="spellStart"/>
      <w:r w:rsidRPr="00415277">
        <w:rPr>
          <w:color w:val="000000" w:themeColor="text1"/>
        </w:rPr>
        <w:t>Trade</w:t>
      </w:r>
      <w:proofErr w:type="spellEnd"/>
      <w:r w:rsidRPr="00415277">
        <w:rPr>
          <w:color w:val="000000" w:themeColor="text1"/>
        </w:rPr>
        <w:t xml:space="preserve"> Center) verilerinden istifade edilmiştir. </w:t>
      </w:r>
    </w:p>
    <w:p w:rsidR="00F37A65" w:rsidRPr="00415277" w:rsidRDefault="00F37A65" w:rsidP="00F37A65">
      <w:pPr>
        <w:ind w:firstLine="567"/>
        <w:jc w:val="both"/>
        <w:rPr>
          <w:color w:val="000000" w:themeColor="text1"/>
        </w:rPr>
      </w:pPr>
    </w:p>
    <w:p w:rsidR="00F37A65" w:rsidRPr="00415277" w:rsidRDefault="00F37A65" w:rsidP="00F37A65">
      <w:pPr>
        <w:jc w:val="both"/>
        <w:rPr>
          <w:color w:val="000000" w:themeColor="text1"/>
        </w:rPr>
      </w:pPr>
      <w:r w:rsidRPr="00415277">
        <w:rPr>
          <w:color w:val="000000" w:themeColor="text1"/>
        </w:rPr>
        <w:t xml:space="preserve">(3) Bu kapsamda, küresel granit ihracatı 2014 yılında 12,4 milyon ton, 2015 yılında 12,1 milyon </w:t>
      </w:r>
      <w:proofErr w:type="gramStart"/>
      <w:r w:rsidRPr="00415277">
        <w:rPr>
          <w:color w:val="000000" w:themeColor="text1"/>
        </w:rPr>
        <w:t>ve  2016</w:t>
      </w:r>
      <w:proofErr w:type="gramEnd"/>
      <w:r w:rsidRPr="00415277">
        <w:rPr>
          <w:color w:val="000000" w:themeColor="text1"/>
        </w:rPr>
        <w:t xml:space="preserve"> yılı itibariyle 11,8 milyon ton olmuştur. Değer itibariyle söz konusu ihracat miktarları 2014 yılında 7,1 milyon ABD Doları, 2015 yılında 7,6 milyon ABD Doları ve 2016 yılında 7,02 milyon ABD Doları olarak gerçekleşmiştir.</w:t>
      </w:r>
    </w:p>
    <w:p w:rsidR="00F37A65" w:rsidRPr="00415277" w:rsidRDefault="00F37A65" w:rsidP="00F37A65">
      <w:pPr>
        <w:ind w:firstLine="567"/>
        <w:jc w:val="both"/>
        <w:rPr>
          <w:color w:val="000000" w:themeColor="text1"/>
        </w:rPr>
      </w:pPr>
    </w:p>
    <w:p w:rsidR="00F37A65" w:rsidRPr="00415277" w:rsidRDefault="00F37A65" w:rsidP="00F37A65">
      <w:pPr>
        <w:jc w:val="both"/>
        <w:rPr>
          <w:color w:val="000000" w:themeColor="text1"/>
        </w:rPr>
      </w:pPr>
      <w:r w:rsidRPr="00415277">
        <w:rPr>
          <w:color w:val="000000" w:themeColor="text1"/>
        </w:rPr>
        <w:t xml:space="preserve">(4) </w:t>
      </w:r>
      <w:proofErr w:type="spellStart"/>
      <w:r w:rsidRPr="00415277">
        <w:rPr>
          <w:color w:val="000000" w:themeColor="text1"/>
        </w:rPr>
        <w:t>ÇHC’nin</w:t>
      </w:r>
      <w:proofErr w:type="spellEnd"/>
      <w:r w:rsidRPr="00415277">
        <w:rPr>
          <w:color w:val="000000" w:themeColor="text1"/>
        </w:rPr>
        <w:t xml:space="preserve"> granit ihracatı 2014 yılında 7,4 milyon ton, 2015 yılında 7,3 milyon </w:t>
      </w:r>
      <w:proofErr w:type="gramStart"/>
      <w:r w:rsidRPr="00415277">
        <w:rPr>
          <w:color w:val="000000" w:themeColor="text1"/>
        </w:rPr>
        <w:t>ve  2016</w:t>
      </w:r>
      <w:proofErr w:type="gramEnd"/>
      <w:r w:rsidRPr="00415277">
        <w:rPr>
          <w:color w:val="000000" w:themeColor="text1"/>
        </w:rPr>
        <w:t xml:space="preserve"> yılı itibariyle 7,1 milyon ton olmuştur. Değer itibariyle söz konusu ihracat miktarları 2014 yılında </w:t>
      </w:r>
      <w:r w:rsidRPr="00415277">
        <w:rPr>
          <w:color w:val="000000" w:themeColor="text1"/>
        </w:rPr>
        <w:lastRenderedPageBreak/>
        <w:t>3,9 milyon ABD Doları, 2015 yılında 4,7 milyon ABD Doları ve 2016 yılında 4,3 milyon ABD Doları olarak gerçekleşmiştir.</w:t>
      </w:r>
    </w:p>
    <w:p w:rsidR="00F37A65" w:rsidRPr="00415277" w:rsidRDefault="00F37A65" w:rsidP="00F37A65">
      <w:pPr>
        <w:ind w:firstLine="567"/>
        <w:jc w:val="both"/>
        <w:rPr>
          <w:color w:val="000000" w:themeColor="text1"/>
        </w:rPr>
      </w:pPr>
    </w:p>
    <w:p w:rsidR="00F37A65" w:rsidRPr="00415277" w:rsidRDefault="00F37A65" w:rsidP="00F37A65">
      <w:pPr>
        <w:jc w:val="both"/>
        <w:rPr>
          <w:color w:val="000000" w:themeColor="text1"/>
        </w:rPr>
      </w:pPr>
      <w:r w:rsidRPr="00415277">
        <w:rPr>
          <w:color w:val="000000" w:themeColor="text1"/>
        </w:rPr>
        <w:t xml:space="preserve">(5) 2016 yılında gerçekleştirdiği 7,1 milyon tonluk ihracat ile dünya sıralamasında %61’lik pay ile ilk sırada yer almıştır. </w:t>
      </w:r>
    </w:p>
    <w:p w:rsidR="00F37A65" w:rsidRPr="00415277" w:rsidRDefault="00F37A65" w:rsidP="00F37A65">
      <w:pPr>
        <w:ind w:left="284"/>
        <w:jc w:val="both"/>
        <w:rPr>
          <w:color w:val="000000" w:themeColor="text1"/>
        </w:rPr>
      </w:pPr>
      <w:r w:rsidRPr="00415277">
        <w:rPr>
          <w:color w:val="000000" w:themeColor="text1"/>
        </w:rPr>
        <w:t xml:space="preserve"> </w:t>
      </w:r>
    </w:p>
    <w:p w:rsidR="00F37A65" w:rsidRPr="00415277" w:rsidRDefault="00F37A65" w:rsidP="00F37A65">
      <w:pPr>
        <w:pStyle w:val="GvdeMetniGirintisi3"/>
        <w:ind w:left="0" w:firstLine="0"/>
        <w:rPr>
          <w:color w:val="000000" w:themeColor="text1"/>
        </w:rPr>
      </w:pPr>
      <w:r w:rsidRPr="00415277">
        <w:rPr>
          <w:color w:val="000000" w:themeColor="text1"/>
        </w:rPr>
        <w:t xml:space="preserve">(6) </w:t>
      </w:r>
      <w:proofErr w:type="spellStart"/>
      <w:r w:rsidRPr="00415277">
        <w:rPr>
          <w:color w:val="000000" w:themeColor="text1"/>
        </w:rPr>
        <w:t>ÇHC’nin</w:t>
      </w:r>
      <w:proofErr w:type="spellEnd"/>
      <w:r w:rsidRPr="00415277">
        <w:rPr>
          <w:color w:val="000000" w:themeColor="text1"/>
        </w:rPr>
        <w:t xml:space="preserve"> granit ihracatında ana pazarları ise sırasıyla Güney Kore, Japonya, Almanya, Vietnam ve ABD olmuştur. Söz konusu 5 ülkenin </w:t>
      </w:r>
      <w:proofErr w:type="spellStart"/>
      <w:r w:rsidRPr="00415277">
        <w:rPr>
          <w:color w:val="000000" w:themeColor="text1"/>
        </w:rPr>
        <w:t>ÇHC’nin</w:t>
      </w:r>
      <w:proofErr w:type="spellEnd"/>
      <w:r w:rsidRPr="00415277">
        <w:rPr>
          <w:color w:val="000000" w:themeColor="text1"/>
        </w:rPr>
        <w:t xml:space="preserve"> toplam ihracatından aldığı pay ise %53 düzeyinde gerçekleşmiştir. </w:t>
      </w:r>
      <w:proofErr w:type="gramStart"/>
      <w:r w:rsidRPr="00415277">
        <w:rPr>
          <w:color w:val="000000" w:themeColor="text1"/>
        </w:rPr>
        <w:t xml:space="preserve">2016 yılı itibariyle </w:t>
      </w:r>
      <w:proofErr w:type="spellStart"/>
      <w:r w:rsidRPr="00415277">
        <w:rPr>
          <w:color w:val="000000" w:themeColor="text1"/>
        </w:rPr>
        <w:t>ÇHC’nin</w:t>
      </w:r>
      <w:proofErr w:type="spellEnd"/>
      <w:r w:rsidRPr="00415277">
        <w:rPr>
          <w:color w:val="000000" w:themeColor="text1"/>
        </w:rPr>
        <w:t xml:space="preserve"> Güney Kore’ye ihraç birim fiyatı 505 ABD Doları/Ton iken Japonya’ya ihraç birim fiyatı 875 ABD Doları/Ton, Almanya’ya ihraç birim fiyatı 318 ABD Doları/Ton, Vietnam’a ihraç birim fiyatı 625 ABD Doları/Ton ve ABD’ye ihraç birim fiyatı ise 884 ABD Doları/Ton düzeyinde gerçekleşmiştir.</w:t>
      </w:r>
      <w:proofErr w:type="gramEnd"/>
    </w:p>
    <w:p w:rsidR="00F37A65" w:rsidRPr="00415277" w:rsidRDefault="00F37A65" w:rsidP="00F37A65">
      <w:pPr>
        <w:pStyle w:val="GvdeMetniGirintisi3"/>
        <w:ind w:left="0" w:firstLine="567"/>
        <w:rPr>
          <w:color w:val="000000" w:themeColor="text1"/>
        </w:rPr>
      </w:pPr>
    </w:p>
    <w:p w:rsidR="00F37A65" w:rsidRPr="00415277" w:rsidRDefault="00F37A65" w:rsidP="00F37A65">
      <w:pPr>
        <w:pStyle w:val="GvdeMetniGirintisi3"/>
        <w:ind w:left="0" w:firstLine="0"/>
        <w:rPr>
          <w:color w:val="000000" w:themeColor="text1"/>
        </w:rPr>
      </w:pPr>
      <w:r w:rsidRPr="00415277">
        <w:rPr>
          <w:color w:val="000000" w:themeColor="text1"/>
        </w:rPr>
        <w:t xml:space="preserve">(7) İstanbul Maden İhracatçıları Birliği (İMİB) tarafından hazırlanan “Çin Halk Cumhuriyeti Doğal Taş Sektörü Ülke </w:t>
      </w:r>
      <w:proofErr w:type="spellStart"/>
      <w:r w:rsidRPr="00415277">
        <w:rPr>
          <w:color w:val="000000" w:themeColor="text1"/>
        </w:rPr>
        <w:t>Raporu”nda</w:t>
      </w:r>
      <w:proofErr w:type="spellEnd"/>
      <w:r w:rsidRPr="00415277">
        <w:rPr>
          <w:color w:val="000000" w:themeColor="text1"/>
        </w:rPr>
        <w:t xml:space="preserve"> yer aldığı üzere ÇHC 2013 yılı itibariyle dünya doğal taş üretiminden aldığı %21,5’lik pay ile ilk sırada yer almaktadır. </w:t>
      </w:r>
      <w:proofErr w:type="spellStart"/>
      <w:r w:rsidRPr="00415277">
        <w:rPr>
          <w:color w:val="000000" w:themeColor="text1"/>
        </w:rPr>
        <w:t>Rapor’da</w:t>
      </w:r>
      <w:proofErr w:type="spellEnd"/>
      <w:r w:rsidRPr="00415277">
        <w:rPr>
          <w:color w:val="000000" w:themeColor="text1"/>
        </w:rPr>
        <w:t xml:space="preserve"> yer aldığı üzere ÇHC bloklar halinde ithal ettiği doğal taşları işleyerek ihraç etmekte iken işlenmiş doğal taş ithalatında yüksek gümrük vergileri ile yerli üreticilerini korumaktadır. Bu çerçevede, ÇHC doğal taş üretimi ve ticaretinde küresel ölçekte lider durumunda olduğu görülmüştür.</w:t>
      </w:r>
    </w:p>
    <w:p w:rsidR="00F37A65" w:rsidRPr="00415277" w:rsidRDefault="00F37A65" w:rsidP="00F37A65">
      <w:pPr>
        <w:pStyle w:val="GvdeMetniGirintisi3"/>
        <w:ind w:left="0" w:firstLine="567"/>
        <w:rPr>
          <w:color w:val="000000" w:themeColor="text1"/>
        </w:rPr>
      </w:pPr>
    </w:p>
    <w:p w:rsidR="00F37A65" w:rsidRPr="00415277" w:rsidRDefault="00F37A65" w:rsidP="00F37A65">
      <w:pPr>
        <w:pStyle w:val="GvdeMetniGirintisi3"/>
        <w:ind w:left="0" w:firstLine="0"/>
        <w:rPr>
          <w:color w:val="000000" w:themeColor="text1"/>
        </w:rPr>
      </w:pPr>
      <w:r w:rsidRPr="00415277">
        <w:rPr>
          <w:color w:val="000000" w:themeColor="text1"/>
        </w:rPr>
        <w:t xml:space="preserve">(8) Bu değerlendirmeler çerçevesinde meri önlemin yürürlükten kalkması halinde </w:t>
      </w:r>
      <w:proofErr w:type="gramStart"/>
      <w:r w:rsidRPr="00415277">
        <w:rPr>
          <w:color w:val="000000" w:themeColor="text1"/>
        </w:rPr>
        <w:t>dampingin</w:t>
      </w:r>
      <w:proofErr w:type="gramEnd"/>
      <w:r w:rsidRPr="00415277">
        <w:rPr>
          <w:color w:val="000000" w:themeColor="text1"/>
        </w:rPr>
        <w:t xml:space="preserve"> devam etmesinin veya yeniden meydana gelmesinin muhtemel olduğu değerlendirilmektedir. </w:t>
      </w:r>
    </w:p>
    <w:p w:rsidR="00F37A65" w:rsidRPr="00415277" w:rsidRDefault="00F37A65" w:rsidP="00F37A65">
      <w:pPr>
        <w:pStyle w:val="GvdeMetniGirintisi3"/>
        <w:ind w:left="0" w:firstLine="567"/>
        <w:rPr>
          <w:color w:val="000000" w:themeColor="text1"/>
        </w:rPr>
      </w:pPr>
    </w:p>
    <w:p w:rsidR="00F37A65" w:rsidRPr="00415277" w:rsidRDefault="00F37A65" w:rsidP="00F37A65">
      <w:pPr>
        <w:jc w:val="both"/>
        <w:rPr>
          <w:bCs/>
          <w:color w:val="000000" w:themeColor="text1"/>
        </w:rPr>
      </w:pPr>
      <w:r>
        <w:rPr>
          <w:b/>
          <w:bCs/>
          <w:color w:val="000000" w:themeColor="text1"/>
        </w:rPr>
        <w:t xml:space="preserve">5.3 </w:t>
      </w:r>
      <w:r w:rsidRPr="00415277">
        <w:rPr>
          <w:b/>
          <w:bCs/>
          <w:color w:val="000000" w:themeColor="text1"/>
        </w:rPr>
        <w:t>Zararın Devamı veya Yeniden Meydana Gelme İhtimali</w:t>
      </w:r>
    </w:p>
    <w:p w:rsidR="00F37A65" w:rsidRPr="00415277" w:rsidRDefault="00F37A65" w:rsidP="00F37A65">
      <w:pPr>
        <w:pStyle w:val="GvdeMetniGirintisi3"/>
        <w:ind w:left="0" w:firstLine="0"/>
        <w:rPr>
          <w:color w:val="000000" w:themeColor="text1"/>
        </w:rPr>
      </w:pPr>
      <w:r>
        <w:rPr>
          <w:color w:val="000000" w:themeColor="text1"/>
        </w:rPr>
        <w:t xml:space="preserve">(1) </w:t>
      </w:r>
      <w:r w:rsidRPr="00415277">
        <w:rPr>
          <w:color w:val="000000" w:themeColor="text1"/>
        </w:rPr>
        <w:t xml:space="preserve">Yerli üretim dalının başta üretim miktarı ve değeri, yurtiçi satış ve birim fiyatları, ihracat </w:t>
      </w:r>
      <w:proofErr w:type="gramStart"/>
      <w:r w:rsidRPr="00415277">
        <w:rPr>
          <w:color w:val="000000" w:themeColor="text1"/>
        </w:rPr>
        <w:t>miktarı , yurtiçi</w:t>
      </w:r>
      <w:proofErr w:type="gramEnd"/>
      <w:r w:rsidRPr="00415277">
        <w:rPr>
          <w:color w:val="000000" w:themeColor="text1"/>
        </w:rPr>
        <w:t xml:space="preserve"> ve ihracat karlılık değeri, kapasite kullanım oranı, istihdam, üretim verimliliği ve ürün nakit akışı olmak üzere temel ekonomik göstergelerinde bozulmalar tespit edilmiştir. Bu çerçevede, birim karlılıkta gözlemlenen iyileşmenin yerli üretim dalının ekonomik göstergeler bakımından karşı karşıya bulunduğu olumsuzlukları ortadan kaldırmadığı </w:t>
      </w:r>
      <w:proofErr w:type="gramStart"/>
      <w:r w:rsidRPr="00415277">
        <w:rPr>
          <w:color w:val="000000" w:themeColor="text1"/>
        </w:rPr>
        <w:t>ve  meri</w:t>
      </w:r>
      <w:proofErr w:type="gramEnd"/>
      <w:r w:rsidRPr="00415277">
        <w:rPr>
          <w:color w:val="000000" w:themeColor="text1"/>
        </w:rPr>
        <w:t xml:space="preserve"> önlemin yürürlükten kalkması halinde zararın devam etmesinin veya yeniden meydana gelmesinin muhtemel olduğu değerlendirilmektedir. </w:t>
      </w:r>
    </w:p>
    <w:p w:rsidR="00F37A65" w:rsidRDefault="00F37A65" w:rsidP="001C15D8">
      <w:pPr>
        <w:pStyle w:val="GvdeMetniGirintisi3"/>
        <w:spacing w:line="276" w:lineRule="auto"/>
        <w:ind w:left="0" w:firstLine="0"/>
        <w:rPr>
          <w:b/>
          <w:bCs/>
        </w:rPr>
      </w:pPr>
    </w:p>
    <w:p w:rsidR="003B4EF2" w:rsidRDefault="00577439" w:rsidP="003A59C1">
      <w:pPr>
        <w:tabs>
          <w:tab w:val="left" w:pos="709"/>
        </w:tabs>
        <w:spacing w:line="276" w:lineRule="auto"/>
        <w:rPr>
          <w:b/>
          <w:bCs/>
        </w:rPr>
      </w:pPr>
      <w:r>
        <w:rPr>
          <w:b/>
          <w:bCs/>
        </w:rPr>
        <w:t xml:space="preserve">6. </w:t>
      </w:r>
      <w:r w:rsidRPr="00033593">
        <w:rPr>
          <w:b/>
          <w:bCs/>
        </w:rPr>
        <w:t>DEĞERLENDİRME VE SONUÇ</w:t>
      </w:r>
    </w:p>
    <w:p w:rsidR="00A339BD" w:rsidRPr="00FF26EF" w:rsidRDefault="00577439" w:rsidP="00577439">
      <w:pPr>
        <w:pStyle w:val="Balk2"/>
        <w:pBdr>
          <w:top w:val="none" w:sz="0" w:space="0" w:color="auto"/>
          <w:left w:val="none" w:sz="0" w:space="0" w:color="auto"/>
          <w:bottom w:val="none" w:sz="0" w:space="0" w:color="auto"/>
          <w:right w:val="none" w:sz="0" w:space="0" w:color="auto"/>
        </w:pBdr>
        <w:spacing w:line="276" w:lineRule="auto"/>
        <w:jc w:val="left"/>
        <w:rPr>
          <w:rFonts w:ascii="Times New Roman" w:hAnsi="Times New Roman"/>
          <w:sz w:val="24"/>
          <w:szCs w:val="24"/>
        </w:rPr>
      </w:pPr>
      <w:r>
        <w:rPr>
          <w:rFonts w:ascii="Times New Roman" w:hAnsi="Times New Roman"/>
          <w:sz w:val="24"/>
          <w:szCs w:val="24"/>
        </w:rPr>
        <w:t xml:space="preserve">6.1 </w:t>
      </w:r>
      <w:r w:rsidR="00A339BD" w:rsidRPr="00FF26EF">
        <w:rPr>
          <w:rFonts w:ascii="Times New Roman" w:hAnsi="Times New Roman"/>
          <w:sz w:val="24"/>
          <w:szCs w:val="24"/>
        </w:rPr>
        <w:t>Değerlendirme</w:t>
      </w:r>
    </w:p>
    <w:p w:rsidR="00016A83" w:rsidRDefault="00ED2B7A" w:rsidP="000D1BEC">
      <w:pPr>
        <w:tabs>
          <w:tab w:val="left" w:pos="567"/>
        </w:tabs>
        <w:spacing w:after="240" w:line="276" w:lineRule="auto"/>
        <w:jc w:val="both"/>
      </w:pPr>
      <w:r>
        <w:t xml:space="preserve">(1) Esas soruşturma esnasında tespit edilen </w:t>
      </w:r>
      <w:proofErr w:type="gramStart"/>
      <w:r>
        <w:t>damping</w:t>
      </w:r>
      <w:proofErr w:type="gramEnd"/>
      <w:r>
        <w:t xml:space="preserve"> marj</w:t>
      </w:r>
      <w:r w:rsidR="00016A83">
        <w:t>lar</w:t>
      </w:r>
      <w:r>
        <w:t>ı, önlem konusu ülke</w:t>
      </w:r>
      <w:r w:rsidR="00016A83">
        <w:t>lerde</w:t>
      </w:r>
      <w:r>
        <w:t xml:space="preserve"> yerleşik üretici-ihracatçı firmaların önlemin yürürlükten kalkması halindeki muhtemel davranışlarını yansıtacak önemli bir gösterge olduğundan dikkate alınmıştır. </w:t>
      </w:r>
      <w:r w:rsidR="007576BC" w:rsidRPr="007576BC">
        <w:t xml:space="preserve">Bu çerçevede esas soruşturmada ÇHC menşeli granit için oran olarak CIF ihraç fiyatının %102,65’i; tutar olarak 270 ABD Doları/Ton </w:t>
      </w:r>
      <w:proofErr w:type="gramStart"/>
      <w:r w:rsidR="007576BC" w:rsidRPr="007576BC">
        <w:t>damping</w:t>
      </w:r>
      <w:proofErr w:type="gramEnd"/>
      <w:r w:rsidR="007576BC" w:rsidRPr="007576BC">
        <w:t xml:space="preserve"> marjı hesaplanmıştır.</w:t>
      </w:r>
      <w:r>
        <w:t xml:space="preserve"> </w:t>
      </w:r>
    </w:p>
    <w:p w:rsidR="00DE0BFE" w:rsidRDefault="00DE0BFE" w:rsidP="00C50FA6">
      <w:pPr>
        <w:pStyle w:val="Balk2"/>
        <w:pBdr>
          <w:top w:val="none" w:sz="0" w:space="0" w:color="auto"/>
          <w:left w:val="none" w:sz="0" w:space="0" w:color="auto"/>
          <w:bottom w:val="none" w:sz="0" w:space="0" w:color="auto"/>
          <w:right w:val="none" w:sz="0" w:space="0" w:color="auto"/>
        </w:pBdr>
        <w:spacing w:line="276" w:lineRule="auto"/>
        <w:jc w:val="both"/>
        <w:rPr>
          <w:rFonts w:ascii="Times New Roman" w:hAnsi="Times New Roman"/>
          <w:b w:val="0"/>
          <w:sz w:val="24"/>
          <w:szCs w:val="24"/>
        </w:rPr>
      </w:pPr>
      <w:r w:rsidRPr="00DE0BFE">
        <w:rPr>
          <w:rFonts w:ascii="Times New Roman" w:hAnsi="Times New Roman"/>
          <w:b w:val="0"/>
          <w:sz w:val="24"/>
          <w:szCs w:val="24"/>
        </w:rPr>
        <w:t>(2)</w:t>
      </w:r>
      <w:r>
        <w:t xml:space="preserve"> </w:t>
      </w:r>
      <w:r w:rsidR="00C50FA6" w:rsidRPr="00C50FA6">
        <w:rPr>
          <w:rFonts w:ascii="Times New Roman" w:hAnsi="Times New Roman"/>
          <w:b w:val="0"/>
          <w:sz w:val="24"/>
          <w:szCs w:val="24"/>
        </w:rPr>
        <w:t>İnşaat sektöründeki büyümenin, ürüne yönelik talebi de artıracağından önlemin yürürlükten kalkması durumunda ÇHC menşeli ürünlerin Türkiye pazarına yönelme ihtimalinin yüksek olduğu değerlendirilmektedir.</w:t>
      </w:r>
    </w:p>
    <w:p w:rsidR="00C50FA6" w:rsidRPr="00C50FA6" w:rsidRDefault="00C50FA6" w:rsidP="00C50FA6">
      <w:pPr>
        <w:rPr>
          <w:lang w:eastAsia="en-US"/>
        </w:rPr>
      </w:pPr>
    </w:p>
    <w:p w:rsidR="0035257F" w:rsidRDefault="00ED2B7A" w:rsidP="00C50FA6">
      <w:pPr>
        <w:pStyle w:val="GvdeMetniGirintisi3"/>
        <w:spacing w:line="276" w:lineRule="auto"/>
        <w:ind w:left="0" w:firstLine="0"/>
        <w:rPr>
          <w:bCs/>
          <w:spacing w:val="-2"/>
        </w:rPr>
      </w:pPr>
      <w:r>
        <w:t>(</w:t>
      </w:r>
      <w:r w:rsidR="00DE0BFE">
        <w:t>3</w:t>
      </w:r>
      <w:r>
        <w:t xml:space="preserve">) Yürürlükte bir dampinge karşı önlemin varlığında, </w:t>
      </w:r>
      <w:r w:rsidR="00C50FA6" w:rsidRPr="00C50FA6">
        <w:rPr>
          <w:bCs/>
          <w:spacing w:val="-2"/>
        </w:rPr>
        <w:t xml:space="preserve">yerli üretim dalının başta üretim miktarı ve değeri, yurtiçi satış ve birim fiyatları, ihracat </w:t>
      </w:r>
      <w:proofErr w:type="gramStart"/>
      <w:r w:rsidR="00C50FA6" w:rsidRPr="00C50FA6">
        <w:rPr>
          <w:bCs/>
          <w:spacing w:val="-2"/>
        </w:rPr>
        <w:t>miktarı , yurtiçi</w:t>
      </w:r>
      <w:proofErr w:type="gramEnd"/>
      <w:r w:rsidR="00C50FA6" w:rsidRPr="00C50FA6">
        <w:rPr>
          <w:bCs/>
          <w:spacing w:val="-2"/>
        </w:rPr>
        <w:t xml:space="preserve"> ve ihracat karlılık değeri, kapasite kullanım oranı, istihdam, üretim verimliliği ve ürün nakit akışı olmak üzere temel ekonomik göstergelerinde bozulmalar tespit edilmiştir.</w:t>
      </w:r>
    </w:p>
    <w:p w:rsidR="00C50FA6" w:rsidRDefault="00C50FA6" w:rsidP="00C50FA6">
      <w:pPr>
        <w:pStyle w:val="GvdeMetniGirintisi3"/>
        <w:spacing w:line="276" w:lineRule="auto"/>
        <w:ind w:left="0" w:firstLine="0"/>
      </w:pPr>
    </w:p>
    <w:p w:rsidR="0035257F" w:rsidRDefault="0035257F" w:rsidP="00027452">
      <w:pPr>
        <w:pStyle w:val="GvdeMetniGirintisi3"/>
        <w:spacing w:line="276" w:lineRule="auto"/>
        <w:ind w:left="0" w:firstLine="0"/>
      </w:pPr>
      <w:r>
        <w:lastRenderedPageBreak/>
        <w:t>(</w:t>
      </w:r>
      <w:r w:rsidR="00DE0BFE">
        <w:t>4</w:t>
      </w:r>
      <w:r>
        <w:t xml:space="preserve">) </w:t>
      </w:r>
      <w:r w:rsidR="00027452" w:rsidRPr="00027452">
        <w:t>ÇHC menşeli ithalatın yerli üretim dalının fiyatlarını 2014 ve 2016 yıllarında kırmadığı 2015 yılında ise %1</w:t>
      </w:r>
      <w:r w:rsidR="00B12240">
        <w:t>X</w:t>
      </w:r>
      <w:r w:rsidR="00027452" w:rsidRPr="00027452">
        <w:t xml:space="preserve"> oranında kırdığı tespit edilmiştir.</w:t>
      </w:r>
      <w:r w:rsidR="00027452">
        <w:t xml:space="preserve"> Benzer şekilde, ÇHC menşeli ithalatın yerli üretim dalının fiyatları üzerinde 2014 ve 2016 yıllarında baskı oluşturmadığı 2015 yılında ise %</w:t>
      </w:r>
      <w:r w:rsidR="00B12240">
        <w:t>X</w:t>
      </w:r>
      <w:r w:rsidR="00027452">
        <w:t xml:space="preserve"> oranında fiyat baskısı oluşturduğu tespit edilmiştir. Bu çerçevede, fiyat kırılmasının ve baskısının her yıl olmamasının nedeni olarak; önlemin etkinliği sonrası önlem konusu ülkeden ithalatın kompozisyonun değişmiş olabileceği ve incelenen yıllarında önlem konusu ülkeden ithalatın düşük seviyelere gerilemiş olmasının etkili olabileceği değerlendirilmektedir.</w:t>
      </w:r>
    </w:p>
    <w:p w:rsidR="00EC4753" w:rsidRDefault="00EC4753" w:rsidP="000D1BEC">
      <w:pPr>
        <w:pStyle w:val="GvdeMetniGirintisi3"/>
        <w:spacing w:line="276" w:lineRule="auto"/>
        <w:ind w:left="0" w:firstLine="567"/>
      </w:pPr>
    </w:p>
    <w:p w:rsidR="00E101E9" w:rsidRDefault="00EC4753" w:rsidP="00226F36">
      <w:pPr>
        <w:spacing w:line="276" w:lineRule="auto"/>
        <w:jc w:val="both"/>
        <w:rPr>
          <w:bCs/>
          <w:noProof/>
        </w:rPr>
      </w:pPr>
      <w:r>
        <w:t>(</w:t>
      </w:r>
      <w:r w:rsidR="00DE0BFE">
        <w:t>5</w:t>
      </w:r>
      <w:r>
        <w:t xml:space="preserve">) </w:t>
      </w:r>
      <w:r w:rsidR="00226F36" w:rsidRPr="00226F36">
        <w:rPr>
          <w:bCs/>
          <w:noProof/>
        </w:rPr>
        <w:t>Önleme konu ürüne ilişkin genel ithalat istatistiklerine bakıldığında, 2014 yılında 340 bin ton olan genel ithalat, 2015 yılında 312 bin ton ve 2016 yılında 306 bin ton seviyesinde gerçekleşmiştir.</w:t>
      </w:r>
      <w:r w:rsidR="00226F36">
        <w:rPr>
          <w:bCs/>
          <w:noProof/>
        </w:rPr>
        <w:t xml:space="preserve"> Genel ithalatta yaşanan azalma ÇHC menşeli ithalatta da kendisini göstermiş olup </w:t>
      </w:r>
      <w:r w:rsidR="00226F36" w:rsidRPr="00226F36">
        <w:rPr>
          <w:bCs/>
          <w:noProof/>
        </w:rPr>
        <w:t>ÇHC’den ithalatı miktar bazında 2014 yılında 7.613 ton iken 2015 yılında 4.930 ton ve 2016 yılında da 3.134 ton olmuştur.</w:t>
      </w:r>
    </w:p>
    <w:p w:rsidR="00282FA2" w:rsidRDefault="00282FA2" w:rsidP="00226F36">
      <w:pPr>
        <w:spacing w:line="276" w:lineRule="auto"/>
        <w:jc w:val="both"/>
        <w:rPr>
          <w:bCs/>
          <w:noProof/>
        </w:rPr>
      </w:pPr>
    </w:p>
    <w:p w:rsidR="00282FA2" w:rsidRDefault="00282FA2" w:rsidP="00282FA2">
      <w:pPr>
        <w:spacing w:line="276" w:lineRule="auto"/>
        <w:jc w:val="both"/>
        <w:rPr>
          <w:bCs/>
          <w:noProof/>
        </w:rPr>
      </w:pPr>
      <w:r>
        <w:rPr>
          <w:bCs/>
          <w:noProof/>
        </w:rPr>
        <w:t xml:space="preserve">(6) </w:t>
      </w:r>
      <w:r w:rsidRPr="00282FA2">
        <w:rPr>
          <w:bCs/>
          <w:noProof/>
        </w:rPr>
        <w:t>Benzer ürünün Türkiye pazarının gelişimini ölçen endeks verilerine göre 2014 yılında 100 olan tüketim endeks değeri 2015 yılında 93’e ve 2016 yılında ise 84’e gerilemiştir. ÇHC’nin tüketim pazar payı 2014 yılında 100 olmak üzere 2015 yılında 70 ve 2016 yılında da 49 seviyesinde gerçekleşmiştir.</w:t>
      </w:r>
      <w:r>
        <w:rPr>
          <w:bCs/>
          <w:noProof/>
        </w:rPr>
        <w:t xml:space="preserve"> </w:t>
      </w:r>
      <w:r w:rsidRPr="00282FA2">
        <w:rPr>
          <w:bCs/>
          <w:noProof/>
        </w:rPr>
        <w:t>Yerli üretim dalının tüketim pazar payı değerleri ise 2014 yılı 100 olmak üzere 2015 yılında 106 ve 2016 yılında ise 67 olarak gerileme göstermiştir.</w:t>
      </w:r>
    </w:p>
    <w:p w:rsidR="00226F36" w:rsidRDefault="00226F36" w:rsidP="00226F36">
      <w:pPr>
        <w:spacing w:line="276" w:lineRule="auto"/>
        <w:jc w:val="both"/>
      </w:pPr>
    </w:p>
    <w:p w:rsidR="00016A83" w:rsidRDefault="00ED2B7A" w:rsidP="00282FA2">
      <w:pPr>
        <w:pStyle w:val="GvdeMetniGirintisi3"/>
        <w:spacing w:line="276" w:lineRule="auto"/>
        <w:ind w:left="0" w:firstLine="0"/>
      </w:pPr>
      <w:r>
        <w:t>(</w:t>
      </w:r>
      <w:r w:rsidR="00DE0BFE">
        <w:t>6</w:t>
      </w:r>
      <w:r>
        <w:t>)</w:t>
      </w:r>
      <w:r w:rsidR="00282FA2" w:rsidRPr="00282FA2">
        <w:t xml:space="preserve"> </w:t>
      </w:r>
      <w:proofErr w:type="spellStart"/>
      <w:r w:rsidR="00282FA2">
        <w:t>ÇHC’nin</w:t>
      </w:r>
      <w:proofErr w:type="spellEnd"/>
      <w:r w:rsidR="00282FA2">
        <w:t xml:space="preserve"> granit ihracatı 2014 yılında 7,4 milyon ton, 2015 yılında 7,3 milyon </w:t>
      </w:r>
      <w:proofErr w:type="gramStart"/>
      <w:r w:rsidR="00282FA2">
        <w:t>ve  2016</w:t>
      </w:r>
      <w:proofErr w:type="gramEnd"/>
      <w:r w:rsidR="00282FA2">
        <w:t xml:space="preserve"> yılı itibariyle 7,1 milyon ton olmuştur. Değer itibariyle söz konusu ihracat miktarları 2014 yılında 3,9 milyon ABD Doları, 2015 yılında 4,7 milyon ABD Doları ve 2016 yılında 4,3 milyon ABD Doları olarak gerçekleşmiştir.  2016 yılında gerçekleştirdiği 7,1 milyon tonluk ihracat ile dünya sıralamasında %61’lik pay ile ilk sırada yer almıştır.</w:t>
      </w:r>
    </w:p>
    <w:p w:rsidR="00016A83" w:rsidRDefault="00016A83" w:rsidP="000D1BEC">
      <w:pPr>
        <w:pStyle w:val="GvdeMetniGirintisi3"/>
        <w:spacing w:line="276" w:lineRule="auto"/>
        <w:ind w:left="0" w:firstLine="567"/>
      </w:pPr>
    </w:p>
    <w:p w:rsidR="000C4599" w:rsidRDefault="00ED2B7A" w:rsidP="00577439">
      <w:pPr>
        <w:pStyle w:val="GvdeMetniGirintisi3"/>
        <w:spacing w:line="276" w:lineRule="auto"/>
        <w:ind w:left="0" w:firstLine="0"/>
        <w:rPr>
          <w:bCs/>
        </w:rPr>
      </w:pPr>
      <w:r>
        <w:t>(</w:t>
      </w:r>
      <w:r w:rsidR="00DE0BFE">
        <w:t>7</w:t>
      </w:r>
      <w:r w:rsidRPr="001648A8">
        <w:t xml:space="preserve">) Tüm bu hususlar ışığında, önlemlerin yürürlükten kalkması halinde </w:t>
      </w:r>
      <w:proofErr w:type="gramStart"/>
      <w:r w:rsidRPr="001648A8">
        <w:t>dampingli</w:t>
      </w:r>
      <w:proofErr w:type="gramEnd"/>
      <w:r w:rsidRPr="001648A8">
        <w:t xml:space="preserve"> ithalatın ve </w:t>
      </w:r>
      <w:r w:rsidR="00533A73">
        <w:rPr>
          <w:bCs/>
          <w:spacing w:val="-2"/>
        </w:rPr>
        <w:t>y</w:t>
      </w:r>
      <w:r w:rsidR="00533A73">
        <w:rPr>
          <w:szCs w:val="20"/>
        </w:rPr>
        <w:t>erli üretim dalının</w:t>
      </w:r>
      <w:r w:rsidRPr="001648A8">
        <w:t xml:space="preserve"> üzerinde bu ithalattan kaynaklanan zararın devam etmesinin/yeniden meydana gelmesinin muhtemel olduğu değerlendirilmektedir.</w:t>
      </w:r>
    </w:p>
    <w:p w:rsidR="00577439" w:rsidRDefault="00577439" w:rsidP="00577439">
      <w:pPr>
        <w:tabs>
          <w:tab w:val="left" w:pos="709"/>
        </w:tabs>
        <w:spacing w:line="276" w:lineRule="auto"/>
        <w:jc w:val="both"/>
        <w:rPr>
          <w:bCs/>
        </w:rPr>
      </w:pPr>
    </w:p>
    <w:p w:rsidR="00FA16AC" w:rsidRPr="00FA16AC" w:rsidRDefault="00E0696E" w:rsidP="00577439">
      <w:pPr>
        <w:tabs>
          <w:tab w:val="left" w:pos="709"/>
        </w:tabs>
        <w:spacing w:line="276" w:lineRule="auto"/>
        <w:jc w:val="both"/>
        <w:rPr>
          <w:b/>
          <w:bCs/>
        </w:rPr>
      </w:pPr>
      <w:r w:rsidRPr="00E0696E">
        <w:rPr>
          <w:b/>
          <w:bCs/>
        </w:rPr>
        <w:t>6.2</w:t>
      </w:r>
      <w:r>
        <w:rPr>
          <w:bCs/>
        </w:rPr>
        <w:t xml:space="preserve"> </w:t>
      </w:r>
      <w:r w:rsidR="00FA16AC">
        <w:rPr>
          <w:b/>
          <w:bCs/>
        </w:rPr>
        <w:t>Sonuç</w:t>
      </w:r>
    </w:p>
    <w:p w:rsidR="00556BAA" w:rsidRDefault="00ED2B7A" w:rsidP="00E0696E">
      <w:pPr>
        <w:pStyle w:val="GvdeMetniGirintisi3"/>
        <w:spacing w:after="240" w:line="276" w:lineRule="auto"/>
        <w:ind w:left="0" w:firstLine="0"/>
      </w:pPr>
      <w:r>
        <w:t xml:space="preserve">(1) </w:t>
      </w:r>
      <w:r w:rsidR="000A7259">
        <w:t>S</w:t>
      </w:r>
      <w:r w:rsidR="000A7259" w:rsidRPr="000A7259">
        <w:t xml:space="preserve">oruşturma neticesinde ulaşılan tespitleri değerlendiren Kurul’un kararı ve Ekonomi Bakanının onayı ile </w:t>
      </w:r>
      <w:r w:rsidR="008C3CF8" w:rsidRPr="008C3CF8">
        <w:t xml:space="preserve">10/07/2012 tarihli 28349 </w:t>
      </w:r>
      <w:r w:rsidR="000A7259" w:rsidRPr="000A7259">
        <w:t>sayılı Resmî Gazete’de yayımlanan İthalatta Haksız Rekabetin Önlenmesine İlişkin Tebliğ (Tebliğ No: 2012/1</w:t>
      </w:r>
      <w:r w:rsidR="008C3CF8">
        <w:t>4</w:t>
      </w:r>
      <w:r w:rsidR="000A7259" w:rsidRPr="000A7259">
        <w:t xml:space="preserve">) kapsamında uygulanmakta olan </w:t>
      </w:r>
      <w:proofErr w:type="gramStart"/>
      <w:r w:rsidR="000A7259" w:rsidRPr="000A7259">
        <w:t>dampinge</w:t>
      </w:r>
      <w:proofErr w:type="gramEnd"/>
      <w:r w:rsidR="000A7259" w:rsidRPr="000A7259">
        <w:t xml:space="preserve"> karşı önlemin mevcut haliyle uygulanmaya devam edilmesine karar verilmiştir</w:t>
      </w:r>
      <w:r w:rsidR="000A7259">
        <w:t>.</w:t>
      </w:r>
    </w:p>
    <w:p w:rsidR="00556BAA" w:rsidRDefault="00556BAA" w:rsidP="00E0696E">
      <w:pPr>
        <w:pStyle w:val="GvdeMetniGirintisi3"/>
        <w:spacing w:after="240" w:line="276" w:lineRule="auto"/>
        <w:ind w:left="0"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9"/>
        <w:gridCol w:w="1467"/>
        <w:gridCol w:w="1894"/>
        <w:gridCol w:w="1772"/>
        <w:gridCol w:w="2100"/>
      </w:tblGrid>
      <w:tr w:rsidR="00870FCD" w:rsidTr="00870FCD">
        <w:trPr>
          <w:trHeight w:val="393"/>
        </w:trPr>
        <w:tc>
          <w:tcPr>
            <w:tcW w:w="1489"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
                <w:bCs/>
                <w:color w:val="000000"/>
                <w:sz w:val="20"/>
                <w:szCs w:val="20"/>
              </w:rPr>
            </w:pPr>
            <w:r>
              <w:rPr>
                <w:b/>
                <w:bCs/>
                <w:color w:val="000000"/>
              </w:rPr>
              <w:t>GTP</w:t>
            </w:r>
          </w:p>
        </w:tc>
        <w:tc>
          <w:tcPr>
            <w:tcW w:w="1467" w:type="dxa"/>
            <w:tcBorders>
              <w:top w:val="single" w:sz="4" w:space="0" w:color="auto"/>
              <w:left w:val="single" w:sz="4" w:space="0" w:color="auto"/>
              <w:bottom w:val="single" w:sz="4" w:space="0" w:color="auto"/>
              <w:right w:val="single" w:sz="4" w:space="0" w:color="auto"/>
            </w:tcBorders>
            <w:vAlign w:val="center"/>
            <w:hideMark/>
          </w:tcPr>
          <w:p w:rsidR="00870FCD" w:rsidRDefault="00CD3BA3">
            <w:pPr>
              <w:adjustRightInd w:val="0"/>
              <w:jc w:val="center"/>
              <w:rPr>
                <w:b/>
                <w:bCs/>
                <w:color w:val="000000"/>
              </w:rPr>
            </w:pPr>
            <w:r>
              <w:rPr>
                <w:b/>
                <w:bCs/>
                <w:color w:val="000000"/>
              </w:rPr>
              <w:t>Eşya Tanımı</w:t>
            </w:r>
          </w:p>
        </w:tc>
        <w:tc>
          <w:tcPr>
            <w:tcW w:w="1894"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
                <w:bCs/>
                <w:color w:val="000000"/>
              </w:rPr>
            </w:pPr>
            <w:r>
              <w:rPr>
                <w:b/>
                <w:bCs/>
                <w:color w:val="000000"/>
              </w:rPr>
              <w:t>Menşe Ülke</w:t>
            </w:r>
          </w:p>
        </w:tc>
        <w:tc>
          <w:tcPr>
            <w:tcW w:w="1772"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
                <w:bCs/>
                <w:color w:val="000000"/>
              </w:rPr>
            </w:pPr>
            <w:r>
              <w:rPr>
                <w:b/>
                <w:bCs/>
                <w:color w:val="000000"/>
              </w:rPr>
              <w:t>Firma Unvanı</w:t>
            </w:r>
          </w:p>
        </w:tc>
        <w:tc>
          <w:tcPr>
            <w:tcW w:w="2100"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
                <w:bCs/>
                <w:color w:val="000000"/>
              </w:rPr>
            </w:pPr>
            <w:r>
              <w:rPr>
                <w:b/>
                <w:bCs/>
                <w:color w:val="000000"/>
              </w:rPr>
              <w:t>Dampinge Karşı Önlem</w:t>
            </w:r>
          </w:p>
        </w:tc>
      </w:tr>
      <w:tr w:rsidR="00870FCD" w:rsidTr="00870FCD">
        <w:trPr>
          <w:trHeight w:val="809"/>
        </w:trPr>
        <w:tc>
          <w:tcPr>
            <w:tcW w:w="1489"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Cs/>
                <w:color w:val="000000"/>
              </w:rPr>
            </w:pPr>
            <w:r>
              <w:rPr>
                <w:bCs/>
                <w:color w:val="000000"/>
              </w:rPr>
              <w:t>6802.23</w:t>
            </w:r>
          </w:p>
          <w:p w:rsidR="00870FCD" w:rsidRDefault="00870FCD">
            <w:pPr>
              <w:adjustRightInd w:val="0"/>
              <w:jc w:val="center"/>
              <w:rPr>
                <w:bCs/>
                <w:color w:val="000000"/>
              </w:rPr>
            </w:pPr>
            <w:r>
              <w:rPr>
                <w:bCs/>
                <w:color w:val="000000"/>
              </w:rPr>
              <w:t>6802.93</w:t>
            </w:r>
          </w:p>
        </w:tc>
        <w:tc>
          <w:tcPr>
            <w:tcW w:w="1467"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Cs/>
                <w:color w:val="000000"/>
              </w:rPr>
            </w:pPr>
            <w:r>
              <w:rPr>
                <w:bCs/>
                <w:color w:val="000000"/>
              </w:rPr>
              <w:t>Granit</w:t>
            </w:r>
          </w:p>
        </w:tc>
        <w:tc>
          <w:tcPr>
            <w:tcW w:w="1894"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Cs/>
                <w:color w:val="000000"/>
              </w:rPr>
            </w:pPr>
            <w:r>
              <w:rPr>
                <w:bCs/>
                <w:color w:val="000000"/>
              </w:rPr>
              <w:t>Çin Halk Cumhuriyeti</w:t>
            </w:r>
          </w:p>
        </w:tc>
        <w:tc>
          <w:tcPr>
            <w:tcW w:w="1772"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Cs/>
                <w:color w:val="000000"/>
              </w:rPr>
            </w:pPr>
            <w:r>
              <w:rPr>
                <w:bCs/>
                <w:color w:val="000000"/>
              </w:rPr>
              <w:t>Tüm Firmalar</w:t>
            </w:r>
          </w:p>
        </w:tc>
        <w:tc>
          <w:tcPr>
            <w:tcW w:w="2100" w:type="dxa"/>
            <w:tcBorders>
              <w:top w:val="single" w:sz="4" w:space="0" w:color="auto"/>
              <w:left w:val="single" w:sz="4" w:space="0" w:color="auto"/>
              <w:bottom w:val="single" w:sz="4" w:space="0" w:color="auto"/>
              <w:right w:val="single" w:sz="4" w:space="0" w:color="auto"/>
            </w:tcBorders>
            <w:vAlign w:val="center"/>
            <w:hideMark/>
          </w:tcPr>
          <w:p w:rsidR="00870FCD" w:rsidRDefault="00870FCD">
            <w:pPr>
              <w:adjustRightInd w:val="0"/>
              <w:jc w:val="center"/>
              <w:rPr>
                <w:bCs/>
                <w:color w:val="000000"/>
              </w:rPr>
            </w:pPr>
            <w:r>
              <w:rPr>
                <w:bCs/>
                <w:color w:val="000000"/>
              </w:rPr>
              <w:t>174 ABD Doları/Ton</w:t>
            </w:r>
          </w:p>
        </w:tc>
      </w:tr>
    </w:tbl>
    <w:p w:rsidR="00F32B27" w:rsidRDefault="00F32B27" w:rsidP="00E0696E">
      <w:pPr>
        <w:pStyle w:val="GvdeMetniGirintisi3"/>
        <w:spacing w:after="240" w:line="276" w:lineRule="auto"/>
        <w:ind w:left="0" w:firstLine="0"/>
      </w:pPr>
    </w:p>
    <w:p w:rsidR="00FF26EF" w:rsidRPr="00595779" w:rsidRDefault="00FF26EF" w:rsidP="00E0696E">
      <w:pPr>
        <w:spacing w:line="276" w:lineRule="auto"/>
        <w:jc w:val="both"/>
        <w:rPr>
          <w:sz w:val="18"/>
        </w:rPr>
      </w:pPr>
      <w:bookmarkStart w:id="11" w:name="_GoBack"/>
      <w:bookmarkEnd w:id="11"/>
    </w:p>
    <w:sectPr w:rsidR="00FF26EF" w:rsidRPr="00595779" w:rsidSect="00DB151A">
      <w:headerReference w:type="default" r:id="rId8"/>
      <w:footerReference w:type="even" r:id="rId9"/>
      <w:headerReference w:type="first" r:id="rId10"/>
      <w:footerReference w:type="first" r:id="rId11"/>
      <w:pgSz w:w="11906" w:h="16838" w:code="9"/>
      <w:pgMar w:top="993" w:right="1417" w:bottom="1417" w:left="141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C2B" w:rsidRDefault="000B4C2B">
      <w:r>
        <w:separator/>
      </w:r>
    </w:p>
  </w:endnote>
  <w:endnote w:type="continuationSeparator" w:id="0">
    <w:p w:rsidR="000B4C2B" w:rsidRDefault="000B4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icrosoft Sans Serif">
    <w:panose1 w:val="020B0604020202020204"/>
    <w:charset w:val="A2"/>
    <w:family w:val="swiss"/>
    <w:pitch w:val="variable"/>
    <w:sig w:usb0="E1002AFF" w:usb1="C0000002" w:usb2="00000008" w:usb3="00000000" w:csb0="000101FF"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C2B" w:rsidRDefault="000B4C2B">
    <w:pPr>
      <w:pStyle w:val="AltBilgi"/>
      <w:framePr w:wrap="around" w:vAnchor="text" w:hAnchor="margin" w:xAlign="right" w:y="1"/>
      <w:rPr>
        <w:rStyle w:val="SayfaNumaras"/>
      </w:rPr>
    </w:pPr>
    <w:r>
      <w:rPr>
        <w:rStyle w:val="SayfaNumaras"/>
      </w:rPr>
      <w:fldChar w:fldCharType="begin"/>
    </w:r>
    <w:r>
      <w:rPr>
        <w:rStyle w:val="SayfaNumaras"/>
      </w:rPr>
      <w:instrText xml:space="preserve">PAGE  </w:instrText>
    </w:r>
    <w:r>
      <w:rPr>
        <w:rStyle w:val="SayfaNumaras"/>
      </w:rPr>
      <w:fldChar w:fldCharType="end"/>
    </w:r>
  </w:p>
  <w:p w:rsidR="000B4C2B" w:rsidRDefault="000B4C2B">
    <w:pPr>
      <w:pStyle w:val="AltBilgi"/>
      <w:ind w:right="360"/>
    </w:pPr>
  </w:p>
  <w:p w:rsidR="000B4C2B" w:rsidRDefault="000B4C2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C2B" w:rsidRDefault="000B4C2B">
    <w:pPr>
      <w:pStyle w:val="AltBilgi"/>
      <w:jc w:val="right"/>
    </w:pPr>
  </w:p>
  <w:p w:rsidR="000B4C2B" w:rsidRDefault="000B4C2B" w:rsidP="00B67991">
    <w:pPr>
      <w:pStyle w:val="AltBilgi"/>
      <w:tabs>
        <w:tab w:val="clear" w:pos="4536"/>
        <w:tab w:val="clear" w:pos="9072"/>
        <w:tab w:val="left" w:pos="838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C2B" w:rsidRDefault="000B4C2B">
      <w:r>
        <w:separator/>
      </w:r>
    </w:p>
  </w:footnote>
  <w:footnote w:type="continuationSeparator" w:id="0">
    <w:p w:rsidR="000B4C2B" w:rsidRDefault="000B4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C2B" w:rsidRPr="005A3C83" w:rsidRDefault="000B4C2B" w:rsidP="001617DE">
    <w:pPr>
      <w:pStyle w:val="stBilgi"/>
      <w:jc w:val="righ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C2B" w:rsidRPr="005B7F1C" w:rsidRDefault="00C82C34">
    <w:pPr>
      <w:pStyle w:val="stBilgi"/>
      <w:rPr>
        <w:b/>
      </w:rPr>
    </w:pPr>
    <w:r>
      <w:t>EK</w:t>
    </w:r>
    <w:r w:rsidR="000B4C2B">
      <w:tab/>
    </w:r>
    <w:r w:rsidR="000B4C2B">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42494"/>
    <w:multiLevelType w:val="hybridMultilevel"/>
    <w:tmpl w:val="ADB2F9C8"/>
    <w:lvl w:ilvl="0" w:tplc="6316E278">
      <w:start w:val="117"/>
      <w:numFmt w:val="bullet"/>
      <w:lvlText w:val=""/>
      <w:lvlJc w:val="left"/>
      <w:pPr>
        <w:tabs>
          <w:tab w:val="num" w:pos="720"/>
        </w:tabs>
        <w:ind w:left="720" w:hanging="360"/>
      </w:pPr>
      <w:rPr>
        <w:rFonts w:ascii="Symbol" w:eastAsia="Times New Roman" w:hAnsi="Symbol" w:cs="Times New Roman" w:hint="default"/>
        <w:i/>
        <w:sz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B3237"/>
    <w:multiLevelType w:val="hybridMultilevel"/>
    <w:tmpl w:val="5E9C19A8"/>
    <w:lvl w:ilvl="0" w:tplc="041F001B">
      <w:start w:val="1"/>
      <w:numFmt w:val="lowerRoman"/>
      <w:lvlText w:val="%1."/>
      <w:lvlJc w:val="righ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2" w15:restartNumberingAfterBreak="0">
    <w:nsid w:val="111466ED"/>
    <w:multiLevelType w:val="multilevel"/>
    <w:tmpl w:val="CD827858"/>
    <w:lvl w:ilvl="0">
      <w:start w:val="4007"/>
      <w:numFmt w:val="decimal"/>
      <w:lvlText w:val="%1"/>
      <w:lvlJc w:val="left"/>
      <w:pPr>
        <w:tabs>
          <w:tab w:val="num" w:pos="1800"/>
        </w:tabs>
        <w:ind w:left="1800" w:hanging="1800"/>
      </w:pPr>
      <w:rPr>
        <w:rFonts w:hint="default"/>
      </w:rPr>
    </w:lvl>
    <w:lvl w:ilvl="1">
      <w:numFmt w:val="decimalZero"/>
      <w:lvlText w:val="%1.%2"/>
      <w:lvlJc w:val="left"/>
      <w:pPr>
        <w:tabs>
          <w:tab w:val="num" w:pos="1920"/>
        </w:tabs>
        <w:ind w:left="1920" w:hanging="1800"/>
      </w:pPr>
      <w:rPr>
        <w:rFonts w:hint="default"/>
      </w:rPr>
    </w:lvl>
    <w:lvl w:ilvl="2">
      <w:numFmt w:val="decimalZero"/>
      <w:lvlText w:val="%1.%2.%3"/>
      <w:lvlJc w:val="left"/>
      <w:pPr>
        <w:tabs>
          <w:tab w:val="num" w:pos="2040"/>
        </w:tabs>
        <w:ind w:left="2040" w:hanging="1800"/>
      </w:pPr>
      <w:rPr>
        <w:rFonts w:hint="default"/>
      </w:rPr>
    </w:lvl>
    <w:lvl w:ilvl="3">
      <w:start w:val="10"/>
      <w:numFmt w:val="decimal"/>
      <w:lvlText w:val="%1.%2.%3.%4.0"/>
      <w:lvlJc w:val="left"/>
      <w:pPr>
        <w:tabs>
          <w:tab w:val="num" w:pos="2160"/>
        </w:tabs>
        <w:ind w:left="2160" w:hanging="1800"/>
      </w:pPr>
      <w:rPr>
        <w:rFonts w:hint="default"/>
      </w:rPr>
    </w:lvl>
    <w:lvl w:ilvl="4">
      <w:start w:val="1"/>
      <w:numFmt w:val="decimalZero"/>
      <w:lvlText w:val="%1.%2.%3.%4.%5"/>
      <w:lvlJc w:val="left"/>
      <w:pPr>
        <w:tabs>
          <w:tab w:val="num" w:pos="2280"/>
        </w:tabs>
        <w:ind w:left="2280" w:hanging="1800"/>
      </w:pPr>
      <w:rPr>
        <w:rFonts w:hint="default"/>
      </w:rPr>
    </w:lvl>
    <w:lvl w:ilvl="5">
      <w:start w:val="1"/>
      <w:numFmt w:val="decimal"/>
      <w:lvlText w:val="%1.%2.%3.%4.%5.%6"/>
      <w:lvlJc w:val="left"/>
      <w:pPr>
        <w:tabs>
          <w:tab w:val="num" w:pos="2400"/>
        </w:tabs>
        <w:ind w:left="2400" w:hanging="180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640"/>
        </w:tabs>
        <w:ind w:left="2640" w:hanging="1800"/>
      </w:pPr>
      <w:rPr>
        <w:rFonts w:hint="default"/>
      </w:rPr>
    </w:lvl>
    <w:lvl w:ilvl="8">
      <w:start w:val="1"/>
      <w:numFmt w:val="decimal"/>
      <w:lvlText w:val="%1.%2.%3.%4.%5.%6.%7.%8.%9"/>
      <w:lvlJc w:val="left"/>
      <w:pPr>
        <w:tabs>
          <w:tab w:val="num" w:pos="2760"/>
        </w:tabs>
        <w:ind w:left="2760" w:hanging="1800"/>
      </w:pPr>
      <w:rPr>
        <w:rFonts w:hint="default"/>
      </w:rPr>
    </w:lvl>
  </w:abstractNum>
  <w:abstractNum w:abstractNumId="3" w15:restartNumberingAfterBreak="0">
    <w:nsid w:val="1199504F"/>
    <w:multiLevelType w:val="hybridMultilevel"/>
    <w:tmpl w:val="455AED6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47F0085"/>
    <w:multiLevelType w:val="hybridMultilevel"/>
    <w:tmpl w:val="A2262490"/>
    <w:lvl w:ilvl="0" w:tplc="0BE6BD96">
      <w:start w:val="1"/>
      <w:numFmt w:val="decimal"/>
      <w:lvlText w:val="%1."/>
      <w:lvlJc w:val="left"/>
      <w:pPr>
        <w:tabs>
          <w:tab w:val="num" w:pos="720"/>
        </w:tabs>
        <w:ind w:left="720" w:hanging="360"/>
      </w:pPr>
      <w:rPr>
        <w:rFonts w:hint="default"/>
      </w:rPr>
    </w:lvl>
    <w:lvl w:ilvl="1" w:tplc="D54655A4">
      <w:numFmt w:val="none"/>
      <w:lvlText w:val=""/>
      <w:lvlJc w:val="left"/>
      <w:pPr>
        <w:tabs>
          <w:tab w:val="num" w:pos="360"/>
        </w:tabs>
      </w:pPr>
    </w:lvl>
    <w:lvl w:ilvl="2" w:tplc="E7600E40">
      <w:numFmt w:val="none"/>
      <w:lvlText w:val=""/>
      <w:lvlJc w:val="left"/>
      <w:pPr>
        <w:tabs>
          <w:tab w:val="num" w:pos="360"/>
        </w:tabs>
      </w:pPr>
    </w:lvl>
    <w:lvl w:ilvl="3" w:tplc="2612DAC8">
      <w:numFmt w:val="none"/>
      <w:lvlText w:val=""/>
      <w:lvlJc w:val="left"/>
      <w:pPr>
        <w:tabs>
          <w:tab w:val="num" w:pos="360"/>
        </w:tabs>
      </w:pPr>
    </w:lvl>
    <w:lvl w:ilvl="4" w:tplc="B14AF7B6">
      <w:numFmt w:val="none"/>
      <w:lvlText w:val=""/>
      <w:lvlJc w:val="left"/>
      <w:pPr>
        <w:tabs>
          <w:tab w:val="num" w:pos="360"/>
        </w:tabs>
      </w:pPr>
    </w:lvl>
    <w:lvl w:ilvl="5" w:tplc="CC6CCD54">
      <w:numFmt w:val="none"/>
      <w:lvlText w:val=""/>
      <w:lvlJc w:val="left"/>
      <w:pPr>
        <w:tabs>
          <w:tab w:val="num" w:pos="360"/>
        </w:tabs>
      </w:pPr>
    </w:lvl>
    <w:lvl w:ilvl="6" w:tplc="900EF9D8">
      <w:numFmt w:val="none"/>
      <w:lvlText w:val=""/>
      <w:lvlJc w:val="left"/>
      <w:pPr>
        <w:tabs>
          <w:tab w:val="num" w:pos="360"/>
        </w:tabs>
      </w:pPr>
    </w:lvl>
    <w:lvl w:ilvl="7" w:tplc="9C7AA5CE">
      <w:numFmt w:val="none"/>
      <w:lvlText w:val=""/>
      <w:lvlJc w:val="left"/>
      <w:pPr>
        <w:tabs>
          <w:tab w:val="num" w:pos="360"/>
        </w:tabs>
      </w:pPr>
    </w:lvl>
    <w:lvl w:ilvl="8" w:tplc="806635EE">
      <w:numFmt w:val="none"/>
      <w:lvlText w:val=""/>
      <w:lvlJc w:val="left"/>
      <w:pPr>
        <w:tabs>
          <w:tab w:val="num" w:pos="360"/>
        </w:tabs>
      </w:pPr>
    </w:lvl>
  </w:abstractNum>
  <w:abstractNum w:abstractNumId="5" w15:restartNumberingAfterBreak="0">
    <w:nsid w:val="15F45D66"/>
    <w:multiLevelType w:val="hybridMultilevel"/>
    <w:tmpl w:val="9C32D85E"/>
    <w:lvl w:ilvl="0" w:tplc="041F001B">
      <w:start w:val="1"/>
      <w:numFmt w:val="lowerRoman"/>
      <w:lvlText w:val="%1."/>
      <w:lvlJc w:val="right"/>
      <w:pPr>
        <w:ind w:left="1425" w:hanging="360"/>
      </w:pPr>
    </w:lvl>
    <w:lvl w:ilvl="1" w:tplc="041F0019" w:tentative="1">
      <w:start w:val="1"/>
      <w:numFmt w:val="lowerLetter"/>
      <w:lvlText w:val="%2."/>
      <w:lvlJc w:val="left"/>
      <w:pPr>
        <w:ind w:left="2145" w:hanging="360"/>
      </w:pPr>
    </w:lvl>
    <w:lvl w:ilvl="2" w:tplc="041F001B" w:tentative="1">
      <w:start w:val="1"/>
      <w:numFmt w:val="lowerRoman"/>
      <w:lvlText w:val="%3."/>
      <w:lvlJc w:val="right"/>
      <w:pPr>
        <w:ind w:left="2865" w:hanging="180"/>
      </w:pPr>
    </w:lvl>
    <w:lvl w:ilvl="3" w:tplc="041F000F" w:tentative="1">
      <w:start w:val="1"/>
      <w:numFmt w:val="decimal"/>
      <w:lvlText w:val="%4."/>
      <w:lvlJc w:val="left"/>
      <w:pPr>
        <w:ind w:left="3585" w:hanging="360"/>
      </w:pPr>
    </w:lvl>
    <w:lvl w:ilvl="4" w:tplc="041F0019" w:tentative="1">
      <w:start w:val="1"/>
      <w:numFmt w:val="lowerLetter"/>
      <w:lvlText w:val="%5."/>
      <w:lvlJc w:val="left"/>
      <w:pPr>
        <w:ind w:left="4305" w:hanging="360"/>
      </w:pPr>
    </w:lvl>
    <w:lvl w:ilvl="5" w:tplc="041F001B" w:tentative="1">
      <w:start w:val="1"/>
      <w:numFmt w:val="lowerRoman"/>
      <w:lvlText w:val="%6."/>
      <w:lvlJc w:val="right"/>
      <w:pPr>
        <w:ind w:left="5025" w:hanging="180"/>
      </w:pPr>
    </w:lvl>
    <w:lvl w:ilvl="6" w:tplc="041F000F" w:tentative="1">
      <w:start w:val="1"/>
      <w:numFmt w:val="decimal"/>
      <w:lvlText w:val="%7."/>
      <w:lvlJc w:val="left"/>
      <w:pPr>
        <w:ind w:left="5745" w:hanging="360"/>
      </w:pPr>
    </w:lvl>
    <w:lvl w:ilvl="7" w:tplc="041F0019" w:tentative="1">
      <w:start w:val="1"/>
      <w:numFmt w:val="lowerLetter"/>
      <w:lvlText w:val="%8."/>
      <w:lvlJc w:val="left"/>
      <w:pPr>
        <w:ind w:left="6465" w:hanging="360"/>
      </w:pPr>
    </w:lvl>
    <w:lvl w:ilvl="8" w:tplc="041F001B" w:tentative="1">
      <w:start w:val="1"/>
      <w:numFmt w:val="lowerRoman"/>
      <w:lvlText w:val="%9."/>
      <w:lvlJc w:val="right"/>
      <w:pPr>
        <w:ind w:left="7185" w:hanging="180"/>
      </w:pPr>
    </w:lvl>
  </w:abstractNum>
  <w:abstractNum w:abstractNumId="6" w15:restartNumberingAfterBreak="0">
    <w:nsid w:val="16BC6CE4"/>
    <w:multiLevelType w:val="hybridMultilevel"/>
    <w:tmpl w:val="9A02E136"/>
    <w:lvl w:ilvl="0" w:tplc="041F0017">
      <w:start w:val="1"/>
      <w:numFmt w:val="lowerLetter"/>
      <w:lvlText w:val="%1)"/>
      <w:lvlJc w:val="left"/>
      <w:pPr>
        <w:tabs>
          <w:tab w:val="num" w:pos="1060"/>
        </w:tabs>
        <w:ind w:left="1060" w:hanging="360"/>
      </w:pPr>
      <w:rPr>
        <w:rFonts w:hint="default"/>
      </w:rPr>
    </w:lvl>
    <w:lvl w:ilvl="1" w:tplc="041F0019" w:tentative="1">
      <w:start w:val="1"/>
      <w:numFmt w:val="lowerLetter"/>
      <w:lvlText w:val="%2."/>
      <w:lvlJc w:val="left"/>
      <w:pPr>
        <w:tabs>
          <w:tab w:val="num" w:pos="1780"/>
        </w:tabs>
        <w:ind w:left="1780" w:hanging="360"/>
      </w:pPr>
    </w:lvl>
    <w:lvl w:ilvl="2" w:tplc="041F001B" w:tentative="1">
      <w:start w:val="1"/>
      <w:numFmt w:val="lowerRoman"/>
      <w:lvlText w:val="%3."/>
      <w:lvlJc w:val="right"/>
      <w:pPr>
        <w:tabs>
          <w:tab w:val="num" w:pos="2500"/>
        </w:tabs>
        <w:ind w:left="2500" w:hanging="180"/>
      </w:pPr>
    </w:lvl>
    <w:lvl w:ilvl="3" w:tplc="041F000F" w:tentative="1">
      <w:start w:val="1"/>
      <w:numFmt w:val="decimal"/>
      <w:lvlText w:val="%4."/>
      <w:lvlJc w:val="left"/>
      <w:pPr>
        <w:tabs>
          <w:tab w:val="num" w:pos="3220"/>
        </w:tabs>
        <w:ind w:left="3220" w:hanging="360"/>
      </w:pPr>
    </w:lvl>
    <w:lvl w:ilvl="4" w:tplc="041F0019" w:tentative="1">
      <w:start w:val="1"/>
      <w:numFmt w:val="lowerLetter"/>
      <w:lvlText w:val="%5."/>
      <w:lvlJc w:val="left"/>
      <w:pPr>
        <w:tabs>
          <w:tab w:val="num" w:pos="3940"/>
        </w:tabs>
        <w:ind w:left="3940" w:hanging="360"/>
      </w:pPr>
    </w:lvl>
    <w:lvl w:ilvl="5" w:tplc="041F001B" w:tentative="1">
      <w:start w:val="1"/>
      <w:numFmt w:val="lowerRoman"/>
      <w:lvlText w:val="%6."/>
      <w:lvlJc w:val="right"/>
      <w:pPr>
        <w:tabs>
          <w:tab w:val="num" w:pos="4660"/>
        </w:tabs>
        <w:ind w:left="4660" w:hanging="180"/>
      </w:pPr>
    </w:lvl>
    <w:lvl w:ilvl="6" w:tplc="041F000F" w:tentative="1">
      <w:start w:val="1"/>
      <w:numFmt w:val="decimal"/>
      <w:lvlText w:val="%7."/>
      <w:lvlJc w:val="left"/>
      <w:pPr>
        <w:tabs>
          <w:tab w:val="num" w:pos="5380"/>
        </w:tabs>
        <w:ind w:left="5380" w:hanging="360"/>
      </w:pPr>
    </w:lvl>
    <w:lvl w:ilvl="7" w:tplc="041F0019" w:tentative="1">
      <w:start w:val="1"/>
      <w:numFmt w:val="lowerLetter"/>
      <w:lvlText w:val="%8."/>
      <w:lvlJc w:val="left"/>
      <w:pPr>
        <w:tabs>
          <w:tab w:val="num" w:pos="6100"/>
        </w:tabs>
        <w:ind w:left="6100" w:hanging="360"/>
      </w:pPr>
    </w:lvl>
    <w:lvl w:ilvl="8" w:tplc="041F001B" w:tentative="1">
      <w:start w:val="1"/>
      <w:numFmt w:val="lowerRoman"/>
      <w:lvlText w:val="%9."/>
      <w:lvlJc w:val="right"/>
      <w:pPr>
        <w:tabs>
          <w:tab w:val="num" w:pos="6820"/>
        </w:tabs>
        <w:ind w:left="6820" w:hanging="180"/>
      </w:pPr>
    </w:lvl>
  </w:abstractNum>
  <w:abstractNum w:abstractNumId="7" w15:restartNumberingAfterBreak="0">
    <w:nsid w:val="18570658"/>
    <w:multiLevelType w:val="multilevel"/>
    <w:tmpl w:val="7198430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567"/>
        </w:tabs>
        <w:ind w:left="56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1A236C06"/>
    <w:multiLevelType w:val="hybridMultilevel"/>
    <w:tmpl w:val="DFEACB64"/>
    <w:lvl w:ilvl="0" w:tplc="8E302864">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1C3557D7"/>
    <w:multiLevelType w:val="hybridMultilevel"/>
    <w:tmpl w:val="4DA8B3BE"/>
    <w:lvl w:ilvl="0" w:tplc="9F6EE2B8">
      <w:start w:val="3"/>
      <w:numFmt w:val="decimal"/>
      <w:lvlText w:val="(%1)"/>
      <w:lvlJc w:val="left"/>
      <w:pPr>
        <w:tabs>
          <w:tab w:val="num" w:pos="1060"/>
        </w:tabs>
        <w:ind w:left="1060" w:hanging="360"/>
      </w:pPr>
      <w:rPr>
        <w:rFonts w:hint="default"/>
      </w:rPr>
    </w:lvl>
    <w:lvl w:ilvl="1" w:tplc="041F0019" w:tentative="1">
      <w:start w:val="1"/>
      <w:numFmt w:val="lowerLetter"/>
      <w:lvlText w:val="%2."/>
      <w:lvlJc w:val="left"/>
      <w:pPr>
        <w:tabs>
          <w:tab w:val="num" w:pos="1780"/>
        </w:tabs>
        <w:ind w:left="1780" w:hanging="360"/>
      </w:pPr>
    </w:lvl>
    <w:lvl w:ilvl="2" w:tplc="041F001B" w:tentative="1">
      <w:start w:val="1"/>
      <w:numFmt w:val="lowerRoman"/>
      <w:lvlText w:val="%3."/>
      <w:lvlJc w:val="right"/>
      <w:pPr>
        <w:tabs>
          <w:tab w:val="num" w:pos="2500"/>
        </w:tabs>
        <w:ind w:left="2500" w:hanging="180"/>
      </w:pPr>
    </w:lvl>
    <w:lvl w:ilvl="3" w:tplc="041F000F" w:tentative="1">
      <w:start w:val="1"/>
      <w:numFmt w:val="decimal"/>
      <w:lvlText w:val="%4."/>
      <w:lvlJc w:val="left"/>
      <w:pPr>
        <w:tabs>
          <w:tab w:val="num" w:pos="3220"/>
        </w:tabs>
        <w:ind w:left="3220" w:hanging="360"/>
      </w:pPr>
    </w:lvl>
    <w:lvl w:ilvl="4" w:tplc="041F0019" w:tentative="1">
      <w:start w:val="1"/>
      <w:numFmt w:val="lowerLetter"/>
      <w:lvlText w:val="%5."/>
      <w:lvlJc w:val="left"/>
      <w:pPr>
        <w:tabs>
          <w:tab w:val="num" w:pos="3940"/>
        </w:tabs>
        <w:ind w:left="3940" w:hanging="360"/>
      </w:pPr>
    </w:lvl>
    <w:lvl w:ilvl="5" w:tplc="041F001B" w:tentative="1">
      <w:start w:val="1"/>
      <w:numFmt w:val="lowerRoman"/>
      <w:lvlText w:val="%6."/>
      <w:lvlJc w:val="right"/>
      <w:pPr>
        <w:tabs>
          <w:tab w:val="num" w:pos="4660"/>
        </w:tabs>
        <w:ind w:left="4660" w:hanging="180"/>
      </w:pPr>
    </w:lvl>
    <w:lvl w:ilvl="6" w:tplc="041F000F" w:tentative="1">
      <w:start w:val="1"/>
      <w:numFmt w:val="decimal"/>
      <w:lvlText w:val="%7."/>
      <w:lvlJc w:val="left"/>
      <w:pPr>
        <w:tabs>
          <w:tab w:val="num" w:pos="5380"/>
        </w:tabs>
        <w:ind w:left="5380" w:hanging="360"/>
      </w:pPr>
    </w:lvl>
    <w:lvl w:ilvl="7" w:tplc="041F0019" w:tentative="1">
      <w:start w:val="1"/>
      <w:numFmt w:val="lowerLetter"/>
      <w:lvlText w:val="%8."/>
      <w:lvlJc w:val="left"/>
      <w:pPr>
        <w:tabs>
          <w:tab w:val="num" w:pos="6100"/>
        </w:tabs>
        <w:ind w:left="6100" w:hanging="360"/>
      </w:pPr>
    </w:lvl>
    <w:lvl w:ilvl="8" w:tplc="041F001B" w:tentative="1">
      <w:start w:val="1"/>
      <w:numFmt w:val="lowerRoman"/>
      <w:lvlText w:val="%9."/>
      <w:lvlJc w:val="right"/>
      <w:pPr>
        <w:tabs>
          <w:tab w:val="num" w:pos="6820"/>
        </w:tabs>
        <w:ind w:left="6820" w:hanging="180"/>
      </w:pPr>
    </w:lvl>
  </w:abstractNum>
  <w:abstractNum w:abstractNumId="10" w15:restartNumberingAfterBreak="0">
    <w:nsid w:val="1C5F2E14"/>
    <w:multiLevelType w:val="hybridMultilevel"/>
    <w:tmpl w:val="4A26165E"/>
    <w:lvl w:ilvl="0" w:tplc="5B4AA20C">
      <w:start w:val="4"/>
      <w:numFmt w:val="decimal"/>
      <w:lvlText w:val="%1."/>
      <w:lvlJc w:val="left"/>
      <w:pPr>
        <w:tabs>
          <w:tab w:val="num" w:pos="720"/>
        </w:tabs>
        <w:ind w:left="720" w:hanging="360"/>
      </w:pPr>
      <w:rPr>
        <w:rFonts w:hint="default"/>
      </w:rPr>
    </w:lvl>
    <w:lvl w:ilvl="1" w:tplc="3D94AF8C">
      <w:numFmt w:val="none"/>
      <w:lvlText w:val=""/>
      <w:lvlJc w:val="left"/>
      <w:pPr>
        <w:tabs>
          <w:tab w:val="num" w:pos="360"/>
        </w:tabs>
      </w:pPr>
    </w:lvl>
    <w:lvl w:ilvl="2" w:tplc="2C484E90">
      <w:numFmt w:val="none"/>
      <w:lvlText w:val=""/>
      <w:lvlJc w:val="left"/>
      <w:pPr>
        <w:tabs>
          <w:tab w:val="num" w:pos="360"/>
        </w:tabs>
      </w:pPr>
    </w:lvl>
    <w:lvl w:ilvl="3" w:tplc="53E2559E">
      <w:numFmt w:val="none"/>
      <w:lvlText w:val=""/>
      <w:lvlJc w:val="left"/>
      <w:pPr>
        <w:tabs>
          <w:tab w:val="num" w:pos="360"/>
        </w:tabs>
      </w:pPr>
    </w:lvl>
    <w:lvl w:ilvl="4" w:tplc="14042580">
      <w:numFmt w:val="none"/>
      <w:lvlText w:val=""/>
      <w:lvlJc w:val="left"/>
      <w:pPr>
        <w:tabs>
          <w:tab w:val="num" w:pos="360"/>
        </w:tabs>
      </w:pPr>
    </w:lvl>
    <w:lvl w:ilvl="5" w:tplc="07C20366">
      <w:numFmt w:val="none"/>
      <w:lvlText w:val=""/>
      <w:lvlJc w:val="left"/>
      <w:pPr>
        <w:tabs>
          <w:tab w:val="num" w:pos="360"/>
        </w:tabs>
      </w:pPr>
    </w:lvl>
    <w:lvl w:ilvl="6" w:tplc="97DA1CC0">
      <w:numFmt w:val="none"/>
      <w:lvlText w:val=""/>
      <w:lvlJc w:val="left"/>
      <w:pPr>
        <w:tabs>
          <w:tab w:val="num" w:pos="360"/>
        </w:tabs>
      </w:pPr>
    </w:lvl>
    <w:lvl w:ilvl="7" w:tplc="76A4F79E">
      <w:numFmt w:val="none"/>
      <w:lvlText w:val=""/>
      <w:lvlJc w:val="left"/>
      <w:pPr>
        <w:tabs>
          <w:tab w:val="num" w:pos="360"/>
        </w:tabs>
      </w:pPr>
    </w:lvl>
    <w:lvl w:ilvl="8" w:tplc="1D384A0C">
      <w:numFmt w:val="none"/>
      <w:lvlText w:val=""/>
      <w:lvlJc w:val="left"/>
      <w:pPr>
        <w:tabs>
          <w:tab w:val="num" w:pos="360"/>
        </w:tabs>
      </w:pPr>
    </w:lvl>
  </w:abstractNum>
  <w:abstractNum w:abstractNumId="11" w15:restartNumberingAfterBreak="0">
    <w:nsid w:val="227C1DF1"/>
    <w:multiLevelType w:val="hybridMultilevel"/>
    <w:tmpl w:val="BFF0EB9A"/>
    <w:lvl w:ilvl="0" w:tplc="ED14A57A">
      <w:start w:val="1"/>
      <w:numFmt w:val="decimal"/>
      <w:lvlText w:val="(%1)"/>
      <w:lvlJc w:val="left"/>
      <w:pPr>
        <w:ind w:left="1429"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5351B3F"/>
    <w:multiLevelType w:val="hybridMultilevel"/>
    <w:tmpl w:val="C682EADA"/>
    <w:lvl w:ilvl="0" w:tplc="041F0011">
      <w:start w:val="1"/>
      <w:numFmt w:val="decimal"/>
      <w:lvlText w:val="%1)"/>
      <w:lvlJc w:val="left"/>
      <w:pPr>
        <w:tabs>
          <w:tab w:val="num" w:pos="720"/>
        </w:tabs>
        <w:ind w:left="720" w:hanging="55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30597C32"/>
    <w:multiLevelType w:val="multilevel"/>
    <w:tmpl w:val="B81E030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2216581"/>
    <w:multiLevelType w:val="multilevel"/>
    <w:tmpl w:val="ADE4B41A"/>
    <w:lvl w:ilvl="0">
      <w:start w:val="1"/>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34F13F2"/>
    <w:multiLevelType w:val="multilevel"/>
    <w:tmpl w:val="D34A541E"/>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51B1C79"/>
    <w:multiLevelType w:val="hybridMultilevel"/>
    <w:tmpl w:val="045A475E"/>
    <w:lvl w:ilvl="0" w:tplc="041F001B">
      <w:start w:val="1"/>
      <w:numFmt w:val="low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3593148A"/>
    <w:multiLevelType w:val="multilevel"/>
    <w:tmpl w:val="046CF7E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375B5D6F"/>
    <w:multiLevelType w:val="hybridMultilevel"/>
    <w:tmpl w:val="AD2869BC"/>
    <w:lvl w:ilvl="0" w:tplc="14C424F2">
      <w:start w:val="3"/>
      <w:numFmt w:val="decimal"/>
      <w:lvlText w:val="(%1)"/>
      <w:lvlJc w:val="left"/>
      <w:pPr>
        <w:tabs>
          <w:tab w:val="num" w:pos="1060"/>
        </w:tabs>
        <w:ind w:left="1060" w:hanging="360"/>
      </w:pPr>
      <w:rPr>
        <w:rFonts w:hint="default"/>
      </w:rPr>
    </w:lvl>
    <w:lvl w:ilvl="1" w:tplc="041F0019" w:tentative="1">
      <w:start w:val="1"/>
      <w:numFmt w:val="lowerLetter"/>
      <w:lvlText w:val="%2."/>
      <w:lvlJc w:val="left"/>
      <w:pPr>
        <w:tabs>
          <w:tab w:val="num" w:pos="1780"/>
        </w:tabs>
        <w:ind w:left="1780" w:hanging="360"/>
      </w:pPr>
    </w:lvl>
    <w:lvl w:ilvl="2" w:tplc="041F001B" w:tentative="1">
      <w:start w:val="1"/>
      <w:numFmt w:val="lowerRoman"/>
      <w:lvlText w:val="%3."/>
      <w:lvlJc w:val="right"/>
      <w:pPr>
        <w:tabs>
          <w:tab w:val="num" w:pos="2500"/>
        </w:tabs>
        <w:ind w:left="2500" w:hanging="180"/>
      </w:pPr>
    </w:lvl>
    <w:lvl w:ilvl="3" w:tplc="041F000F" w:tentative="1">
      <w:start w:val="1"/>
      <w:numFmt w:val="decimal"/>
      <w:lvlText w:val="%4."/>
      <w:lvlJc w:val="left"/>
      <w:pPr>
        <w:tabs>
          <w:tab w:val="num" w:pos="3220"/>
        </w:tabs>
        <w:ind w:left="3220" w:hanging="360"/>
      </w:pPr>
    </w:lvl>
    <w:lvl w:ilvl="4" w:tplc="041F0019" w:tentative="1">
      <w:start w:val="1"/>
      <w:numFmt w:val="lowerLetter"/>
      <w:lvlText w:val="%5."/>
      <w:lvlJc w:val="left"/>
      <w:pPr>
        <w:tabs>
          <w:tab w:val="num" w:pos="3940"/>
        </w:tabs>
        <w:ind w:left="3940" w:hanging="360"/>
      </w:pPr>
    </w:lvl>
    <w:lvl w:ilvl="5" w:tplc="041F001B" w:tentative="1">
      <w:start w:val="1"/>
      <w:numFmt w:val="lowerRoman"/>
      <w:lvlText w:val="%6."/>
      <w:lvlJc w:val="right"/>
      <w:pPr>
        <w:tabs>
          <w:tab w:val="num" w:pos="4660"/>
        </w:tabs>
        <w:ind w:left="4660" w:hanging="180"/>
      </w:pPr>
    </w:lvl>
    <w:lvl w:ilvl="6" w:tplc="041F000F" w:tentative="1">
      <w:start w:val="1"/>
      <w:numFmt w:val="decimal"/>
      <w:lvlText w:val="%7."/>
      <w:lvlJc w:val="left"/>
      <w:pPr>
        <w:tabs>
          <w:tab w:val="num" w:pos="5380"/>
        </w:tabs>
        <w:ind w:left="5380" w:hanging="360"/>
      </w:pPr>
    </w:lvl>
    <w:lvl w:ilvl="7" w:tplc="041F0019" w:tentative="1">
      <w:start w:val="1"/>
      <w:numFmt w:val="lowerLetter"/>
      <w:lvlText w:val="%8."/>
      <w:lvlJc w:val="left"/>
      <w:pPr>
        <w:tabs>
          <w:tab w:val="num" w:pos="6100"/>
        </w:tabs>
        <w:ind w:left="6100" w:hanging="360"/>
      </w:pPr>
    </w:lvl>
    <w:lvl w:ilvl="8" w:tplc="041F001B" w:tentative="1">
      <w:start w:val="1"/>
      <w:numFmt w:val="lowerRoman"/>
      <w:lvlText w:val="%9."/>
      <w:lvlJc w:val="right"/>
      <w:pPr>
        <w:tabs>
          <w:tab w:val="num" w:pos="6820"/>
        </w:tabs>
        <w:ind w:left="6820" w:hanging="180"/>
      </w:pPr>
    </w:lvl>
  </w:abstractNum>
  <w:abstractNum w:abstractNumId="19" w15:restartNumberingAfterBreak="0">
    <w:nsid w:val="3AF1611A"/>
    <w:multiLevelType w:val="multilevel"/>
    <w:tmpl w:val="D1C039A4"/>
    <w:lvl w:ilvl="0">
      <w:start w:val="4"/>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Zero"/>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4A93D6F"/>
    <w:multiLevelType w:val="multilevel"/>
    <w:tmpl w:val="046CF7E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1" w15:restartNumberingAfterBreak="0">
    <w:nsid w:val="45807DE2"/>
    <w:multiLevelType w:val="multilevel"/>
    <w:tmpl w:val="1004BEC6"/>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D06AF0"/>
    <w:multiLevelType w:val="hybridMultilevel"/>
    <w:tmpl w:val="F984EA46"/>
    <w:lvl w:ilvl="0" w:tplc="041F0001">
      <w:start w:val="117"/>
      <w:numFmt w:val="bullet"/>
      <w:lvlText w:val=""/>
      <w:lvlJc w:val="left"/>
      <w:pPr>
        <w:tabs>
          <w:tab w:val="num" w:pos="720"/>
        </w:tabs>
        <w:ind w:left="720" w:hanging="360"/>
      </w:pPr>
      <w:rPr>
        <w:rFonts w:ascii="Symbol" w:eastAsia="Times New Roman" w:hAnsi="Symbol" w:cs="Times New Roman"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4337D6"/>
    <w:multiLevelType w:val="multilevel"/>
    <w:tmpl w:val="A8B4AEE6"/>
    <w:lvl w:ilvl="0">
      <w:start w:val="2"/>
      <w:numFmt w:val="decimal"/>
      <w:lvlText w:val="%1"/>
      <w:lvlJc w:val="left"/>
      <w:pPr>
        <w:tabs>
          <w:tab w:val="num" w:pos="420"/>
        </w:tabs>
        <w:ind w:left="420" w:hanging="420"/>
      </w:pPr>
      <w:rPr>
        <w:rFonts w:hint="default"/>
      </w:rPr>
    </w:lvl>
    <w:lvl w:ilvl="1">
      <w:start w:val="3"/>
      <w:numFmt w:val="decimal"/>
      <w:lvlText w:val="%1.%2"/>
      <w:lvlJc w:val="left"/>
      <w:pPr>
        <w:tabs>
          <w:tab w:val="num" w:pos="420"/>
        </w:tabs>
        <w:ind w:left="420" w:hanging="420"/>
      </w:pPr>
      <w:rPr>
        <w:rFonts w:hint="default"/>
      </w:rPr>
    </w:lvl>
    <w:lvl w:ilvl="2">
      <w:start w:val="1"/>
      <w:numFmt w:val="decimalZero"/>
      <w:lvlText w:val="%1.%2.%3"/>
      <w:lvlJc w:val="left"/>
      <w:pPr>
        <w:tabs>
          <w:tab w:val="num" w:pos="720"/>
        </w:tabs>
        <w:ind w:left="720" w:hanging="720"/>
      </w:pPr>
      <w:rPr>
        <w:rFonts w:hint="default"/>
      </w:rPr>
    </w:lvl>
    <w:lvl w:ilvl="3">
      <w:start w:val="1"/>
      <w:numFmt w:val="decimalZero"/>
      <w:lvlText w:val="%1.%2.%3.%4"/>
      <w:lvlJc w:val="left"/>
      <w:pPr>
        <w:tabs>
          <w:tab w:val="num" w:pos="720"/>
        </w:tabs>
        <w:ind w:left="720" w:hanging="720"/>
      </w:pPr>
      <w:rPr>
        <w:rFonts w:hint="default"/>
      </w:rPr>
    </w:lvl>
    <w:lvl w:ilvl="4">
      <w:start w:val="1"/>
      <w:numFmt w:val="decimalZero"/>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37206F0"/>
    <w:multiLevelType w:val="hybridMultilevel"/>
    <w:tmpl w:val="00B2EBDE"/>
    <w:lvl w:ilvl="0" w:tplc="498E4BDE">
      <w:start w:val="5"/>
      <w:numFmt w:val="bullet"/>
      <w:lvlText w:val="-"/>
      <w:lvlJc w:val="left"/>
      <w:pPr>
        <w:tabs>
          <w:tab w:val="num" w:pos="1140"/>
        </w:tabs>
        <w:ind w:left="1140" w:hanging="720"/>
      </w:pPr>
      <w:rPr>
        <w:rFonts w:ascii="Times New Roman" w:eastAsia="Times New Roman" w:hAnsi="Times New Roman" w:cs="Times New Roman" w:hint="default"/>
      </w:rPr>
    </w:lvl>
    <w:lvl w:ilvl="1" w:tplc="041F0003" w:tentative="1">
      <w:start w:val="1"/>
      <w:numFmt w:val="bullet"/>
      <w:lvlText w:val="o"/>
      <w:lvlJc w:val="left"/>
      <w:pPr>
        <w:tabs>
          <w:tab w:val="num" w:pos="1500"/>
        </w:tabs>
        <w:ind w:left="1500" w:hanging="360"/>
      </w:pPr>
      <w:rPr>
        <w:rFonts w:ascii="Courier New" w:hAnsi="Courier New" w:cs="Courier New" w:hint="default"/>
      </w:rPr>
    </w:lvl>
    <w:lvl w:ilvl="2" w:tplc="041F0005" w:tentative="1">
      <w:start w:val="1"/>
      <w:numFmt w:val="bullet"/>
      <w:lvlText w:val=""/>
      <w:lvlJc w:val="left"/>
      <w:pPr>
        <w:tabs>
          <w:tab w:val="num" w:pos="2220"/>
        </w:tabs>
        <w:ind w:left="2220" w:hanging="360"/>
      </w:pPr>
      <w:rPr>
        <w:rFonts w:ascii="Wingdings" w:hAnsi="Wingdings" w:hint="default"/>
      </w:rPr>
    </w:lvl>
    <w:lvl w:ilvl="3" w:tplc="041F0001" w:tentative="1">
      <w:start w:val="1"/>
      <w:numFmt w:val="bullet"/>
      <w:lvlText w:val=""/>
      <w:lvlJc w:val="left"/>
      <w:pPr>
        <w:tabs>
          <w:tab w:val="num" w:pos="2940"/>
        </w:tabs>
        <w:ind w:left="2940" w:hanging="360"/>
      </w:pPr>
      <w:rPr>
        <w:rFonts w:ascii="Symbol" w:hAnsi="Symbol" w:hint="default"/>
      </w:rPr>
    </w:lvl>
    <w:lvl w:ilvl="4" w:tplc="041F0003" w:tentative="1">
      <w:start w:val="1"/>
      <w:numFmt w:val="bullet"/>
      <w:lvlText w:val="o"/>
      <w:lvlJc w:val="left"/>
      <w:pPr>
        <w:tabs>
          <w:tab w:val="num" w:pos="3660"/>
        </w:tabs>
        <w:ind w:left="3660" w:hanging="360"/>
      </w:pPr>
      <w:rPr>
        <w:rFonts w:ascii="Courier New" w:hAnsi="Courier New" w:cs="Courier New" w:hint="default"/>
      </w:rPr>
    </w:lvl>
    <w:lvl w:ilvl="5" w:tplc="041F0005" w:tentative="1">
      <w:start w:val="1"/>
      <w:numFmt w:val="bullet"/>
      <w:lvlText w:val=""/>
      <w:lvlJc w:val="left"/>
      <w:pPr>
        <w:tabs>
          <w:tab w:val="num" w:pos="4380"/>
        </w:tabs>
        <w:ind w:left="4380" w:hanging="360"/>
      </w:pPr>
      <w:rPr>
        <w:rFonts w:ascii="Wingdings" w:hAnsi="Wingdings" w:hint="default"/>
      </w:rPr>
    </w:lvl>
    <w:lvl w:ilvl="6" w:tplc="041F0001" w:tentative="1">
      <w:start w:val="1"/>
      <w:numFmt w:val="bullet"/>
      <w:lvlText w:val=""/>
      <w:lvlJc w:val="left"/>
      <w:pPr>
        <w:tabs>
          <w:tab w:val="num" w:pos="5100"/>
        </w:tabs>
        <w:ind w:left="5100" w:hanging="360"/>
      </w:pPr>
      <w:rPr>
        <w:rFonts w:ascii="Symbol" w:hAnsi="Symbol" w:hint="default"/>
      </w:rPr>
    </w:lvl>
    <w:lvl w:ilvl="7" w:tplc="041F0003" w:tentative="1">
      <w:start w:val="1"/>
      <w:numFmt w:val="bullet"/>
      <w:lvlText w:val="o"/>
      <w:lvlJc w:val="left"/>
      <w:pPr>
        <w:tabs>
          <w:tab w:val="num" w:pos="5820"/>
        </w:tabs>
        <w:ind w:left="5820" w:hanging="360"/>
      </w:pPr>
      <w:rPr>
        <w:rFonts w:ascii="Courier New" w:hAnsi="Courier New" w:cs="Courier New" w:hint="default"/>
      </w:rPr>
    </w:lvl>
    <w:lvl w:ilvl="8" w:tplc="041F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57FF2A8C"/>
    <w:multiLevelType w:val="hybridMultilevel"/>
    <w:tmpl w:val="3D487806"/>
    <w:lvl w:ilvl="0" w:tplc="9EEA1776">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C94DB8"/>
    <w:multiLevelType w:val="multilevel"/>
    <w:tmpl w:val="86DAD780"/>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A907CA2"/>
    <w:multiLevelType w:val="multilevel"/>
    <w:tmpl w:val="046CF7E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8" w15:restartNumberingAfterBreak="0">
    <w:nsid w:val="5C1F493C"/>
    <w:multiLevelType w:val="hybridMultilevel"/>
    <w:tmpl w:val="E14E1628"/>
    <w:lvl w:ilvl="0" w:tplc="79CAA22C">
      <w:start w:val="117"/>
      <w:numFmt w:val="bullet"/>
      <w:lvlText w:val=""/>
      <w:lvlJc w:val="left"/>
      <w:pPr>
        <w:tabs>
          <w:tab w:val="num" w:pos="502"/>
        </w:tabs>
        <w:ind w:left="502" w:hanging="360"/>
      </w:pPr>
      <w:rPr>
        <w:rFonts w:ascii="Symbol" w:eastAsia="Times New Roman" w:hAnsi="Symbol" w:cs="Times New Roman" w:hint="default"/>
      </w:rPr>
    </w:lvl>
    <w:lvl w:ilvl="1" w:tplc="041F0003" w:tentative="1">
      <w:start w:val="1"/>
      <w:numFmt w:val="bullet"/>
      <w:lvlText w:val="o"/>
      <w:lvlJc w:val="left"/>
      <w:pPr>
        <w:tabs>
          <w:tab w:val="num" w:pos="1222"/>
        </w:tabs>
        <w:ind w:left="1222" w:hanging="360"/>
      </w:pPr>
      <w:rPr>
        <w:rFonts w:ascii="Courier New" w:hAnsi="Courier New" w:cs="Courier New" w:hint="default"/>
      </w:rPr>
    </w:lvl>
    <w:lvl w:ilvl="2" w:tplc="041F0005" w:tentative="1">
      <w:start w:val="1"/>
      <w:numFmt w:val="bullet"/>
      <w:lvlText w:val=""/>
      <w:lvlJc w:val="left"/>
      <w:pPr>
        <w:tabs>
          <w:tab w:val="num" w:pos="1942"/>
        </w:tabs>
        <w:ind w:left="1942" w:hanging="360"/>
      </w:pPr>
      <w:rPr>
        <w:rFonts w:ascii="Wingdings" w:hAnsi="Wingdings" w:hint="default"/>
      </w:rPr>
    </w:lvl>
    <w:lvl w:ilvl="3" w:tplc="041F0001" w:tentative="1">
      <w:start w:val="1"/>
      <w:numFmt w:val="bullet"/>
      <w:lvlText w:val=""/>
      <w:lvlJc w:val="left"/>
      <w:pPr>
        <w:tabs>
          <w:tab w:val="num" w:pos="2662"/>
        </w:tabs>
        <w:ind w:left="2662" w:hanging="360"/>
      </w:pPr>
      <w:rPr>
        <w:rFonts w:ascii="Symbol" w:hAnsi="Symbol" w:hint="default"/>
      </w:rPr>
    </w:lvl>
    <w:lvl w:ilvl="4" w:tplc="041F0003" w:tentative="1">
      <w:start w:val="1"/>
      <w:numFmt w:val="bullet"/>
      <w:lvlText w:val="o"/>
      <w:lvlJc w:val="left"/>
      <w:pPr>
        <w:tabs>
          <w:tab w:val="num" w:pos="3382"/>
        </w:tabs>
        <w:ind w:left="3382" w:hanging="360"/>
      </w:pPr>
      <w:rPr>
        <w:rFonts w:ascii="Courier New" w:hAnsi="Courier New" w:cs="Courier New" w:hint="default"/>
      </w:rPr>
    </w:lvl>
    <w:lvl w:ilvl="5" w:tplc="041F0005" w:tentative="1">
      <w:start w:val="1"/>
      <w:numFmt w:val="bullet"/>
      <w:lvlText w:val=""/>
      <w:lvlJc w:val="left"/>
      <w:pPr>
        <w:tabs>
          <w:tab w:val="num" w:pos="4102"/>
        </w:tabs>
        <w:ind w:left="4102" w:hanging="360"/>
      </w:pPr>
      <w:rPr>
        <w:rFonts w:ascii="Wingdings" w:hAnsi="Wingdings" w:hint="default"/>
      </w:rPr>
    </w:lvl>
    <w:lvl w:ilvl="6" w:tplc="041F0001" w:tentative="1">
      <w:start w:val="1"/>
      <w:numFmt w:val="bullet"/>
      <w:lvlText w:val=""/>
      <w:lvlJc w:val="left"/>
      <w:pPr>
        <w:tabs>
          <w:tab w:val="num" w:pos="4822"/>
        </w:tabs>
        <w:ind w:left="4822" w:hanging="360"/>
      </w:pPr>
      <w:rPr>
        <w:rFonts w:ascii="Symbol" w:hAnsi="Symbol" w:hint="default"/>
      </w:rPr>
    </w:lvl>
    <w:lvl w:ilvl="7" w:tplc="041F0003" w:tentative="1">
      <w:start w:val="1"/>
      <w:numFmt w:val="bullet"/>
      <w:lvlText w:val="o"/>
      <w:lvlJc w:val="left"/>
      <w:pPr>
        <w:tabs>
          <w:tab w:val="num" w:pos="5542"/>
        </w:tabs>
        <w:ind w:left="5542" w:hanging="360"/>
      </w:pPr>
      <w:rPr>
        <w:rFonts w:ascii="Courier New" w:hAnsi="Courier New" w:cs="Courier New" w:hint="default"/>
      </w:rPr>
    </w:lvl>
    <w:lvl w:ilvl="8" w:tplc="041F0005" w:tentative="1">
      <w:start w:val="1"/>
      <w:numFmt w:val="bullet"/>
      <w:lvlText w:val=""/>
      <w:lvlJc w:val="left"/>
      <w:pPr>
        <w:tabs>
          <w:tab w:val="num" w:pos="6262"/>
        </w:tabs>
        <w:ind w:left="6262" w:hanging="360"/>
      </w:pPr>
      <w:rPr>
        <w:rFonts w:ascii="Wingdings" w:hAnsi="Wingdings" w:hint="default"/>
      </w:rPr>
    </w:lvl>
  </w:abstractNum>
  <w:abstractNum w:abstractNumId="29" w15:restartNumberingAfterBreak="0">
    <w:nsid w:val="60D64093"/>
    <w:multiLevelType w:val="hybridMultilevel"/>
    <w:tmpl w:val="706073B2"/>
    <w:lvl w:ilvl="0" w:tplc="F022F464">
      <w:start w:val="1"/>
      <w:numFmt w:val="decimal"/>
      <w:lvlText w:val="(%1)"/>
      <w:lvlJc w:val="left"/>
      <w:pPr>
        <w:ind w:left="1830" w:hanging="111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61512914"/>
    <w:multiLevelType w:val="hybridMultilevel"/>
    <w:tmpl w:val="5EFEBCFC"/>
    <w:lvl w:ilvl="0" w:tplc="041F001B">
      <w:start w:val="1"/>
      <w:numFmt w:val="lowerRoman"/>
      <w:lvlText w:val="%1."/>
      <w:lvlJc w:val="right"/>
      <w:pPr>
        <w:ind w:left="1425" w:hanging="360"/>
      </w:pPr>
    </w:lvl>
    <w:lvl w:ilvl="1" w:tplc="041F0019" w:tentative="1">
      <w:start w:val="1"/>
      <w:numFmt w:val="lowerLetter"/>
      <w:lvlText w:val="%2."/>
      <w:lvlJc w:val="left"/>
      <w:pPr>
        <w:ind w:left="2145" w:hanging="360"/>
      </w:pPr>
    </w:lvl>
    <w:lvl w:ilvl="2" w:tplc="041F001B" w:tentative="1">
      <w:start w:val="1"/>
      <w:numFmt w:val="lowerRoman"/>
      <w:lvlText w:val="%3."/>
      <w:lvlJc w:val="right"/>
      <w:pPr>
        <w:ind w:left="2865" w:hanging="180"/>
      </w:pPr>
    </w:lvl>
    <w:lvl w:ilvl="3" w:tplc="041F000F" w:tentative="1">
      <w:start w:val="1"/>
      <w:numFmt w:val="decimal"/>
      <w:lvlText w:val="%4."/>
      <w:lvlJc w:val="left"/>
      <w:pPr>
        <w:ind w:left="3585" w:hanging="360"/>
      </w:pPr>
    </w:lvl>
    <w:lvl w:ilvl="4" w:tplc="041F0019" w:tentative="1">
      <w:start w:val="1"/>
      <w:numFmt w:val="lowerLetter"/>
      <w:lvlText w:val="%5."/>
      <w:lvlJc w:val="left"/>
      <w:pPr>
        <w:ind w:left="4305" w:hanging="360"/>
      </w:pPr>
    </w:lvl>
    <w:lvl w:ilvl="5" w:tplc="041F001B" w:tentative="1">
      <w:start w:val="1"/>
      <w:numFmt w:val="lowerRoman"/>
      <w:lvlText w:val="%6."/>
      <w:lvlJc w:val="right"/>
      <w:pPr>
        <w:ind w:left="5025" w:hanging="180"/>
      </w:pPr>
    </w:lvl>
    <w:lvl w:ilvl="6" w:tplc="041F000F" w:tentative="1">
      <w:start w:val="1"/>
      <w:numFmt w:val="decimal"/>
      <w:lvlText w:val="%7."/>
      <w:lvlJc w:val="left"/>
      <w:pPr>
        <w:ind w:left="5745" w:hanging="360"/>
      </w:pPr>
    </w:lvl>
    <w:lvl w:ilvl="7" w:tplc="041F0019" w:tentative="1">
      <w:start w:val="1"/>
      <w:numFmt w:val="lowerLetter"/>
      <w:lvlText w:val="%8."/>
      <w:lvlJc w:val="left"/>
      <w:pPr>
        <w:ind w:left="6465" w:hanging="360"/>
      </w:pPr>
    </w:lvl>
    <w:lvl w:ilvl="8" w:tplc="041F001B" w:tentative="1">
      <w:start w:val="1"/>
      <w:numFmt w:val="lowerRoman"/>
      <w:lvlText w:val="%9."/>
      <w:lvlJc w:val="right"/>
      <w:pPr>
        <w:ind w:left="7185" w:hanging="180"/>
      </w:pPr>
    </w:lvl>
  </w:abstractNum>
  <w:abstractNum w:abstractNumId="31" w15:restartNumberingAfterBreak="0">
    <w:nsid w:val="63C00902"/>
    <w:multiLevelType w:val="multilevel"/>
    <w:tmpl w:val="8D78BDB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2" w15:restartNumberingAfterBreak="0">
    <w:nsid w:val="64F01B59"/>
    <w:multiLevelType w:val="multilevel"/>
    <w:tmpl w:val="760C4248"/>
    <w:lvl w:ilvl="0">
      <w:start w:val="4007"/>
      <w:numFmt w:val="decimal"/>
      <w:lvlText w:val="%1.0"/>
      <w:lvlJc w:val="left"/>
      <w:pPr>
        <w:tabs>
          <w:tab w:val="num" w:pos="2160"/>
        </w:tabs>
        <w:ind w:left="2160" w:hanging="1800"/>
      </w:pPr>
      <w:rPr>
        <w:rFonts w:hint="default"/>
      </w:rPr>
    </w:lvl>
    <w:lvl w:ilvl="1">
      <w:start w:val="1"/>
      <w:numFmt w:val="decimalZero"/>
      <w:lvlText w:val="%1.%2"/>
      <w:lvlJc w:val="left"/>
      <w:pPr>
        <w:tabs>
          <w:tab w:val="num" w:pos="2880"/>
        </w:tabs>
        <w:ind w:left="2880" w:hanging="1800"/>
      </w:pPr>
      <w:rPr>
        <w:rFonts w:hint="default"/>
      </w:rPr>
    </w:lvl>
    <w:lvl w:ilvl="2">
      <w:start w:val="1"/>
      <w:numFmt w:val="decimal"/>
      <w:lvlText w:val="%1.%2.%3"/>
      <w:lvlJc w:val="left"/>
      <w:pPr>
        <w:tabs>
          <w:tab w:val="num" w:pos="3600"/>
        </w:tabs>
        <w:ind w:left="3600" w:hanging="1800"/>
      </w:pPr>
      <w:rPr>
        <w:rFonts w:hint="default"/>
      </w:rPr>
    </w:lvl>
    <w:lvl w:ilvl="3">
      <w:start w:val="1"/>
      <w:numFmt w:val="decimal"/>
      <w:lvlText w:val="%1.%2.%3.%4"/>
      <w:lvlJc w:val="left"/>
      <w:pPr>
        <w:tabs>
          <w:tab w:val="num" w:pos="4320"/>
        </w:tabs>
        <w:ind w:left="4320" w:hanging="1800"/>
      </w:pPr>
      <w:rPr>
        <w:rFonts w:hint="default"/>
      </w:rPr>
    </w:lvl>
    <w:lvl w:ilvl="4">
      <w:start w:val="1"/>
      <w:numFmt w:val="decimal"/>
      <w:lvlText w:val="%1.%2.%3.%4.%5"/>
      <w:lvlJc w:val="left"/>
      <w:pPr>
        <w:tabs>
          <w:tab w:val="num" w:pos="5040"/>
        </w:tabs>
        <w:ind w:left="5040" w:hanging="1800"/>
      </w:pPr>
      <w:rPr>
        <w:rFonts w:hint="default"/>
      </w:rPr>
    </w:lvl>
    <w:lvl w:ilvl="5">
      <w:start w:val="1"/>
      <w:numFmt w:val="decimal"/>
      <w:lvlText w:val="%1.%2.%3.%4.%5.%6"/>
      <w:lvlJc w:val="left"/>
      <w:pPr>
        <w:tabs>
          <w:tab w:val="num" w:pos="5760"/>
        </w:tabs>
        <w:ind w:left="5760" w:hanging="180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00"/>
        </w:tabs>
        <w:ind w:left="7200" w:hanging="1800"/>
      </w:pPr>
      <w:rPr>
        <w:rFonts w:hint="default"/>
      </w:rPr>
    </w:lvl>
    <w:lvl w:ilvl="8">
      <w:start w:val="1"/>
      <w:numFmt w:val="decimal"/>
      <w:lvlText w:val="%1.%2.%3.%4.%5.%6.%7.%8.%9"/>
      <w:lvlJc w:val="left"/>
      <w:pPr>
        <w:tabs>
          <w:tab w:val="num" w:pos="7920"/>
        </w:tabs>
        <w:ind w:left="7920" w:hanging="1800"/>
      </w:pPr>
      <w:rPr>
        <w:rFonts w:hint="default"/>
      </w:rPr>
    </w:lvl>
  </w:abstractNum>
  <w:abstractNum w:abstractNumId="33" w15:restartNumberingAfterBreak="0">
    <w:nsid w:val="67BF60FE"/>
    <w:multiLevelType w:val="hybridMultilevel"/>
    <w:tmpl w:val="9B36CD9C"/>
    <w:lvl w:ilvl="0" w:tplc="7A5C8D50">
      <w:start w:val="2"/>
      <w:numFmt w:val="decimal"/>
      <w:lvlText w:val="%1"/>
      <w:lvlJc w:val="left"/>
      <w:pPr>
        <w:tabs>
          <w:tab w:val="num" w:pos="420"/>
        </w:tabs>
        <w:ind w:left="420" w:hanging="360"/>
      </w:pPr>
      <w:rPr>
        <w:rFonts w:hint="default"/>
      </w:rPr>
    </w:lvl>
    <w:lvl w:ilvl="1" w:tplc="041F0019" w:tentative="1">
      <w:start w:val="1"/>
      <w:numFmt w:val="lowerLetter"/>
      <w:lvlText w:val="%2."/>
      <w:lvlJc w:val="left"/>
      <w:pPr>
        <w:tabs>
          <w:tab w:val="num" w:pos="1140"/>
        </w:tabs>
        <w:ind w:left="1140" w:hanging="360"/>
      </w:pPr>
    </w:lvl>
    <w:lvl w:ilvl="2" w:tplc="041F001B" w:tentative="1">
      <w:start w:val="1"/>
      <w:numFmt w:val="lowerRoman"/>
      <w:lvlText w:val="%3."/>
      <w:lvlJc w:val="right"/>
      <w:pPr>
        <w:tabs>
          <w:tab w:val="num" w:pos="1860"/>
        </w:tabs>
        <w:ind w:left="1860" w:hanging="180"/>
      </w:pPr>
    </w:lvl>
    <w:lvl w:ilvl="3" w:tplc="041F000F" w:tentative="1">
      <w:start w:val="1"/>
      <w:numFmt w:val="decimal"/>
      <w:lvlText w:val="%4."/>
      <w:lvlJc w:val="left"/>
      <w:pPr>
        <w:tabs>
          <w:tab w:val="num" w:pos="2580"/>
        </w:tabs>
        <w:ind w:left="2580" w:hanging="360"/>
      </w:pPr>
    </w:lvl>
    <w:lvl w:ilvl="4" w:tplc="041F0019" w:tentative="1">
      <w:start w:val="1"/>
      <w:numFmt w:val="lowerLetter"/>
      <w:lvlText w:val="%5."/>
      <w:lvlJc w:val="left"/>
      <w:pPr>
        <w:tabs>
          <w:tab w:val="num" w:pos="3300"/>
        </w:tabs>
        <w:ind w:left="3300" w:hanging="360"/>
      </w:pPr>
    </w:lvl>
    <w:lvl w:ilvl="5" w:tplc="041F001B" w:tentative="1">
      <w:start w:val="1"/>
      <w:numFmt w:val="lowerRoman"/>
      <w:lvlText w:val="%6."/>
      <w:lvlJc w:val="right"/>
      <w:pPr>
        <w:tabs>
          <w:tab w:val="num" w:pos="4020"/>
        </w:tabs>
        <w:ind w:left="4020" w:hanging="180"/>
      </w:pPr>
    </w:lvl>
    <w:lvl w:ilvl="6" w:tplc="041F000F" w:tentative="1">
      <w:start w:val="1"/>
      <w:numFmt w:val="decimal"/>
      <w:lvlText w:val="%7."/>
      <w:lvlJc w:val="left"/>
      <w:pPr>
        <w:tabs>
          <w:tab w:val="num" w:pos="4740"/>
        </w:tabs>
        <w:ind w:left="4740" w:hanging="360"/>
      </w:pPr>
    </w:lvl>
    <w:lvl w:ilvl="7" w:tplc="041F0019" w:tentative="1">
      <w:start w:val="1"/>
      <w:numFmt w:val="lowerLetter"/>
      <w:lvlText w:val="%8."/>
      <w:lvlJc w:val="left"/>
      <w:pPr>
        <w:tabs>
          <w:tab w:val="num" w:pos="5460"/>
        </w:tabs>
        <w:ind w:left="5460" w:hanging="360"/>
      </w:pPr>
    </w:lvl>
    <w:lvl w:ilvl="8" w:tplc="041F001B" w:tentative="1">
      <w:start w:val="1"/>
      <w:numFmt w:val="lowerRoman"/>
      <w:lvlText w:val="%9."/>
      <w:lvlJc w:val="right"/>
      <w:pPr>
        <w:tabs>
          <w:tab w:val="num" w:pos="6180"/>
        </w:tabs>
        <w:ind w:left="6180" w:hanging="180"/>
      </w:pPr>
    </w:lvl>
  </w:abstractNum>
  <w:abstractNum w:abstractNumId="34" w15:restartNumberingAfterBreak="0">
    <w:nsid w:val="6B2C3B5E"/>
    <w:multiLevelType w:val="multilevel"/>
    <w:tmpl w:val="760C4248"/>
    <w:lvl w:ilvl="0">
      <w:start w:val="4007"/>
      <w:numFmt w:val="decimal"/>
      <w:lvlText w:val="%1.0"/>
      <w:lvlJc w:val="left"/>
      <w:pPr>
        <w:tabs>
          <w:tab w:val="num" w:pos="2160"/>
        </w:tabs>
        <w:ind w:left="2160" w:hanging="1800"/>
      </w:pPr>
      <w:rPr>
        <w:rFonts w:hint="default"/>
      </w:rPr>
    </w:lvl>
    <w:lvl w:ilvl="1">
      <w:start w:val="1"/>
      <w:numFmt w:val="decimalZero"/>
      <w:lvlText w:val="%1.%2"/>
      <w:lvlJc w:val="left"/>
      <w:pPr>
        <w:tabs>
          <w:tab w:val="num" w:pos="2880"/>
        </w:tabs>
        <w:ind w:left="2880" w:hanging="1800"/>
      </w:pPr>
      <w:rPr>
        <w:rFonts w:hint="default"/>
      </w:rPr>
    </w:lvl>
    <w:lvl w:ilvl="2">
      <w:start w:val="1"/>
      <w:numFmt w:val="decimal"/>
      <w:lvlText w:val="%1.%2.%3"/>
      <w:lvlJc w:val="left"/>
      <w:pPr>
        <w:tabs>
          <w:tab w:val="num" w:pos="3600"/>
        </w:tabs>
        <w:ind w:left="3600" w:hanging="1800"/>
      </w:pPr>
      <w:rPr>
        <w:rFonts w:hint="default"/>
      </w:rPr>
    </w:lvl>
    <w:lvl w:ilvl="3">
      <w:start w:val="1"/>
      <w:numFmt w:val="decimal"/>
      <w:lvlText w:val="%1.%2.%3.%4"/>
      <w:lvlJc w:val="left"/>
      <w:pPr>
        <w:tabs>
          <w:tab w:val="num" w:pos="4320"/>
        </w:tabs>
        <w:ind w:left="4320" w:hanging="1800"/>
      </w:pPr>
      <w:rPr>
        <w:rFonts w:hint="default"/>
      </w:rPr>
    </w:lvl>
    <w:lvl w:ilvl="4">
      <w:start w:val="1"/>
      <w:numFmt w:val="decimal"/>
      <w:lvlText w:val="%1.%2.%3.%4.%5"/>
      <w:lvlJc w:val="left"/>
      <w:pPr>
        <w:tabs>
          <w:tab w:val="num" w:pos="5040"/>
        </w:tabs>
        <w:ind w:left="5040" w:hanging="1800"/>
      </w:pPr>
      <w:rPr>
        <w:rFonts w:hint="default"/>
      </w:rPr>
    </w:lvl>
    <w:lvl w:ilvl="5">
      <w:start w:val="1"/>
      <w:numFmt w:val="decimal"/>
      <w:lvlText w:val="%1.%2.%3.%4.%5.%6"/>
      <w:lvlJc w:val="left"/>
      <w:pPr>
        <w:tabs>
          <w:tab w:val="num" w:pos="5760"/>
        </w:tabs>
        <w:ind w:left="5760" w:hanging="180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00"/>
        </w:tabs>
        <w:ind w:left="7200" w:hanging="1800"/>
      </w:pPr>
      <w:rPr>
        <w:rFonts w:hint="default"/>
      </w:rPr>
    </w:lvl>
    <w:lvl w:ilvl="8">
      <w:start w:val="1"/>
      <w:numFmt w:val="decimal"/>
      <w:lvlText w:val="%1.%2.%3.%4.%5.%6.%7.%8.%9"/>
      <w:lvlJc w:val="left"/>
      <w:pPr>
        <w:tabs>
          <w:tab w:val="num" w:pos="7920"/>
        </w:tabs>
        <w:ind w:left="7920" w:hanging="1800"/>
      </w:pPr>
      <w:rPr>
        <w:rFonts w:hint="default"/>
      </w:rPr>
    </w:lvl>
  </w:abstractNum>
  <w:abstractNum w:abstractNumId="35" w15:restartNumberingAfterBreak="0">
    <w:nsid w:val="6BBE1F91"/>
    <w:multiLevelType w:val="hybridMultilevel"/>
    <w:tmpl w:val="AD30ABF6"/>
    <w:lvl w:ilvl="0" w:tplc="9356C792">
      <w:start w:val="2"/>
      <w:numFmt w:val="decimal"/>
      <w:lvlText w:val="(%1)"/>
      <w:lvlJc w:val="left"/>
      <w:pPr>
        <w:tabs>
          <w:tab w:val="num" w:pos="2185"/>
        </w:tabs>
        <w:ind w:left="2185" w:hanging="1485"/>
      </w:pPr>
      <w:rPr>
        <w:rFonts w:hint="default"/>
      </w:rPr>
    </w:lvl>
    <w:lvl w:ilvl="1" w:tplc="041F0019" w:tentative="1">
      <w:start w:val="1"/>
      <w:numFmt w:val="lowerLetter"/>
      <w:lvlText w:val="%2."/>
      <w:lvlJc w:val="left"/>
      <w:pPr>
        <w:tabs>
          <w:tab w:val="num" w:pos="1780"/>
        </w:tabs>
        <w:ind w:left="1780" w:hanging="360"/>
      </w:pPr>
    </w:lvl>
    <w:lvl w:ilvl="2" w:tplc="041F001B" w:tentative="1">
      <w:start w:val="1"/>
      <w:numFmt w:val="lowerRoman"/>
      <w:lvlText w:val="%3."/>
      <w:lvlJc w:val="right"/>
      <w:pPr>
        <w:tabs>
          <w:tab w:val="num" w:pos="2500"/>
        </w:tabs>
        <w:ind w:left="2500" w:hanging="180"/>
      </w:pPr>
    </w:lvl>
    <w:lvl w:ilvl="3" w:tplc="041F000F" w:tentative="1">
      <w:start w:val="1"/>
      <w:numFmt w:val="decimal"/>
      <w:lvlText w:val="%4."/>
      <w:lvlJc w:val="left"/>
      <w:pPr>
        <w:tabs>
          <w:tab w:val="num" w:pos="3220"/>
        </w:tabs>
        <w:ind w:left="3220" w:hanging="360"/>
      </w:pPr>
    </w:lvl>
    <w:lvl w:ilvl="4" w:tplc="041F0019" w:tentative="1">
      <w:start w:val="1"/>
      <w:numFmt w:val="lowerLetter"/>
      <w:lvlText w:val="%5."/>
      <w:lvlJc w:val="left"/>
      <w:pPr>
        <w:tabs>
          <w:tab w:val="num" w:pos="3940"/>
        </w:tabs>
        <w:ind w:left="3940" w:hanging="360"/>
      </w:pPr>
    </w:lvl>
    <w:lvl w:ilvl="5" w:tplc="041F001B" w:tentative="1">
      <w:start w:val="1"/>
      <w:numFmt w:val="lowerRoman"/>
      <w:lvlText w:val="%6."/>
      <w:lvlJc w:val="right"/>
      <w:pPr>
        <w:tabs>
          <w:tab w:val="num" w:pos="4660"/>
        </w:tabs>
        <w:ind w:left="4660" w:hanging="180"/>
      </w:pPr>
    </w:lvl>
    <w:lvl w:ilvl="6" w:tplc="041F000F" w:tentative="1">
      <w:start w:val="1"/>
      <w:numFmt w:val="decimal"/>
      <w:lvlText w:val="%7."/>
      <w:lvlJc w:val="left"/>
      <w:pPr>
        <w:tabs>
          <w:tab w:val="num" w:pos="5380"/>
        </w:tabs>
        <w:ind w:left="5380" w:hanging="360"/>
      </w:pPr>
    </w:lvl>
    <w:lvl w:ilvl="7" w:tplc="041F0019" w:tentative="1">
      <w:start w:val="1"/>
      <w:numFmt w:val="lowerLetter"/>
      <w:lvlText w:val="%8."/>
      <w:lvlJc w:val="left"/>
      <w:pPr>
        <w:tabs>
          <w:tab w:val="num" w:pos="6100"/>
        </w:tabs>
        <w:ind w:left="6100" w:hanging="360"/>
      </w:pPr>
    </w:lvl>
    <w:lvl w:ilvl="8" w:tplc="041F001B" w:tentative="1">
      <w:start w:val="1"/>
      <w:numFmt w:val="lowerRoman"/>
      <w:lvlText w:val="%9."/>
      <w:lvlJc w:val="right"/>
      <w:pPr>
        <w:tabs>
          <w:tab w:val="num" w:pos="6820"/>
        </w:tabs>
        <w:ind w:left="6820" w:hanging="180"/>
      </w:pPr>
    </w:lvl>
  </w:abstractNum>
  <w:abstractNum w:abstractNumId="36" w15:restartNumberingAfterBreak="0">
    <w:nsid w:val="6BFA1E1A"/>
    <w:multiLevelType w:val="hybridMultilevel"/>
    <w:tmpl w:val="0DD4CF56"/>
    <w:lvl w:ilvl="0" w:tplc="9EEA1776">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357DD0"/>
    <w:multiLevelType w:val="multilevel"/>
    <w:tmpl w:val="222410B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6DE25637"/>
    <w:multiLevelType w:val="multilevel"/>
    <w:tmpl w:val="CD827858"/>
    <w:lvl w:ilvl="0">
      <w:start w:val="4007"/>
      <w:numFmt w:val="decimal"/>
      <w:lvlText w:val="%1"/>
      <w:lvlJc w:val="left"/>
      <w:pPr>
        <w:tabs>
          <w:tab w:val="num" w:pos="1800"/>
        </w:tabs>
        <w:ind w:left="1800" w:hanging="1800"/>
      </w:pPr>
      <w:rPr>
        <w:rFonts w:hint="default"/>
      </w:rPr>
    </w:lvl>
    <w:lvl w:ilvl="1">
      <w:numFmt w:val="decimalZero"/>
      <w:lvlText w:val="%1.%2"/>
      <w:lvlJc w:val="left"/>
      <w:pPr>
        <w:tabs>
          <w:tab w:val="num" w:pos="1920"/>
        </w:tabs>
        <w:ind w:left="1920" w:hanging="1800"/>
      </w:pPr>
      <w:rPr>
        <w:rFonts w:hint="default"/>
      </w:rPr>
    </w:lvl>
    <w:lvl w:ilvl="2">
      <w:numFmt w:val="decimalZero"/>
      <w:lvlText w:val="%1.%2.%3"/>
      <w:lvlJc w:val="left"/>
      <w:pPr>
        <w:tabs>
          <w:tab w:val="num" w:pos="2040"/>
        </w:tabs>
        <w:ind w:left="2040" w:hanging="1800"/>
      </w:pPr>
      <w:rPr>
        <w:rFonts w:hint="default"/>
      </w:rPr>
    </w:lvl>
    <w:lvl w:ilvl="3">
      <w:start w:val="10"/>
      <w:numFmt w:val="decimal"/>
      <w:lvlText w:val="%1.%2.%3.%4.0"/>
      <w:lvlJc w:val="left"/>
      <w:pPr>
        <w:tabs>
          <w:tab w:val="num" w:pos="2160"/>
        </w:tabs>
        <w:ind w:left="2160" w:hanging="1800"/>
      </w:pPr>
      <w:rPr>
        <w:rFonts w:hint="default"/>
      </w:rPr>
    </w:lvl>
    <w:lvl w:ilvl="4">
      <w:start w:val="1"/>
      <w:numFmt w:val="decimalZero"/>
      <w:lvlText w:val="%1.%2.%3.%4.%5"/>
      <w:lvlJc w:val="left"/>
      <w:pPr>
        <w:tabs>
          <w:tab w:val="num" w:pos="2280"/>
        </w:tabs>
        <w:ind w:left="2280" w:hanging="1800"/>
      </w:pPr>
      <w:rPr>
        <w:rFonts w:hint="default"/>
      </w:rPr>
    </w:lvl>
    <w:lvl w:ilvl="5">
      <w:start w:val="1"/>
      <w:numFmt w:val="decimal"/>
      <w:lvlText w:val="%1.%2.%3.%4.%5.%6"/>
      <w:lvlJc w:val="left"/>
      <w:pPr>
        <w:tabs>
          <w:tab w:val="num" w:pos="2400"/>
        </w:tabs>
        <w:ind w:left="2400" w:hanging="180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640"/>
        </w:tabs>
        <w:ind w:left="2640" w:hanging="1800"/>
      </w:pPr>
      <w:rPr>
        <w:rFonts w:hint="default"/>
      </w:rPr>
    </w:lvl>
    <w:lvl w:ilvl="8">
      <w:start w:val="1"/>
      <w:numFmt w:val="decimal"/>
      <w:lvlText w:val="%1.%2.%3.%4.%5.%6.%7.%8.%9"/>
      <w:lvlJc w:val="left"/>
      <w:pPr>
        <w:tabs>
          <w:tab w:val="num" w:pos="2760"/>
        </w:tabs>
        <w:ind w:left="2760" w:hanging="1800"/>
      </w:pPr>
      <w:rPr>
        <w:rFonts w:hint="default"/>
      </w:rPr>
    </w:lvl>
  </w:abstractNum>
  <w:abstractNum w:abstractNumId="39" w15:restartNumberingAfterBreak="0">
    <w:nsid w:val="6E410AF6"/>
    <w:multiLevelType w:val="hybridMultilevel"/>
    <w:tmpl w:val="5D70FA60"/>
    <w:lvl w:ilvl="0" w:tplc="07689464">
      <w:start w:val="1"/>
      <w:numFmt w:val="lowerLetter"/>
      <w:lvlText w:val="%1)"/>
      <w:lvlJc w:val="left"/>
      <w:pPr>
        <w:tabs>
          <w:tab w:val="num" w:pos="1080"/>
        </w:tabs>
        <w:ind w:left="1080" w:hanging="360"/>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0" w15:restartNumberingAfterBreak="0">
    <w:nsid w:val="6F9330F7"/>
    <w:multiLevelType w:val="hybridMultilevel"/>
    <w:tmpl w:val="8A80F0E2"/>
    <w:lvl w:ilvl="0" w:tplc="76E00BBC">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41" w15:restartNumberingAfterBreak="0">
    <w:nsid w:val="72AA2AA9"/>
    <w:multiLevelType w:val="hybridMultilevel"/>
    <w:tmpl w:val="C6AEAE36"/>
    <w:lvl w:ilvl="0" w:tplc="041F001B">
      <w:start w:val="1"/>
      <w:numFmt w:val="lowerRoman"/>
      <w:lvlText w:val="%1."/>
      <w:lvlJc w:val="righ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2" w15:restartNumberingAfterBreak="0">
    <w:nsid w:val="74D84858"/>
    <w:multiLevelType w:val="multilevel"/>
    <w:tmpl w:val="4E92B41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3" w15:restartNumberingAfterBreak="0">
    <w:nsid w:val="7B692E38"/>
    <w:multiLevelType w:val="hybridMultilevel"/>
    <w:tmpl w:val="AAC0FE12"/>
    <w:lvl w:ilvl="0" w:tplc="BDDE89E6">
      <w:start w:val="117"/>
      <w:numFmt w:val="bullet"/>
      <w:lvlText w:val=""/>
      <w:lvlJc w:val="left"/>
      <w:pPr>
        <w:tabs>
          <w:tab w:val="num" w:pos="720"/>
        </w:tabs>
        <w:ind w:left="720" w:hanging="360"/>
      </w:pPr>
      <w:rPr>
        <w:rFonts w:ascii="Symbol" w:eastAsia="Times New Roman" w:hAnsi="Symbol" w:cs="Times New Roman" w:hint="default"/>
        <w:i/>
        <w:sz w:val="18"/>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6745EE"/>
    <w:multiLevelType w:val="hybridMultilevel"/>
    <w:tmpl w:val="54AEF3B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5" w15:restartNumberingAfterBreak="0">
    <w:nsid w:val="7E833EA5"/>
    <w:multiLevelType w:val="multilevel"/>
    <w:tmpl w:val="760C4248"/>
    <w:lvl w:ilvl="0">
      <w:start w:val="4007"/>
      <w:numFmt w:val="decimal"/>
      <w:lvlText w:val="%1.0"/>
      <w:lvlJc w:val="left"/>
      <w:pPr>
        <w:tabs>
          <w:tab w:val="num" w:pos="2160"/>
        </w:tabs>
        <w:ind w:left="2160" w:hanging="1800"/>
      </w:pPr>
      <w:rPr>
        <w:rFonts w:hint="default"/>
      </w:rPr>
    </w:lvl>
    <w:lvl w:ilvl="1">
      <w:start w:val="1"/>
      <w:numFmt w:val="decimalZero"/>
      <w:lvlText w:val="%1.%2"/>
      <w:lvlJc w:val="left"/>
      <w:pPr>
        <w:tabs>
          <w:tab w:val="num" w:pos="2880"/>
        </w:tabs>
        <w:ind w:left="2880" w:hanging="1800"/>
      </w:pPr>
      <w:rPr>
        <w:rFonts w:hint="default"/>
      </w:rPr>
    </w:lvl>
    <w:lvl w:ilvl="2">
      <w:start w:val="1"/>
      <w:numFmt w:val="decimal"/>
      <w:lvlText w:val="%1.%2.%3"/>
      <w:lvlJc w:val="left"/>
      <w:pPr>
        <w:tabs>
          <w:tab w:val="num" w:pos="3600"/>
        </w:tabs>
        <w:ind w:left="3600" w:hanging="1800"/>
      </w:pPr>
      <w:rPr>
        <w:rFonts w:hint="default"/>
      </w:rPr>
    </w:lvl>
    <w:lvl w:ilvl="3">
      <w:start w:val="1"/>
      <w:numFmt w:val="decimal"/>
      <w:lvlText w:val="%1.%2.%3.%4"/>
      <w:lvlJc w:val="left"/>
      <w:pPr>
        <w:tabs>
          <w:tab w:val="num" w:pos="4320"/>
        </w:tabs>
        <w:ind w:left="4320" w:hanging="1800"/>
      </w:pPr>
      <w:rPr>
        <w:rFonts w:hint="default"/>
      </w:rPr>
    </w:lvl>
    <w:lvl w:ilvl="4">
      <w:start w:val="1"/>
      <w:numFmt w:val="decimal"/>
      <w:lvlText w:val="%1.%2.%3.%4.%5"/>
      <w:lvlJc w:val="left"/>
      <w:pPr>
        <w:tabs>
          <w:tab w:val="num" w:pos="5040"/>
        </w:tabs>
        <w:ind w:left="5040" w:hanging="1800"/>
      </w:pPr>
      <w:rPr>
        <w:rFonts w:hint="default"/>
      </w:rPr>
    </w:lvl>
    <w:lvl w:ilvl="5">
      <w:start w:val="1"/>
      <w:numFmt w:val="decimal"/>
      <w:lvlText w:val="%1.%2.%3.%4.%5.%6"/>
      <w:lvlJc w:val="left"/>
      <w:pPr>
        <w:tabs>
          <w:tab w:val="num" w:pos="5760"/>
        </w:tabs>
        <w:ind w:left="5760" w:hanging="180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00"/>
        </w:tabs>
        <w:ind w:left="7200" w:hanging="1800"/>
      </w:pPr>
      <w:rPr>
        <w:rFonts w:hint="default"/>
      </w:rPr>
    </w:lvl>
    <w:lvl w:ilvl="8">
      <w:start w:val="1"/>
      <w:numFmt w:val="decimal"/>
      <w:lvlText w:val="%1.%2.%3.%4.%5.%6.%7.%8.%9"/>
      <w:lvlJc w:val="left"/>
      <w:pPr>
        <w:tabs>
          <w:tab w:val="num" w:pos="7920"/>
        </w:tabs>
        <w:ind w:left="7920" w:hanging="1800"/>
      </w:pPr>
      <w:rPr>
        <w:rFonts w:hint="default"/>
      </w:rPr>
    </w:lvl>
  </w:abstractNum>
  <w:abstractNum w:abstractNumId="46" w15:restartNumberingAfterBreak="0">
    <w:nsid w:val="7F7333D3"/>
    <w:multiLevelType w:val="multilevel"/>
    <w:tmpl w:val="046CF7E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abstractNumId w:val="4"/>
  </w:num>
  <w:num w:numId="2">
    <w:abstractNumId w:val="10"/>
  </w:num>
  <w:num w:numId="3">
    <w:abstractNumId w:val="20"/>
  </w:num>
  <w:num w:numId="4">
    <w:abstractNumId w:val="42"/>
  </w:num>
  <w:num w:numId="5">
    <w:abstractNumId w:val="31"/>
  </w:num>
  <w:num w:numId="6">
    <w:abstractNumId w:val="26"/>
  </w:num>
  <w:num w:numId="7">
    <w:abstractNumId w:val="21"/>
  </w:num>
  <w:num w:numId="8">
    <w:abstractNumId w:val="19"/>
  </w:num>
  <w:num w:numId="9">
    <w:abstractNumId w:val="14"/>
  </w:num>
  <w:num w:numId="10">
    <w:abstractNumId w:val="15"/>
  </w:num>
  <w:num w:numId="11">
    <w:abstractNumId w:val="37"/>
  </w:num>
  <w:num w:numId="12">
    <w:abstractNumId w:val="7"/>
  </w:num>
  <w:num w:numId="13">
    <w:abstractNumId w:val="17"/>
  </w:num>
  <w:num w:numId="14">
    <w:abstractNumId w:val="46"/>
  </w:num>
  <w:num w:numId="15">
    <w:abstractNumId w:val="27"/>
  </w:num>
  <w:num w:numId="16">
    <w:abstractNumId w:val="24"/>
  </w:num>
  <w:num w:numId="17">
    <w:abstractNumId w:val="13"/>
  </w:num>
  <w:num w:numId="18">
    <w:abstractNumId w:val="8"/>
  </w:num>
  <w:num w:numId="19">
    <w:abstractNumId w:val="2"/>
  </w:num>
  <w:num w:numId="20">
    <w:abstractNumId w:val="38"/>
  </w:num>
  <w:num w:numId="21">
    <w:abstractNumId w:val="34"/>
  </w:num>
  <w:num w:numId="22">
    <w:abstractNumId w:val="45"/>
  </w:num>
  <w:num w:numId="23">
    <w:abstractNumId w:val="32"/>
  </w:num>
  <w:num w:numId="24">
    <w:abstractNumId w:val="23"/>
  </w:num>
  <w:num w:numId="25">
    <w:abstractNumId w:val="33"/>
  </w:num>
  <w:num w:numId="26">
    <w:abstractNumId w:val="44"/>
  </w:num>
  <w:num w:numId="27">
    <w:abstractNumId w:val="25"/>
  </w:num>
  <w:num w:numId="28">
    <w:abstractNumId w:val="39"/>
  </w:num>
  <w:num w:numId="29">
    <w:abstractNumId w:val="36"/>
  </w:num>
  <w:num w:numId="30">
    <w:abstractNumId w:val="6"/>
  </w:num>
  <w:num w:numId="31">
    <w:abstractNumId w:val="9"/>
  </w:num>
  <w:num w:numId="32">
    <w:abstractNumId w:val="28"/>
  </w:num>
  <w:num w:numId="33">
    <w:abstractNumId w:val="0"/>
  </w:num>
  <w:num w:numId="34">
    <w:abstractNumId w:val="43"/>
  </w:num>
  <w:num w:numId="35">
    <w:abstractNumId w:val="22"/>
  </w:num>
  <w:num w:numId="36">
    <w:abstractNumId w:val="35"/>
  </w:num>
  <w:num w:numId="37">
    <w:abstractNumId w:val="18"/>
  </w:num>
  <w:num w:numId="38">
    <w:abstractNumId w:val="1"/>
  </w:num>
  <w:num w:numId="39">
    <w:abstractNumId w:val="30"/>
  </w:num>
  <w:num w:numId="40">
    <w:abstractNumId w:val="5"/>
  </w:num>
  <w:num w:numId="41">
    <w:abstractNumId w:val="41"/>
  </w:num>
  <w:num w:numId="42">
    <w:abstractNumId w:val="16"/>
  </w:num>
  <w:num w:numId="43">
    <w:abstractNumId w:val="3"/>
  </w:num>
  <w:num w:numId="44">
    <w:abstractNumId w:val="12"/>
  </w:num>
  <w:num w:numId="45">
    <w:abstractNumId w:val="11"/>
  </w:num>
  <w:num w:numId="46">
    <w:abstractNumId w:val="40"/>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gutterAtTop/>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96F"/>
    <w:rsid w:val="00000066"/>
    <w:rsid w:val="00000B25"/>
    <w:rsid w:val="000011B0"/>
    <w:rsid w:val="00001694"/>
    <w:rsid w:val="00001942"/>
    <w:rsid w:val="00002876"/>
    <w:rsid w:val="00003087"/>
    <w:rsid w:val="00003726"/>
    <w:rsid w:val="00004D03"/>
    <w:rsid w:val="00004E26"/>
    <w:rsid w:val="00004EAD"/>
    <w:rsid w:val="000051E0"/>
    <w:rsid w:val="00005718"/>
    <w:rsid w:val="000057D3"/>
    <w:rsid w:val="000059B1"/>
    <w:rsid w:val="00005E08"/>
    <w:rsid w:val="00006726"/>
    <w:rsid w:val="000070CB"/>
    <w:rsid w:val="000070FE"/>
    <w:rsid w:val="00007350"/>
    <w:rsid w:val="00007696"/>
    <w:rsid w:val="000105F8"/>
    <w:rsid w:val="00010D50"/>
    <w:rsid w:val="00013CBB"/>
    <w:rsid w:val="00014ADE"/>
    <w:rsid w:val="00014E88"/>
    <w:rsid w:val="00015394"/>
    <w:rsid w:val="00015E3B"/>
    <w:rsid w:val="00016A83"/>
    <w:rsid w:val="00016F16"/>
    <w:rsid w:val="00017510"/>
    <w:rsid w:val="00017C33"/>
    <w:rsid w:val="00017CDF"/>
    <w:rsid w:val="000204FC"/>
    <w:rsid w:val="0002057E"/>
    <w:rsid w:val="00020AE1"/>
    <w:rsid w:val="00020FEA"/>
    <w:rsid w:val="000222A5"/>
    <w:rsid w:val="0002263E"/>
    <w:rsid w:val="00022990"/>
    <w:rsid w:val="00022F78"/>
    <w:rsid w:val="00023418"/>
    <w:rsid w:val="00023DD7"/>
    <w:rsid w:val="000243EE"/>
    <w:rsid w:val="000247CD"/>
    <w:rsid w:val="00024E96"/>
    <w:rsid w:val="00025ACA"/>
    <w:rsid w:val="000263A4"/>
    <w:rsid w:val="0002672F"/>
    <w:rsid w:val="00026A4B"/>
    <w:rsid w:val="00027123"/>
    <w:rsid w:val="000271B9"/>
    <w:rsid w:val="00027452"/>
    <w:rsid w:val="000277A0"/>
    <w:rsid w:val="00027AF9"/>
    <w:rsid w:val="00030422"/>
    <w:rsid w:val="000311DE"/>
    <w:rsid w:val="0003186E"/>
    <w:rsid w:val="00031DCC"/>
    <w:rsid w:val="000324DB"/>
    <w:rsid w:val="00032AD2"/>
    <w:rsid w:val="00032BA4"/>
    <w:rsid w:val="00033593"/>
    <w:rsid w:val="00033D4E"/>
    <w:rsid w:val="000352F1"/>
    <w:rsid w:val="00035521"/>
    <w:rsid w:val="00035A23"/>
    <w:rsid w:val="00036F34"/>
    <w:rsid w:val="00037EB5"/>
    <w:rsid w:val="00041A5C"/>
    <w:rsid w:val="00042197"/>
    <w:rsid w:val="000424F4"/>
    <w:rsid w:val="00042E4E"/>
    <w:rsid w:val="00043940"/>
    <w:rsid w:val="000442CD"/>
    <w:rsid w:val="00045E2E"/>
    <w:rsid w:val="00046243"/>
    <w:rsid w:val="00046480"/>
    <w:rsid w:val="00046816"/>
    <w:rsid w:val="00046B4B"/>
    <w:rsid w:val="000470A7"/>
    <w:rsid w:val="00047AD5"/>
    <w:rsid w:val="000501D7"/>
    <w:rsid w:val="0005082C"/>
    <w:rsid w:val="00050B23"/>
    <w:rsid w:val="00050E21"/>
    <w:rsid w:val="00051100"/>
    <w:rsid w:val="00052420"/>
    <w:rsid w:val="00053137"/>
    <w:rsid w:val="000542EA"/>
    <w:rsid w:val="00054E6E"/>
    <w:rsid w:val="00054EA9"/>
    <w:rsid w:val="00055394"/>
    <w:rsid w:val="0005545F"/>
    <w:rsid w:val="000554F3"/>
    <w:rsid w:val="00055DB9"/>
    <w:rsid w:val="0005617D"/>
    <w:rsid w:val="00056780"/>
    <w:rsid w:val="00057603"/>
    <w:rsid w:val="0005798A"/>
    <w:rsid w:val="00057BAF"/>
    <w:rsid w:val="00057D54"/>
    <w:rsid w:val="00057DA5"/>
    <w:rsid w:val="00060C55"/>
    <w:rsid w:val="000613D8"/>
    <w:rsid w:val="000624A2"/>
    <w:rsid w:val="000626E7"/>
    <w:rsid w:val="00062A6D"/>
    <w:rsid w:val="00062DD1"/>
    <w:rsid w:val="00063C6F"/>
    <w:rsid w:val="0006474A"/>
    <w:rsid w:val="0006551A"/>
    <w:rsid w:val="00065E1C"/>
    <w:rsid w:val="00066208"/>
    <w:rsid w:val="000665CD"/>
    <w:rsid w:val="00066BBD"/>
    <w:rsid w:val="00066E45"/>
    <w:rsid w:val="00067021"/>
    <w:rsid w:val="0006743B"/>
    <w:rsid w:val="00070B53"/>
    <w:rsid w:val="00071492"/>
    <w:rsid w:val="00071ACA"/>
    <w:rsid w:val="0007222E"/>
    <w:rsid w:val="00072509"/>
    <w:rsid w:val="0007287E"/>
    <w:rsid w:val="00072AA9"/>
    <w:rsid w:val="00073287"/>
    <w:rsid w:val="00073582"/>
    <w:rsid w:val="00073AAA"/>
    <w:rsid w:val="00074947"/>
    <w:rsid w:val="0007500C"/>
    <w:rsid w:val="00075A4C"/>
    <w:rsid w:val="00075AB4"/>
    <w:rsid w:val="00075ED5"/>
    <w:rsid w:val="000761F6"/>
    <w:rsid w:val="000762B4"/>
    <w:rsid w:val="00076A14"/>
    <w:rsid w:val="0007779C"/>
    <w:rsid w:val="00077D2D"/>
    <w:rsid w:val="0008038D"/>
    <w:rsid w:val="0008048F"/>
    <w:rsid w:val="0008103F"/>
    <w:rsid w:val="0008146E"/>
    <w:rsid w:val="00081777"/>
    <w:rsid w:val="0008208B"/>
    <w:rsid w:val="0008220C"/>
    <w:rsid w:val="00082FD4"/>
    <w:rsid w:val="0008344F"/>
    <w:rsid w:val="0008414B"/>
    <w:rsid w:val="0008459F"/>
    <w:rsid w:val="00084BA2"/>
    <w:rsid w:val="00085727"/>
    <w:rsid w:val="000860D9"/>
    <w:rsid w:val="000861D2"/>
    <w:rsid w:val="000868DE"/>
    <w:rsid w:val="00086C37"/>
    <w:rsid w:val="00087311"/>
    <w:rsid w:val="00087678"/>
    <w:rsid w:val="00087A75"/>
    <w:rsid w:val="00087E56"/>
    <w:rsid w:val="0009013E"/>
    <w:rsid w:val="00090981"/>
    <w:rsid w:val="00090CBC"/>
    <w:rsid w:val="0009114D"/>
    <w:rsid w:val="00091748"/>
    <w:rsid w:val="00091EFE"/>
    <w:rsid w:val="000922DF"/>
    <w:rsid w:val="00092FEE"/>
    <w:rsid w:val="00092FF5"/>
    <w:rsid w:val="0009438C"/>
    <w:rsid w:val="00094B86"/>
    <w:rsid w:val="00094F00"/>
    <w:rsid w:val="000954AE"/>
    <w:rsid w:val="0009567A"/>
    <w:rsid w:val="00096547"/>
    <w:rsid w:val="00096E80"/>
    <w:rsid w:val="000A0091"/>
    <w:rsid w:val="000A0A56"/>
    <w:rsid w:val="000A0D02"/>
    <w:rsid w:val="000A0F65"/>
    <w:rsid w:val="000A18D5"/>
    <w:rsid w:val="000A2512"/>
    <w:rsid w:val="000A253C"/>
    <w:rsid w:val="000A27CB"/>
    <w:rsid w:val="000A2C7A"/>
    <w:rsid w:val="000A3B50"/>
    <w:rsid w:val="000A3C54"/>
    <w:rsid w:val="000A4134"/>
    <w:rsid w:val="000A4275"/>
    <w:rsid w:val="000A4E1D"/>
    <w:rsid w:val="000A50A1"/>
    <w:rsid w:val="000A51DC"/>
    <w:rsid w:val="000A59EE"/>
    <w:rsid w:val="000A60AB"/>
    <w:rsid w:val="000A6F7D"/>
    <w:rsid w:val="000A71A1"/>
    <w:rsid w:val="000A7259"/>
    <w:rsid w:val="000A77F0"/>
    <w:rsid w:val="000A79BF"/>
    <w:rsid w:val="000B007C"/>
    <w:rsid w:val="000B0DB9"/>
    <w:rsid w:val="000B1560"/>
    <w:rsid w:val="000B2D0A"/>
    <w:rsid w:val="000B3F91"/>
    <w:rsid w:val="000B4177"/>
    <w:rsid w:val="000B4C2B"/>
    <w:rsid w:val="000B57DC"/>
    <w:rsid w:val="000B5A0A"/>
    <w:rsid w:val="000B5C16"/>
    <w:rsid w:val="000B5C5F"/>
    <w:rsid w:val="000B63EA"/>
    <w:rsid w:val="000B6F0D"/>
    <w:rsid w:val="000B705D"/>
    <w:rsid w:val="000B7750"/>
    <w:rsid w:val="000B7AFF"/>
    <w:rsid w:val="000C02E2"/>
    <w:rsid w:val="000C04B5"/>
    <w:rsid w:val="000C0F8A"/>
    <w:rsid w:val="000C0FBB"/>
    <w:rsid w:val="000C12D1"/>
    <w:rsid w:val="000C1927"/>
    <w:rsid w:val="000C315A"/>
    <w:rsid w:val="000C330B"/>
    <w:rsid w:val="000C3568"/>
    <w:rsid w:val="000C3984"/>
    <w:rsid w:val="000C3E7F"/>
    <w:rsid w:val="000C4312"/>
    <w:rsid w:val="000C4599"/>
    <w:rsid w:val="000C489B"/>
    <w:rsid w:val="000C4A2A"/>
    <w:rsid w:val="000C4AFC"/>
    <w:rsid w:val="000C5080"/>
    <w:rsid w:val="000C6509"/>
    <w:rsid w:val="000D0E76"/>
    <w:rsid w:val="000D10D4"/>
    <w:rsid w:val="000D1781"/>
    <w:rsid w:val="000D1BEC"/>
    <w:rsid w:val="000D3689"/>
    <w:rsid w:val="000D38A0"/>
    <w:rsid w:val="000D398F"/>
    <w:rsid w:val="000D4226"/>
    <w:rsid w:val="000D443A"/>
    <w:rsid w:val="000D4488"/>
    <w:rsid w:val="000D44BF"/>
    <w:rsid w:val="000D4541"/>
    <w:rsid w:val="000D4860"/>
    <w:rsid w:val="000D4881"/>
    <w:rsid w:val="000D5A0E"/>
    <w:rsid w:val="000D5C3A"/>
    <w:rsid w:val="000D65EB"/>
    <w:rsid w:val="000D677A"/>
    <w:rsid w:val="000D6841"/>
    <w:rsid w:val="000D6918"/>
    <w:rsid w:val="000D6D28"/>
    <w:rsid w:val="000D6D50"/>
    <w:rsid w:val="000D6F1F"/>
    <w:rsid w:val="000D6FBA"/>
    <w:rsid w:val="000E054A"/>
    <w:rsid w:val="000E0A81"/>
    <w:rsid w:val="000E0F01"/>
    <w:rsid w:val="000E1141"/>
    <w:rsid w:val="000E1FA2"/>
    <w:rsid w:val="000E2F11"/>
    <w:rsid w:val="000E3144"/>
    <w:rsid w:val="000E3468"/>
    <w:rsid w:val="000E3917"/>
    <w:rsid w:val="000E3962"/>
    <w:rsid w:val="000E39C3"/>
    <w:rsid w:val="000E3B32"/>
    <w:rsid w:val="000E3ECB"/>
    <w:rsid w:val="000E40C7"/>
    <w:rsid w:val="000E6D4F"/>
    <w:rsid w:val="000E79B7"/>
    <w:rsid w:val="000F113B"/>
    <w:rsid w:val="000F1F53"/>
    <w:rsid w:val="000F2566"/>
    <w:rsid w:val="000F2870"/>
    <w:rsid w:val="000F3245"/>
    <w:rsid w:val="000F3551"/>
    <w:rsid w:val="000F3781"/>
    <w:rsid w:val="000F3AC5"/>
    <w:rsid w:val="000F40B9"/>
    <w:rsid w:val="000F418A"/>
    <w:rsid w:val="000F5A78"/>
    <w:rsid w:val="000F7314"/>
    <w:rsid w:val="000F738D"/>
    <w:rsid w:val="000F79B9"/>
    <w:rsid w:val="000F7BB3"/>
    <w:rsid w:val="000F7C8B"/>
    <w:rsid w:val="000F7F41"/>
    <w:rsid w:val="0010057F"/>
    <w:rsid w:val="001008A5"/>
    <w:rsid w:val="00101142"/>
    <w:rsid w:val="0010166B"/>
    <w:rsid w:val="00102126"/>
    <w:rsid w:val="001022E5"/>
    <w:rsid w:val="00104D29"/>
    <w:rsid w:val="00104E18"/>
    <w:rsid w:val="00105B38"/>
    <w:rsid w:val="001067A1"/>
    <w:rsid w:val="0010687D"/>
    <w:rsid w:val="00107E7A"/>
    <w:rsid w:val="00110ADB"/>
    <w:rsid w:val="00110FA1"/>
    <w:rsid w:val="00111ED4"/>
    <w:rsid w:val="00112A5D"/>
    <w:rsid w:val="00113871"/>
    <w:rsid w:val="00113D7F"/>
    <w:rsid w:val="001157FD"/>
    <w:rsid w:val="001167AE"/>
    <w:rsid w:val="001167CE"/>
    <w:rsid w:val="00116AD7"/>
    <w:rsid w:val="00116D9B"/>
    <w:rsid w:val="00116F0B"/>
    <w:rsid w:val="00117DC8"/>
    <w:rsid w:val="0012091D"/>
    <w:rsid w:val="00120D68"/>
    <w:rsid w:val="00120DF0"/>
    <w:rsid w:val="00121225"/>
    <w:rsid w:val="001213DD"/>
    <w:rsid w:val="00121B7F"/>
    <w:rsid w:val="00121FD0"/>
    <w:rsid w:val="00122209"/>
    <w:rsid w:val="00122470"/>
    <w:rsid w:val="00123205"/>
    <w:rsid w:val="0012384A"/>
    <w:rsid w:val="0012398A"/>
    <w:rsid w:val="00123B2C"/>
    <w:rsid w:val="00125354"/>
    <w:rsid w:val="001254B8"/>
    <w:rsid w:val="001255F5"/>
    <w:rsid w:val="001263A8"/>
    <w:rsid w:val="001310C8"/>
    <w:rsid w:val="00131304"/>
    <w:rsid w:val="00131AE5"/>
    <w:rsid w:val="00132BF5"/>
    <w:rsid w:val="00132CF5"/>
    <w:rsid w:val="001335E3"/>
    <w:rsid w:val="00133CBF"/>
    <w:rsid w:val="001356D1"/>
    <w:rsid w:val="00135850"/>
    <w:rsid w:val="00135AEE"/>
    <w:rsid w:val="00136280"/>
    <w:rsid w:val="00136DC0"/>
    <w:rsid w:val="00136EAF"/>
    <w:rsid w:val="00137D66"/>
    <w:rsid w:val="00140196"/>
    <w:rsid w:val="0014024A"/>
    <w:rsid w:val="00140537"/>
    <w:rsid w:val="00140AE8"/>
    <w:rsid w:val="00140E44"/>
    <w:rsid w:val="00141186"/>
    <w:rsid w:val="001414ED"/>
    <w:rsid w:val="00141973"/>
    <w:rsid w:val="00142B64"/>
    <w:rsid w:val="00142F57"/>
    <w:rsid w:val="00143EA0"/>
    <w:rsid w:val="00144916"/>
    <w:rsid w:val="00145BD3"/>
    <w:rsid w:val="00146208"/>
    <w:rsid w:val="001466AA"/>
    <w:rsid w:val="00146F4E"/>
    <w:rsid w:val="00146F85"/>
    <w:rsid w:val="001472EB"/>
    <w:rsid w:val="00147500"/>
    <w:rsid w:val="001478FB"/>
    <w:rsid w:val="00150482"/>
    <w:rsid w:val="00150E8A"/>
    <w:rsid w:val="00151269"/>
    <w:rsid w:val="00151609"/>
    <w:rsid w:val="00151A0C"/>
    <w:rsid w:val="00151FC4"/>
    <w:rsid w:val="001522AE"/>
    <w:rsid w:val="00152B3F"/>
    <w:rsid w:val="00153A41"/>
    <w:rsid w:val="001542C2"/>
    <w:rsid w:val="00154DEC"/>
    <w:rsid w:val="0015530E"/>
    <w:rsid w:val="00155982"/>
    <w:rsid w:val="00156527"/>
    <w:rsid w:val="0015691C"/>
    <w:rsid w:val="00156D69"/>
    <w:rsid w:val="00157479"/>
    <w:rsid w:val="00157A16"/>
    <w:rsid w:val="00157A9B"/>
    <w:rsid w:val="00157BB2"/>
    <w:rsid w:val="00157C67"/>
    <w:rsid w:val="00160D35"/>
    <w:rsid w:val="00160FB1"/>
    <w:rsid w:val="001617DE"/>
    <w:rsid w:val="00161B4E"/>
    <w:rsid w:val="00161E57"/>
    <w:rsid w:val="0016257B"/>
    <w:rsid w:val="00162DBA"/>
    <w:rsid w:val="0016304A"/>
    <w:rsid w:val="00163ACF"/>
    <w:rsid w:val="00163B0D"/>
    <w:rsid w:val="001649F2"/>
    <w:rsid w:val="00164AA5"/>
    <w:rsid w:val="00166922"/>
    <w:rsid w:val="001669A3"/>
    <w:rsid w:val="00167DCE"/>
    <w:rsid w:val="0017024B"/>
    <w:rsid w:val="0017095F"/>
    <w:rsid w:val="0017130E"/>
    <w:rsid w:val="00171B18"/>
    <w:rsid w:val="00172AC3"/>
    <w:rsid w:val="00173E1F"/>
    <w:rsid w:val="00174542"/>
    <w:rsid w:val="00174572"/>
    <w:rsid w:val="00174791"/>
    <w:rsid w:val="0017493F"/>
    <w:rsid w:val="00175E7D"/>
    <w:rsid w:val="001762DE"/>
    <w:rsid w:val="00176507"/>
    <w:rsid w:val="001769E2"/>
    <w:rsid w:val="00176BC5"/>
    <w:rsid w:val="00176C2F"/>
    <w:rsid w:val="00180D17"/>
    <w:rsid w:val="00181F11"/>
    <w:rsid w:val="00182150"/>
    <w:rsid w:val="001826B5"/>
    <w:rsid w:val="00182C86"/>
    <w:rsid w:val="00182E99"/>
    <w:rsid w:val="00183206"/>
    <w:rsid w:val="00183372"/>
    <w:rsid w:val="00184745"/>
    <w:rsid w:val="00184CEF"/>
    <w:rsid w:val="0018541D"/>
    <w:rsid w:val="001854C6"/>
    <w:rsid w:val="001862BA"/>
    <w:rsid w:val="00186F5C"/>
    <w:rsid w:val="001870CD"/>
    <w:rsid w:val="001871F2"/>
    <w:rsid w:val="00187269"/>
    <w:rsid w:val="0018766A"/>
    <w:rsid w:val="00187749"/>
    <w:rsid w:val="0018793B"/>
    <w:rsid w:val="001902F3"/>
    <w:rsid w:val="00190437"/>
    <w:rsid w:val="00190C42"/>
    <w:rsid w:val="00190E31"/>
    <w:rsid w:val="001913A2"/>
    <w:rsid w:val="00191DBA"/>
    <w:rsid w:val="0019220A"/>
    <w:rsid w:val="0019297B"/>
    <w:rsid w:val="00193029"/>
    <w:rsid w:val="00194579"/>
    <w:rsid w:val="001958C9"/>
    <w:rsid w:val="001965AE"/>
    <w:rsid w:val="00196F4F"/>
    <w:rsid w:val="0019705B"/>
    <w:rsid w:val="00197700"/>
    <w:rsid w:val="001A00C8"/>
    <w:rsid w:val="001A01EB"/>
    <w:rsid w:val="001A0307"/>
    <w:rsid w:val="001A040E"/>
    <w:rsid w:val="001A1A46"/>
    <w:rsid w:val="001A1ABA"/>
    <w:rsid w:val="001A1D9B"/>
    <w:rsid w:val="001A24E0"/>
    <w:rsid w:val="001A2860"/>
    <w:rsid w:val="001A2AC3"/>
    <w:rsid w:val="001A2B62"/>
    <w:rsid w:val="001A302A"/>
    <w:rsid w:val="001A3095"/>
    <w:rsid w:val="001A3237"/>
    <w:rsid w:val="001A323F"/>
    <w:rsid w:val="001A35FB"/>
    <w:rsid w:val="001A45CB"/>
    <w:rsid w:val="001A47E4"/>
    <w:rsid w:val="001A509D"/>
    <w:rsid w:val="001A5371"/>
    <w:rsid w:val="001A5699"/>
    <w:rsid w:val="001A59D4"/>
    <w:rsid w:val="001A5EA8"/>
    <w:rsid w:val="001A5F7D"/>
    <w:rsid w:val="001A6419"/>
    <w:rsid w:val="001A7445"/>
    <w:rsid w:val="001A799F"/>
    <w:rsid w:val="001A7C75"/>
    <w:rsid w:val="001B0109"/>
    <w:rsid w:val="001B0817"/>
    <w:rsid w:val="001B11B4"/>
    <w:rsid w:val="001B155C"/>
    <w:rsid w:val="001B21BF"/>
    <w:rsid w:val="001B25A0"/>
    <w:rsid w:val="001B2820"/>
    <w:rsid w:val="001B2C26"/>
    <w:rsid w:val="001B2E23"/>
    <w:rsid w:val="001B2EEC"/>
    <w:rsid w:val="001B344E"/>
    <w:rsid w:val="001B3ACB"/>
    <w:rsid w:val="001B4105"/>
    <w:rsid w:val="001B4E80"/>
    <w:rsid w:val="001B5FA8"/>
    <w:rsid w:val="001B68FF"/>
    <w:rsid w:val="001B78E3"/>
    <w:rsid w:val="001B7AA7"/>
    <w:rsid w:val="001B7B5C"/>
    <w:rsid w:val="001B7D0D"/>
    <w:rsid w:val="001C14E4"/>
    <w:rsid w:val="001C15D8"/>
    <w:rsid w:val="001C1C9C"/>
    <w:rsid w:val="001C27CA"/>
    <w:rsid w:val="001C292E"/>
    <w:rsid w:val="001C34B7"/>
    <w:rsid w:val="001C35A6"/>
    <w:rsid w:val="001C3EFD"/>
    <w:rsid w:val="001C3FB0"/>
    <w:rsid w:val="001C52C3"/>
    <w:rsid w:val="001C5CCB"/>
    <w:rsid w:val="001C7BB5"/>
    <w:rsid w:val="001D048C"/>
    <w:rsid w:val="001D083A"/>
    <w:rsid w:val="001D086B"/>
    <w:rsid w:val="001D17CA"/>
    <w:rsid w:val="001D265B"/>
    <w:rsid w:val="001D298B"/>
    <w:rsid w:val="001D2F4C"/>
    <w:rsid w:val="001D4E4B"/>
    <w:rsid w:val="001D5228"/>
    <w:rsid w:val="001D53DB"/>
    <w:rsid w:val="001D53E9"/>
    <w:rsid w:val="001D6383"/>
    <w:rsid w:val="001D66B6"/>
    <w:rsid w:val="001D696F"/>
    <w:rsid w:val="001D7520"/>
    <w:rsid w:val="001D776E"/>
    <w:rsid w:val="001E0645"/>
    <w:rsid w:val="001E170C"/>
    <w:rsid w:val="001E1919"/>
    <w:rsid w:val="001E23E9"/>
    <w:rsid w:val="001E307E"/>
    <w:rsid w:val="001E3661"/>
    <w:rsid w:val="001E3DAB"/>
    <w:rsid w:val="001E565E"/>
    <w:rsid w:val="001E5E38"/>
    <w:rsid w:val="001E5E64"/>
    <w:rsid w:val="001E618B"/>
    <w:rsid w:val="001E61A5"/>
    <w:rsid w:val="001E6776"/>
    <w:rsid w:val="001E6E12"/>
    <w:rsid w:val="001E6EB6"/>
    <w:rsid w:val="001E74A7"/>
    <w:rsid w:val="001E74A9"/>
    <w:rsid w:val="001F0210"/>
    <w:rsid w:val="001F0B64"/>
    <w:rsid w:val="001F12C7"/>
    <w:rsid w:val="001F245F"/>
    <w:rsid w:val="001F2AAE"/>
    <w:rsid w:val="001F3116"/>
    <w:rsid w:val="001F3524"/>
    <w:rsid w:val="001F358D"/>
    <w:rsid w:val="001F35E3"/>
    <w:rsid w:val="001F3A8B"/>
    <w:rsid w:val="001F4407"/>
    <w:rsid w:val="001F4BBD"/>
    <w:rsid w:val="001F5204"/>
    <w:rsid w:val="001F5BBD"/>
    <w:rsid w:val="001F6042"/>
    <w:rsid w:val="001F6632"/>
    <w:rsid w:val="001F72FE"/>
    <w:rsid w:val="001F7800"/>
    <w:rsid w:val="001F7804"/>
    <w:rsid w:val="002009A2"/>
    <w:rsid w:val="00200A4E"/>
    <w:rsid w:val="002012C5"/>
    <w:rsid w:val="002027DF"/>
    <w:rsid w:val="00202951"/>
    <w:rsid w:val="002044E3"/>
    <w:rsid w:val="00204A05"/>
    <w:rsid w:val="002060CE"/>
    <w:rsid w:val="00206B6F"/>
    <w:rsid w:val="002075F7"/>
    <w:rsid w:val="0020765D"/>
    <w:rsid w:val="002079E7"/>
    <w:rsid w:val="00207B70"/>
    <w:rsid w:val="00207DA3"/>
    <w:rsid w:val="00207DE7"/>
    <w:rsid w:val="00207E98"/>
    <w:rsid w:val="0021140C"/>
    <w:rsid w:val="00211B51"/>
    <w:rsid w:val="002122D4"/>
    <w:rsid w:val="002123E7"/>
    <w:rsid w:val="00212A66"/>
    <w:rsid w:val="00212E79"/>
    <w:rsid w:val="00212F88"/>
    <w:rsid w:val="00212F9C"/>
    <w:rsid w:val="002136F4"/>
    <w:rsid w:val="00213F56"/>
    <w:rsid w:val="002145F8"/>
    <w:rsid w:val="0021475C"/>
    <w:rsid w:val="002160AE"/>
    <w:rsid w:val="002163D9"/>
    <w:rsid w:val="0021743E"/>
    <w:rsid w:val="002179DE"/>
    <w:rsid w:val="00217F54"/>
    <w:rsid w:val="0022008D"/>
    <w:rsid w:val="002200A1"/>
    <w:rsid w:val="00221365"/>
    <w:rsid w:val="00221A9D"/>
    <w:rsid w:val="002222B3"/>
    <w:rsid w:val="00222F46"/>
    <w:rsid w:val="00223772"/>
    <w:rsid w:val="0022387B"/>
    <w:rsid w:val="00223E6D"/>
    <w:rsid w:val="002244D0"/>
    <w:rsid w:val="00224B54"/>
    <w:rsid w:val="00224E69"/>
    <w:rsid w:val="00225FFF"/>
    <w:rsid w:val="0022624F"/>
    <w:rsid w:val="00226528"/>
    <w:rsid w:val="002269AC"/>
    <w:rsid w:val="00226F36"/>
    <w:rsid w:val="00227252"/>
    <w:rsid w:val="00227B09"/>
    <w:rsid w:val="00230079"/>
    <w:rsid w:val="00230265"/>
    <w:rsid w:val="002302F8"/>
    <w:rsid w:val="002310BE"/>
    <w:rsid w:val="002313BB"/>
    <w:rsid w:val="0023142C"/>
    <w:rsid w:val="00231509"/>
    <w:rsid w:val="00231DD6"/>
    <w:rsid w:val="00232BF1"/>
    <w:rsid w:val="00233444"/>
    <w:rsid w:val="0023389E"/>
    <w:rsid w:val="00235283"/>
    <w:rsid w:val="002352B6"/>
    <w:rsid w:val="00235E9D"/>
    <w:rsid w:val="002364D8"/>
    <w:rsid w:val="00236861"/>
    <w:rsid w:val="00236D1B"/>
    <w:rsid w:val="002372C0"/>
    <w:rsid w:val="0023735A"/>
    <w:rsid w:val="00240421"/>
    <w:rsid w:val="0024071D"/>
    <w:rsid w:val="00240F5D"/>
    <w:rsid w:val="00242AF8"/>
    <w:rsid w:val="00242D76"/>
    <w:rsid w:val="002430F9"/>
    <w:rsid w:val="00244478"/>
    <w:rsid w:val="002448BE"/>
    <w:rsid w:val="00245D3C"/>
    <w:rsid w:val="00245E52"/>
    <w:rsid w:val="00246B6E"/>
    <w:rsid w:val="00246F4D"/>
    <w:rsid w:val="0025026C"/>
    <w:rsid w:val="0025061F"/>
    <w:rsid w:val="00250B03"/>
    <w:rsid w:val="00250D34"/>
    <w:rsid w:val="00251564"/>
    <w:rsid w:val="00251686"/>
    <w:rsid w:val="00251F13"/>
    <w:rsid w:val="00252166"/>
    <w:rsid w:val="002522D4"/>
    <w:rsid w:val="00253B49"/>
    <w:rsid w:val="00254726"/>
    <w:rsid w:val="00254A46"/>
    <w:rsid w:val="00254E43"/>
    <w:rsid w:val="00255332"/>
    <w:rsid w:val="00256B62"/>
    <w:rsid w:val="0025709C"/>
    <w:rsid w:val="0025791B"/>
    <w:rsid w:val="00257A10"/>
    <w:rsid w:val="00260B5F"/>
    <w:rsid w:val="00261097"/>
    <w:rsid w:val="002612D7"/>
    <w:rsid w:val="002615EB"/>
    <w:rsid w:val="002627D5"/>
    <w:rsid w:val="0026316F"/>
    <w:rsid w:val="0026349E"/>
    <w:rsid w:val="00263919"/>
    <w:rsid w:val="00263E66"/>
    <w:rsid w:val="002658CC"/>
    <w:rsid w:val="00267418"/>
    <w:rsid w:val="00267B21"/>
    <w:rsid w:val="00267D06"/>
    <w:rsid w:val="0027000B"/>
    <w:rsid w:val="002704D0"/>
    <w:rsid w:val="0027066B"/>
    <w:rsid w:val="00270684"/>
    <w:rsid w:val="00271585"/>
    <w:rsid w:val="002716DA"/>
    <w:rsid w:val="00271CDB"/>
    <w:rsid w:val="00271CDF"/>
    <w:rsid w:val="00272119"/>
    <w:rsid w:val="002723FF"/>
    <w:rsid w:val="00273593"/>
    <w:rsid w:val="00273A97"/>
    <w:rsid w:val="002749FC"/>
    <w:rsid w:val="00275657"/>
    <w:rsid w:val="002761AB"/>
    <w:rsid w:val="00276301"/>
    <w:rsid w:val="00276B23"/>
    <w:rsid w:val="002804C4"/>
    <w:rsid w:val="00280523"/>
    <w:rsid w:val="00280786"/>
    <w:rsid w:val="002808A9"/>
    <w:rsid w:val="002814C0"/>
    <w:rsid w:val="002817BB"/>
    <w:rsid w:val="00281AC9"/>
    <w:rsid w:val="00281C21"/>
    <w:rsid w:val="00282172"/>
    <w:rsid w:val="00282FA2"/>
    <w:rsid w:val="00283BA9"/>
    <w:rsid w:val="00284225"/>
    <w:rsid w:val="00284495"/>
    <w:rsid w:val="0028628B"/>
    <w:rsid w:val="00286AFF"/>
    <w:rsid w:val="0028759F"/>
    <w:rsid w:val="002901E6"/>
    <w:rsid w:val="00290D5B"/>
    <w:rsid w:val="0029120F"/>
    <w:rsid w:val="0029180A"/>
    <w:rsid w:val="00291E82"/>
    <w:rsid w:val="00291EBB"/>
    <w:rsid w:val="002925CE"/>
    <w:rsid w:val="0029375E"/>
    <w:rsid w:val="00293EAA"/>
    <w:rsid w:val="00295038"/>
    <w:rsid w:val="00296F2C"/>
    <w:rsid w:val="002977D8"/>
    <w:rsid w:val="00297A29"/>
    <w:rsid w:val="00297C39"/>
    <w:rsid w:val="002A0076"/>
    <w:rsid w:val="002A00ED"/>
    <w:rsid w:val="002A11C3"/>
    <w:rsid w:val="002A260C"/>
    <w:rsid w:val="002A2D99"/>
    <w:rsid w:val="002A2E18"/>
    <w:rsid w:val="002A59A5"/>
    <w:rsid w:val="002A6131"/>
    <w:rsid w:val="002A6471"/>
    <w:rsid w:val="002A65FC"/>
    <w:rsid w:val="002A6A25"/>
    <w:rsid w:val="002A6A3C"/>
    <w:rsid w:val="002A713D"/>
    <w:rsid w:val="002A782F"/>
    <w:rsid w:val="002A78D4"/>
    <w:rsid w:val="002B05FD"/>
    <w:rsid w:val="002B1063"/>
    <w:rsid w:val="002B1443"/>
    <w:rsid w:val="002B1959"/>
    <w:rsid w:val="002B1B9E"/>
    <w:rsid w:val="002B1BD2"/>
    <w:rsid w:val="002B1C12"/>
    <w:rsid w:val="002B2AAF"/>
    <w:rsid w:val="002B2AFE"/>
    <w:rsid w:val="002B2DFF"/>
    <w:rsid w:val="002B3313"/>
    <w:rsid w:val="002B378B"/>
    <w:rsid w:val="002B3B51"/>
    <w:rsid w:val="002B3C42"/>
    <w:rsid w:val="002B3F65"/>
    <w:rsid w:val="002B3FB8"/>
    <w:rsid w:val="002B461D"/>
    <w:rsid w:val="002B50F2"/>
    <w:rsid w:val="002B5162"/>
    <w:rsid w:val="002B5CA3"/>
    <w:rsid w:val="002B65A9"/>
    <w:rsid w:val="002B79DB"/>
    <w:rsid w:val="002C0671"/>
    <w:rsid w:val="002C07EA"/>
    <w:rsid w:val="002C086E"/>
    <w:rsid w:val="002C10A1"/>
    <w:rsid w:val="002C183C"/>
    <w:rsid w:val="002C1EBC"/>
    <w:rsid w:val="002C20A0"/>
    <w:rsid w:val="002C2EBC"/>
    <w:rsid w:val="002C2EE8"/>
    <w:rsid w:val="002C314D"/>
    <w:rsid w:val="002C3157"/>
    <w:rsid w:val="002C3805"/>
    <w:rsid w:val="002C40D2"/>
    <w:rsid w:val="002C4961"/>
    <w:rsid w:val="002C50BC"/>
    <w:rsid w:val="002C5543"/>
    <w:rsid w:val="002C5587"/>
    <w:rsid w:val="002C5B47"/>
    <w:rsid w:val="002C5BC2"/>
    <w:rsid w:val="002C6868"/>
    <w:rsid w:val="002C763F"/>
    <w:rsid w:val="002D0035"/>
    <w:rsid w:val="002D04B6"/>
    <w:rsid w:val="002D1055"/>
    <w:rsid w:val="002D130E"/>
    <w:rsid w:val="002D14D6"/>
    <w:rsid w:val="002D201E"/>
    <w:rsid w:val="002D2227"/>
    <w:rsid w:val="002D252C"/>
    <w:rsid w:val="002D30F0"/>
    <w:rsid w:val="002D34B4"/>
    <w:rsid w:val="002D375C"/>
    <w:rsid w:val="002D37F3"/>
    <w:rsid w:val="002D4063"/>
    <w:rsid w:val="002D4699"/>
    <w:rsid w:val="002D4BF6"/>
    <w:rsid w:val="002D4D9F"/>
    <w:rsid w:val="002D4DCD"/>
    <w:rsid w:val="002D4F5C"/>
    <w:rsid w:val="002D5448"/>
    <w:rsid w:val="002D5BF6"/>
    <w:rsid w:val="002D6552"/>
    <w:rsid w:val="002D75A3"/>
    <w:rsid w:val="002D783B"/>
    <w:rsid w:val="002D7997"/>
    <w:rsid w:val="002D79C3"/>
    <w:rsid w:val="002E023B"/>
    <w:rsid w:val="002E076A"/>
    <w:rsid w:val="002E0CBA"/>
    <w:rsid w:val="002E0E5F"/>
    <w:rsid w:val="002E0F6D"/>
    <w:rsid w:val="002E2955"/>
    <w:rsid w:val="002E2AC8"/>
    <w:rsid w:val="002E2BCA"/>
    <w:rsid w:val="002E3683"/>
    <w:rsid w:val="002E3EC8"/>
    <w:rsid w:val="002E44E9"/>
    <w:rsid w:val="002E4ED7"/>
    <w:rsid w:val="002E5464"/>
    <w:rsid w:val="002E57B1"/>
    <w:rsid w:val="002E588D"/>
    <w:rsid w:val="002E5945"/>
    <w:rsid w:val="002E65AD"/>
    <w:rsid w:val="002E6E72"/>
    <w:rsid w:val="002E7767"/>
    <w:rsid w:val="002E7DA1"/>
    <w:rsid w:val="002F039A"/>
    <w:rsid w:val="002F0C7B"/>
    <w:rsid w:val="002F0DAE"/>
    <w:rsid w:val="002F0F13"/>
    <w:rsid w:val="002F1CA2"/>
    <w:rsid w:val="002F2006"/>
    <w:rsid w:val="002F220B"/>
    <w:rsid w:val="002F23C7"/>
    <w:rsid w:val="002F249B"/>
    <w:rsid w:val="002F2806"/>
    <w:rsid w:val="002F3045"/>
    <w:rsid w:val="002F34CC"/>
    <w:rsid w:val="002F3591"/>
    <w:rsid w:val="002F42A8"/>
    <w:rsid w:val="002F4642"/>
    <w:rsid w:val="002F474C"/>
    <w:rsid w:val="002F4ACE"/>
    <w:rsid w:val="002F4ADD"/>
    <w:rsid w:val="002F564B"/>
    <w:rsid w:val="002F59BE"/>
    <w:rsid w:val="002F5BFE"/>
    <w:rsid w:val="002F7018"/>
    <w:rsid w:val="003007C9"/>
    <w:rsid w:val="00300933"/>
    <w:rsid w:val="00300A10"/>
    <w:rsid w:val="00300C8E"/>
    <w:rsid w:val="0030167D"/>
    <w:rsid w:val="00301C55"/>
    <w:rsid w:val="00301F3E"/>
    <w:rsid w:val="00302669"/>
    <w:rsid w:val="00302982"/>
    <w:rsid w:val="00302BF7"/>
    <w:rsid w:val="00303882"/>
    <w:rsid w:val="003038DB"/>
    <w:rsid w:val="00303D44"/>
    <w:rsid w:val="00303EFA"/>
    <w:rsid w:val="00304582"/>
    <w:rsid w:val="00304D87"/>
    <w:rsid w:val="003057B1"/>
    <w:rsid w:val="00306120"/>
    <w:rsid w:val="003064AA"/>
    <w:rsid w:val="00306B87"/>
    <w:rsid w:val="00306E32"/>
    <w:rsid w:val="00306F86"/>
    <w:rsid w:val="00307767"/>
    <w:rsid w:val="00307BAC"/>
    <w:rsid w:val="00307BFF"/>
    <w:rsid w:val="00307F77"/>
    <w:rsid w:val="00310305"/>
    <w:rsid w:val="003103BB"/>
    <w:rsid w:val="003112DA"/>
    <w:rsid w:val="003113ED"/>
    <w:rsid w:val="003122DF"/>
    <w:rsid w:val="00312C57"/>
    <w:rsid w:val="00313A1F"/>
    <w:rsid w:val="003145A1"/>
    <w:rsid w:val="00314C20"/>
    <w:rsid w:val="003157E7"/>
    <w:rsid w:val="003159AE"/>
    <w:rsid w:val="0031632C"/>
    <w:rsid w:val="00316BB0"/>
    <w:rsid w:val="00317219"/>
    <w:rsid w:val="003175A0"/>
    <w:rsid w:val="00320554"/>
    <w:rsid w:val="003209A3"/>
    <w:rsid w:val="00320F0E"/>
    <w:rsid w:val="003216DF"/>
    <w:rsid w:val="003222D1"/>
    <w:rsid w:val="00322F70"/>
    <w:rsid w:val="00322F8F"/>
    <w:rsid w:val="003234DB"/>
    <w:rsid w:val="003239CA"/>
    <w:rsid w:val="00324F76"/>
    <w:rsid w:val="0032523A"/>
    <w:rsid w:val="00325554"/>
    <w:rsid w:val="003256BA"/>
    <w:rsid w:val="003268B5"/>
    <w:rsid w:val="003275B8"/>
    <w:rsid w:val="00327C81"/>
    <w:rsid w:val="0033068B"/>
    <w:rsid w:val="003306DF"/>
    <w:rsid w:val="00330E36"/>
    <w:rsid w:val="003324D6"/>
    <w:rsid w:val="00332805"/>
    <w:rsid w:val="00332A49"/>
    <w:rsid w:val="00332D59"/>
    <w:rsid w:val="00333513"/>
    <w:rsid w:val="00333680"/>
    <w:rsid w:val="00333C1A"/>
    <w:rsid w:val="00334122"/>
    <w:rsid w:val="003346FB"/>
    <w:rsid w:val="00334C74"/>
    <w:rsid w:val="00335241"/>
    <w:rsid w:val="00335400"/>
    <w:rsid w:val="003354E0"/>
    <w:rsid w:val="00335E78"/>
    <w:rsid w:val="00336FA2"/>
    <w:rsid w:val="003400C0"/>
    <w:rsid w:val="003401BD"/>
    <w:rsid w:val="0034078A"/>
    <w:rsid w:val="00341197"/>
    <w:rsid w:val="00341243"/>
    <w:rsid w:val="003412F4"/>
    <w:rsid w:val="00341440"/>
    <w:rsid w:val="00342606"/>
    <w:rsid w:val="00342EA0"/>
    <w:rsid w:val="00343098"/>
    <w:rsid w:val="00343148"/>
    <w:rsid w:val="00344F49"/>
    <w:rsid w:val="00345E37"/>
    <w:rsid w:val="00345F36"/>
    <w:rsid w:val="00346B1D"/>
    <w:rsid w:val="00346ECF"/>
    <w:rsid w:val="00347407"/>
    <w:rsid w:val="003506F9"/>
    <w:rsid w:val="003508F9"/>
    <w:rsid w:val="00350A1E"/>
    <w:rsid w:val="0035109D"/>
    <w:rsid w:val="003511FE"/>
    <w:rsid w:val="00351AAC"/>
    <w:rsid w:val="00351ADB"/>
    <w:rsid w:val="00351C3D"/>
    <w:rsid w:val="0035257F"/>
    <w:rsid w:val="00352760"/>
    <w:rsid w:val="003529F4"/>
    <w:rsid w:val="00354027"/>
    <w:rsid w:val="00354178"/>
    <w:rsid w:val="003541DB"/>
    <w:rsid w:val="0035511A"/>
    <w:rsid w:val="00355438"/>
    <w:rsid w:val="00355952"/>
    <w:rsid w:val="00355A82"/>
    <w:rsid w:val="0035710F"/>
    <w:rsid w:val="003579C6"/>
    <w:rsid w:val="00360CD5"/>
    <w:rsid w:val="00360D93"/>
    <w:rsid w:val="003622BB"/>
    <w:rsid w:val="00362797"/>
    <w:rsid w:val="00362AE6"/>
    <w:rsid w:val="00362BC7"/>
    <w:rsid w:val="0036314E"/>
    <w:rsid w:val="00363643"/>
    <w:rsid w:val="0036374F"/>
    <w:rsid w:val="00363993"/>
    <w:rsid w:val="00363D2C"/>
    <w:rsid w:val="00363EE3"/>
    <w:rsid w:val="0036450D"/>
    <w:rsid w:val="00364D21"/>
    <w:rsid w:val="003662EA"/>
    <w:rsid w:val="003669B7"/>
    <w:rsid w:val="00366C43"/>
    <w:rsid w:val="00366D68"/>
    <w:rsid w:val="003703F2"/>
    <w:rsid w:val="0037053B"/>
    <w:rsid w:val="003716A8"/>
    <w:rsid w:val="003717CD"/>
    <w:rsid w:val="0037197F"/>
    <w:rsid w:val="00371B56"/>
    <w:rsid w:val="00372530"/>
    <w:rsid w:val="00372B0B"/>
    <w:rsid w:val="003731C9"/>
    <w:rsid w:val="003732CC"/>
    <w:rsid w:val="0037380A"/>
    <w:rsid w:val="00373B3D"/>
    <w:rsid w:val="00373CB7"/>
    <w:rsid w:val="00374031"/>
    <w:rsid w:val="003740CA"/>
    <w:rsid w:val="00374A15"/>
    <w:rsid w:val="00374A44"/>
    <w:rsid w:val="00374BAE"/>
    <w:rsid w:val="00374D06"/>
    <w:rsid w:val="00374E07"/>
    <w:rsid w:val="003750EF"/>
    <w:rsid w:val="00375723"/>
    <w:rsid w:val="00375E7F"/>
    <w:rsid w:val="003766FD"/>
    <w:rsid w:val="00377157"/>
    <w:rsid w:val="00377A3D"/>
    <w:rsid w:val="00377DFA"/>
    <w:rsid w:val="003800A9"/>
    <w:rsid w:val="0038154B"/>
    <w:rsid w:val="00381746"/>
    <w:rsid w:val="003827DA"/>
    <w:rsid w:val="00382809"/>
    <w:rsid w:val="00382840"/>
    <w:rsid w:val="0038333E"/>
    <w:rsid w:val="00383407"/>
    <w:rsid w:val="00383696"/>
    <w:rsid w:val="00384196"/>
    <w:rsid w:val="00384817"/>
    <w:rsid w:val="003849C2"/>
    <w:rsid w:val="00386715"/>
    <w:rsid w:val="00386A8F"/>
    <w:rsid w:val="0038713A"/>
    <w:rsid w:val="00387BB2"/>
    <w:rsid w:val="0039057A"/>
    <w:rsid w:val="00390627"/>
    <w:rsid w:val="00390B48"/>
    <w:rsid w:val="00391D70"/>
    <w:rsid w:val="0039271B"/>
    <w:rsid w:val="00393063"/>
    <w:rsid w:val="00393765"/>
    <w:rsid w:val="00393A1C"/>
    <w:rsid w:val="00393FAA"/>
    <w:rsid w:val="00395E87"/>
    <w:rsid w:val="003966EE"/>
    <w:rsid w:val="003967A9"/>
    <w:rsid w:val="00396CF8"/>
    <w:rsid w:val="00397079"/>
    <w:rsid w:val="0039761B"/>
    <w:rsid w:val="00397B1E"/>
    <w:rsid w:val="00397FC4"/>
    <w:rsid w:val="003A0881"/>
    <w:rsid w:val="003A08C7"/>
    <w:rsid w:val="003A18AC"/>
    <w:rsid w:val="003A19E7"/>
    <w:rsid w:val="003A19ED"/>
    <w:rsid w:val="003A20CE"/>
    <w:rsid w:val="003A21F3"/>
    <w:rsid w:val="003A32E0"/>
    <w:rsid w:val="003A33EF"/>
    <w:rsid w:val="003A3A7A"/>
    <w:rsid w:val="003A48AD"/>
    <w:rsid w:val="003A5392"/>
    <w:rsid w:val="003A59C1"/>
    <w:rsid w:val="003A5DCB"/>
    <w:rsid w:val="003A62E1"/>
    <w:rsid w:val="003A6A8D"/>
    <w:rsid w:val="003A6F8C"/>
    <w:rsid w:val="003B0D33"/>
    <w:rsid w:val="003B13B0"/>
    <w:rsid w:val="003B1712"/>
    <w:rsid w:val="003B1CAE"/>
    <w:rsid w:val="003B1E2D"/>
    <w:rsid w:val="003B1FBF"/>
    <w:rsid w:val="003B2BA4"/>
    <w:rsid w:val="003B3E81"/>
    <w:rsid w:val="003B4809"/>
    <w:rsid w:val="003B4EF2"/>
    <w:rsid w:val="003B578A"/>
    <w:rsid w:val="003B589E"/>
    <w:rsid w:val="003B5C26"/>
    <w:rsid w:val="003B603B"/>
    <w:rsid w:val="003B679E"/>
    <w:rsid w:val="003B73F4"/>
    <w:rsid w:val="003B7F59"/>
    <w:rsid w:val="003C03F8"/>
    <w:rsid w:val="003C066B"/>
    <w:rsid w:val="003C0F81"/>
    <w:rsid w:val="003C1422"/>
    <w:rsid w:val="003C14B0"/>
    <w:rsid w:val="003C1A96"/>
    <w:rsid w:val="003C1FEA"/>
    <w:rsid w:val="003C2521"/>
    <w:rsid w:val="003C2558"/>
    <w:rsid w:val="003C2748"/>
    <w:rsid w:val="003C2A3D"/>
    <w:rsid w:val="003C3BB5"/>
    <w:rsid w:val="003C3C7B"/>
    <w:rsid w:val="003C3D18"/>
    <w:rsid w:val="003C3EBB"/>
    <w:rsid w:val="003C4B20"/>
    <w:rsid w:val="003C5C0F"/>
    <w:rsid w:val="003C66B7"/>
    <w:rsid w:val="003C6B51"/>
    <w:rsid w:val="003C74D2"/>
    <w:rsid w:val="003C7E10"/>
    <w:rsid w:val="003D0226"/>
    <w:rsid w:val="003D0343"/>
    <w:rsid w:val="003D0A04"/>
    <w:rsid w:val="003D0CA0"/>
    <w:rsid w:val="003D1028"/>
    <w:rsid w:val="003D1205"/>
    <w:rsid w:val="003D1956"/>
    <w:rsid w:val="003D1D9C"/>
    <w:rsid w:val="003D2221"/>
    <w:rsid w:val="003D32B9"/>
    <w:rsid w:val="003D330C"/>
    <w:rsid w:val="003D5386"/>
    <w:rsid w:val="003D57A5"/>
    <w:rsid w:val="003D5FA1"/>
    <w:rsid w:val="003D646F"/>
    <w:rsid w:val="003D70F0"/>
    <w:rsid w:val="003D7813"/>
    <w:rsid w:val="003E09B3"/>
    <w:rsid w:val="003E0C0C"/>
    <w:rsid w:val="003E151B"/>
    <w:rsid w:val="003E151C"/>
    <w:rsid w:val="003E1D99"/>
    <w:rsid w:val="003E2141"/>
    <w:rsid w:val="003E2705"/>
    <w:rsid w:val="003E2A50"/>
    <w:rsid w:val="003E2E2B"/>
    <w:rsid w:val="003E3087"/>
    <w:rsid w:val="003E4456"/>
    <w:rsid w:val="003E4D0C"/>
    <w:rsid w:val="003E5101"/>
    <w:rsid w:val="003E530D"/>
    <w:rsid w:val="003E53C5"/>
    <w:rsid w:val="003E6056"/>
    <w:rsid w:val="003E6379"/>
    <w:rsid w:val="003E72CC"/>
    <w:rsid w:val="003E7412"/>
    <w:rsid w:val="003E77CE"/>
    <w:rsid w:val="003F09DA"/>
    <w:rsid w:val="003F0EDE"/>
    <w:rsid w:val="003F1201"/>
    <w:rsid w:val="003F1403"/>
    <w:rsid w:val="003F156D"/>
    <w:rsid w:val="003F2323"/>
    <w:rsid w:val="003F39F1"/>
    <w:rsid w:val="003F3B1F"/>
    <w:rsid w:val="003F4377"/>
    <w:rsid w:val="003F4F72"/>
    <w:rsid w:val="003F4FEB"/>
    <w:rsid w:val="003F595A"/>
    <w:rsid w:val="003F5964"/>
    <w:rsid w:val="003F5BD0"/>
    <w:rsid w:val="003F611E"/>
    <w:rsid w:val="003F6978"/>
    <w:rsid w:val="003F6D7B"/>
    <w:rsid w:val="004000CD"/>
    <w:rsid w:val="004004D5"/>
    <w:rsid w:val="004006D3"/>
    <w:rsid w:val="00400C30"/>
    <w:rsid w:val="004012D1"/>
    <w:rsid w:val="0040141A"/>
    <w:rsid w:val="00401F2D"/>
    <w:rsid w:val="00402098"/>
    <w:rsid w:val="00402A8E"/>
    <w:rsid w:val="00402DB9"/>
    <w:rsid w:val="00403661"/>
    <w:rsid w:val="0040396F"/>
    <w:rsid w:val="00404038"/>
    <w:rsid w:val="00404500"/>
    <w:rsid w:val="00407621"/>
    <w:rsid w:val="004078A8"/>
    <w:rsid w:val="00407A83"/>
    <w:rsid w:val="00407E4C"/>
    <w:rsid w:val="00410552"/>
    <w:rsid w:val="00411485"/>
    <w:rsid w:val="00411B52"/>
    <w:rsid w:val="00411F19"/>
    <w:rsid w:val="00412011"/>
    <w:rsid w:val="00412083"/>
    <w:rsid w:val="0041227D"/>
    <w:rsid w:val="00412967"/>
    <w:rsid w:val="004138AB"/>
    <w:rsid w:val="00413E72"/>
    <w:rsid w:val="0041458F"/>
    <w:rsid w:val="004148A0"/>
    <w:rsid w:val="004148CD"/>
    <w:rsid w:val="004149D5"/>
    <w:rsid w:val="00415009"/>
    <w:rsid w:val="00415191"/>
    <w:rsid w:val="004159AE"/>
    <w:rsid w:val="00415BE8"/>
    <w:rsid w:val="00416128"/>
    <w:rsid w:val="004163FA"/>
    <w:rsid w:val="004166F2"/>
    <w:rsid w:val="00416C48"/>
    <w:rsid w:val="00420523"/>
    <w:rsid w:val="0042066C"/>
    <w:rsid w:val="00420716"/>
    <w:rsid w:val="00422042"/>
    <w:rsid w:val="00422D27"/>
    <w:rsid w:val="00424088"/>
    <w:rsid w:val="0042444C"/>
    <w:rsid w:val="004248DF"/>
    <w:rsid w:val="004250FA"/>
    <w:rsid w:val="00425C13"/>
    <w:rsid w:val="004261DA"/>
    <w:rsid w:val="00427332"/>
    <w:rsid w:val="004278FC"/>
    <w:rsid w:val="00430131"/>
    <w:rsid w:val="004306A7"/>
    <w:rsid w:val="00430ED6"/>
    <w:rsid w:val="00431450"/>
    <w:rsid w:val="004324E3"/>
    <w:rsid w:val="00432FCA"/>
    <w:rsid w:val="004332E2"/>
    <w:rsid w:val="004334A3"/>
    <w:rsid w:val="00434A1B"/>
    <w:rsid w:val="00435C35"/>
    <w:rsid w:val="004360B5"/>
    <w:rsid w:val="0043610B"/>
    <w:rsid w:val="004364DC"/>
    <w:rsid w:val="00436F0C"/>
    <w:rsid w:val="00436FEC"/>
    <w:rsid w:val="004371AF"/>
    <w:rsid w:val="004371B5"/>
    <w:rsid w:val="004405B3"/>
    <w:rsid w:val="00441EEB"/>
    <w:rsid w:val="00442E97"/>
    <w:rsid w:val="00443581"/>
    <w:rsid w:val="004438BB"/>
    <w:rsid w:val="00443ED3"/>
    <w:rsid w:val="00445269"/>
    <w:rsid w:val="00445607"/>
    <w:rsid w:val="0044583C"/>
    <w:rsid w:val="00445EDB"/>
    <w:rsid w:val="004460C4"/>
    <w:rsid w:val="00446661"/>
    <w:rsid w:val="00446EE1"/>
    <w:rsid w:val="004473BB"/>
    <w:rsid w:val="0045016D"/>
    <w:rsid w:val="00450778"/>
    <w:rsid w:val="004511AD"/>
    <w:rsid w:val="00451383"/>
    <w:rsid w:val="00452899"/>
    <w:rsid w:val="00452C53"/>
    <w:rsid w:val="00453212"/>
    <w:rsid w:val="0045326D"/>
    <w:rsid w:val="004533F3"/>
    <w:rsid w:val="00453A24"/>
    <w:rsid w:val="00453CE5"/>
    <w:rsid w:val="00453EFE"/>
    <w:rsid w:val="004543F1"/>
    <w:rsid w:val="004548E2"/>
    <w:rsid w:val="00455259"/>
    <w:rsid w:val="004569F8"/>
    <w:rsid w:val="00456A12"/>
    <w:rsid w:val="00456F63"/>
    <w:rsid w:val="00457362"/>
    <w:rsid w:val="00457B5D"/>
    <w:rsid w:val="00457D08"/>
    <w:rsid w:val="00457F82"/>
    <w:rsid w:val="004600A1"/>
    <w:rsid w:val="00460B99"/>
    <w:rsid w:val="00460CA2"/>
    <w:rsid w:val="00461C9F"/>
    <w:rsid w:val="00462C78"/>
    <w:rsid w:val="00462CDC"/>
    <w:rsid w:val="0046449E"/>
    <w:rsid w:val="00464868"/>
    <w:rsid w:val="0046490D"/>
    <w:rsid w:val="00465F4E"/>
    <w:rsid w:val="00466066"/>
    <w:rsid w:val="00466634"/>
    <w:rsid w:val="00467ECF"/>
    <w:rsid w:val="0047026A"/>
    <w:rsid w:val="00471ECD"/>
    <w:rsid w:val="0047240B"/>
    <w:rsid w:val="00472A33"/>
    <w:rsid w:val="00472B2E"/>
    <w:rsid w:val="00472CD6"/>
    <w:rsid w:val="004738C7"/>
    <w:rsid w:val="004748F2"/>
    <w:rsid w:val="0047648B"/>
    <w:rsid w:val="00477076"/>
    <w:rsid w:val="00477C6F"/>
    <w:rsid w:val="00477DC3"/>
    <w:rsid w:val="004804F6"/>
    <w:rsid w:val="0048083C"/>
    <w:rsid w:val="00480E7B"/>
    <w:rsid w:val="00480F18"/>
    <w:rsid w:val="004818D3"/>
    <w:rsid w:val="00481C1F"/>
    <w:rsid w:val="004830B1"/>
    <w:rsid w:val="004833DD"/>
    <w:rsid w:val="00483C93"/>
    <w:rsid w:val="00484F2C"/>
    <w:rsid w:val="00485A52"/>
    <w:rsid w:val="00485DB1"/>
    <w:rsid w:val="0048668D"/>
    <w:rsid w:val="004866E8"/>
    <w:rsid w:val="00486C94"/>
    <w:rsid w:val="004877D8"/>
    <w:rsid w:val="00487A35"/>
    <w:rsid w:val="004903A6"/>
    <w:rsid w:val="0049045A"/>
    <w:rsid w:val="00490607"/>
    <w:rsid w:val="00490AA8"/>
    <w:rsid w:val="00490D6A"/>
    <w:rsid w:val="00491430"/>
    <w:rsid w:val="00492482"/>
    <w:rsid w:val="00492607"/>
    <w:rsid w:val="00492772"/>
    <w:rsid w:val="00492AFD"/>
    <w:rsid w:val="00492C72"/>
    <w:rsid w:val="00493498"/>
    <w:rsid w:val="004941B3"/>
    <w:rsid w:val="00494410"/>
    <w:rsid w:val="0049542D"/>
    <w:rsid w:val="004957E4"/>
    <w:rsid w:val="00495A11"/>
    <w:rsid w:val="004967DB"/>
    <w:rsid w:val="00496907"/>
    <w:rsid w:val="004969F5"/>
    <w:rsid w:val="00496B18"/>
    <w:rsid w:val="00496C57"/>
    <w:rsid w:val="00496DD2"/>
    <w:rsid w:val="004A097F"/>
    <w:rsid w:val="004A114E"/>
    <w:rsid w:val="004A1385"/>
    <w:rsid w:val="004A194D"/>
    <w:rsid w:val="004A1B4E"/>
    <w:rsid w:val="004A23D1"/>
    <w:rsid w:val="004A26FD"/>
    <w:rsid w:val="004A2BFB"/>
    <w:rsid w:val="004A2F99"/>
    <w:rsid w:val="004A339B"/>
    <w:rsid w:val="004A3B0D"/>
    <w:rsid w:val="004A3C26"/>
    <w:rsid w:val="004A3D89"/>
    <w:rsid w:val="004A3F21"/>
    <w:rsid w:val="004A47D2"/>
    <w:rsid w:val="004A4AA7"/>
    <w:rsid w:val="004A5877"/>
    <w:rsid w:val="004A59C6"/>
    <w:rsid w:val="004A5F4E"/>
    <w:rsid w:val="004A6235"/>
    <w:rsid w:val="004B0B4E"/>
    <w:rsid w:val="004B0F3D"/>
    <w:rsid w:val="004B1782"/>
    <w:rsid w:val="004B2136"/>
    <w:rsid w:val="004B3111"/>
    <w:rsid w:val="004B4165"/>
    <w:rsid w:val="004B41BC"/>
    <w:rsid w:val="004B461E"/>
    <w:rsid w:val="004B4E99"/>
    <w:rsid w:val="004B5B97"/>
    <w:rsid w:val="004B60D6"/>
    <w:rsid w:val="004B733E"/>
    <w:rsid w:val="004B748B"/>
    <w:rsid w:val="004B7D3B"/>
    <w:rsid w:val="004C09AD"/>
    <w:rsid w:val="004C0C06"/>
    <w:rsid w:val="004C1C3E"/>
    <w:rsid w:val="004C1CB0"/>
    <w:rsid w:val="004C2358"/>
    <w:rsid w:val="004C2F0F"/>
    <w:rsid w:val="004C5466"/>
    <w:rsid w:val="004C5C09"/>
    <w:rsid w:val="004C5F01"/>
    <w:rsid w:val="004C7F45"/>
    <w:rsid w:val="004D0CA6"/>
    <w:rsid w:val="004D1434"/>
    <w:rsid w:val="004D1D50"/>
    <w:rsid w:val="004D310C"/>
    <w:rsid w:val="004D31E4"/>
    <w:rsid w:val="004D344C"/>
    <w:rsid w:val="004D386E"/>
    <w:rsid w:val="004D3C76"/>
    <w:rsid w:val="004D3F9B"/>
    <w:rsid w:val="004D4B13"/>
    <w:rsid w:val="004D5338"/>
    <w:rsid w:val="004D599A"/>
    <w:rsid w:val="004D5B39"/>
    <w:rsid w:val="004D5CEE"/>
    <w:rsid w:val="004D657C"/>
    <w:rsid w:val="004D658A"/>
    <w:rsid w:val="004D6E1E"/>
    <w:rsid w:val="004D6F63"/>
    <w:rsid w:val="004E02E9"/>
    <w:rsid w:val="004E0EA3"/>
    <w:rsid w:val="004E1157"/>
    <w:rsid w:val="004E1768"/>
    <w:rsid w:val="004E1BE6"/>
    <w:rsid w:val="004E1F11"/>
    <w:rsid w:val="004E1FDD"/>
    <w:rsid w:val="004E26BE"/>
    <w:rsid w:val="004E29A1"/>
    <w:rsid w:val="004E2E4D"/>
    <w:rsid w:val="004E3E4F"/>
    <w:rsid w:val="004E40CF"/>
    <w:rsid w:val="004E4DAD"/>
    <w:rsid w:val="004E5A47"/>
    <w:rsid w:val="004E6D23"/>
    <w:rsid w:val="004E7555"/>
    <w:rsid w:val="004E7C9A"/>
    <w:rsid w:val="004E7F43"/>
    <w:rsid w:val="004F020E"/>
    <w:rsid w:val="004F0548"/>
    <w:rsid w:val="004F1E97"/>
    <w:rsid w:val="004F20DC"/>
    <w:rsid w:val="004F2102"/>
    <w:rsid w:val="004F24B4"/>
    <w:rsid w:val="004F4147"/>
    <w:rsid w:val="004F41E3"/>
    <w:rsid w:val="004F4260"/>
    <w:rsid w:val="004F4837"/>
    <w:rsid w:val="004F4D6A"/>
    <w:rsid w:val="004F52D8"/>
    <w:rsid w:val="004F52DC"/>
    <w:rsid w:val="004F5888"/>
    <w:rsid w:val="004F5A73"/>
    <w:rsid w:val="004F5C64"/>
    <w:rsid w:val="004F6244"/>
    <w:rsid w:val="004F63AB"/>
    <w:rsid w:val="004F7B0D"/>
    <w:rsid w:val="004F7BDA"/>
    <w:rsid w:val="004F7E91"/>
    <w:rsid w:val="004F7FBF"/>
    <w:rsid w:val="0050024F"/>
    <w:rsid w:val="00500929"/>
    <w:rsid w:val="005014C3"/>
    <w:rsid w:val="00501FE6"/>
    <w:rsid w:val="00502427"/>
    <w:rsid w:val="00502BF0"/>
    <w:rsid w:val="00504DD7"/>
    <w:rsid w:val="00505A91"/>
    <w:rsid w:val="0050613E"/>
    <w:rsid w:val="00507392"/>
    <w:rsid w:val="00510B3D"/>
    <w:rsid w:val="00510F7F"/>
    <w:rsid w:val="00511A0B"/>
    <w:rsid w:val="00511A55"/>
    <w:rsid w:val="00512A6E"/>
    <w:rsid w:val="005139B3"/>
    <w:rsid w:val="0051432F"/>
    <w:rsid w:val="00514874"/>
    <w:rsid w:val="00514953"/>
    <w:rsid w:val="00515D45"/>
    <w:rsid w:val="0051641E"/>
    <w:rsid w:val="00516496"/>
    <w:rsid w:val="005169A5"/>
    <w:rsid w:val="00516CC7"/>
    <w:rsid w:val="0051749F"/>
    <w:rsid w:val="00517514"/>
    <w:rsid w:val="00517799"/>
    <w:rsid w:val="00520B4F"/>
    <w:rsid w:val="00520F5C"/>
    <w:rsid w:val="00522192"/>
    <w:rsid w:val="00522819"/>
    <w:rsid w:val="00523651"/>
    <w:rsid w:val="00523CE2"/>
    <w:rsid w:val="00524CB7"/>
    <w:rsid w:val="00524DE3"/>
    <w:rsid w:val="00524F2E"/>
    <w:rsid w:val="00525B1B"/>
    <w:rsid w:val="00525B25"/>
    <w:rsid w:val="00525F2E"/>
    <w:rsid w:val="005262DB"/>
    <w:rsid w:val="0052775A"/>
    <w:rsid w:val="005303F3"/>
    <w:rsid w:val="00530477"/>
    <w:rsid w:val="005312A0"/>
    <w:rsid w:val="0053182E"/>
    <w:rsid w:val="005326E8"/>
    <w:rsid w:val="005328E4"/>
    <w:rsid w:val="0053292F"/>
    <w:rsid w:val="0053312B"/>
    <w:rsid w:val="00533A73"/>
    <w:rsid w:val="00534019"/>
    <w:rsid w:val="005340BD"/>
    <w:rsid w:val="00534B29"/>
    <w:rsid w:val="0053506B"/>
    <w:rsid w:val="0053534C"/>
    <w:rsid w:val="00536583"/>
    <w:rsid w:val="00536DFA"/>
    <w:rsid w:val="00536F15"/>
    <w:rsid w:val="0053782D"/>
    <w:rsid w:val="00537A80"/>
    <w:rsid w:val="005400D7"/>
    <w:rsid w:val="005403ED"/>
    <w:rsid w:val="00540A2F"/>
    <w:rsid w:val="00541095"/>
    <w:rsid w:val="00542567"/>
    <w:rsid w:val="005425C7"/>
    <w:rsid w:val="0054329B"/>
    <w:rsid w:val="0054359C"/>
    <w:rsid w:val="00543700"/>
    <w:rsid w:val="005438D4"/>
    <w:rsid w:val="00543A25"/>
    <w:rsid w:val="00544232"/>
    <w:rsid w:val="00544880"/>
    <w:rsid w:val="005451A0"/>
    <w:rsid w:val="005456D6"/>
    <w:rsid w:val="00546E28"/>
    <w:rsid w:val="00547F27"/>
    <w:rsid w:val="005503B7"/>
    <w:rsid w:val="005505E3"/>
    <w:rsid w:val="005508B6"/>
    <w:rsid w:val="0055253E"/>
    <w:rsid w:val="00552DBB"/>
    <w:rsid w:val="0055326A"/>
    <w:rsid w:val="00553D3D"/>
    <w:rsid w:val="0055414C"/>
    <w:rsid w:val="00554237"/>
    <w:rsid w:val="00554546"/>
    <w:rsid w:val="00554BBA"/>
    <w:rsid w:val="005553FE"/>
    <w:rsid w:val="005555DD"/>
    <w:rsid w:val="0055586E"/>
    <w:rsid w:val="005558BE"/>
    <w:rsid w:val="00555AB0"/>
    <w:rsid w:val="00556059"/>
    <w:rsid w:val="0055610B"/>
    <w:rsid w:val="005561A1"/>
    <w:rsid w:val="00556BAA"/>
    <w:rsid w:val="00557195"/>
    <w:rsid w:val="0055772F"/>
    <w:rsid w:val="00557C05"/>
    <w:rsid w:val="0056030E"/>
    <w:rsid w:val="0056031E"/>
    <w:rsid w:val="00561261"/>
    <w:rsid w:val="0056143E"/>
    <w:rsid w:val="00561F28"/>
    <w:rsid w:val="0056210A"/>
    <w:rsid w:val="0056269A"/>
    <w:rsid w:val="00563363"/>
    <w:rsid w:val="005639B7"/>
    <w:rsid w:val="0056431E"/>
    <w:rsid w:val="0056458F"/>
    <w:rsid w:val="005648E4"/>
    <w:rsid w:val="00564A14"/>
    <w:rsid w:val="00564AFC"/>
    <w:rsid w:val="00564B26"/>
    <w:rsid w:val="00564E6C"/>
    <w:rsid w:val="00565876"/>
    <w:rsid w:val="00566BBC"/>
    <w:rsid w:val="00567373"/>
    <w:rsid w:val="00567C49"/>
    <w:rsid w:val="00570DDA"/>
    <w:rsid w:val="00571724"/>
    <w:rsid w:val="00572748"/>
    <w:rsid w:val="005727CB"/>
    <w:rsid w:val="005729CC"/>
    <w:rsid w:val="00572B80"/>
    <w:rsid w:val="00573893"/>
    <w:rsid w:val="005739B5"/>
    <w:rsid w:val="00573DB9"/>
    <w:rsid w:val="00574216"/>
    <w:rsid w:val="00574383"/>
    <w:rsid w:val="0057596C"/>
    <w:rsid w:val="00575C74"/>
    <w:rsid w:val="0057641D"/>
    <w:rsid w:val="00576A14"/>
    <w:rsid w:val="00576FCD"/>
    <w:rsid w:val="00577439"/>
    <w:rsid w:val="005774CF"/>
    <w:rsid w:val="00580FC1"/>
    <w:rsid w:val="005811E8"/>
    <w:rsid w:val="00581D0E"/>
    <w:rsid w:val="00581F0C"/>
    <w:rsid w:val="00582098"/>
    <w:rsid w:val="0058298B"/>
    <w:rsid w:val="00582CF1"/>
    <w:rsid w:val="005836AB"/>
    <w:rsid w:val="005838D5"/>
    <w:rsid w:val="00583F22"/>
    <w:rsid w:val="0058477E"/>
    <w:rsid w:val="00584D0C"/>
    <w:rsid w:val="00585122"/>
    <w:rsid w:val="00585203"/>
    <w:rsid w:val="0058529F"/>
    <w:rsid w:val="00585401"/>
    <w:rsid w:val="005861C1"/>
    <w:rsid w:val="00586565"/>
    <w:rsid w:val="0058658F"/>
    <w:rsid w:val="00586CB6"/>
    <w:rsid w:val="005873ED"/>
    <w:rsid w:val="0058753F"/>
    <w:rsid w:val="005879B4"/>
    <w:rsid w:val="00587B3B"/>
    <w:rsid w:val="005906B1"/>
    <w:rsid w:val="0059082B"/>
    <w:rsid w:val="00590976"/>
    <w:rsid w:val="005917AE"/>
    <w:rsid w:val="0059322A"/>
    <w:rsid w:val="00593702"/>
    <w:rsid w:val="005937BC"/>
    <w:rsid w:val="00593BB0"/>
    <w:rsid w:val="00593BE6"/>
    <w:rsid w:val="00593E31"/>
    <w:rsid w:val="00595158"/>
    <w:rsid w:val="00595779"/>
    <w:rsid w:val="005957A4"/>
    <w:rsid w:val="0059584D"/>
    <w:rsid w:val="0059589E"/>
    <w:rsid w:val="00595ECD"/>
    <w:rsid w:val="0059665C"/>
    <w:rsid w:val="00596FC6"/>
    <w:rsid w:val="005A02FB"/>
    <w:rsid w:val="005A0AEA"/>
    <w:rsid w:val="005A0D04"/>
    <w:rsid w:val="005A11C3"/>
    <w:rsid w:val="005A15C2"/>
    <w:rsid w:val="005A1B52"/>
    <w:rsid w:val="005A266A"/>
    <w:rsid w:val="005A3128"/>
    <w:rsid w:val="005A3C83"/>
    <w:rsid w:val="005A3EAB"/>
    <w:rsid w:val="005A422E"/>
    <w:rsid w:val="005A4FF6"/>
    <w:rsid w:val="005A512B"/>
    <w:rsid w:val="005A574D"/>
    <w:rsid w:val="005A62F0"/>
    <w:rsid w:val="005A683B"/>
    <w:rsid w:val="005A76E3"/>
    <w:rsid w:val="005A7885"/>
    <w:rsid w:val="005B056C"/>
    <w:rsid w:val="005B08CE"/>
    <w:rsid w:val="005B12C2"/>
    <w:rsid w:val="005B1B0B"/>
    <w:rsid w:val="005B1FC2"/>
    <w:rsid w:val="005B20A6"/>
    <w:rsid w:val="005B4199"/>
    <w:rsid w:val="005B43F9"/>
    <w:rsid w:val="005B4D54"/>
    <w:rsid w:val="005B5405"/>
    <w:rsid w:val="005B5435"/>
    <w:rsid w:val="005B58E5"/>
    <w:rsid w:val="005B6885"/>
    <w:rsid w:val="005B6FE9"/>
    <w:rsid w:val="005B76FF"/>
    <w:rsid w:val="005B7B58"/>
    <w:rsid w:val="005B7F1C"/>
    <w:rsid w:val="005C0B68"/>
    <w:rsid w:val="005C2187"/>
    <w:rsid w:val="005C2654"/>
    <w:rsid w:val="005C282D"/>
    <w:rsid w:val="005C2E26"/>
    <w:rsid w:val="005C3752"/>
    <w:rsid w:val="005C3880"/>
    <w:rsid w:val="005C38C7"/>
    <w:rsid w:val="005C3980"/>
    <w:rsid w:val="005C39B9"/>
    <w:rsid w:val="005C3EE8"/>
    <w:rsid w:val="005C4A19"/>
    <w:rsid w:val="005C5867"/>
    <w:rsid w:val="005C5C25"/>
    <w:rsid w:val="005C5E41"/>
    <w:rsid w:val="005C6541"/>
    <w:rsid w:val="005C6568"/>
    <w:rsid w:val="005C6BB4"/>
    <w:rsid w:val="005C7E21"/>
    <w:rsid w:val="005D045E"/>
    <w:rsid w:val="005D0CC7"/>
    <w:rsid w:val="005D0DE6"/>
    <w:rsid w:val="005D194B"/>
    <w:rsid w:val="005D19A4"/>
    <w:rsid w:val="005D2278"/>
    <w:rsid w:val="005D283D"/>
    <w:rsid w:val="005D2F9D"/>
    <w:rsid w:val="005D3373"/>
    <w:rsid w:val="005D3466"/>
    <w:rsid w:val="005D3639"/>
    <w:rsid w:val="005D37FA"/>
    <w:rsid w:val="005D4A00"/>
    <w:rsid w:val="005D5416"/>
    <w:rsid w:val="005D73D7"/>
    <w:rsid w:val="005D7842"/>
    <w:rsid w:val="005E04DC"/>
    <w:rsid w:val="005E09D0"/>
    <w:rsid w:val="005E0BE5"/>
    <w:rsid w:val="005E2388"/>
    <w:rsid w:val="005E28E6"/>
    <w:rsid w:val="005E293B"/>
    <w:rsid w:val="005E3285"/>
    <w:rsid w:val="005E3425"/>
    <w:rsid w:val="005E371A"/>
    <w:rsid w:val="005E398B"/>
    <w:rsid w:val="005E39A3"/>
    <w:rsid w:val="005E39B8"/>
    <w:rsid w:val="005E47BF"/>
    <w:rsid w:val="005E555B"/>
    <w:rsid w:val="005E574A"/>
    <w:rsid w:val="005E683C"/>
    <w:rsid w:val="005E72E9"/>
    <w:rsid w:val="005E7823"/>
    <w:rsid w:val="005F140B"/>
    <w:rsid w:val="005F183A"/>
    <w:rsid w:val="005F2EDD"/>
    <w:rsid w:val="005F3530"/>
    <w:rsid w:val="005F3DB1"/>
    <w:rsid w:val="005F4344"/>
    <w:rsid w:val="005F44B2"/>
    <w:rsid w:val="005F5BCF"/>
    <w:rsid w:val="005F7CD3"/>
    <w:rsid w:val="00600211"/>
    <w:rsid w:val="00600599"/>
    <w:rsid w:val="00600F91"/>
    <w:rsid w:val="00600F9D"/>
    <w:rsid w:val="00601064"/>
    <w:rsid w:val="0060129C"/>
    <w:rsid w:val="006014C4"/>
    <w:rsid w:val="00601A1B"/>
    <w:rsid w:val="00601F98"/>
    <w:rsid w:val="00601FDF"/>
    <w:rsid w:val="00602D3D"/>
    <w:rsid w:val="0060331D"/>
    <w:rsid w:val="006033F4"/>
    <w:rsid w:val="00603564"/>
    <w:rsid w:val="00603F8B"/>
    <w:rsid w:val="00604FD2"/>
    <w:rsid w:val="00605193"/>
    <w:rsid w:val="00605BF7"/>
    <w:rsid w:val="006068BA"/>
    <w:rsid w:val="006069B4"/>
    <w:rsid w:val="006069FF"/>
    <w:rsid w:val="00610407"/>
    <w:rsid w:val="00610936"/>
    <w:rsid w:val="00611872"/>
    <w:rsid w:val="00612081"/>
    <w:rsid w:val="006123A4"/>
    <w:rsid w:val="00612E27"/>
    <w:rsid w:val="0061376C"/>
    <w:rsid w:val="00613F41"/>
    <w:rsid w:val="00615065"/>
    <w:rsid w:val="00615EE0"/>
    <w:rsid w:val="00616479"/>
    <w:rsid w:val="00616FDF"/>
    <w:rsid w:val="00617287"/>
    <w:rsid w:val="0061739A"/>
    <w:rsid w:val="00617738"/>
    <w:rsid w:val="00620049"/>
    <w:rsid w:val="00620944"/>
    <w:rsid w:val="00621CFA"/>
    <w:rsid w:val="00621DAB"/>
    <w:rsid w:val="00622582"/>
    <w:rsid w:val="006226F2"/>
    <w:rsid w:val="006228AA"/>
    <w:rsid w:val="00622AC2"/>
    <w:rsid w:val="006232A8"/>
    <w:rsid w:val="00623774"/>
    <w:rsid w:val="00623CE1"/>
    <w:rsid w:val="00623EF3"/>
    <w:rsid w:val="006247C0"/>
    <w:rsid w:val="006251FF"/>
    <w:rsid w:val="006253C6"/>
    <w:rsid w:val="00625759"/>
    <w:rsid w:val="00625839"/>
    <w:rsid w:val="00626347"/>
    <w:rsid w:val="006265B8"/>
    <w:rsid w:val="006268C2"/>
    <w:rsid w:val="0062738C"/>
    <w:rsid w:val="00630013"/>
    <w:rsid w:val="00630098"/>
    <w:rsid w:val="0063099F"/>
    <w:rsid w:val="00630B29"/>
    <w:rsid w:val="0063122E"/>
    <w:rsid w:val="00631332"/>
    <w:rsid w:val="00631670"/>
    <w:rsid w:val="00632097"/>
    <w:rsid w:val="00632267"/>
    <w:rsid w:val="00632C77"/>
    <w:rsid w:val="00635397"/>
    <w:rsid w:val="006358DF"/>
    <w:rsid w:val="00635D49"/>
    <w:rsid w:val="006366DD"/>
    <w:rsid w:val="00636A97"/>
    <w:rsid w:val="00636EBA"/>
    <w:rsid w:val="00637045"/>
    <w:rsid w:val="00640165"/>
    <w:rsid w:val="00640CDD"/>
    <w:rsid w:val="00640F59"/>
    <w:rsid w:val="00640FD5"/>
    <w:rsid w:val="006416D4"/>
    <w:rsid w:val="00642A1A"/>
    <w:rsid w:val="0064329E"/>
    <w:rsid w:val="00643936"/>
    <w:rsid w:val="0064540E"/>
    <w:rsid w:val="006457E4"/>
    <w:rsid w:val="00645CEB"/>
    <w:rsid w:val="00646016"/>
    <w:rsid w:val="006463DC"/>
    <w:rsid w:val="00646E9A"/>
    <w:rsid w:val="00647778"/>
    <w:rsid w:val="0064794C"/>
    <w:rsid w:val="006501CD"/>
    <w:rsid w:val="00650278"/>
    <w:rsid w:val="0065086E"/>
    <w:rsid w:val="00650AAC"/>
    <w:rsid w:val="00650EFE"/>
    <w:rsid w:val="00651229"/>
    <w:rsid w:val="00651B21"/>
    <w:rsid w:val="00651DFD"/>
    <w:rsid w:val="00652053"/>
    <w:rsid w:val="00653D34"/>
    <w:rsid w:val="00653EE7"/>
    <w:rsid w:val="00654595"/>
    <w:rsid w:val="00654763"/>
    <w:rsid w:val="00654ABF"/>
    <w:rsid w:val="00655835"/>
    <w:rsid w:val="00655E04"/>
    <w:rsid w:val="00656016"/>
    <w:rsid w:val="00656A25"/>
    <w:rsid w:val="00656D41"/>
    <w:rsid w:val="006570DD"/>
    <w:rsid w:val="0065749D"/>
    <w:rsid w:val="00657A27"/>
    <w:rsid w:val="00657D2D"/>
    <w:rsid w:val="006600ED"/>
    <w:rsid w:val="0066013B"/>
    <w:rsid w:val="006601D3"/>
    <w:rsid w:val="006602F5"/>
    <w:rsid w:val="00660562"/>
    <w:rsid w:val="00660DC9"/>
    <w:rsid w:val="00661430"/>
    <w:rsid w:val="00661488"/>
    <w:rsid w:val="00661D09"/>
    <w:rsid w:val="00661D38"/>
    <w:rsid w:val="00662113"/>
    <w:rsid w:val="0066225D"/>
    <w:rsid w:val="00662281"/>
    <w:rsid w:val="0066279F"/>
    <w:rsid w:val="00662C99"/>
    <w:rsid w:val="00662DB9"/>
    <w:rsid w:val="00663402"/>
    <w:rsid w:val="006639B0"/>
    <w:rsid w:val="00663A95"/>
    <w:rsid w:val="0066467C"/>
    <w:rsid w:val="00664759"/>
    <w:rsid w:val="0066489A"/>
    <w:rsid w:val="0066499C"/>
    <w:rsid w:val="00664FAA"/>
    <w:rsid w:val="00665BB0"/>
    <w:rsid w:val="006661C9"/>
    <w:rsid w:val="00667049"/>
    <w:rsid w:val="0066716F"/>
    <w:rsid w:val="0066752B"/>
    <w:rsid w:val="00667B8E"/>
    <w:rsid w:val="00670D15"/>
    <w:rsid w:val="0067113B"/>
    <w:rsid w:val="00671A33"/>
    <w:rsid w:val="00671CCC"/>
    <w:rsid w:val="0067213D"/>
    <w:rsid w:val="00672CDE"/>
    <w:rsid w:val="00672F03"/>
    <w:rsid w:val="00675855"/>
    <w:rsid w:val="00675DE7"/>
    <w:rsid w:val="00676955"/>
    <w:rsid w:val="006771F2"/>
    <w:rsid w:val="006775E1"/>
    <w:rsid w:val="00677F38"/>
    <w:rsid w:val="006802C5"/>
    <w:rsid w:val="006803F4"/>
    <w:rsid w:val="0068041D"/>
    <w:rsid w:val="00680420"/>
    <w:rsid w:val="006804BB"/>
    <w:rsid w:val="00680587"/>
    <w:rsid w:val="00681040"/>
    <w:rsid w:val="00681107"/>
    <w:rsid w:val="00681640"/>
    <w:rsid w:val="00681A11"/>
    <w:rsid w:val="00681D3A"/>
    <w:rsid w:val="0068243E"/>
    <w:rsid w:val="00682BC5"/>
    <w:rsid w:val="00682C89"/>
    <w:rsid w:val="00682F59"/>
    <w:rsid w:val="006836A5"/>
    <w:rsid w:val="0068405E"/>
    <w:rsid w:val="0068407D"/>
    <w:rsid w:val="00684680"/>
    <w:rsid w:val="00684830"/>
    <w:rsid w:val="00684DFD"/>
    <w:rsid w:val="006856AB"/>
    <w:rsid w:val="00685974"/>
    <w:rsid w:val="00686815"/>
    <w:rsid w:val="00687C54"/>
    <w:rsid w:val="00690110"/>
    <w:rsid w:val="0069068A"/>
    <w:rsid w:val="0069070E"/>
    <w:rsid w:val="00691C74"/>
    <w:rsid w:val="00692493"/>
    <w:rsid w:val="006924F8"/>
    <w:rsid w:val="0069252B"/>
    <w:rsid w:val="006933C4"/>
    <w:rsid w:val="00693D61"/>
    <w:rsid w:val="00694623"/>
    <w:rsid w:val="00695C88"/>
    <w:rsid w:val="00695E8E"/>
    <w:rsid w:val="00696631"/>
    <w:rsid w:val="00697524"/>
    <w:rsid w:val="006A0028"/>
    <w:rsid w:val="006A1A1D"/>
    <w:rsid w:val="006A1A55"/>
    <w:rsid w:val="006A1A78"/>
    <w:rsid w:val="006A2832"/>
    <w:rsid w:val="006A296F"/>
    <w:rsid w:val="006A2AA9"/>
    <w:rsid w:val="006A35DA"/>
    <w:rsid w:val="006A366A"/>
    <w:rsid w:val="006A3E14"/>
    <w:rsid w:val="006A4853"/>
    <w:rsid w:val="006A4E8E"/>
    <w:rsid w:val="006A4F97"/>
    <w:rsid w:val="006A61BA"/>
    <w:rsid w:val="006A6635"/>
    <w:rsid w:val="006A6E80"/>
    <w:rsid w:val="006B2048"/>
    <w:rsid w:val="006B270F"/>
    <w:rsid w:val="006B2802"/>
    <w:rsid w:val="006B2CF1"/>
    <w:rsid w:val="006B34D6"/>
    <w:rsid w:val="006B45E7"/>
    <w:rsid w:val="006B4ED1"/>
    <w:rsid w:val="006B4FB9"/>
    <w:rsid w:val="006B5E2E"/>
    <w:rsid w:val="006B740A"/>
    <w:rsid w:val="006C158F"/>
    <w:rsid w:val="006C1AC3"/>
    <w:rsid w:val="006C2477"/>
    <w:rsid w:val="006C3AD9"/>
    <w:rsid w:val="006C3DF8"/>
    <w:rsid w:val="006C4023"/>
    <w:rsid w:val="006C4B3E"/>
    <w:rsid w:val="006C4BDB"/>
    <w:rsid w:val="006C65CA"/>
    <w:rsid w:val="006C694D"/>
    <w:rsid w:val="006C73E8"/>
    <w:rsid w:val="006C7BB8"/>
    <w:rsid w:val="006C7E90"/>
    <w:rsid w:val="006D0316"/>
    <w:rsid w:val="006D0498"/>
    <w:rsid w:val="006D12AD"/>
    <w:rsid w:val="006D1727"/>
    <w:rsid w:val="006D1778"/>
    <w:rsid w:val="006D230B"/>
    <w:rsid w:val="006D2E1B"/>
    <w:rsid w:val="006D2F22"/>
    <w:rsid w:val="006D32C4"/>
    <w:rsid w:val="006D33C4"/>
    <w:rsid w:val="006D4698"/>
    <w:rsid w:val="006D5FE6"/>
    <w:rsid w:val="006D63A0"/>
    <w:rsid w:val="006D6DC0"/>
    <w:rsid w:val="006E0188"/>
    <w:rsid w:val="006E05DA"/>
    <w:rsid w:val="006E1277"/>
    <w:rsid w:val="006E2B32"/>
    <w:rsid w:val="006E4819"/>
    <w:rsid w:val="006E5427"/>
    <w:rsid w:val="006E5F1A"/>
    <w:rsid w:val="006E6357"/>
    <w:rsid w:val="006E7120"/>
    <w:rsid w:val="006E7B4A"/>
    <w:rsid w:val="006E7CC6"/>
    <w:rsid w:val="006F0708"/>
    <w:rsid w:val="006F079D"/>
    <w:rsid w:val="006F0B43"/>
    <w:rsid w:val="006F0E25"/>
    <w:rsid w:val="006F0E80"/>
    <w:rsid w:val="006F12E0"/>
    <w:rsid w:val="006F1428"/>
    <w:rsid w:val="006F1523"/>
    <w:rsid w:val="006F15B4"/>
    <w:rsid w:val="006F162B"/>
    <w:rsid w:val="006F1B0C"/>
    <w:rsid w:val="006F1CDE"/>
    <w:rsid w:val="006F22B5"/>
    <w:rsid w:val="006F2403"/>
    <w:rsid w:val="006F2D73"/>
    <w:rsid w:val="006F32C6"/>
    <w:rsid w:val="006F461E"/>
    <w:rsid w:val="006F544E"/>
    <w:rsid w:val="006F5AF0"/>
    <w:rsid w:val="006F6989"/>
    <w:rsid w:val="006F6D9E"/>
    <w:rsid w:val="00700374"/>
    <w:rsid w:val="0070060C"/>
    <w:rsid w:val="00701296"/>
    <w:rsid w:val="00701ECF"/>
    <w:rsid w:val="007020DC"/>
    <w:rsid w:val="007021AF"/>
    <w:rsid w:val="007026DD"/>
    <w:rsid w:val="00703274"/>
    <w:rsid w:val="00703B27"/>
    <w:rsid w:val="00703F86"/>
    <w:rsid w:val="00706104"/>
    <w:rsid w:val="007063D1"/>
    <w:rsid w:val="00706F32"/>
    <w:rsid w:val="007071A1"/>
    <w:rsid w:val="00707392"/>
    <w:rsid w:val="00707AA1"/>
    <w:rsid w:val="007100D8"/>
    <w:rsid w:val="0071020F"/>
    <w:rsid w:val="007104C1"/>
    <w:rsid w:val="007105AF"/>
    <w:rsid w:val="007113BE"/>
    <w:rsid w:val="00711983"/>
    <w:rsid w:val="007124B9"/>
    <w:rsid w:val="007127B3"/>
    <w:rsid w:val="007127DE"/>
    <w:rsid w:val="00715C70"/>
    <w:rsid w:val="007167DD"/>
    <w:rsid w:val="00716880"/>
    <w:rsid w:val="007201AE"/>
    <w:rsid w:val="00720551"/>
    <w:rsid w:val="0072119A"/>
    <w:rsid w:val="007224C5"/>
    <w:rsid w:val="00722F6D"/>
    <w:rsid w:val="00723C8F"/>
    <w:rsid w:val="007247D8"/>
    <w:rsid w:val="00724DCE"/>
    <w:rsid w:val="00725167"/>
    <w:rsid w:val="007255C4"/>
    <w:rsid w:val="0072593C"/>
    <w:rsid w:val="00725945"/>
    <w:rsid w:val="00725B47"/>
    <w:rsid w:val="007260C2"/>
    <w:rsid w:val="00726CD7"/>
    <w:rsid w:val="00727115"/>
    <w:rsid w:val="00727233"/>
    <w:rsid w:val="00727474"/>
    <w:rsid w:val="00727CEA"/>
    <w:rsid w:val="00730471"/>
    <w:rsid w:val="0073103A"/>
    <w:rsid w:val="007312EC"/>
    <w:rsid w:val="00731475"/>
    <w:rsid w:val="00731969"/>
    <w:rsid w:val="00731DBA"/>
    <w:rsid w:val="00732828"/>
    <w:rsid w:val="00732D14"/>
    <w:rsid w:val="00732E3B"/>
    <w:rsid w:val="00733714"/>
    <w:rsid w:val="0073431B"/>
    <w:rsid w:val="00734DD4"/>
    <w:rsid w:val="00735820"/>
    <w:rsid w:val="00735FA7"/>
    <w:rsid w:val="00736083"/>
    <w:rsid w:val="00736A39"/>
    <w:rsid w:val="00737B55"/>
    <w:rsid w:val="00737FE4"/>
    <w:rsid w:val="007402DC"/>
    <w:rsid w:val="00740A91"/>
    <w:rsid w:val="00740CD0"/>
    <w:rsid w:val="00741BA3"/>
    <w:rsid w:val="00741D47"/>
    <w:rsid w:val="007423AB"/>
    <w:rsid w:val="0074275E"/>
    <w:rsid w:val="00742A0F"/>
    <w:rsid w:val="00743058"/>
    <w:rsid w:val="0074352D"/>
    <w:rsid w:val="007438A6"/>
    <w:rsid w:val="00743A7B"/>
    <w:rsid w:val="00743E2A"/>
    <w:rsid w:val="0074429F"/>
    <w:rsid w:val="007448FC"/>
    <w:rsid w:val="00744F3E"/>
    <w:rsid w:val="0074591A"/>
    <w:rsid w:val="007459A1"/>
    <w:rsid w:val="0074633A"/>
    <w:rsid w:val="00746BA1"/>
    <w:rsid w:val="007477B9"/>
    <w:rsid w:val="00750805"/>
    <w:rsid w:val="00750A8A"/>
    <w:rsid w:val="0075130D"/>
    <w:rsid w:val="00751579"/>
    <w:rsid w:val="00751D60"/>
    <w:rsid w:val="007523D1"/>
    <w:rsid w:val="00752C95"/>
    <w:rsid w:val="0075400D"/>
    <w:rsid w:val="00754268"/>
    <w:rsid w:val="007545D0"/>
    <w:rsid w:val="00754B0C"/>
    <w:rsid w:val="00754E91"/>
    <w:rsid w:val="0075694A"/>
    <w:rsid w:val="00757041"/>
    <w:rsid w:val="007576BC"/>
    <w:rsid w:val="00757763"/>
    <w:rsid w:val="00757A58"/>
    <w:rsid w:val="007601C3"/>
    <w:rsid w:val="00760280"/>
    <w:rsid w:val="007605B4"/>
    <w:rsid w:val="00760971"/>
    <w:rsid w:val="00760E62"/>
    <w:rsid w:val="00761D04"/>
    <w:rsid w:val="007623EA"/>
    <w:rsid w:val="00762545"/>
    <w:rsid w:val="00763635"/>
    <w:rsid w:val="0076379F"/>
    <w:rsid w:val="0076487B"/>
    <w:rsid w:val="00764BDF"/>
    <w:rsid w:val="007651D7"/>
    <w:rsid w:val="00765AF5"/>
    <w:rsid w:val="00765D2C"/>
    <w:rsid w:val="00765F54"/>
    <w:rsid w:val="00766FF0"/>
    <w:rsid w:val="00767578"/>
    <w:rsid w:val="00767DD2"/>
    <w:rsid w:val="0077014F"/>
    <w:rsid w:val="00770FF5"/>
    <w:rsid w:val="00771632"/>
    <w:rsid w:val="00771668"/>
    <w:rsid w:val="007716A5"/>
    <w:rsid w:val="00771A65"/>
    <w:rsid w:val="00771AF9"/>
    <w:rsid w:val="00771BF2"/>
    <w:rsid w:val="00772DAC"/>
    <w:rsid w:val="00773589"/>
    <w:rsid w:val="007737F0"/>
    <w:rsid w:val="0077389C"/>
    <w:rsid w:val="007738A2"/>
    <w:rsid w:val="00773A20"/>
    <w:rsid w:val="00774016"/>
    <w:rsid w:val="00774029"/>
    <w:rsid w:val="00774273"/>
    <w:rsid w:val="0077430C"/>
    <w:rsid w:val="007747F1"/>
    <w:rsid w:val="007748F5"/>
    <w:rsid w:val="00774F22"/>
    <w:rsid w:val="007754C0"/>
    <w:rsid w:val="00775618"/>
    <w:rsid w:val="0077655D"/>
    <w:rsid w:val="00777008"/>
    <w:rsid w:val="00777196"/>
    <w:rsid w:val="0077721C"/>
    <w:rsid w:val="0077793B"/>
    <w:rsid w:val="00777DDE"/>
    <w:rsid w:val="00780A1B"/>
    <w:rsid w:val="00781606"/>
    <w:rsid w:val="0078169F"/>
    <w:rsid w:val="00781E39"/>
    <w:rsid w:val="007829AC"/>
    <w:rsid w:val="00782A53"/>
    <w:rsid w:val="00782C20"/>
    <w:rsid w:val="0078453E"/>
    <w:rsid w:val="00784A4E"/>
    <w:rsid w:val="00784B5A"/>
    <w:rsid w:val="00784E53"/>
    <w:rsid w:val="00785086"/>
    <w:rsid w:val="007853F7"/>
    <w:rsid w:val="00785891"/>
    <w:rsid w:val="007868E6"/>
    <w:rsid w:val="00786912"/>
    <w:rsid w:val="00786F1E"/>
    <w:rsid w:val="0078751D"/>
    <w:rsid w:val="007906C2"/>
    <w:rsid w:val="007909AF"/>
    <w:rsid w:val="00790A9A"/>
    <w:rsid w:val="00790EB2"/>
    <w:rsid w:val="0079175C"/>
    <w:rsid w:val="00791F92"/>
    <w:rsid w:val="007923EF"/>
    <w:rsid w:val="00792673"/>
    <w:rsid w:val="007928E4"/>
    <w:rsid w:val="0079293D"/>
    <w:rsid w:val="0079294C"/>
    <w:rsid w:val="0079320E"/>
    <w:rsid w:val="00793DD0"/>
    <w:rsid w:val="00793E4C"/>
    <w:rsid w:val="007947D7"/>
    <w:rsid w:val="0079563B"/>
    <w:rsid w:val="007957B7"/>
    <w:rsid w:val="00795AB6"/>
    <w:rsid w:val="007960D2"/>
    <w:rsid w:val="00796AE5"/>
    <w:rsid w:val="007A087D"/>
    <w:rsid w:val="007A1625"/>
    <w:rsid w:val="007A171A"/>
    <w:rsid w:val="007A1DAE"/>
    <w:rsid w:val="007A2735"/>
    <w:rsid w:val="007A3572"/>
    <w:rsid w:val="007A35CC"/>
    <w:rsid w:val="007A5499"/>
    <w:rsid w:val="007A5730"/>
    <w:rsid w:val="007A614B"/>
    <w:rsid w:val="007A64CE"/>
    <w:rsid w:val="007A67D1"/>
    <w:rsid w:val="007A6C04"/>
    <w:rsid w:val="007A7190"/>
    <w:rsid w:val="007A7759"/>
    <w:rsid w:val="007B07D5"/>
    <w:rsid w:val="007B0D5A"/>
    <w:rsid w:val="007B17D1"/>
    <w:rsid w:val="007B21BA"/>
    <w:rsid w:val="007B24BE"/>
    <w:rsid w:val="007B2967"/>
    <w:rsid w:val="007B2F45"/>
    <w:rsid w:val="007B3063"/>
    <w:rsid w:val="007B3097"/>
    <w:rsid w:val="007B3123"/>
    <w:rsid w:val="007B3560"/>
    <w:rsid w:val="007B3BDC"/>
    <w:rsid w:val="007B42DD"/>
    <w:rsid w:val="007B50DD"/>
    <w:rsid w:val="007B53AD"/>
    <w:rsid w:val="007B54C0"/>
    <w:rsid w:val="007B5733"/>
    <w:rsid w:val="007B59CC"/>
    <w:rsid w:val="007B5C33"/>
    <w:rsid w:val="007B5DD8"/>
    <w:rsid w:val="007B5F07"/>
    <w:rsid w:val="007B5F5D"/>
    <w:rsid w:val="007B67AE"/>
    <w:rsid w:val="007B7E67"/>
    <w:rsid w:val="007C04CD"/>
    <w:rsid w:val="007C08EE"/>
    <w:rsid w:val="007C09AC"/>
    <w:rsid w:val="007C0BF5"/>
    <w:rsid w:val="007C3283"/>
    <w:rsid w:val="007C3BEB"/>
    <w:rsid w:val="007C4530"/>
    <w:rsid w:val="007C4F36"/>
    <w:rsid w:val="007C58B0"/>
    <w:rsid w:val="007C59CD"/>
    <w:rsid w:val="007C5B6D"/>
    <w:rsid w:val="007C64BE"/>
    <w:rsid w:val="007C677D"/>
    <w:rsid w:val="007C70EC"/>
    <w:rsid w:val="007C7576"/>
    <w:rsid w:val="007C7C1B"/>
    <w:rsid w:val="007C7E13"/>
    <w:rsid w:val="007D0D5A"/>
    <w:rsid w:val="007D1000"/>
    <w:rsid w:val="007D13FC"/>
    <w:rsid w:val="007D146B"/>
    <w:rsid w:val="007D1657"/>
    <w:rsid w:val="007D2BA2"/>
    <w:rsid w:val="007D2C54"/>
    <w:rsid w:val="007D3C80"/>
    <w:rsid w:val="007D42B8"/>
    <w:rsid w:val="007D4DCB"/>
    <w:rsid w:val="007D51B3"/>
    <w:rsid w:val="007D6294"/>
    <w:rsid w:val="007D6434"/>
    <w:rsid w:val="007D73E3"/>
    <w:rsid w:val="007D7703"/>
    <w:rsid w:val="007E0725"/>
    <w:rsid w:val="007E0929"/>
    <w:rsid w:val="007E1AE2"/>
    <w:rsid w:val="007E1CA8"/>
    <w:rsid w:val="007E2339"/>
    <w:rsid w:val="007E2494"/>
    <w:rsid w:val="007E2D7D"/>
    <w:rsid w:val="007E357B"/>
    <w:rsid w:val="007E3945"/>
    <w:rsid w:val="007E3DE3"/>
    <w:rsid w:val="007E5A1C"/>
    <w:rsid w:val="007E6455"/>
    <w:rsid w:val="007E6E0E"/>
    <w:rsid w:val="007E787E"/>
    <w:rsid w:val="007E7A11"/>
    <w:rsid w:val="007F0DB2"/>
    <w:rsid w:val="007F15E5"/>
    <w:rsid w:val="007F1661"/>
    <w:rsid w:val="007F168B"/>
    <w:rsid w:val="007F2469"/>
    <w:rsid w:val="007F2A6C"/>
    <w:rsid w:val="007F2E73"/>
    <w:rsid w:val="007F322C"/>
    <w:rsid w:val="007F324D"/>
    <w:rsid w:val="007F3637"/>
    <w:rsid w:val="007F37DA"/>
    <w:rsid w:val="007F3B31"/>
    <w:rsid w:val="007F456E"/>
    <w:rsid w:val="007F49F3"/>
    <w:rsid w:val="007F4A28"/>
    <w:rsid w:val="007F5590"/>
    <w:rsid w:val="007F6F89"/>
    <w:rsid w:val="007F7114"/>
    <w:rsid w:val="007F72DD"/>
    <w:rsid w:val="00800404"/>
    <w:rsid w:val="008010EB"/>
    <w:rsid w:val="008013A1"/>
    <w:rsid w:val="00801689"/>
    <w:rsid w:val="00801F05"/>
    <w:rsid w:val="00802052"/>
    <w:rsid w:val="00802B51"/>
    <w:rsid w:val="008037FC"/>
    <w:rsid w:val="00803CD7"/>
    <w:rsid w:val="0080461F"/>
    <w:rsid w:val="0080465F"/>
    <w:rsid w:val="00804FF2"/>
    <w:rsid w:val="0080516E"/>
    <w:rsid w:val="0080568F"/>
    <w:rsid w:val="00805725"/>
    <w:rsid w:val="00805ECB"/>
    <w:rsid w:val="0080708C"/>
    <w:rsid w:val="00807497"/>
    <w:rsid w:val="00807761"/>
    <w:rsid w:val="00810B24"/>
    <w:rsid w:val="008110F5"/>
    <w:rsid w:val="008111C9"/>
    <w:rsid w:val="00813689"/>
    <w:rsid w:val="00813EBF"/>
    <w:rsid w:val="00814214"/>
    <w:rsid w:val="0081465D"/>
    <w:rsid w:val="008147A5"/>
    <w:rsid w:val="00814AED"/>
    <w:rsid w:val="008152CC"/>
    <w:rsid w:val="008153A9"/>
    <w:rsid w:val="00815647"/>
    <w:rsid w:val="00816A15"/>
    <w:rsid w:val="008179D6"/>
    <w:rsid w:val="00817D81"/>
    <w:rsid w:val="00820B21"/>
    <w:rsid w:val="00821002"/>
    <w:rsid w:val="00821057"/>
    <w:rsid w:val="008227FB"/>
    <w:rsid w:val="00822C43"/>
    <w:rsid w:val="00822C4B"/>
    <w:rsid w:val="00822CBA"/>
    <w:rsid w:val="00823528"/>
    <w:rsid w:val="00823921"/>
    <w:rsid w:val="00823F61"/>
    <w:rsid w:val="0082581C"/>
    <w:rsid w:val="00826A7D"/>
    <w:rsid w:val="00826B42"/>
    <w:rsid w:val="00826C71"/>
    <w:rsid w:val="00826C76"/>
    <w:rsid w:val="0082717C"/>
    <w:rsid w:val="0082741F"/>
    <w:rsid w:val="00827806"/>
    <w:rsid w:val="008300F6"/>
    <w:rsid w:val="00830C4B"/>
    <w:rsid w:val="008313CB"/>
    <w:rsid w:val="00832546"/>
    <w:rsid w:val="008325B5"/>
    <w:rsid w:val="008344E4"/>
    <w:rsid w:val="00834CF0"/>
    <w:rsid w:val="00834CF1"/>
    <w:rsid w:val="00835196"/>
    <w:rsid w:val="008356C4"/>
    <w:rsid w:val="008366E1"/>
    <w:rsid w:val="00836DF0"/>
    <w:rsid w:val="00836ECD"/>
    <w:rsid w:val="00836FA0"/>
    <w:rsid w:val="00837385"/>
    <w:rsid w:val="008373F4"/>
    <w:rsid w:val="008378CB"/>
    <w:rsid w:val="00837D99"/>
    <w:rsid w:val="00840B08"/>
    <w:rsid w:val="008416EE"/>
    <w:rsid w:val="00841E09"/>
    <w:rsid w:val="00842292"/>
    <w:rsid w:val="00842EF5"/>
    <w:rsid w:val="00842FE1"/>
    <w:rsid w:val="00843813"/>
    <w:rsid w:val="00844007"/>
    <w:rsid w:val="008440EA"/>
    <w:rsid w:val="00844187"/>
    <w:rsid w:val="00844855"/>
    <w:rsid w:val="00844981"/>
    <w:rsid w:val="00844B56"/>
    <w:rsid w:val="0084621C"/>
    <w:rsid w:val="008467A7"/>
    <w:rsid w:val="00846E2B"/>
    <w:rsid w:val="00847064"/>
    <w:rsid w:val="008502D4"/>
    <w:rsid w:val="00850491"/>
    <w:rsid w:val="0085056F"/>
    <w:rsid w:val="0085083D"/>
    <w:rsid w:val="00850CE5"/>
    <w:rsid w:val="00851550"/>
    <w:rsid w:val="00851BAF"/>
    <w:rsid w:val="00852C27"/>
    <w:rsid w:val="00854F9B"/>
    <w:rsid w:val="008561FC"/>
    <w:rsid w:val="00856A12"/>
    <w:rsid w:val="00857104"/>
    <w:rsid w:val="008574CB"/>
    <w:rsid w:val="00857C50"/>
    <w:rsid w:val="00857C99"/>
    <w:rsid w:val="00860A9C"/>
    <w:rsid w:val="00860E77"/>
    <w:rsid w:val="00861705"/>
    <w:rsid w:val="00861A79"/>
    <w:rsid w:val="00862737"/>
    <w:rsid w:val="008628A4"/>
    <w:rsid w:val="0086385C"/>
    <w:rsid w:val="008638CD"/>
    <w:rsid w:val="00863FAC"/>
    <w:rsid w:val="00864862"/>
    <w:rsid w:val="008649B8"/>
    <w:rsid w:val="008655DF"/>
    <w:rsid w:val="0086635D"/>
    <w:rsid w:val="0086691C"/>
    <w:rsid w:val="00867277"/>
    <w:rsid w:val="00870051"/>
    <w:rsid w:val="008708E1"/>
    <w:rsid w:val="00870C24"/>
    <w:rsid w:val="00870D4D"/>
    <w:rsid w:val="00870EAF"/>
    <w:rsid w:val="00870FCD"/>
    <w:rsid w:val="00871E58"/>
    <w:rsid w:val="00872BEE"/>
    <w:rsid w:val="00872D9B"/>
    <w:rsid w:val="00872ED7"/>
    <w:rsid w:val="008734A7"/>
    <w:rsid w:val="00874105"/>
    <w:rsid w:val="0087456C"/>
    <w:rsid w:val="008748C5"/>
    <w:rsid w:val="00874AA6"/>
    <w:rsid w:val="00875AFA"/>
    <w:rsid w:val="00877061"/>
    <w:rsid w:val="00877D88"/>
    <w:rsid w:val="00880CAA"/>
    <w:rsid w:val="00881322"/>
    <w:rsid w:val="00881CE9"/>
    <w:rsid w:val="00882415"/>
    <w:rsid w:val="0088251A"/>
    <w:rsid w:val="008834CD"/>
    <w:rsid w:val="00883503"/>
    <w:rsid w:val="008841C8"/>
    <w:rsid w:val="0088748E"/>
    <w:rsid w:val="00887620"/>
    <w:rsid w:val="00887CDA"/>
    <w:rsid w:val="00887D90"/>
    <w:rsid w:val="00887ECC"/>
    <w:rsid w:val="00890C7D"/>
    <w:rsid w:val="00891809"/>
    <w:rsid w:val="00891DA9"/>
    <w:rsid w:val="008924AA"/>
    <w:rsid w:val="00892779"/>
    <w:rsid w:val="00892D83"/>
    <w:rsid w:val="008933AE"/>
    <w:rsid w:val="0089452A"/>
    <w:rsid w:val="0089468A"/>
    <w:rsid w:val="008958E7"/>
    <w:rsid w:val="008963F3"/>
    <w:rsid w:val="008A0445"/>
    <w:rsid w:val="008A05B0"/>
    <w:rsid w:val="008A0711"/>
    <w:rsid w:val="008A0A10"/>
    <w:rsid w:val="008A0AB0"/>
    <w:rsid w:val="008A0CAF"/>
    <w:rsid w:val="008A1483"/>
    <w:rsid w:val="008A1D0D"/>
    <w:rsid w:val="008A2A2C"/>
    <w:rsid w:val="008A313C"/>
    <w:rsid w:val="008A3C60"/>
    <w:rsid w:val="008A3DED"/>
    <w:rsid w:val="008A436B"/>
    <w:rsid w:val="008A52F8"/>
    <w:rsid w:val="008A55FD"/>
    <w:rsid w:val="008A6388"/>
    <w:rsid w:val="008A668D"/>
    <w:rsid w:val="008A6DDD"/>
    <w:rsid w:val="008A6EA2"/>
    <w:rsid w:val="008B0A42"/>
    <w:rsid w:val="008B0CDC"/>
    <w:rsid w:val="008B13DB"/>
    <w:rsid w:val="008B1564"/>
    <w:rsid w:val="008B20EC"/>
    <w:rsid w:val="008B2484"/>
    <w:rsid w:val="008B31EF"/>
    <w:rsid w:val="008B39B0"/>
    <w:rsid w:val="008B4232"/>
    <w:rsid w:val="008B43E0"/>
    <w:rsid w:val="008B47D0"/>
    <w:rsid w:val="008B5531"/>
    <w:rsid w:val="008B5765"/>
    <w:rsid w:val="008B596F"/>
    <w:rsid w:val="008B5D38"/>
    <w:rsid w:val="008B7275"/>
    <w:rsid w:val="008B7F5B"/>
    <w:rsid w:val="008C0216"/>
    <w:rsid w:val="008C062E"/>
    <w:rsid w:val="008C08D5"/>
    <w:rsid w:val="008C1409"/>
    <w:rsid w:val="008C1448"/>
    <w:rsid w:val="008C1CAA"/>
    <w:rsid w:val="008C1D6E"/>
    <w:rsid w:val="008C233A"/>
    <w:rsid w:val="008C2554"/>
    <w:rsid w:val="008C2A29"/>
    <w:rsid w:val="008C2EF8"/>
    <w:rsid w:val="008C3228"/>
    <w:rsid w:val="008C3CF8"/>
    <w:rsid w:val="008C3EF4"/>
    <w:rsid w:val="008C42B9"/>
    <w:rsid w:val="008C4893"/>
    <w:rsid w:val="008C5972"/>
    <w:rsid w:val="008C6130"/>
    <w:rsid w:val="008C613F"/>
    <w:rsid w:val="008C6360"/>
    <w:rsid w:val="008C6B72"/>
    <w:rsid w:val="008C7E86"/>
    <w:rsid w:val="008D03B6"/>
    <w:rsid w:val="008D07E6"/>
    <w:rsid w:val="008D0C83"/>
    <w:rsid w:val="008D1082"/>
    <w:rsid w:val="008D1693"/>
    <w:rsid w:val="008D2153"/>
    <w:rsid w:val="008D2169"/>
    <w:rsid w:val="008D229B"/>
    <w:rsid w:val="008D283C"/>
    <w:rsid w:val="008D2E88"/>
    <w:rsid w:val="008D373D"/>
    <w:rsid w:val="008D3C95"/>
    <w:rsid w:val="008D3EAC"/>
    <w:rsid w:val="008D3EC8"/>
    <w:rsid w:val="008D4120"/>
    <w:rsid w:val="008D4304"/>
    <w:rsid w:val="008D4E7C"/>
    <w:rsid w:val="008D5359"/>
    <w:rsid w:val="008D6A2B"/>
    <w:rsid w:val="008D6CDB"/>
    <w:rsid w:val="008D6FB5"/>
    <w:rsid w:val="008D770E"/>
    <w:rsid w:val="008E02F0"/>
    <w:rsid w:val="008E06F8"/>
    <w:rsid w:val="008E0C39"/>
    <w:rsid w:val="008E1707"/>
    <w:rsid w:val="008E1C90"/>
    <w:rsid w:val="008E2254"/>
    <w:rsid w:val="008E2A8D"/>
    <w:rsid w:val="008E308B"/>
    <w:rsid w:val="008E380C"/>
    <w:rsid w:val="008E520B"/>
    <w:rsid w:val="008E5750"/>
    <w:rsid w:val="008E603C"/>
    <w:rsid w:val="008E73AD"/>
    <w:rsid w:val="008E7FE1"/>
    <w:rsid w:val="008E7FEF"/>
    <w:rsid w:val="008F0FEE"/>
    <w:rsid w:val="008F10D8"/>
    <w:rsid w:val="008F1605"/>
    <w:rsid w:val="008F176D"/>
    <w:rsid w:val="008F18EA"/>
    <w:rsid w:val="008F2D46"/>
    <w:rsid w:val="008F40C5"/>
    <w:rsid w:val="008F47D9"/>
    <w:rsid w:val="008F4A48"/>
    <w:rsid w:val="008F4D87"/>
    <w:rsid w:val="008F5405"/>
    <w:rsid w:val="008F5F9A"/>
    <w:rsid w:val="00900B95"/>
    <w:rsid w:val="0090108D"/>
    <w:rsid w:val="00901363"/>
    <w:rsid w:val="0090239D"/>
    <w:rsid w:val="00902830"/>
    <w:rsid w:val="009029DA"/>
    <w:rsid w:val="00903252"/>
    <w:rsid w:val="00903371"/>
    <w:rsid w:val="00903D9C"/>
    <w:rsid w:val="00903E44"/>
    <w:rsid w:val="00904966"/>
    <w:rsid w:val="00904CB9"/>
    <w:rsid w:val="00905BCF"/>
    <w:rsid w:val="00905BE7"/>
    <w:rsid w:val="0090718C"/>
    <w:rsid w:val="00907D2C"/>
    <w:rsid w:val="00907E6B"/>
    <w:rsid w:val="00910E79"/>
    <w:rsid w:val="009120E6"/>
    <w:rsid w:val="009121D5"/>
    <w:rsid w:val="009139F1"/>
    <w:rsid w:val="009141BA"/>
    <w:rsid w:val="009146DA"/>
    <w:rsid w:val="00914891"/>
    <w:rsid w:val="0091499A"/>
    <w:rsid w:val="00915DD7"/>
    <w:rsid w:val="00915FCB"/>
    <w:rsid w:val="00916201"/>
    <w:rsid w:val="00916D42"/>
    <w:rsid w:val="0091706C"/>
    <w:rsid w:val="00920D6B"/>
    <w:rsid w:val="0092159D"/>
    <w:rsid w:val="009217EE"/>
    <w:rsid w:val="00921895"/>
    <w:rsid w:val="00921B62"/>
    <w:rsid w:val="00921EFC"/>
    <w:rsid w:val="00921F7B"/>
    <w:rsid w:val="00922238"/>
    <w:rsid w:val="00922F75"/>
    <w:rsid w:val="009241A2"/>
    <w:rsid w:val="00924C49"/>
    <w:rsid w:val="0092552C"/>
    <w:rsid w:val="00925765"/>
    <w:rsid w:val="009262E5"/>
    <w:rsid w:val="009264FB"/>
    <w:rsid w:val="00927A21"/>
    <w:rsid w:val="00930043"/>
    <w:rsid w:val="00930BF4"/>
    <w:rsid w:val="00931094"/>
    <w:rsid w:val="00931D97"/>
    <w:rsid w:val="009320D5"/>
    <w:rsid w:val="00932837"/>
    <w:rsid w:val="00932BC0"/>
    <w:rsid w:val="00932D0A"/>
    <w:rsid w:val="00933080"/>
    <w:rsid w:val="0093397A"/>
    <w:rsid w:val="00933F2A"/>
    <w:rsid w:val="009342DC"/>
    <w:rsid w:val="00934977"/>
    <w:rsid w:val="00935486"/>
    <w:rsid w:val="00935BF5"/>
    <w:rsid w:val="0093613E"/>
    <w:rsid w:val="00936A31"/>
    <w:rsid w:val="00937617"/>
    <w:rsid w:val="00937FB2"/>
    <w:rsid w:val="009400F8"/>
    <w:rsid w:val="0094083D"/>
    <w:rsid w:val="00940E53"/>
    <w:rsid w:val="00941017"/>
    <w:rsid w:val="00941244"/>
    <w:rsid w:val="0094184E"/>
    <w:rsid w:val="0094187E"/>
    <w:rsid w:val="0094197D"/>
    <w:rsid w:val="00942466"/>
    <w:rsid w:val="00942F00"/>
    <w:rsid w:val="00942F1A"/>
    <w:rsid w:val="00942F62"/>
    <w:rsid w:val="00942F75"/>
    <w:rsid w:val="009430EE"/>
    <w:rsid w:val="00943665"/>
    <w:rsid w:val="0094379E"/>
    <w:rsid w:val="00943B61"/>
    <w:rsid w:val="00943EB8"/>
    <w:rsid w:val="00944E7E"/>
    <w:rsid w:val="00945691"/>
    <w:rsid w:val="00945C2E"/>
    <w:rsid w:val="00946874"/>
    <w:rsid w:val="00946F37"/>
    <w:rsid w:val="009474A2"/>
    <w:rsid w:val="00947984"/>
    <w:rsid w:val="00951237"/>
    <w:rsid w:val="009512EA"/>
    <w:rsid w:val="009516B0"/>
    <w:rsid w:val="00951BA7"/>
    <w:rsid w:val="0095203D"/>
    <w:rsid w:val="0095288E"/>
    <w:rsid w:val="00952BCA"/>
    <w:rsid w:val="00953889"/>
    <w:rsid w:val="00953EC6"/>
    <w:rsid w:val="00954739"/>
    <w:rsid w:val="00954B0D"/>
    <w:rsid w:val="00954C35"/>
    <w:rsid w:val="00954EF5"/>
    <w:rsid w:val="00955DFB"/>
    <w:rsid w:val="00956138"/>
    <w:rsid w:val="0095645F"/>
    <w:rsid w:val="00956592"/>
    <w:rsid w:val="0095665E"/>
    <w:rsid w:val="00956A99"/>
    <w:rsid w:val="009571DC"/>
    <w:rsid w:val="00957451"/>
    <w:rsid w:val="0095798E"/>
    <w:rsid w:val="00957AC7"/>
    <w:rsid w:val="00960089"/>
    <w:rsid w:val="009604FA"/>
    <w:rsid w:val="009610F2"/>
    <w:rsid w:val="00961470"/>
    <w:rsid w:val="00961784"/>
    <w:rsid w:val="009626DA"/>
    <w:rsid w:val="00963556"/>
    <w:rsid w:val="00963DA0"/>
    <w:rsid w:val="00963FE2"/>
    <w:rsid w:val="0096404F"/>
    <w:rsid w:val="009649E1"/>
    <w:rsid w:val="00964C3D"/>
    <w:rsid w:val="00964DBF"/>
    <w:rsid w:val="00965E56"/>
    <w:rsid w:val="00965EEC"/>
    <w:rsid w:val="00966276"/>
    <w:rsid w:val="00966B82"/>
    <w:rsid w:val="009670A3"/>
    <w:rsid w:val="00967503"/>
    <w:rsid w:val="0097016A"/>
    <w:rsid w:val="00970AF9"/>
    <w:rsid w:val="00971720"/>
    <w:rsid w:val="00972817"/>
    <w:rsid w:val="0097288B"/>
    <w:rsid w:val="00972935"/>
    <w:rsid w:val="00972E10"/>
    <w:rsid w:val="00972F94"/>
    <w:rsid w:val="00973B65"/>
    <w:rsid w:val="00974113"/>
    <w:rsid w:val="00974CBB"/>
    <w:rsid w:val="00974D2D"/>
    <w:rsid w:val="009755E8"/>
    <w:rsid w:val="009756AE"/>
    <w:rsid w:val="00975B2D"/>
    <w:rsid w:val="00975EB9"/>
    <w:rsid w:val="0097616D"/>
    <w:rsid w:val="009765AF"/>
    <w:rsid w:val="00976798"/>
    <w:rsid w:val="00976D04"/>
    <w:rsid w:val="00977064"/>
    <w:rsid w:val="00977277"/>
    <w:rsid w:val="00977570"/>
    <w:rsid w:val="009779D5"/>
    <w:rsid w:val="00977ABE"/>
    <w:rsid w:val="009807D6"/>
    <w:rsid w:val="00981D87"/>
    <w:rsid w:val="00982B21"/>
    <w:rsid w:val="00982D99"/>
    <w:rsid w:val="009834A5"/>
    <w:rsid w:val="00983864"/>
    <w:rsid w:val="00983C48"/>
    <w:rsid w:val="00984199"/>
    <w:rsid w:val="00984E62"/>
    <w:rsid w:val="00984F25"/>
    <w:rsid w:val="00985262"/>
    <w:rsid w:val="0098562B"/>
    <w:rsid w:val="00986771"/>
    <w:rsid w:val="0098677C"/>
    <w:rsid w:val="00986D93"/>
    <w:rsid w:val="00986DD9"/>
    <w:rsid w:val="00986E10"/>
    <w:rsid w:val="00987F1E"/>
    <w:rsid w:val="00990B4C"/>
    <w:rsid w:val="00990C4C"/>
    <w:rsid w:val="00990E14"/>
    <w:rsid w:val="0099164D"/>
    <w:rsid w:val="00994C02"/>
    <w:rsid w:val="00995787"/>
    <w:rsid w:val="00996535"/>
    <w:rsid w:val="009969A1"/>
    <w:rsid w:val="009975EF"/>
    <w:rsid w:val="009A00C5"/>
    <w:rsid w:val="009A0230"/>
    <w:rsid w:val="009A05E7"/>
    <w:rsid w:val="009A063C"/>
    <w:rsid w:val="009A07DF"/>
    <w:rsid w:val="009A0AAD"/>
    <w:rsid w:val="009A0AE5"/>
    <w:rsid w:val="009A10FB"/>
    <w:rsid w:val="009A1BEA"/>
    <w:rsid w:val="009A20F8"/>
    <w:rsid w:val="009A3011"/>
    <w:rsid w:val="009A34B9"/>
    <w:rsid w:val="009A65FF"/>
    <w:rsid w:val="009A6962"/>
    <w:rsid w:val="009A6E15"/>
    <w:rsid w:val="009A73F7"/>
    <w:rsid w:val="009A77E0"/>
    <w:rsid w:val="009A79D6"/>
    <w:rsid w:val="009A7D79"/>
    <w:rsid w:val="009B0178"/>
    <w:rsid w:val="009B044C"/>
    <w:rsid w:val="009B0FBE"/>
    <w:rsid w:val="009B120A"/>
    <w:rsid w:val="009B1AA8"/>
    <w:rsid w:val="009B1B90"/>
    <w:rsid w:val="009B2004"/>
    <w:rsid w:val="009B2349"/>
    <w:rsid w:val="009B2DE1"/>
    <w:rsid w:val="009B2E79"/>
    <w:rsid w:val="009B4954"/>
    <w:rsid w:val="009B5488"/>
    <w:rsid w:val="009B57BC"/>
    <w:rsid w:val="009B5F7F"/>
    <w:rsid w:val="009B61B3"/>
    <w:rsid w:val="009B62B0"/>
    <w:rsid w:val="009B6484"/>
    <w:rsid w:val="009B6759"/>
    <w:rsid w:val="009B6AD2"/>
    <w:rsid w:val="009B6C45"/>
    <w:rsid w:val="009B74FE"/>
    <w:rsid w:val="009C02F7"/>
    <w:rsid w:val="009C0358"/>
    <w:rsid w:val="009C03C7"/>
    <w:rsid w:val="009C09C9"/>
    <w:rsid w:val="009C0AA1"/>
    <w:rsid w:val="009C1116"/>
    <w:rsid w:val="009C1525"/>
    <w:rsid w:val="009C1F35"/>
    <w:rsid w:val="009C1F72"/>
    <w:rsid w:val="009C24F3"/>
    <w:rsid w:val="009C3504"/>
    <w:rsid w:val="009C3811"/>
    <w:rsid w:val="009C3C3B"/>
    <w:rsid w:val="009C44A9"/>
    <w:rsid w:val="009C4877"/>
    <w:rsid w:val="009C4F26"/>
    <w:rsid w:val="009C4F60"/>
    <w:rsid w:val="009C52CA"/>
    <w:rsid w:val="009C5D36"/>
    <w:rsid w:val="009C75B0"/>
    <w:rsid w:val="009C7E88"/>
    <w:rsid w:val="009D02A6"/>
    <w:rsid w:val="009D123B"/>
    <w:rsid w:val="009D180E"/>
    <w:rsid w:val="009D1BC4"/>
    <w:rsid w:val="009D1C11"/>
    <w:rsid w:val="009D2332"/>
    <w:rsid w:val="009D410C"/>
    <w:rsid w:val="009D4C31"/>
    <w:rsid w:val="009D55D4"/>
    <w:rsid w:val="009D5D77"/>
    <w:rsid w:val="009D64FF"/>
    <w:rsid w:val="009D6835"/>
    <w:rsid w:val="009D6B4B"/>
    <w:rsid w:val="009D6C1A"/>
    <w:rsid w:val="009D6C99"/>
    <w:rsid w:val="009D7845"/>
    <w:rsid w:val="009E013A"/>
    <w:rsid w:val="009E03D7"/>
    <w:rsid w:val="009E04A0"/>
    <w:rsid w:val="009E0ADD"/>
    <w:rsid w:val="009E1281"/>
    <w:rsid w:val="009E1BED"/>
    <w:rsid w:val="009E1FCE"/>
    <w:rsid w:val="009E23BB"/>
    <w:rsid w:val="009E2533"/>
    <w:rsid w:val="009E27DC"/>
    <w:rsid w:val="009E3544"/>
    <w:rsid w:val="009E37ED"/>
    <w:rsid w:val="009E37F5"/>
    <w:rsid w:val="009E4784"/>
    <w:rsid w:val="009E4FB1"/>
    <w:rsid w:val="009E61BE"/>
    <w:rsid w:val="009E63A9"/>
    <w:rsid w:val="009E7241"/>
    <w:rsid w:val="009E7709"/>
    <w:rsid w:val="009E772D"/>
    <w:rsid w:val="009E7D79"/>
    <w:rsid w:val="009E7FCE"/>
    <w:rsid w:val="009F1556"/>
    <w:rsid w:val="009F2462"/>
    <w:rsid w:val="009F256F"/>
    <w:rsid w:val="009F378E"/>
    <w:rsid w:val="009F5E82"/>
    <w:rsid w:val="009F601C"/>
    <w:rsid w:val="009F6326"/>
    <w:rsid w:val="009F63C2"/>
    <w:rsid w:val="009F666B"/>
    <w:rsid w:val="009F6FAB"/>
    <w:rsid w:val="009F7407"/>
    <w:rsid w:val="009F750F"/>
    <w:rsid w:val="009F7BE4"/>
    <w:rsid w:val="00A00E7B"/>
    <w:rsid w:val="00A01192"/>
    <w:rsid w:val="00A01B45"/>
    <w:rsid w:val="00A0240E"/>
    <w:rsid w:val="00A02901"/>
    <w:rsid w:val="00A034C3"/>
    <w:rsid w:val="00A03B92"/>
    <w:rsid w:val="00A04176"/>
    <w:rsid w:val="00A04231"/>
    <w:rsid w:val="00A04B7F"/>
    <w:rsid w:val="00A0549D"/>
    <w:rsid w:val="00A055B8"/>
    <w:rsid w:val="00A05653"/>
    <w:rsid w:val="00A0589D"/>
    <w:rsid w:val="00A06642"/>
    <w:rsid w:val="00A0672B"/>
    <w:rsid w:val="00A06B7D"/>
    <w:rsid w:val="00A07660"/>
    <w:rsid w:val="00A1103C"/>
    <w:rsid w:val="00A12469"/>
    <w:rsid w:val="00A12516"/>
    <w:rsid w:val="00A1301B"/>
    <w:rsid w:val="00A135C0"/>
    <w:rsid w:val="00A13774"/>
    <w:rsid w:val="00A13923"/>
    <w:rsid w:val="00A141AE"/>
    <w:rsid w:val="00A1439C"/>
    <w:rsid w:val="00A146D9"/>
    <w:rsid w:val="00A14D41"/>
    <w:rsid w:val="00A14EBE"/>
    <w:rsid w:val="00A153E1"/>
    <w:rsid w:val="00A156F1"/>
    <w:rsid w:val="00A15FF8"/>
    <w:rsid w:val="00A16990"/>
    <w:rsid w:val="00A16FF4"/>
    <w:rsid w:val="00A174C3"/>
    <w:rsid w:val="00A17BA5"/>
    <w:rsid w:val="00A17EEB"/>
    <w:rsid w:val="00A20BF3"/>
    <w:rsid w:val="00A218AC"/>
    <w:rsid w:val="00A21A74"/>
    <w:rsid w:val="00A2202B"/>
    <w:rsid w:val="00A2272E"/>
    <w:rsid w:val="00A22BF1"/>
    <w:rsid w:val="00A23477"/>
    <w:rsid w:val="00A235D9"/>
    <w:rsid w:val="00A2369C"/>
    <w:rsid w:val="00A23CD0"/>
    <w:rsid w:val="00A2538B"/>
    <w:rsid w:val="00A25C93"/>
    <w:rsid w:val="00A25CBF"/>
    <w:rsid w:val="00A25FE2"/>
    <w:rsid w:val="00A26101"/>
    <w:rsid w:val="00A26882"/>
    <w:rsid w:val="00A268D8"/>
    <w:rsid w:val="00A26D25"/>
    <w:rsid w:val="00A3012B"/>
    <w:rsid w:val="00A30846"/>
    <w:rsid w:val="00A30BFA"/>
    <w:rsid w:val="00A3191D"/>
    <w:rsid w:val="00A335B5"/>
    <w:rsid w:val="00A33786"/>
    <w:rsid w:val="00A339BD"/>
    <w:rsid w:val="00A342C7"/>
    <w:rsid w:val="00A34828"/>
    <w:rsid w:val="00A35187"/>
    <w:rsid w:val="00A35B33"/>
    <w:rsid w:val="00A370D1"/>
    <w:rsid w:val="00A3760D"/>
    <w:rsid w:val="00A376D3"/>
    <w:rsid w:val="00A37F90"/>
    <w:rsid w:val="00A407C1"/>
    <w:rsid w:val="00A43B34"/>
    <w:rsid w:val="00A4446B"/>
    <w:rsid w:val="00A44479"/>
    <w:rsid w:val="00A4452B"/>
    <w:rsid w:val="00A44557"/>
    <w:rsid w:val="00A44791"/>
    <w:rsid w:val="00A44A5B"/>
    <w:rsid w:val="00A44D2B"/>
    <w:rsid w:val="00A466FA"/>
    <w:rsid w:val="00A46B0E"/>
    <w:rsid w:val="00A47888"/>
    <w:rsid w:val="00A50486"/>
    <w:rsid w:val="00A50F72"/>
    <w:rsid w:val="00A51849"/>
    <w:rsid w:val="00A520D7"/>
    <w:rsid w:val="00A54455"/>
    <w:rsid w:val="00A549AF"/>
    <w:rsid w:val="00A5540B"/>
    <w:rsid w:val="00A556E0"/>
    <w:rsid w:val="00A55C96"/>
    <w:rsid w:val="00A55CE3"/>
    <w:rsid w:val="00A55EBB"/>
    <w:rsid w:val="00A56050"/>
    <w:rsid w:val="00A564C0"/>
    <w:rsid w:val="00A56BF0"/>
    <w:rsid w:val="00A57030"/>
    <w:rsid w:val="00A5777A"/>
    <w:rsid w:val="00A60076"/>
    <w:rsid w:val="00A60651"/>
    <w:rsid w:val="00A60820"/>
    <w:rsid w:val="00A60D16"/>
    <w:rsid w:val="00A60DC1"/>
    <w:rsid w:val="00A61397"/>
    <w:rsid w:val="00A61493"/>
    <w:rsid w:val="00A618E7"/>
    <w:rsid w:val="00A61AA1"/>
    <w:rsid w:val="00A625ED"/>
    <w:rsid w:val="00A631A7"/>
    <w:rsid w:val="00A635F8"/>
    <w:rsid w:val="00A644C6"/>
    <w:rsid w:val="00A649FC"/>
    <w:rsid w:val="00A64C51"/>
    <w:rsid w:val="00A6555C"/>
    <w:rsid w:val="00A657B5"/>
    <w:rsid w:val="00A65897"/>
    <w:rsid w:val="00A6610B"/>
    <w:rsid w:val="00A66937"/>
    <w:rsid w:val="00A67872"/>
    <w:rsid w:val="00A6797F"/>
    <w:rsid w:val="00A67D69"/>
    <w:rsid w:val="00A67F77"/>
    <w:rsid w:val="00A709C4"/>
    <w:rsid w:val="00A73591"/>
    <w:rsid w:val="00A73C87"/>
    <w:rsid w:val="00A75805"/>
    <w:rsid w:val="00A76196"/>
    <w:rsid w:val="00A761C1"/>
    <w:rsid w:val="00A76957"/>
    <w:rsid w:val="00A7697E"/>
    <w:rsid w:val="00A77018"/>
    <w:rsid w:val="00A773C3"/>
    <w:rsid w:val="00A803DB"/>
    <w:rsid w:val="00A80827"/>
    <w:rsid w:val="00A8194F"/>
    <w:rsid w:val="00A81DAF"/>
    <w:rsid w:val="00A82607"/>
    <w:rsid w:val="00A82703"/>
    <w:rsid w:val="00A82994"/>
    <w:rsid w:val="00A83830"/>
    <w:rsid w:val="00A84C76"/>
    <w:rsid w:val="00A85878"/>
    <w:rsid w:val="00A85C79"/>
    <w:rsid w:val="00A8654A"/>
    <w:rsid w:val="00A86D3A"/>
    <w:rsid w:val="00A86DDC"/>
    <w:rsid w:val="00A878E0"/>
    <w:rsid w:val="00A91505"/>
    <w:rsid w:val="00A919FE"/>
    <w:rsid w:val="00A921D7"/>
    <w:rsid w:val="00A929C2"/>
    <w:rsid w:val="00A92AC8"/>
    <w:rsid w:val="00A92BE7"/>
    <w:rsid w:val="00A92CFF"/>
    <w:rsid w:val="00A92DEC"/>
    <w:rsid w:val="00A92F30"/>
    <w:rsid w:val="00A92F9B"/>
    <w:rsid w:val="00A93FEB"/>
    <w:rsid w:val="00A94925"/>
    <w:rsid w:val="00A94B3E"/>
    <w:rsid w:val="00A94D6B"/>
    <w:rsid w:val="00A9549A"/>
    <w:rsid w:val="00A95BB1"/>
    <w:rsid w:val="00A95BB8"/>
    <w:rsid w:val="00A95C50"/>
    <w:rsid w:val="00A96D56"/>
    <w:rsid w:val="00A974CB"/>
    <w:rsid w:val="00A9773A"/>
    <w:rsid w:val="00AA07A6"/>
    <w:rsid w:val="00AA1B00"/>
    <w:rsid w:val="00AA237F"/>
    <w:rsid w:val="00AA270A"/>
    <w:rsid w:val="00AA3106"/>
    <w:rsid w:val="00AA3215"/>
    <w:rsid w:val="00AA4162"/>
    <w:rsid w:val="00AA44E1"/>
    <w:rsid w:val="00AA4D88"/>
    <w:rsid w:val="00AA545C"/>
    <w:rsid w:val="00AA5625"/>
    <w:rsid w:val="00AA563C"/>
    <w:rsid w:val="00AA596D"/>
    <w:rsid w:val="00AA688F"/>
    <w:rsid w:val="00AA6922"/>
    <w:rsid w:val="00AA6C03"/>
    <w:rsid w:val="00AA7891"/>
    <w:rsid w:val="00AA7AE0"/>
    <w:rsid w:val="00AA7D45"/>
    <w:rsid w:val="00AB1195"/>
    <w:rsid w:val="00AB1B06"/>
    <w:rsid w:val="00AB1FC7"/>
    <w:rsid w:val="00AB225B"/>
    <w:rsid w:val="00AB2A90"/>
    <w:rsid w:val="00AB31C0"/>
    <w:rsid w:val="00AB49B9"/>
    <w:rsid w:val="00AB4CD3"/>
    <w:rsid w:val="00AB595C"/>
    <w:rsid w:val="00AB5D71"/>
    <w:rsid w:val="00AB6308"/>
    <w:rsid w:val="00AB64E7"/>
    <w:rsid w:val="00AB69D0"/>
    <w:rsid w:val="00AB73EB"/>
    <w:rsid w:val="00AC0396"/>
    <w:rsid w:val="00AC0455"/>
    <w:rsid w:val="00AC0D53"/>
    <w:rsid w:val="00AC1C96"/>
    <w:rsid w:val="00AC1D29"/>
    <w:rsid w:val="00AC1DA6"/>
    <w:rsid w:val="00AC2738"/>
    <w:rsid w:val="00AC27E9"/>
    <w:rsid w:val="00AC28FB"/>
    <w:rsid w:val="00AC2A21"/>
    <w:rsid w:val="00AC3444"/>
    <w:rsid w:val="00AC3617"/>
    <w:rsid w:val="00AC380F"/>
    <w:rsid w:val="00AC3C51"/>
    <w:rsid w:val="00AC4577"/>
    <w:rsid w:val="00AC4BDE"/>
    <w:rsid w:val="00AC4C0F"/>
    <w:rsid w:val="00AC4FBC"/>
    <w:rsid w:val="00AC52E6"/>
    <w:rsid w:val="00AC63FE"/>
    <w:rsid w:val="00AC758D"/>
    <w:rsid w:val="00AC7B74"/>
    <w:rsid w:val="00AD05C0"/>
    <w:rsid w:val="00AD05EB"/>
    <w:rsid w:val="00AD0D2E"/>
    <w:rsid w:val="00AD1363"/>
    <w:rsid w:val="00AD1E23"/>
    <w:rsid w:val="00AD1FDE"/>
    <w:rsid w:val="00AD23A5"/>
    <w:rsid w:val="00AD25B2"/>
    <w:rsid w:val="00AD2680"/>
    <w:rsid w:val="00AD386C"/>
    <w:rsid w:val="00AD3E09"/>
    <w:rsid w:val="00AD47AB"/>
    <w:rsid w:val="00AD56F0"/>
    <w:rsid w:val="00AE0070"/>
    <w:rsid w:val="00AE0765"/>
    <w:rsid w:val="00AE0A39"/>
    <w:rsid w:val="00AE0F34"/>
    <w:rsid w:val="00AE0F5E"/>
    <w:rsid w:val="00AE1AF3"/>
    <w:rsid w:val="00AE1D1A"/>
    <w:rsid w:val="00AE1FE7"/>
    <w:rsid w:val="00AE26FD"/>
    <w:rsid w:val="00AE2E94"/>
    <w:rsid w:val="00AE3405"/>
    <w:rsid w:val="00AE38B7"/>
    <w:rsid w:val="00AE4241"/>
    <w:rsid w:val="00AE591F"/>
    <w:rsid w:val="00AE5D49"/>
    <w:rsid w:val="00AE6291"/>
    <w:rsid w:val="00AE6ECD"/>
    <w:rsid w:val="00AE78C4"/>
    <w:rsid w:val="00AF030E"/>
    <w:rsid w:val="00AF071D"/>
    <w:rsid w:val="00AF0BC9"/>
    <w:rsid w:val="00AF13A7"/>
    <w:rsid w:val="00AF186C"/>
    <w:rsid w:val="00AF2112"/>
    <w:rsid w:val="00AF2CE7"/>
    <w:rsid w:val="00AF2EC8"/>
    <w:rsid w:val="00AF34F4"/>
    <w:rsid w:val="00AF3894"/>
    <w:rsid w:val="00AF3CEC"/>
    <w:rsid w:val="00AF4274"/>
    <w:rsid w:val="00AF4976"/>
    <w:rsid w:val="00AF58F3"/>
    <w:rsid w:val="00AF59BB"/>
    <w:rsid w:val="00AF5B45"/>
    <w:rsid w:val="00AF5F3E"/>
    <w:rsid w:val="00AF5F7A"/>
    <w:rsid w:val="00AF695C"/>
    <w:rsid w:val="00AF6C78"/>
    <w:rsid w:val="00AF76AD"/>
    <w:rsid w:val="00AF799B"/>
    <w:rsid w:val="00AF7C17"/>
    <w:rsid w:val="00AF7E29"/>
    <w:rsid w:val="00B00065"/>
    <w:rsid w:val="00B006D1"/>
    <w:rsid w:val="00B00953"/>
    <w:rsid w:val="00B0123E"/>
    <w:rsid w:val="00B014C9"/>
    <w:rsid w:val="00B024EC"/>
    <w:rsid w:val="00B02B32"/>
    <w:rsid w:val="00B03AC2"/>
    <w:rsid w:val="00B03B4A"/>
    <w:rsid w:val="00B03BB5"/>
    <w:rsid w:val="00B0420D"/>
    <w:rsid w:val="00B04AFA"/>
    <w:rsid w:val="00B05F59"/>
    <w:rsid w:val="00B06351"/>
    <w:rsid w:val="00B06716"/>
    <w:rsid w:val="00B079EE"/>
    <w:rsid w:val="00B10636"/>
    <w:rsid w:val="00B10871"/>
    <w:rsid w:val="00B11001"/>
    <w:rsid w:val="00B113AB"/>
    <w:rsid w:val="00B11849"/>
    <w:rsid w:val="00B1211C"/>
    <w:rsid w:val="00B12240"/>
    <w:rsid w:val="00B12E41"/>
    <w:rsid w:val="00B13549"/>
    <w:rsid w:val="00B13705"/>
    <w:rsid w:val="00B13A5A"/>
    <w:rsid w:val="00B13C69"/>
    <w:rsid w:val="00B14CD4"/>
    <w:rsid w:val="00B15ABD"/>
    <w:rsid w:val="00B1600F"/>
    <w:rsid w:val="00B16CED"/>
    <w:rsid w:val="00B17735"/>
    <w:rsid w:val="00B1790B"/>
    <w:rsid w:val="00B21175"/>
    <w:rsid w:val="00B21ABC"/>
    <w:rsid w:val="00B22638"/>
    <w:rsid w:val="00B227C5"/>
    <w:rsid w:val="00B22923"/>
    <w:rsid w:val="00B22AD5"/>
    <w:rsid w:val="00B23614"/>
    <w:rsid w:val="00B23D65"/>
    <w:rsid w:val="00B24008"/>
    <w:rsid w:val="00B25711"/>
    <w:rsid w:val="00B25AD2"/>
    <w:rsid w:val="00B25CFA"/>
    <w:rsid w:val="00B26B69"/>
    <w:rsid w:val="00B271F1"/>
    <w:rsid w:val="00B27575"/>
    <w:rsid w:val="00B2794C"/>
    <w:rsid w:val="00B30171"/>
    <w:rsid w:val="00B30CA5"/>
    <w:rsid w:val="00B30DFD"/>
    <w:rsid w:val="00B328FB"/>
    <w:rsid w:val="00B32C3A"/>
    <w:rsid w:val="00B33701"/>
    <w:rsid w:val="00B338B5"/>
    <w:rsid w:val="00B33961"/>
    <w:rsid w:val="00B33E03"/>
    <w:rsid w:val="00B33EEE"/>
    <w:rsid w:val="00B33F4D"/>
    <w:rsid w:val="00B341A5"/>
    <w:rsid w:val="00B3466D"/>
    <w:rsid w:val="00B34705"/>
    <w:rsid w:val="00B36623"/>
    <w:rsid w:val="00B368FF"/>
    <w:rsid w:val="00B37412"/>
    <w:rsid w:val="00B37E64"/>
    <w:rsid w:val="00B409F5"/>
    <w:rsid w:val="00B40A50"/>
    <w:rsid w:val="00B40E18"/>
    <w:rsid w:val="00B41E7A"/>
    <w:rsid w:val="00B42B1A"/>
    <w:rsid w:val="00B43606"/>
    <w:rsid w:val="00B43EE1"/>
    <w:rsid w:val="00B44113"/>
    <w:rsid w:val="00B4457D"/>
    <w:rsid w:val="00B44814"/>
    <w:rsid w:val="00B44917"/>
    <w:rsid w:val="00B45254"/>
    <w:rsid w:val="00B4529C"/>
    <w:rsid w:val="00B45E62"/>
    <w:rsid w:val="00B45FBB"/>
    <w:rsid w:val="00B4662C"/>
    <w:rsid w:val="00B46ED7"/>
    <w:rsid w:val="00B47090"/>
    <w:rsid w:val="00B500F9"/>
    <w:rsid w:val="00B50FDD"/>
    <w:rsid w:val="00B51C9C"/>
    <w:rsid w:val="00B5281F"/>
    <w:rsid w:val="00B52C6F"/>
    <w:rsid w:val="00B52CDF"/>
    <w:rsid w:val="00B52DB6"/>
    <w:rsid w:val="00B53265"/>
    <w:rsid w:val="00B5376D"/>
    <w:rsid w:val="00B53A61"/>
    <w:rsid w:val="00B54BF8"/>
    <w:rsid w:val="00B54ECC"/>
    <w:rsid w:val="00B55F90"/>
    <w:rsid w:val="00B562F2"/>
    <w:rsid w:val="00B563C1"/>
    <w:rsid w:val="00B56638"/>
    <w:rsid w:val="00B569AF"/>
    <w:rsid w:val="00B5717A"/>
    <w:rsid w:val="00B57D6E"/>
    <w:rsid w:val="00B57E8B"/>
    <w:rsid w:val="00B601AB"/>
    <w:rsid w:val="00B6039A"/>
    <w:rsid w:val="00B603A1"/>
    <w:rsid w:val="00B60AD4"/>
    <w:rsid w:val="00B61DF4"/>
    <w:rsid w:val="00B631A2"/>
    <w:rsid w:val="00B635E0"/>
    <w:rsid w:val="00B64402"/>
    <w:rsid w:val="00B64AF6"/>
    <w:rsid w:val="00B65C27"/>
    <w:rsid w:val="00B65C75"/>
    <w:rsid w:val="00B662A0"/>
    <w:rsid w:val="00B678EE"/>
    <w:rsid w:val="00B67991"/>
    <w:rsid w:val="00B7078F"/>
    <w:rsid w:val="00B717CE"/>
    <w:rsid w:val="00B71B9A"/>
    <w:rsid w:val="00B71DAD"/>
    <w:rsid w:val="00B728FD"/>
    <w:rsid w:val="00B72C67"/>
    <w:rsid w:val="00B734D3"/>
    <w:rsid w:val="00B739E1"/>
    <w:rsid w:val="00B74D5A"/>
    <w:rsid w:val="00B75024"/>
    <w:rsid w:val="00B75BA0"/>
    <w:rsid w:val="00B75D74"/>
    <w:rsid w:val="00B75F94"/>
    <w:rsid w:val="00B762D7"/>
    <w:rsid w:val="00B763E2"/>
    <w:rsid w:val="00B7657E"/>
    <w:rsid w:val="00B77383"/>
    <w:rsid w:val="00B773A8"/>
    <w:rsid w:val="00B8052A"/>
    <w:rsid w:val="00B80561"/>
    <w:rsid w:val="00B80C1E"/>
    <w:rsid w:val="00B813F5"/>
    <w:rsid w:val="00B8198B"/>
    <w:rsid w:val="00B81CC0"/>
    <w:rsid w:val="00B822C7"/>
    <w:rsid w:val="00B82DCE"/>
    <w:rsid w:val="00B832B8"/>
    <w:rsid w:val="00B8376F"/>
    <w:rsid w:val="00B84084"/>
    <w:rsid w:val="00B85837"/>
    <w:rsid w:val="00B85BC1"/>
    <w:rsid w:val="00B8672D"/>
    <w:rsid w:val="00B86F1F"/>
    <w:rsid w:val="00B86F5A"/>
    <w:rsid w:val="00B871D9"/>
    <w:rsid w:val="00B87DA7"/>
    <w:rsid w:val="00B90106"/>
    <w:rsid w:val="00B90636"/>
    <w:rsid w:val="00B90B59"/>
    <w:rsid w:val="00B90CC8"/>
    <w:rsid w:val="00B91C04"/>
    <w:rsid w:val="00B9288E"/>
    <w:rsid w:val="00B92C7F"/>
    <w:rsid w:val="00B92F63"/>
    <w:rsid w:val="00B931BA"/>
    <w:rsid w:val="00B941A7"/>
    <w:rsid w:val="00B94736"/>
    <w:rsid w:val="00B94BFD"/>
    <w:rsid w:val="00B9566C"/>
    <w:rsid w:val="00B978AA"/>
    <w:rsid w:val="00B978B6"/>
    <w:rsid w:val="00B979BB"/>
    <w:rsid w:val="00B97B89"/>
    <w:rsid w:val="00BA0198"/>
    <w:rsid w:val="00BA0279"/>
    <w:rsid w:val="00BA0AFC"/>
    <w:rsid w:val="00BA2E05"/>
    <w:rsid w:val="00BA2F47"/>
    <w:rsid w:val="00BA2FBD"/>
    <w:rsid w:val="00BA346A"/>
    <w:rsid w:val="00BA4422"/>
    <w:rsid w:val="00BA4F47"/>
    <w:rsid w:val="00BA5008"/>
    <w:rsid w:val="00BA5232"/>
    <w:rsid w:val="00BA542A"/>
    <w:rsid w:val="00BA5C41"/>
    <w:rsid w:val="00BA6065"/>
    <w:rsid w:val="00BA6476"/>
    <w:rsid w:val="00BA6659"/>
    <w:rsid w:val="00BA6A71"/>
    <w:rsid w:val="00BA6C35"/>
    <w:rsid w:val="00BA6CAD"/>
    <w:rsid w:val="00BA6E52"/>
    <w:rsid w:val="00BA6E80"/>
    <w:rsid w:val="00BA70E4"/>
    <w:rsid w:val="00BB013C"/>
    <w:rsid w:val="00BB066A"/>
    <w:rsid w:val="00BB0D10"/>
    <w:rsid w:val="00BB0EA5"/>
    <w:rsid w:val="00BB19F0"/>
    <w:rsid w:val="00BB1B8A"/>
    <w:rsid w:val="00BB2709"/>
    <w:rsid w:val="00BB2711"/>
    <w:rsid w:val="00BB3CA1"/>
    <w:rsid w:val="00BB45B9"/>
    <w:rsid w:val="00BB4F88"/>
    <w:rsid w:val="00BB55BC"/>
    <w:rsid w:val="00BB573C"/>
    <w:rsid w:val="00BB5863"/>
    <w:rsid w:val="00BB5ED7"/>
    <w:rsid w:val="00BB5FD9"/>
    <w:rsid w:val="00BB61EE"/>
    <w:rsid w:val="00BB75BC"/>
    <w:rsid w:val="00BB7C4E"/>
    <w:rsid w:val="00BC01AD"/>
    <w:rsid w:val="00BC0226"/>
    <w:rsid w:val="00BC1137"/>
    <w:rsid w:val="00BC1B10"/>
    <w:rsid w:val="00BC4D87"/>
    <w:rsid w:val="00BC6116"/>
    <w:rsid w:val="00BC6664"/>
    <w:rsid w:val="00BC7C59"/>
    <w:rsid w:val="00BD02E4"/>
    <w:rsid w:val="00BD09D3"/>
    <w:rsid w:val="00BD12F5"/>
    <w:rsid w:val="00BD2185"/>
    <w:rsid w:val="00BD2D2D"/>
    <w:rsid w:val="00BD4549"/>
    <w:rsid w:val="00BD4655"/>
    <w:rsid w:val="00BD5434"/>
    <w:rsid w:val="00BD5BB8"/>
    <w:rsid w:val="00BD5FA1"/>
    <w:rsid w:val="00BD67E9"/>
    <w:rsid w:val="00BD73A2"/>
    <w:rsid w:val="00BD7EC2"/>
    <w:rsid w:val="00BD7F1B"/>
    <w:rsid w:val="00BE077A"/>
    <w:rsid w:val="00BE094F"/>
    <w:rsid w:val="00BE187C"/>
    <w:rsid w:val="00BE212B"/>
    <w:rsid w:val="00BE2A52"/>
    <w:rsid w:val="00BE3ADF"/>
    <w:rsid w:val="00BE3F2C"/>
    <w:rsid w:val="00BE4DBF"/>
    <w:rsid w:val="00BE6939"/>
    <w:rsid w:val="00BE732D"/>
    <w:rsid w:val="00BE7607"/>
    <w:rsid w:val="00BE76E7"/>
    <w:rsid w:val="00BE7A81"/>
    <w:rsid w:val="00BE7C1C"/>
    <w:rsid w:val="00BE7F32"/>
    <w:rsid w:val="00BF0136"/>
    <w:rsid w:val="00BF01BF"/>
    <w:rsid w:val="00BF040A"/>
    <w:rsid w:val="00BF0582"/>
    <w:rsid w:val="00BF1408"/>
    <w:rsid w:val="00BF19A3"/>
    <w:rsid w:val="00BF20E3"/>
    <w:rsid w:val="00BF2ACF"/>
    <w:rsid w:val="00BF2C47"/>
    <w:rsid w:val="00BF2E05"/>
    <w:rsid w:val="00BF2F83"/>
    <w:rsid w:val="00BF3C28"/>
    <w:rsid w:val="00BF3E4E"/>
    <w:rsid w:val="00BF4757"/>
    <w:rsid w:val="00BF47C6"/>
    <w:rsid w:val="00BF4A28"/>
    <w:rsid w:val="00BF52D5"/>
    <w:rsid w:val="00BF5A55"/>
    <w:rsid w:val="00BF5F12"/>
    <w:rsid w:val="00BF65D0"/>
    <w:rsid w:val="00BF75B9"/>
    <w:rsid w:val="00BF75FE"/>
    <w:rsid w:val="00BF77AF"/>
    <w:rsid w:val="00BF7A16"/>
    <w:rsid w:val="00BF7BD5"/>
    <w:rsid w:val="00C0191B"/>
    <w:rsid w:val="00C029D0"/>
    <w:rsid w:val="00C03B75"/>
    <w:rsid w:val="00C046A4"/>
    <w:rsid w:val="00C046A6"/>
    <w:rsid w:val="00C055CE"/>
    <w:rsid w:val="00C07818"/>
    <w:rsid w:val="00C113F8"/>
    <w:rsid w:val="00C115BA"/>
    <w:rsid w:val="00C1184E"/>
    <w:rsid w:val="00C11A95"/>
    <w:rsid w:val="00C12462"/>
    <w:rsid w:val="00C140AD"/>
    <w:rsid w:val="00C143AC"/>
    <w:rsid w:val="00C147E7"/>
    <w:rsid w:val="00C14970"/>
    <w:rsid w:val="00C14E24"/>
    <w:rsid w:val="00C14F34"/>
    <w:rsid w:val="00C16495"/>
    <w:rsid w:val="00C1688B"/>
    <w:rsid w:val="00C176F7"/>
    <w:rsid w:val="00C20342"/>
    <w:rsid w:val="00C20C97"/>
    <w:rsid w:val="00C222B0"/>
    <w:rsid w:val="00C2249A"/>
    <w:rsid w:val="00C228F7"/>
    <w:rsid w:val="00C22E02"/>
    <w:rsid w:val="00C238DF"/>
    <w:rsid w:val="00C23B85"/>
    <w:rsid w:val="00C23B8A"/>
    <w:rsid w:val="00C24AB3"/>
    <w:rsid w:val="00C24F61"/>
    <w:rsid w:val="00C2509D"/>
    <w:rsid w:val="00C25231"/>
    <w:rsid w:val="00C256D8"/>
    <w:rsid w:val="00C26349"/>
    <w:rsid w:val="00C2754F"/>
    <w:rsid w:val="00C30003"/>
    <w:rsid w:val="00C301AB"/>
    <w:rsid w:val="00C30223"/>
    <w:rsid w:val="00C30683"/>
    <w:rsid w:val="00C30BD3"/>
    <w:rsid w:val="00C30FCC"/>
    <w:rsid w:val="00C311CF"/>
    <w:rsid w:val="00C318BC"/>
    <w:rsid w:val="00C32011"/>
    <w:rsid w:val="00C329A9"/>
    <w:rsid w:val="00C33758"/>
    <w:rsid w:val="00C3394D"/>
    <w:rsid w:val="00C33EE7"/>
    <w:rsid w:val="00C340BE"/>
    <w:rsid w:val="00C34854"/>
    <w:rsid w:val="00C34A4F"/>
    <w:rsid w:val="00C355DD"/>
    <w:rsid w:val="00C36082"/>
    <w:rsid w:val="00C3609E"/>
    <w:rsid w:val="00C36F8C"/>
    <w:rsid w:val="00C37556"/>
    <w:rsid w:val="00C3773E"/>
    <w:rsid w:val="00C37F93"/>
    <w:rsid w:val="00C40301"/>
    <w:rsid w:val="00C40F43"/>
    <w:rsid w:val="00C41D8F"/>
    <w:rsid w:val="00C427BE"/>
    <w:rsid w:val="00C427D6"/>
    <w:rsid w:val="00C42950"/>
    <w:rsid w:val="00C42B65"/>
    <w:rsid w:val="00C43E37"/>
    <w:rsid w:val="00C43EF0"/>
    <w:rsid w:val="00C44523"/>
    <w:rsid w:val="00C44D62"/>
    <w:rsid w:val="00C459D0"/>
    <w:rsid w:val="00C459D1"/>
    <w:rsid w:val="00C45A86"/>
    <w:rsid w:val="00C45BB6"/>
    <w:rsid w:val="00C45E10"/>
    <w:rsid w:val="00C46A3E"/>
    <w:rsid w:val="00C47183"/>
    <w:rsid w:val="00C477ED"/>
    <w:rsid w:val="00C50220"/>
    <w:rsid w:val="00C5071D"/>
    <w:rsid w:val="00C50FA6"/>
    <w:rsid w:val="00C520DE"/>
    <w:rsid w:val="00C523E8"/>
    <w:rsid w:val="00C528F1"/>
    <w:rsid w:val="00C52B80"/>
    <w:rsid w:val="00C533C0"/>
    <w:rsid w:val="00C5369C"/>
    <w:rsid w:val="00C53941"/>
    <w:rsid w:val="00C53B9D"/>
    <w:rsid w:val="00C541AB"/>
    <w:rsid w:val="00C54252"/>
    <w:rsid w:val="00C54FE1"/>
    <w:rsid w:val="00C55107"/>
    <w:rsid w:val="00C55200"/>
    <w:rsid w:val="00C556A3"/>
    <w:rsid w:val="00C55E20"/>
    <w:rsid w:val="00C55ED5"/>
    <w:rsid w:val="00C56095"/>
    <w:rsid w:val="00C565C3"/>
    <w:rsid w:val="00C57C9D"/>
    <w:rsid w:val="00C603AF"/>
    <w:rsid w:val="00C60653"/>
    <w:rsid w:val="00C610EE"/>
    <w:rsid w:val="00C62625"/>
    <w:rsid w:val="00C628C3"/>
    <w:rsid w:val="00C62CA5"/>
    <w:rsid w:val="00C634EE"/>
    <w:rsid w:val="00C637CD"/>
    <w:rsid w:val="00C63B97"/>
    <w:rsid w:val="00C64317"/>
    <w:rsid w:val="00C64B31"/>
    <w:rsid w:val="00C64DB8"/>
    <w:rsid w:val="00C6551C"/>
    <w:rsid w:val="00C65EE9"/>
    <w:rsid w:val="00C65F9C"/>
    <w:rsid w:val="00C66436"/>
    <w:rsid w:val="00C669F8"/>
    <w:rsid w:val="00C66AA4"/>
    <w:rsid w:val="00C67D0E"/>
    <w:rsid w:val="00C67D37"/>
    <w:rsid w:val="00C67EB4"/>
    <w:rsid w:val="00C7033B"/>
    <w:rsid w:val="00C70CAB"/>
    <w:rsid w:val="00C717D3"/>
    <w:rsid w:val="00C720B7"/>
    <w:rsid w:val="00C72681"/>
    <w:rsid w:val="00C72F52"/>
    <w:rsid w:val="00C737B8"/>
    <w:rsid w:val="00C74C88"/>
    <w:rsid w:val="00C75249"/>
    <w:rsid w:val="00C75515"/>
    <w:rsid w:val="00C75561"/>
    <w:rsid w:val="00C76684"/>
    <w:rsid w:val="00C76ACE"/>
    <w:rsid w:val="00C77D19"/>
    <w:rsid w:val="00C80860"/>
    <w:rsid w:val="00C81FFA"/>
    <w:rsid w:val="00C82C34"/>
    <w:rsid w:val="00C83DF0"/>
    <w:rsid w:val="00C844CC"/>
    <w:rsid w:val="00C8582C"/>
    <w:rsid w:val="00C85D18"/>
    <w:rsid w:val="00C86818"/>
    <w:rsid w:val="00C86831"/>
    <w:rsid w:val="00C868D6"/>
    <w:rsid w:val="00C8693F"/>
    <w:rsid w:val="00C871B5"/>
    <w:rsid w:val="00C87992"/>
    <w:rsid w:val="00C87D30"/>
    <w:rsid w:val="00C87DA3"/>
    <w:rsid w:val="00C902B3"/>
    <w:rsid w:val="00C9103C"/>
    <w:rsid w:val="00C9134A"/>
    <w:rsid w:val="00C92266"/>
    <w:rsid w:val="00C92EF1"/>
    <w:rsid w:val="00C93C03"/>
    <w:rsid w:val="00C93FAA"/>
    <w:rsid w:val="00C94B7E"/>
    <w:rsid w:val="00C95AE7"/>
    <w:rsid w:val="00C96FDC"/>
    <w:rsid w:val="00C975A2"/>
    <w:rsid w:val="00C97791"/>
    <w:rsid w:val="00C9781B"/>
    <w:rsid w:val="00CA1155"/>
    <w:rsid w:val="00CA13B6"/>
    <w:rsid w:val="00CA230E"/>
    <w:rsid w:val="00CA2DE1"/>
    <w:rsid w:val="00CA43FE"/>
    <w:rsid w:val="00CA4B06"/>
    <w:rsid w:val="00CA5724"/>
    <w:rsid w:val="00CA6F88"/>
    <w:rsid w:val="00CA7563"/>
    <w:rsid w:val="00CA788E"/>
    <w:rsid w:val="00CA7B3D"/>
    <w:rsid w:val="00CB01D7"/>
    <w:rsid w:val="00CB04C1"/>
    <w:rsid w:val="00CB051E"/>
    <w:rsid w:val="00CB0E83"/>
    <w:rsid w:val="00CB1733"/>
    <w:rsid w:val="00CB213F"/>
    <w:rsid w:val="00CB22AA"/>
    <w:rsid w:val="00CB251F"/>
    <w:rsid w:val="00CB2523"/>
    <w:rsid w:val="00CB2B13"/>
    <w:rsid w:val="00CB2B32"/>
    <w:rsid w:val="00CB3472"/>
    <w:rsid w:val="00CB34B0"/>
    <w:rsid w:val="00CB38C2"/>
    <w:rsid w:val="00CB3A28"/>
    <w:rsid w:val="00CB408C"/>
    <w:rsid w:val="00CB4AD0"/>
    <w:rsid w:val="00CB4C31"/>
    <w:rsid w:val="00CB6224"/>
    <w:rsid w:val="00CB6692"/>
    <w:rsid w:val="00CB6EF7"/>
    <w:rsid w:val="00CB75F5"/>
    <w:rsid w:val="00CB787D"/>
    <w:rsid w:val="00CC0293"/>
    <w:rsid w:val="00CC039F"/>
    <w:rsid w:val="00CC1FB9"/>
    <w:rsid w:val="00CC1FD9"/>
    <w:rsid w:val="00CC278D"/>
    <w:rsid w:val="00CC3110"/>
    <w:rsid w:val="00CC3ADF"/>
    <w:rsid w:val="00CC3EB3"/>
    <w:rsid w:val="00CC4169"/>
    <w:rsid w:val="00CC4525"/>
    <w:rsid w:val="00CC4BE9"/>
    <w:rsid w:val="00CC5B28"/>
    <w:rsid w:val="00CC5D8D"/>
    <w:rsid w:val="00CC62E6"/>
    <w:rsid w:val="00CC7BBB"/>
    <w:rsid w:val="00CC7CE2"/>
    <w:rsid w:val="00CD1022"/>
    <w:rsid w:val="00CD12A0"/>
    <w:rsid w:val="00CD14B8"/>
    <w:rsid w:val="00CD1B90"/>
    <w:rsid w:val="00CD1C64"/>
    <w:rsid w:val="00CD2709"/>
    <w:rsid w:val="00CD3A64"/>
    <w:rsid w:val="00CD3BA3"/>
    <w:rsid w:val="00CD3BDF"/>
    <w:rsid w:val="00CD43E4"/>
    <w:rsid w:val="00CD514F"/>
    <w:rsid w:val="00CD5667"/>
    <w:rsid w:val="00CD5825"/>
    <w:rsid w:val="00CD6131"/>
    <w:rsid w:val="00CD640D"/>
    <w:rsid w:val="00CD6768"/>
    <w:rsid w:val="00CD6823"/>
    <w:rsid w:val="00CD6D55"/>
    <w:rsid w:val="00CD7C6B"/>
    <w:rsid w:val="00CE0C4F"/>
    <w:rsid w:val="00CE1240"/>
    <w:rsid w:val="00CE1F96"/>
    <w:rsid w:val="00CE3848"/>
    <w:rsid w:val="00CE3994"/>
    <w:rsid w:val="00CE422D"/>
    <w:rsid w:val="00CE4AC6"/>
    <w:rsid w:val="00CE4AD8"/>
    <w:rsid w:val="00CE50F5"/>
    <w:rsid w:val="00CE55A0"/>
    <w:rsid w:val="00CE67CE"/>
    <w:rsid w:val="00CE7506"/>
    <w:rsid w:val="00CE78A0"/>
    <w:rsid w:val="00CE7DE1"/>
    <w:rsid w:val="00CF06D3"/>
    <w:rsid w:val="00CF0A3B"/>
    <w:rsid w:val="00CF0D6E"/>
    <w:rsid w:val="00CF0DF7"/>
    <w:rsid w:val="00CF271D"/>
    <w:rsid w:val="00CF31B4"/>
    <w:rsid w:val="00CF38A7"/>
    <w:rsid w:val="00CF3AF6"/>
    <w:rsid w:val="00CF3FFD"/>
    <w:rsid w:val="00CF43C4"/>
    <w:rsid w:val="00CF5644"/>
    <w:rsid w:val="00CF5B47"/>
    <w:rsid w:val="00CF5DFE"/>
    <w:rsid w:val="00CF6304"/>
    <w:rsid w:val="00CF75E2"/>
    <w:rsid w:val="00D01141"/>
    <w:rsid w:val="00D013ED"/>
    <w:rsid w:val="00D01631"/>
    <w:rsid w:val="00D01A3B"/>
    <w:rsid w:val="00D01F28"/>
    <w:rsid w:val="00D02493"/>
    <w:rsid w:val="00D03110"/>
    <w:rsid w:val="00D03207"/>
    <w:rsid w:val="00D03524"/>
    <w:rsid w:val="00D04201"/>
    <w:rsid w:val="00D059BA"/>
    <w:rsid w:val="00D06C30"/>
    <w:rsid w:val="00D071FF"/>
    <w:rsid w:val="00D10A12"/>
    <w:rsid w:val="00D1189C"/>
    <w:rsid w:val="00D122C6"/>
    <w:rsid w:val="00D1238A"/>
    <w:rsid w:val="00D1285D"/>
    <w:rsid w:val="00D13B65"/>
    <w:rsid w:val="00D13D8E"/>
    <w:rsid w:val="00D140C6"/>
    <w:rsid w:val="00D14119"/>
    <w:rsid w:val="00D14905"/>
    <w:rsid w:val="00D14D0C"/>
    <w:rsid w:val="00D15017"/>
    <w:rsid w:val="00D151DD"/>
    <w:rsid w:val="00D1540F"/>
    <w:rsid w:val="00D15BDA"/>
    <w:rsid w:val="00D16574"/>
    <w:rsid w:val="00D16577"/>
    <w:rsid w:val="00D16A34"/>
    <w:rsid w:val="00D16D7E"/>
    <w:rsid w:val="00D1768F"/>
    <w:rsid w:val="00D202BD"/>
    <w:rsid w:val="00D203E7"/>
    <w:rsid w:val="00D205BA"/>
    <w:rsid w:val="00D205D2"/>
    <w:rsid w:val="00D212C3"/>
    <w:rsid w:val="00D215E0"/>
    <w:rsid w:val="00D2173F"/>
    <w:rsid w:val="00D21924"/>
    <w:rsid w:val="00D21A57"/>
    <w:rsid w:val="00D21A5E"/>
    <w:rsid w:val="00D22200"/>
    <w:rsid w:val="00D2223D"/>
    <w:rsid w:val="00D22A53"/>
    <w:rsid w:val="00D22DA2"/>
    <w:rsid w:val="00D23F2A"/>
    <w:rsid w:val="00D241F9"/>
    <w:rsid w:val="00D2546D"/>
    <w:rsid w:val="00D25CD3"/>
    <w:rsid w:val="00D27A0A"/>
    <w:rsid w:val="00D27AB6"/>
    <w:rsid w:val="00D27BDD"/>
    <w:rsid w:val="00D27BF0"/>
    <w:rsid w:val="00D3056C"/>
    <w:rsid w:val="00D305DE"/>
    <w:rsid w:val="00D306E0"/>
    <w:rsid w:val="00D30BAC"/>
    <w:rsid w:val="00D312BC"/>
    <w:rsid w:val="00D313DA"/>
    <w:rsid w:val="00D32AEA"/>
    <w:rsid w:val="00D32CE2"/>
    <w:rsid w:val="00D332BD"/>
    <w:rsid w:val="00D3371A"/>
    <w:rsid w:val="00D33747"/>
    <w:rsid w:val="00D33974"/>
    <w:rsid w:val="00D34095"/>
    <w:rsid w:val="00D345C4"/>
    <w:rsid w:val="00D3529C"/>
    <w:rsid w:val="00D35CBF"/>
    <w:rsid w:val="00D35E4F"/>
    <w:rsid w:val="00D3690E"/>
    <w:rsid w:val="00D36A76"/>
    <w:rsid w:val="00D36C05"/>
    <w:rsid w:val="00D37086"/>
    <w:rsid w:val="00D372FD"/>
    <w:rsid w:val="00D37BC1"/>
    <w:rsid w:val="00D4049A"/>
    <w:rsid w:val="00D40B59"/>
    <w:rsid w:val="00D4274D"/>
    <w:rsid w:val="00D4316C"/>
    <w:rsid w:val="00D43AC2"/>
    <w:rsid w:val="00D466AC"/>
    <w:rsid w:val="00D4701F"/>
    <w:rsid w:val="00D47829"/>
    <w:rsid w:val="00D47D5A"/>
    <w:rsid w:val="00D50AF2"/>
    <w:rsid w:val="00D514D4"/>
    <w:rsid w:val="00D516BD"/>
    <w:rsid w:val="00D52261"/>
    <w:rsid w:val="00D53794"/>
    <w:rsid w:val="00D54681"/>
    <w:rsid w:val="00D54BD9"/>
    <w:rsid w:val="00D5507F"/>
    <w:rsid w:val="00D556AD"/>
    <w:rsid w:val="00D55FEA"/>
    <w:rsid w:val="00D5626E"/>
    <w:rsid w:val="00D56DE4"/>
    <w:rsid w:val="00D57841"/>
    <w:rsid w:val="00D57A67"/>
    <w:rsid w:val="00D57DFB"/>
    <w:rsid w:val="00D6016E"/>
    <w:rsid w:val="00D6102B"/>
    <w:rsid w:val="00D614FC"/>
    <w:rsid w:val="00D619A2"/>
    <w:rsid w:val="00D61A90"/>
    <w:rsid w:val="00D6243D"/>
    <w:rsid w:val="00D63C00"/>
    <w:rsid w:val="00D64E56"/>
    <w:rsid w:val="00D64FED"/>
    <w:rsid w:val="00D652C1"/>
    <w:rsid w:val="00D65349"/>
    <w:rsid w:val="00D662C8"/>
    <w:rsid w:val="00D66946"/>
    <w:rsid w:val="00D66DB5"/>
    <w:rsid w:val="00D67294"/>
    <w:rsid w:val="00D6793F"/>
    <w:rsid w:val="00D67CB3"/>
    <w:rsid w:val="00D707DF"/>
    <w:rsid w:val="00D7110F"/>
    <w:rsid w:val="00D71F81"/>
    <w:rsid w:val="00D721DA"/>
    <w:rsid w:val="00D72A0A"/>
    <w:rsid w:val="00D72A17"/>
    <w:rsid w:val="00D72E52"/>
    <w:rsid w:val="00D738A0"/>
    <w:rsid w:val="00D744B3"/>
    <w:rsid w:val="00D745B8"/>
    <w:rsid w:val="00D74A92"/>
    <w:rsid w:val="00D74B4F"/>
    <w:rsid w:val="00D74CA0"/>
    <w:rsid w:val="00D75058"/>
    <w:rsid w:val="00D7517C"/>
    <w:rsid w:val="00D7552D"/>
    <w:rsid w:val="00D7658F"/>
    <w:rsid w:val="00D76981"/>
    <w:rsid w:val="00D76BBD"/>
    <w:rsid w:val="00D7751C"/>
    <w:rsid w:val="00D80A7D"/>
    <w:rsid w:val="00D81041"/>
    <w:rsid w:val="00D81D7B"/>
    <w:rsid w:val="00D81E01"/>
    <w:rsid w:val="00D81E7C"/>
    <w:rsid w:val="00D82B86"/>
    <w:rsid w:val="00D835D2"/>
    <w:rsid w:val="00D8388C"/>
    <w:rsid w:val="00D83D6B"/>
    <w:rsid w:val="00D8411D"/>
    <w:rsid w:val="00D84F59"/>
    <w:rsid w:val="00D86512"/>
    <w:rsid w:val="00D86BE5"/>
    <w:rsid w:val="00D86C2A"/>
    <w:rsid w:val="00D870D8"/>
    <w:rsid w:val="00D87670"/>
    <w:rsid w:val="00D90067"/>
    <w:rsid w:val="00D90203"/>
    <w:rsid w:val="00D90229"/>
    <w:rsid w:val="00D90600"/>
    <w:rsid w:val="00D90AA1"/>
    <w:rsid w:val="00D90CC1"/>
    <w:rsid w:val="00D90E64"/>
    <w:rsid w:val="00D90F2D"/>
    <w:rsid w:val="00D90F67"/>
    <w:rsid w:val="00D910BC"/>
    <w:rsid w:val="00D911D2"/>
    <w:rsid w:val="00D912D2"/>
    <w:rsid w:val="00D912DA"/>
    <w:rsid w:val="00D9141A"/>
    <w:rsid w:val="00D921D7"/>
    <w:rsid w:val="00D926B4"/>
    <w:rsid w:val="00D92D24"/>
    <w:rsid w:val="00D931D7"/>
    <w:rsid w:val="00D93467"/>
    <w:rsid w:val="00D93CB6"/>
    <w:rsid w:val="00D94111"/>
    <w:rsid w:val="00D94590"/>
    <w:rsid w:val="00D945FE"/>
    <w:rsid w:val="00D96400"/>
    <w:rsid w:val="00D96AA8"/>
    <w:rsid w:val="00D975EA"/>
    <w:rsid w:val="00D97CDE"/>
    <w:rsid w:val="00DA04AB"/>
    <w:rsid w:val="00DA0E4D"/>
    <w:rsid w:val="00DA1CC6"/>
    <w:rsid w:val="00DA1D6D"/>
    <w:rsid w:val="00DA2C23"/>
    <w:rsid w:val="00DA2E1C"/>
    <w:rsid w:val="00DA2E79"/>
    <w:rsid w:val="00DA3C37"/>
    <w:rsid w:val="00DA3CB5"/>
    <w:rsid w:val="00DA4480"/>
    <w:rsid w:val="00DA480F"/>
    <w:rsid w:val="00DA58B6"/>
    <w:rsid w:val="00DA5F9B"/>
    <w:rsid w:val="00DA64F2"/>
    <w:rsid w:val="00DA684D"/>
    <w:rsid w:val="00DA6CB5"/>
    <w:rsid w:val="00DA707D"/>
    <w:rsid w:val="00DA70BC"/>
    <w:rsid w:val="00DA7B9E"/>
    <w:rsid w:val="00DB0530"/>
    <w:rsid w:val="00DB151A"/>
    <w:rsid w:val="00DB3A0E"/>
    <w:rsid w:val="00DB4A61"/>
    <w:rsid w:val="00DB4C1E"/>
    <w:rsid w:val="00DB5996"/>
    <w:rsid w:val="00DB7273"/>
    <w:rsid w:val="00DB798F"/>
    <w:rsid w:val="00DB7A0D"/>
    <w:rsid w:val="00DB7B3F"/>
    <w:rsid w:val="00DC003F"/>
    <w:rsid w:val="00DC04D6"/>
    <w:rsid w:val="00DC06A0"/>
    <w:rsid w:val="00DC0801"/>
    <w:rsid w:val="00DC0DF0"/>
    <w:rsid w:val="00DC0F66"/>
    <w:rsid w:val="00DC1038"/>
    <w:rsid w:val="00DC1215"/>
    <w:rsid w:val="00DC1238"/>
    <w:rsid w:val="00DC15B9"/>
    <w:rsid w:val="00DC1CD9"/>
    <w:rsid w:val="00DC1F5A"/>
    <w:rsid w:val="00DC23ED"/>
    <w:rsid w:val="00DC40B5"/>
    <w:rsid w:val="00DC4580"/>
    <w:rsid w:val="00DC4CB9"/>
    <w:rsid w:val="00DC4ED0"/>
    <w:rsid w:val="00DC4FEF"/>
    <w:rsid w:val="00DC5043"/>
    <w:rsid w:val="00DC548F"/>
    <w:rsid w:val="00DC5B26"/>
    <w:rsid w:val="00DC630F"/>
    <w:rsid w:val="00DC6524"/>
    <w:rsid w:val="00DC6725"/>
    <w:rsid w:val="00DC786B"/>
    <w:rsid w:val="00DD0A97"/>
    <w:rsid w:val="00DD146F"/>
    <w:rsid w:val="00DD229F"/>
    <w:rsid w:val="00DD3C0C"/>
    <w:rsid w:val="00DD5011"/>
    <w:rsid w:val="00DD51FE"/>
    <w:rsid w:val="00DD6B85"/>
    <w:rsid w:val="00DD795E"/>
    <w:rsid w:val="00DE0BFE"/>
    <w:rsid w:val="00DE115F"/>
    <w:rsid w:val="00DE1839"/>
    <w:rsid w:val="00DE1A64"/>
    <w:rsid w:val="00DE22A6"/>
    <w:rsid w:val="00DE2534"/>
    <w:rsid w:val="00DE2A67"/>
    <w:rsid w:val="00DE330C"/>
    <w:rsid w:val="00DE353D"/>
    <w:rsid w:val="00DE3FF2"/>
    <w:rsid w:val="00DE4BC8"/>
    <w:rsid w:val="00DE5693"/>
    <w:rsid w:val="00DE6513"/>
    <w:rsid w:val="00DE7996"/>
    <w:rsid w:val="00DE7A47"/>
    <w:rsid w:val="00DF0049"/>
    <w:rsid w:val="00DF0BF5"/>
    <w:rsid w:val="00DF1138"/>
    <w:rsid w:val="00DF1401"/>
    <w:rsid w:val="00DF14C2"/>
    <w:rsid w:val="00DF1C25"/>
    <w:rsid w:val="00DF3163"/>
    <w:rsid w:val="00DF3512"/>
    <w:rsid w:val="00DF3A88"/>
    <w:rsid w:val="00DF4101"/>
    <w:rsid w:val="00DF46A7"/>
    <w:rsid w:val="00DF4F30"/>
    <w:rsid w:val="00DF4F64"/>
    <w:rsid w:val="00DF52BE"/>
    <w:rsid w:val="00DF5DEF"/>
    <w:rsid w:val="00DF6A4E"/>
    <w:rsid w:val="00DF6CDD"/>
    <w:rsid w:val="00E0001B"/>
    <w:rsid w:val="00E0022A"/>
    <w:rsid w:val="00E003A8"/>
    <w:rsid w:val="00E018D0"/>
    <w:rsid w:val="00E02037"/>
    <w:rsid w:val="00E028DA"/>
    <w:rsid w:val="00E0317A"/>
    <w:rsid w:val="00E03656"/>
    <w:rsid w:val="00E03A32"/>
    <w:rsid w:val="00E03C05"/>
    <w:rsid w:val="00E03C4F"/>
    <w:rsid w:val="00E0431B"/>
    <w:rsid w:val="00E04350"/>
    <w:rsid w:val="00E04DAC"/>
    <w:rsid w:val="00E059DD"/>
    <w:rsid w:val="00E06181"/>
    <w:rsid w:val="00E06938"/>
    <w:rsid w:val="00E0696E"/>
    <w:rsid w:val="00E06A61"/>
    <w:rsid w:val="00E06ACA"/>
    <w:rsid w:val="00E074E5"/>
    <w:rsid w:val="00E07792"/>
    <w:rsid w:val="00E07B62"/>
    <w:rsid w:val="00E101E9"/>
    <w:rsid w:val="00E104CF"/>
    <w:rsid w:val="00E10E9F"/>
    <w:rsid w:val="00E11525"/>
    <w:rsid w:val="00E126B5"/>
    <w:rsid w:val="00E12857"/>
    <w:rsid w:val="00E12F71"/>
    <w:rsid w:val="00E13379"/>
    <w:rsid w:val="00E133A8"/>
    <w:rsid w:val="00E134E9"/>
    <w:rsid w:val="00E14A26"/>
    <w:rsid w:val="00E14F04"/>
    <w:rsid w:val="00E151CB"/>
    <w:rsid w:val="00E15E8C"/>
    <w:rsid w:val="00E163C0"/>
    <w:rsid w:val="00E169B1"/>
    <w:rsid w:val="00E16F49"/>
    <w:rsid w:val="00E17091"/>
    <w:rsid w:val="00E173F9"/>
    <w:rsid w:val="00E17D69"/>
    <w:rsid w:val="00E208F6"/>
    <w:rsid w:val="00E20D95"/>
    <w:rsid w:val="00E215E9"/>
    <w:rsid w:val="00E22448"/>
    <w:rsid w:val="00E22CB8"/>
    <w:rsid w:val="00E24145"/>
    <w:rsid w:val="00E241F1"/>
    <w:rsid w:val="00E253D2"/>
    <w:rsid w:val="00E25669"/>
    <w:rsid w:val="00E25E63"/>
    <w:rsid w:val="00E27C49"/>
    <w:rsid w:val="00E27E1F"/>
    <w:rsid w:val="00E301F8"/>
    <w:rsid w:val="00E30343"/>
    <w:rsid w:val="00E306E8"/>
    <w:rsid w:val="00E319DC"/>
    <w:rsid w:val="00E31AE8"/>
    <w:rsid w:val="00E32249"/>
    <w:rsid w:val="00E32678"/>
    <w:rsid w:val="00E33348"/>
    <w:rsid w:val="00E3408E"/>
    <w:rsid w:val="00E344A9"/>
    <w:rsid w:val="00E345E5"/>
    <w:rsid w:val="00E348A1"/>
    <w:rsid w:val="00E35689"/>
    <w:rsid w:val="00E3601C"/>
    <w:rsid w:val="00E36700"/>
    <w:rsid w:val="00E367B1"/>
    <w:rsid w:val="00E36D99"/>
    <w:rsid w:val="00E3789C"/>
    <w:rsid w:val="00E37F57"/>
    <w:rsid w:val="00E40176"/>
    <w:rsid w:val="00E4072F"/>
    <w:rsid w:val="00E40CE1"/>
    <w:rsid w:val="00E410EF"/>
    <w:rsid w:val="00E41203"/>
    <w:rsid w:val="00E414CA"/>
    <w:rsid w:val="00E4151D"/>
    <w:rsid w:val="00E41C4D"/>
    <w:rsid w:val="00E41E9A"/>
    <w:rsid w:val="00E420C3"/>
    <w:rsid w:val="00E42D61"/>
    <w:rsid w:val="00E43874"/>
    <w:rsid w:val="00E44540"/>
    <w:rsid w:val="00E4491B"/>
    <w:rsid w:val="00E44C18"/>
    <w:rsid w:val="00E46086"/>
    <w:rsid w:val="00E46144"/>
    <w:rsid w:val="00E46237"/>
    <w:rsid w:val="00E469B9"/>
    <w:rsid w:val="00E47673"/>
    <w:rsid w:val="00E47848"/>
    <w:rsid w:val="00E50C61"/>
    <w:rsid w:val="00E51AEB"/>
    <w:rsid w:val="00E521A5"/>
    <w:rsid w:val="00E5247D"/>
    <w:rsid w:val="00E52529"/>
    <w:rsid w:val="00E5268D"/>
    <w:rsid w:val="00E5325B"/>
    <w:rsid w:val="00E53E23"/>
    <w:rsid w:val="00E53E3C"/>
    <w:rsid w:val="00E53FA0"/>
    <w:rsid w:val="00E5461B"/>
    <w:rsid w:val="00E546AC"/>
    <w:rsid w:val="00E54ECB"/>
    <w:rsid w:val="00E54FB6"/>
    <w:rsid w:val="00E55235"/>
    <w:rsid w:val="00E553A6"/>
    <w:rsid w:val="00E5577B"/>
    <w:rsid w:val="00E55BFD"/>
    <w:rsid w:val="00E56366"/>
    <w:rsid w:val="00E57012"/>
    <w:rsid w:val="00E570CB"/>
    <w:rsid w:val="00E5752A"/>
    <w:rsid w:val="00E60060"/>
    <w:rsid w:val="00E60686"/>
    <w:rsid w:val="00E608AE"/>
    <w:rsid w:val="00E61126"/>
    <w:rsid w:val="00E628B9"/>
    <w:rsid w:val="00E629B1"/>
    <w:rsid w:val="00E62F92"/>
    <w:rsid w:val="00E63477"/>
    <w:rsid w:val="00E6374A"/>
    <w:rsid w:val="00E63D65"/>
    <w:rsid w:val="00E644E7"/>
    <w:rsid w:val="00E6472D"/>
    <w:rsid w:val="00E6505F"/>
    <w:rsid w:val="00E65A09"/>
    <w:rsid w:val="00E66516"/>
    <w:rsid w:val="00E66720"/>
    <w:rsid w:val="00E6689F"/>
    <w:rsid w:val="00E668AF"/>
    <w:rsid w:val="00E66AD3"/>
    <w:rsid w:val="00E66F09"/>
    <w:rsid w:val="00E67511"/>
    <w:rsid w:val="00E677A7"/>
    <w:rsid w:val="00E67B86"/>
    <w:rsid w:val="00E67E07"/>
    <w:rsid w:val="00E67E85"/>
    <w:rsid w:val="00E67F1E"/>
    <w:rsid w:val="00E70C5B"/>
    <w:rsid w:val="00E70EF9"/>
    <w:rsid w:val="00E717D5"/>
    <w:rsid w:val="00E71946"/>
    <w:rsid w:val="00E71A7C"/>
    <w:rsid w:val="00E71D23"/>
    <w:rsid w:val="00E72373"/>
    <w:rsid w:val="00E72929"/>
    <w:rsid w:val="00E72E72"/>
    <w:rsid w:val="00E72F0F"/>
    <w:rsid w:val="00E73896"/>
    <w:rsid w:val="00E73DD3"/>
    <w:rsid w:val="00E74165"/>
    <w:rsid w:val="00E744F2"/>
    <w:rsid w:val="00E74EC3"/>
    <w:rsid w:val="00E74FE1"/>
    <w:rsid w:val="00E75679"/>
    <w:rsid w:val="00E75B5C"/>
    <w:rsid w:val="00E76349"/>
    <w:rsid w:val="00E76C65"/>
    <w:rsid w:val="00E76FB8"/>
    <w:rsid w:val="00E77281"/>
    <w:rsid w:val="00E77472"/>
    <w:rsid w:val="00E812E3"/>
    <w:rsid w:val="00E81484"/>
    <w:rsid w:val="00E816B1"/>
    <w:rsid w:val="00E82F42"/>
    <w:rsid w:val="00E83A41"/>
    <w:rsid w:val="00E83CBE"/>
    <w:rsid w:val="00E8428C"/>
    <w:rsid w:val="00E844EF"/>
    <w:rsid w:val="00E84937"/>
    <w:rsid w:val="00E84E63"/>
    <w:rsid w:val="00E85A33"/>
    <w:rsid w:val="00E85C6C"/>
    <w:rsid w:val="00E86164"/>
    <w:rsid w:val="00E86620"/>
    <w:rsid w:val="00E86CBD"/>
    <w:rsid w:val="00E87007"/>
    <w:rsid w:val="00E87448"/>
    <w:rsid w:val="00E879B4"/>
    <w:rsid w:val="00E901FE"/>
    <w:rsid w:val="00E90398"/>
    <w:rsid w:val="00E90918"/>
    <w:rsid w:val="00E90D54"/>
    <w:rsid w:val="00E912D2"/>
    <w:rsid w:val="00E9203A"/>
    <w:rsid w:val="00E934D8"/>
    <w:rsid w:val="00E94177"/>
    <w:rsid w:val="00E942AF"/>
    <w:rsid w:val="00E948B0"/>
    <w:rsid w:val="00E950A0"/>
    <w:rsid w:val="00E960E5"/>
    <w:rsid w:val="00E96111"/>
    <w:rsid w:val="00E9669F"/>
    <w:rsid w:val="00E97396"/>
    <w:rsid w:val="00E97462"/>
    <w:rsid w:val="00E97987"/>
    <w:rsid w:val="00EA054D"/>
    <w:rsid w:val="00EA0894"/>
    <w:rsid w:val="00EA0F05"/>
    <w:rsid w:val="00EA1318"/>
    <w:rsid w:val="00EA13DB"/>
    <w:rsid w:val="00EA1C5D"/>
    <w:rsid w:val="00EA243D"/>
    <w:rsid w:val="00EA252B"/>
    <w:rsid w:val="00EA2A48"/>
    <w:rsid w:val="00EA2B26"/>
    <w:rsid w:val="00EA3748"/>
    <w:rsid w:val="00EA51BD"/>
    <w:rsid w:val="00EA58DE"/>
    <w:rsid w:val="00EA6D30"/>
    <w:rsid w:val="00EA6E62"/>
    <w:rsid w:val="00EA7AB8"/>
    <w:rsid w:val="00EA7EA8"/>
    <w:rsid w:val="00EB027F"/>
    <w:rsid w:val="00EB09D3"/>
    <w:rsid w:val="00EB0BE9"/>
    <w:rsid w:val="00EB111E"/>
    <w:rsid w:val="00EB2C27"/>
    <w:rsid w:val="00EB33DE"/>
    <w:rsid w:val="00EB3A73"/>
    <w:rsid w:val="00EB3AF0"/>
    <w:rsid w:val="00EB3D2D"/>
    <w:rsid w:val="00EB41B0"/>
    <w:rsid w:val="00EB4381"/>
    <w:rsid w:val="00EB4CD2"/>
    <w:rsid w:val="00EB4F90"/>
    <w:rsid w:val="00EB5270"/>
    <w:rsid w:val="00EB7E2F"/>
    <w:rsid w:val="00EC0CA9"/>
    <w:rsid w:val="00EC2717"/>
    <w:rsid w:val="00EC28BA"/>
    <w:rsid w:val="00EC2B7F"/>
    <w:rsid w:val="00EC310E"/>
    <w:rsid w:val="00EC33E0"/>
    <w:rsid w:val="00EC3D6E"/>
    <w:rsid w:val="00EC4753"/>
    <w:rsid w:val="00EC4B1A"/>
    <w:rsid w:val="00EC4B3C"/>
    <w:rsid w:val="00EC4E70"/>
    <w:rsid w:val="00EC64D9"/>
    <w:rsid w:val="00EC6BCF"/>
    <w:rsid w:val="00EC6D25"/>
    <w:rsid w:val="00EC6D33"/>
    <w:rsid w:val="00EC7021"/>
    <w:rsid w:val="00EC74CC"/>
    <w:rsid w:val="00EC76BC"/>
    <w:rsid w:val="00ED03FC"/>
    <w:rsid w:val="00ED07B5"/>
    <w:rsid w:val="00ED0C38"/>
    <w:rsid w:val="00ED1086"/>
    <w:rsid w:val="00ED111A"/>
    <w:rsid w:val="00ED135F"/>
    <w:rsid w:val="00ED15E8"/>
    <w:rsid w:val="00ED269E"/>
    <w:rsid w:val="00ED2B7A"/>
    <w:rsid w:val="00ED2DA7"/>
    <w:rsid w:val="00ED341C"/>
    <w:rsid w:val="00ED3523"/>
    <w:rsid w:val="00ED41CE"/>
    <w:rsid w:val="00ED477B"/>
    <w:rsid w:val="00ED4BC2"/>
    <w:rsid w:val="00ED5AC2"/>
    <w:rsid w:val="00ED5DC4"/>
    <w:rsid w:val="00ED6729"/>
    <w:rsid w:val="00EE02F8"/>
    <w:rsid w:val="00EE1246"/>
    <w:rsid w:val="00EE14E3"/>
    <w:rsid w:val="00EE1514"/>
    <w:rsid w:val="00EE1CD1"/>
    <w:rsid w:val="00EE233D"/>
    <w:rsid w:val="00EE2643"/>
    <w:rsid w:val="00EE27A6"/>
    <w:rsid w:val="00EE2845"/>
    <w:rsid w:val="00EE2ADC"/>
    <w:rsid w:val="00EE33B1"/>
    <w:rsid w:val="00EE38A4"/>
    <w:rsid w:val="00EE3BDF"/>
    <w:rsid w:val="00EE446A"/>
    <w:rsid w:val="00EE4FDB"/>
    <w:rsid w:val="00EE6A55"/>
    <w:rsid w:val="00EE6CE3"/>
    <w:rsid w:val="00EE74A1"/>
    <w:rsid w:val="00EE7AEE"/>
    <w:rsid w:val="00EE7BA0"/>
    <w:rsid w:val="00EF00D7"/>
    <w:rsid w:val="00EF0790"/>
    <w:rsid w:val="00EF2DA1"/>
    <w:rsid w:val="00EF2F49"/>
    <w:rsid w:val="00EF3938"/>
    <w:rsid w:val="00EF4F02"/>
    <w:rsid w:val="00EF62B9"/>
    <w:rsid w:val="00EF6354"/>
    <w:rsid w:val="00EF6BF5"/>
    <w:rsid w:val="00EF79B1"/>
    <w:rsid w:val="00EF7A5F"/>
    <w:rsid w:val="00EF7F5E"/>
    <w:rsid w:val="00F00737"/>
    <w:rsid w:val="00F0094C"/>
    <w:rsid w:val="00F00E3D"/>
    <w:rsid w:val="00F01896"/>
    <w:rsid w:val="00F01DC6"/>
    <w:rsid w:val="00F02137"/>
    <w:rsid w:val="00F022F4"/>
    <w:rsid w:val="00F02850"/>
    <w:rsid w:val="00F02C9E"/>
    <w:rsid w:val="00F0309B"/>
    <w:rsid w:val="00F05714"/>
    <w:rsid w:val="00F06C75"/>
    <w:rsid w:val="00F07107"/>
    <w:rsid w:val="00F07562"/>
    <w:rsid w:val="00F079D3"/>
    <w:rsid w:val="00F07AF6"/>
    <w:rsid w:val="00F07EF5"/>
    <w:rsid w:val="00F1195C"/>
    <w:rsid w:val="00F11E02"/>
    <w:rsid w:val="00F1243D"/>
    <w:rsid w:val="00F12761"/>
    <w:rsid w:val="00F12DD0"/>
    <w:rsid w:val="00F12FA5"/>
    <w:rsid w:val="00F1373A"/>
    <w:rsid w:val="00F14597"/>
    <w:rsid w:val="00F14886"/>
    <w:rsid w:val="00F14B65"/>
    <w:rsid w:val="00F15521"/>
    <w:rsid w:val="00F158ED"/>
    <w:rsid w:val="00F1655F"/>
    <w:rsid w:val="00F16F32"/>
    <w:rsid w:val="00F20236"/>
    <w:rsid w:val="00F20E0B"/>
    <w:rsid w:val="00F20E94"/>
    <w:rsid w:val="00F21323"/>
    <w:rsid w:val="00F219BC"/>
    <w:rsid w:val="00F21BAD"/>
    <w:rsid w:val="00F21F0D"/>
    <w:rsid w:val="00F22E37"/>
    <w:rsid w:val="00F23306"/>
    <w:rsid w:val="00F243DA"/>
    <w:rsid w:val="00F2457A"/>
    <w:rsid w:val="00F24605"/>
    <w:rsid w:val="00F24C33"/>
    <w:rsid w:val="00F2520B"/>
    <w:rsid w:val="00F2537E"/>
    <w:rsid w:val="00F2631E"/>
    <w:rsid w:val="00F264CA"/>
    <w:rsid w:val="00F26600"/>
    <w:rsid w:val="00F26C00"/>
    <w:rsid w:val="00F300EB"/>
    <w:rsid w:val="00F30C2D"/>
    <w:rsid w:val="00F312A4"/>
    <w:rsid w:val="00F31D3E"/>
    <w:rsid w:val="00F321F5"/>
    <w:rsid w:val="00F3245E"/>
    <w:rsid w:val="00F32B27"/>
    <w:rsid w:val="00F32FD2"/>
    <w:rsid w:val="00F3352A"/>
    <w:rsid w:val="00F3375E"/>
    <w:rsid w:val="00F33FBA"/>
    <w:rsid w:val="00F3402D"/>
    <w:rsid w:val="00F34344"/>
    <w:rsid w:val="00F35DD1"/>
    <w:rsid w:val="00F35E34"/>
    <w:rsid w:val="00F36417"/>
    <w:rsid w:val="00F36AC1"/>
    <w:rsid w:val="00F370B4"/>
    <w:rsid w:val="00F37270"/>
    <w:rsid w:val="00F373CF"/>
    <w:rsid w:val="00F37A65"/>
    <w:rsid w:val="00F40045"/>
    <w:rsid w:val="00F41497"/>
    <w:rsid w:val="00F41817"/>
    <w:rsid w:val="00F41B37"/>
    <w:rsid w:val="00F41E06"/>
    <w:rsid w:val="00F4205E"/>
    <w:rsid w:val="00F42299"/>
    <w:rsid w:val="00F426E2"/>
    <w:rsid w:val="00F436A3"/>
    <w:rsid w:val="00F43BBA"/>
    <w:rsid w:val="00F43C0A"/>
    <w:rsid w:val="00F43F62"/>
    <w:rsid w:val="00F443B3"/>
    <w:rsid w:val="00F444D6"/>
    <w:rsid w:val="00F44F06"/>
    <w:rsid w:val="00F4524F"/>
    <w:rsid w:val="00F45436"/>
    <w:rsid w:val="00F45DB8"/>
    <w:rsid w:val="00F4602F"/>
    <w:rsid w:val="00F463F2"/>
    <w:rsid w:val="00F46C5E"/>
    <w:rsid w:val="00F46C95"/>
    <w:rsid w:val="00F46EA3"/>
    <w:rsid w:val="00F5003B"/>
    <w:rsid w:val="00F501B8"/>
    <w:rsid w:val="00F503C8"/>
    <w:rsid w:val="00F50430"/>
    <w:rsid w:val="00F5061F"/>
    <w:rsid w:val="00F510C2"/>
    <w:rsid w:val="00F5161F"/>
    <w:rsid w:val="00F52055"/>
    <w:rsid w:val="00F52CC2"/>
    <w:rsid w:val="00F52D76"/>
    <w:rsid w:val="00F53999"/>
    <w:rsid w:val="00F53F37"/>
    <w:rsid w:val="00F55D83"/>
    <w:rsid w:val="00F55ECE"/>
    <w:rsid w:val="00F562ED"/>
    <w:rsid w:val="00F5679C"/>
    <w:rsid w:val="00F57686"/>
    <w:rsid w:val="00F57934"/>
    <w:rsid w:val="00F57D69"/>
    <w:rsid w:val="00F601D0"/>
    <w:rsid w:val="00F6077B"/>
    <w:rsid w:val="00F61567"/>
    <w:rsid w:val="00F6255D"/>
    <w:rsid w:val="00F62A34"/>
    <w:rsid w:val="00F62CAC"/>
    <w:rsid w:val="00F62DE4"/>
    <w:rsid w:val="00F62FCF"/>
    <w:rsid w:val="00F63122"/>
    <w:rsid w:val="00F63794"/>
    <w:rsid w:val="00F64DA5"/>
    <w:rsid w:val="00F64EAE"/>
    <w:rsid w:val="00F65260"/>
    <w:rsid w:val="00F6530E"/>
    <w:rsid w:val="00F655D1"/>
    <w:rsid w:val="00F65CC0"/>
    <w:rsid w:val="00F65FB3"/>
    <w:rsid w:val="00F668B8"/>
    <w:rsid w:val="00F67CA3"/>
    <w:rsid w:val="00F67D4B"/>
    <w:rsid w:val="00F70FEA"/>
    <w:rsid w:val="00F713CE"/>
    <w:rsid w:val="00F7151E"/>
    <w:rsid w:val="00F72A3C"/>
    <w:rsid w:val="00F72D77"/>
    <w:rsid w:val="00F73023"/>
    <w:rsid w:val="00F73B1E"/>
    <w:rsid w:val="00F7433D"/>
    <w:rsid w:val="00F75AC1"/>
    <w:rsid w:val="00F7611E"/>
    <w:rsid w:val="00F767BA"/>
    <w:rsid w:val="00F76AAB"/>
    <w:rsid w:val="00F77105"/>
    <w:rsid w:val="00F77272"/>
    <w:rsid w:val="00F8085E"/>
    <w:rsid w:val="00F808BB"/>
    <w:rsid w:val="00F80918"/>
    <w:rsid w:val="00F81113"/>
    <w:rsid w:val="00F81197"/>
    <w:rsid w:val="00F81875"/>
    <w:rsid w:val="00F819EF"/>
    <w:rsid w:val="00F8254D"/>
    <w:rsid w:val="00F82C64"/>
    <w:rsid w:val="00F8311A"/>
    <w:rsid w:val="00F83B9C"/>
    <w:rsid w:val="00F83F9F"/>
    <w:rsid w:val="00F84ABF"/>
    <w:rsid w:val="00F85374"/>
    <w:rsid w:val="00F85404"/>
    <w:rsid w:val="00F854B6"/>
    <w:rsid w:val="00F86590"/>
    <w:rsid w:val="00F86A36"/>
    <w:rsid w:val="00F86A98"/>
    <w:rsid w:val="00F86BA7"/>
    <w:rsid w:val="00F87331"/>
    <w:rsid w:val="00F87C29"/>
    <w:rsid w:val="00F87D40"/>
    <w:rsid w:val="00F87DA9"/>
    <w:rsid w:val="00F90802"/>
    <w:rsid w:val="00F910F5"/>
    <w:rsid w:val="00F911B3"/>
    <w:rsid w:val="00F91371"/>
    <w:rsid w:val="00F91999"/>
    <w:rsid w:val="00F91A77"/>
    <w:rsid w:val="00F92153"/>
    <w:rsid w:val="00F9267A"/>
    <w:rsid w:val="00F926E4"/>
    <w:rsid w:val="00F930D1"/>
    <w:rsid w:val="00F9349D"/>
    <w:rsid w:val="00F94202"/>
    <w:rsid w:val="00F95953"/>
    <w:rsid w:val="00F96375"/>
    <w:rsid w:val="00F96D0A"/>
    <w:rsid w:val="00F96F7C"/>
    <w:rsid w:val="00F97F8C"/>
    <w:rsid w:val="00FA057A"/>
    <w:rsid w:val="00FA0A34"/>
    <w:rsid w:val="00FA0CAF"/>
    <w:rsid w:val="00FA0E69"/>
    <w:rsid w:val="00FA1181"/>
    <w:rsid w:val="00FA16AC"/>
    <w:rsid w:val="00FA1BD0"/>
    <w:rsid w:val="00FA252D"/>
    <w:rsid w:val="00FA271E"/>
    <w:rsid w:val="00FA27FA"/>
    <w:rsid w:val="00FA28DC"/>
    <w:rsid w:val="00FA3556"/>
    <w:rsid w:val="00FA39F7"/>
    <w:rsid w:val="00FA5590"/>
    <w:rsid w:val="00FA5798"/>
    <w:rsid w:val="00FA5B0F"/>
    <w:rsid w:val="00FA5FA2"/>
    <w:rsid w:val="00FA6287"/>
    <w:rsid w:val="00FA702E"/>
    <w:rsid w:val="00FA7662"/>
    <w:rsid w:val="00FA7EAD"/>
    <w:rsid w:val="00FB01BA"/>
    <w:rsid w:val="00FB07AF"/>
    <w:rsid w:val="00FB0B24"/>
    <w:rsid w:val="00FB181F"/>
    <w:rsid w:val="00FB23FA"/>
    <w:rsid w:val="00FB33DC"/>
    <w:rsid w:val="00FB3752"/>
    <w:rsid w:val="00FB37E3"/>
    <w:rsid w:val="00FB3B79"/>
    <w:rsid w:val="00FB493B"/>
    <w:rsid w:val="00FB4B7C"/>
    <w:rsid w:val="00FB4FC1"/>
    <w:rsid w:val="00FB54F9"/>
    <w:rsid w:val="00FB55FB"/>
    <w:rsid w:val="00FB6A11"/>
    <w:rsid w:val="00FC0FC9"/>
    <w:rsid w:val="00FC166C"/>
    <w:rsid w:val="00FC26A6"/>
    <w:rsid w:val="00FC2A31"/>
    <w:rsid w:val="00FC2A68"/>
    <w:rsid w:val="00FC2B6F"/>
    <w:rsid w:val="00FC3008"/>
    <w:rsid w:val="00FC318A"/>
    <w:rsid w:val="00FC32C7"/>
    <w:rsid w:val="00FC34F0"/>
    <w:rsid w:val="00FC3DBA"/>
    <w:rsid w:val="00FC4DB1"/>
    <w:rsid w:val="00FC5837"/>
    <w:rsid w:val="00FC5B51"/>
    <w:rsid w:val="00FC5FAC"/>
    <w:rsid w:val="00FC63EA"/>
    <w:rsid w:val="00FC65DE"/>
    <w:rsid w:val="00FC69EC"/>
    <w:rsid w:val="00FC7033"/>
    <w:rsid w:val="00FC7B75"/>
    <w:rsid w:val="00FD0743"/>
    <w:rsid w:val="00FD08C0"/>
    <w:rsid w:val="00FD0925"/>
    <w:rsid w:val="00FD10B1"/>
    <w:rsid w:val="00FD5404"/>
    <w:rsid w:val="00FD5C2B"/>
    <w:rsid w:val="00FD5F78"/>
    <w:rsid w:val="00FD622A"/>
    <w:rsid w:val="00FD650C"/>
    <w:rsid w:val="00FD6CBC"/>
    <w:rsid w:val="00FD6E60"/>
    <w:rsid w:val="00FD70FC"/>
    <w:rsid w:val="00FD7268"/>
    <w:rsid w:val="00FE08CE"/>
    <w:rsid w:val="00FE1740"/>
    <w:rsid w:val="00FE2073"/>
    <w:rsid w:val="00FE2E6E"/>
    <w:rsid w:val="00FE35BB"/>
    <w:rsid w:val="00FE3BE2"/>
    <w:rsid w:val="00FE4327"/>
    <w:rsid w:val="00FE5253"/>
    <w:rsid w:val="00FE52BA"/>
    <w:rsid w:val="00FE555F"/>
    <w:rsid w:val="00FE6DFC"/>
    <w:rsid w:val="00FE6F4D"/>
    <w:rsid w:val="00FE73B9"/>
    <w:rsid w:val="00FE76D9"/>
    <w:rsid w:val="00FE7BD3"/>
    <w:rsid w:val="00FE7E7A"/>
    <w:rsid w:val="00FE7ECD"/>
    <w:rsid w:val="00FF032E"/>
    <w:rsid w:val="00FF04F3"/>
    <w:rsid w:val="00FF0EDE"/>
    <w:rsid w:val="00FF123B"/>
    <w:rsid w:val="00FF19ED"/>
    <w:rsid w:val="00FF26EF"/>
    <w:rsid w:val="00FF35A1"/>
    <w:rsid w:val="00FF3C18"/>
    <w:rsid w:val="00FF4523"/>
    <w:rsid w:val="00FF4A4A"/>
    <w:rsid w:val="00FF5AC2"/>
    <w:rsid w:val="00FF5D26"/>
    <w:rsid w:val="00FF6AFF"/>
    <w:rsid w:val="00FF6BB6"/>
    <w:rsid w:val="00FF7BEE"/>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18358EE6"/>
  <w15:docId w15:val="{FEB43C60-2CB4-47A6-83EB-03BDC3BA9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7E9"/>
    <w:rPr>
      <w:sz w:val="24"/>
      <w:szCs w:val="24"/>
    </w:rPr>
  </w:style>
  <w:style w:type="paragraph" w:styleId="Balk1">
    <w:name w:val="heading 1"/>
    <w:basedOn w:val="Normal"/>
    <w:next w:val="Normal"/>
    <w:qFormat/>
    <w:pPr>
      <w:keepNext/>
      <w:jc w:val="center"/>
      <w:outlineLvl w:val="0"/>
    </w:pPr>
    <w:rPr>
      <w:rFonts w:ascii="Arial" w:hAnsi="Arial" w:cs="Arial"/>
      <w:b/>
      <w:bCs/>
      <w:sz w:val="20"/>
      <w:szCs w:val="20"/>
      <w:lang w:eastAsia="en-US"/>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lang w:eastAsia="en-US"/>
    </w:rPr>
  </w:style>
  <w:style w:type="paragraph" w:styleId="Balk3">
    <w:name w:val="heading 3"/>
    <w:basedOn w:val="Normal"/>
    <w:next w:val="Normal"/>
    <w:qFormat/>
    <w:rsid w:val="001D2F4C"/>
    <w:pPr>
      <w:keepNext/>
      <w:spacing w:before="240" w:after="60"/>
      <w:outlineLvl w:val="2"/>
    </w:pPr>
    <w:rPr>
      <w:rFonts w:ascii="Arial" w:hAnsi="Arial" w:cs="Arial"/>
      <w:b/>
      <w:bCs/>
      <w:sz w:val="26"/>
      <w:szCs w:val="26"/>
    </w:rPr>
  </w:style>
  <w:style w:type="paragraph" w:styleId="Balk4">
    <w:name w:val="heading 4"/>
    <w:basedOn w:val="Normal"/>
    <w:next w:val="Normal"/>
    <w:link w:val="Balk4Char"/>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paragraph" w:styleId="Balk5">
    <w:name w:val="heading 5"/>
    <w:basedOn w:val="Normal"/>
    <w:next w:val="Normal"/>
    <w:link w:val="Balk5Char"/>
    <w:semiHidden/>
    <w:unhideWhenUsed/>
    <w:qFormat/>
    <w:rsid w:val="006B34D6"/>
    <w:pPr>
      <w:keepNext/>
      <w:keepLines/>
      <w:spacing w:before="40"/>
      <w:outlineLvl w:val="4"/>
    </w:pPr>
    <w:rPr>
      <w:rFonts w:asciiTheme="majorHAnsi" w:eastAsiaTheme="majorEastAsia" w:hAnsiTheme="majorHAnsi" w:cstheme="majorBidi"/>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lang w:val="en-US" w:eastAsia="en-US"/>
    </w:rPr>
  </w:style>
  <w:style w:type="character" w:styleId="zlenenKpr">
    <w:name w:val="FollowedHyperlink"/>
    <w:uiPriority w:val="99"/>
    <w:rPr>
      <w:color w:val="800080"/>
      <w:u w:val="single"/>
    </w:rPr>
  </w:style>
  <w:style w:type="paragraph" w:styleId="GvdeMetniGirintisi">
    <w:name w:val="Body Text Indent"/>
    <w:basedOn w:val="Normal"/>
    <w:pPr>
      <w:ind w:left="1800" w:hanging="360"/>
    </w:pPr>
    <w:rPr>
      <w:lang w:eastAsia="en-US"/>
    </w:rPr>
  </w:style>
  <w:style w:type="paragraph" w:styleId="GvdeMetniGirintisi2">
    <w:name w:val="Body Text Indent 2"/>
    <w:basedOn w:val="Normal"/>
    <w:pPr>
      <w:ind w:left="360"/>
      <w:jc w:val="both"/>
    </w:pPr>
    <w:rPr>
      <w:lang w:eastAsia="en-US"/>
    </w:rPr>
  </w:style>
  <w:style w:type="paragraph" w:styleId="GvdeMetniGirintisi3">
    <w:name w:val="Body Text Indent 3"/>
    <w:basedOn w:val="Normal"/>
    <w:link w:val="GvdeMetniGirintisi3Char"/>
    <w:pPr>
      <w:ind w:left="360" w:firstLine="360"/>
      <w:jc w:val="both"/>
    </w:pPr>
    <w:rPr>
      <w:lang w:eastAsia="en-US"/>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styleId="GvdeMetni">
    <w:name w:val="Body Text"/>
    <w:basedOn w:val="Normal"/>
    <w:pPr>
      <w:shd w:val="clear" w:color="auto" w:fill="FFFFFF"/>
      <w:jc w:val="both"/>
    </w:pPr>
    <w:rPr>
      <w:color w:val="FF0000"/>
      <w:lang w:eastAsia="en-US"/>
    </w:rPr>
  </w:style>
  <w:style w:type="paragraph" w:styleId="stBilgi">
    <w:name w:val="header"/>
    <w:basedOn w:val="Normal"/>
    <w:link w:val="stBilgiChar"/>
    <w:uiPriority w:val="99"/>
    <w:pPr>
      <w:tabs>
        <w:tab w:val="center" w:pos="4536"/>
        <w:tab w:val="right" w:pos="9072"/>
      </w:tabs>
    </w:pPr>
    <w:rPr>
      <w:lang w:eastAsia="en-US"/>
    </w:rPr>
  </w:style>
  <w:style w:type="paragraph" w:styleId="AltBilgi">
    <w:name w:val="footer"/>
    <w:basedOn w:val="Normal"/>
    <w:link w:val="AltBilgiChar"/>
    <w:uiPriority w:val="99"/>
    <w:pPr>
      <w:tabs>
        <w:tab w:val="center" w:pos="4536"/>
        <w:tab w:val="right" w:pos="9072"/>
      </w:tabs>
    </w:pPr>
    <w:rPr>
      <w:lang w:eastAsia="en-US"/>
    </w:rPr>
  </w:style>
  <w:style w:type="character" w:styleId="SayfaNumaras">
    <w:name w:val="page number"/>
    <w:basedOn w:val="VarsaylanParagrafYazTipi"/>
  </w:style>
  <w:style w:type="paragraph" w:styleId="DipnotMetni">
    <w:name w:val="footnote text"/>
    <w:basedOn w:val="Normal"/>
    <w:semiHidden/>
    <w:rsid w:val="0067113B"/>
    <w:rPr>
      <w:sz w:val="20"/>
      <w:szCs w:val="20"/>
    </w:rPr>
  </w:style>
  <w:style w:type="paragraph" w:customStyle="1" w:styleId="xl22">
    <w:name w:val="xl22"/>
    <w:basedOn w:val="Normal"/>
    <w:rsid w:val="00F91371"/>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3">
    <w:name w:val="xl23"/>
    <w:basedOn w:val="Normal"/>
    <w:rsid w:val="00BE094F"/>
    <w:pPr>
      <w:pBdr>
        <w:bottom w:val="single" w:sz="4" w:space="0" w:color="auto"/>
        <w:right w:val="single" w:sz="4" w:space="0" w:color="auto"/>
      </w:pBdr>
      <w:spacing w:before="100" w:beforeAutospacing="1" w:after="100" w:afterAutospacing="1"/>
      <w:jc w:val="both"/>
    </w:pPr>
    <w:rPr>
      <w:lang w:val="en-US" w:eastAsia="en-US"/>
    </w:rPr>
  </w:style>
  <w:style w:type="paragraph" w:styleId="GvdeMetni2">
    <w:name w:val="Body Text 2"/>
    <w:basedOn w:val="Normal"/>
    <w:link w:val="GvdeMetni2Char"/>
    <w:rsid w:val="00720551"/>
    <w:pPr>
      <w:spacing w:after="120" w:line="480" w:lineRule="auto"/>
    </w:pPr>
    <w:rPr>
      <w:lang w:eastAsia="en-US"/>
    </w:rPr>
  </w:style>
  <w:style w:type="paragraph" w:styleId="BalonMetni">
    <w:name w:val="Balloon Text"/>
    <w:basedOn w:val="Normal"/>
    <w:semiHidden/>
    <w:rsid w:val="00936A31"/>
    <w:rPr>
      <w:rFonts w:ascii="Tahoma" w:hAnsi="Tahoma" w:cs="Tahoma"/>
      <w:sz w:val="16"/>
      <w:szCs w:val="16"/>
    </w:rPr>
  </w:style>
  <w:style w:type="character" w:customStyle="1" w:styleId="a">
    <w:name w:val="a"/>
    <w:basedOn w:val="VarsaylanParagrafYazTipi"/>
    <w:rsid w:val="00EB027F"/>
  </w:style>
  <w:style w:type="character" w:styleId="DipnotBavurusu">
    <w:name w:val="footnote reference"/>
    <w:semiHidden/>
    <w:rsid w:val="009139F1"/>
    <w:rPr>
      <w:vertAlign w:val="superscript"/>
    </w:rPr>
  </w:style>
  <w:style w:type="paragraph" w:customStyle="1" w:styleId="xl32">
    <w:name w:val="xl32"/>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
    <w:name w:val="xl30"/>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
    <w:name w:val="xl31"/>
    <w:basedOn w:val="Normal"/>
    <w:rsid w:val="00F652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table" w:styleId="TabloKlavuzu">
    <w:name w:val="Table Grid"/>
    <w:basedOn w:val="NormalTablo"/>
    <w:rsid w:val="004150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l">
    <w:name w:val="Strong"/>
    <w:qFormat/>
    <w:rsid w:val="00CE67CE"/>
    <w:rPr>
      <w:b/>
      <w:bCs/>
    </w:rPr>
  </w:style>
  <w:style w:type="paragraph" w:customStyle="1" w:styleId="xl36">
    <w:name w:val="xl36"/>
    <w:basedOn w:val="Normal"/>
    <w:rsid w:val="003A6F8C"/>
    <w:pPr>
      <w:pBdr>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character" w:customStyle="1" w:styleId="darkgreytext1">
    <w:name w:val="darkgrey_text1"/>
    <w:rsid w:val="00D94590"/>
    <w:rPr>
      <w:rFonts w:ascii="Microsoft Sans Serif" w:hAnsi="Microsoft Sans Serif" w:cs="Microsoft Sans Serif" w:hint="default"/>
      <w:sz w:val="18"/>
      <w:szCs w:val="18"/>
    </w:rPr>
  </w:style>
  <w:style w:type="paragraph" w:customStyle="1" w:styleId="fonteng">
    <w:name w:val="font_eng"/>
    <w:basedOn w:val="Normal"/>
    <w:rsid w:val="00D94590"/>
    <w:pPr>
      <w:spacing w:before="100" w:beforeAutospacing="1" w:after="100" w:afterAutospacing="1"/>
    </w:pPr>
    <w:rPr>
      <w:rFonts w:ascii="Verdana" w:hAnsi="Verdana"/>
      <w:sz w:val="18"/>
      <w:szCs w:val="18"/>
      <w:lang w:val="en-US" w:eastAsia="en-US"/>
    </w:rPr>
  </w:style>
  <w:style w:type="character" w:customStyle="1" w:styleId="redhead1">
    <w:name w:val="red_head1"/>
    <w:rsid w:val="00D94590"/>
    <w:rPr>
      <w:rFonts w:ascii="Microsoft Sans Serif" w:hAnsi="Microsoft Sans Serif" w:cs="Microsoft Sans Serif" w:hint="default"/>
      <w:b/>
      <w:bCs/>
      <w:sz w:val="18"/>
      <w:szCs w:val="18"/>
    </w:rPr>
  </w:style>
  <w:style w:type="paragraph" w:customStyle="1" w:styleId="ListeParagraf1">
    <w:name w:val="Liste Paragraf1"/>
    <w:basedOn w:val="Normal"/>
    <w:rsid w:val="00E77281"/>
    <w:pPr>
      <w:ind w:left="720"/>
    </w:pPr>
  </w:style>
  <w:style w:type="character" w:customStyle="1" w:styleId="tahoma12ffffffbold">
    <w:name w:val="tahoma_12_ffffff_bold"/>
    <w:basedOn w:val="VarsaylanParagrafYazTipi"/>
    <w:rsid w:val="00743E2A"/>
  </w:style>
  <w:style w:type="paragraph" w:customStyle="1" w:styleId="Default">
    <w:name w:val="Default"/>
    <w:rsid w:val="005D0DE6"/>
    <w:pPr>
      <w:autoSpaceDE w:val="0"/>
      <w:autoSpaceDN w:val="0"/>
      <w:adjustRightInd w:val="0"/>
    </w:pPr>
    <w:rPr>
      <w:color w:val="000000"/>
      <w:sz w:val="24"/>
      <w:szCs w:val="24"/>
    </w:rPr>
  </w:style>
  <w:style w:type="paragraph" w:styleId="KonuBal">
    <w:name w:val="Title"/>
    <w:basedOn w:val="Normal"/>
    <w:link w:val="KonuBalChar"/>
    <w:qFormat/>
    <w:rsid w:val="005B76FF"/>
    <w:pPr>
      <w:spacing w:line="240" w:lineRule="atLeast"/>
      <w:jc w:val="center"/>
    </w:pPr>
    <w:rPr>
      <w:b/>
      <w:sz w:val="32"/>
      <w:szCs w:val="20"/>
      <w:lang w:val="en-AU"/>
    </w:rPr>
  </w:style>
  <w:style w:type="character" w:customStyle="1" w:styleId="KonuBalChar">
    <w:name w:val="Konu Başlığı Char"/>
    <w:link w:val="KonuBal"/>
    <w:rsid w:val="005B76FF"/>
    <w:rPr>
      <w:b/>
      <w:sz w:val="32"/>
      <w:lang w:val="en-AU" w:eastAsia="tr-TR" w:bidi="ar-SA"/>
    </w:rPr>
  </w:style>
  <w:style w:type="character" w:customStyle="1" w:styleId="spelle">
    <w:name w:val="spelle"/>
    <w:basedOn w:val="VarsaylanParagrafYazTipi"/>
    <w:rsid w:val="00DF6A4E"/>
  </w:style>
  <w:style w:type="character" w:customStyle="1" w:styleId="AltBilgiChar">
    <w:name w:val="Alt Bilgi Char"/>
    <w:link w:val="AltBilgi"/>
    <w:uiPriority w:val="99"/>
    <w:rsid w:val="00F91A77"/>
    <w:rPr>
      <w:sz w:val="24"/>
      <w:szCs w:val="24"/>
      <w:lang w:eastAsia="en-US"/>
    </w:rPr>
  </w:style>
  <w:style w:type="character" w:customStyle="1" w:styleId="Balk2Char">
    <w:name w:val="Başlık 2 Char"/>
    <w:basedOn w:val="VarsaylanParagrafYazTipi"/>
    <w:link w:val="Balk2"/>
    <w:locked/>
    <w:rsid w:val="009610F2"/>
    <w:rPr>
      <w:rFonts w:ascii="Garamond" w:hAnsi="Garamond"/>
      <w:b/>
      <w:sz w:val="32"/>
      <w:lang w:eastAsia="en-US"/>
    </w:rPr>
  </w:style>
  <w:style w:type="paragraph" w:customStyle="1" w:styleId="default0">
    <w:name w:val="default"/>
    <w:basedOn w:val="Normal"/>
    <w:rsid w:val="00404038"/>
    <w:pPr>
      <w:spacing w:before="100" w:beforeAutospacing="1" w:after="100" w:afterAutospacing="1"/>
    </w:pPr>
  </w:style>
  <w:style w:type="character" w:customStyle="1" w:styleId="Balk4Char">
    <w:name w:val="Başlık 4 Char"/>
    <w:basedOn w:val="VarsaylanParagrafYazTipi"/>
    <w:link w:val="Balk4"/>
    <w:rsid w:val="00C634EE"/>
    <w:rPr>
      <w:rFonts w:ascii="Garamond" w:hAnsi="Garamond"/>
      <w:b/>
      <w:sz w:val="24"/>
      <w:lang w:eastAsia="en-US"/>
    </w:rPr>
  </w:style>
  <w:style w:type="character" w:customStyle="1" w:styleId="GvdeMetni2Char">
    <w:name w:val="Gövde Metni 2 Char"/>
    <w:basedOn w:val="VarsaylanParagrafYazTipi"/>
    <w:link w:val="GvdeMetni2"/>
    <w:locked/>
    <w:rsid w:val="003B2BA4"/>
    <w:rPr>
      <w:sz w:val="24"/>
      <w:szCs w:val="24"/>
      <w:lang w:eastAsia="en-US"/>
    </w:rPr>
  </w:style>
  <w:style w:type="character" w:customStyle="1" w:styleId="Balk5Char">
    <w:name w:val="Başlık 5 Char"/>
    <w:basedOn w:val="VarsaylanParagrafYazTipi"/>
    <w:link w:val="Balk5"/>
    <w:semiHidden/>
    <w:rsid w:val="006B34D6"/>
    <w:rPr>
      <w:rFonts w:asciiTheme="majorHAnsi" w:eastAsiaTheme="majorEastAsia" w:hAnsiTheme="majorHAnsi" w:cstheme="majorBidi"/>
      <w:color w:val="365F91" w:themeColor="accent1" w:themeShade="BF"/>
      <w:sz w:val="24"/>
      <w:szCs w:val="24"/>
    </w:rPr>
  </w:style>
  <w:style w:type="character" w:customStyle="1" w:styleId="apple-converted-space">
    <w:name w:val="apple-converted-space"/>
    <w:basedOn w:val="VarsaylanParagrafYazTipi"/>
    <w:rsid w:val="006B34D6"/>
  </w:style>
  <w:style w:type="character" w:customStyle="1" w:styleId="stBilgiChar">
    <w:name w:val="Üst Bilgi Char"/>
    <w:basedOn w:val="VarsaylanParagrafYazTipi"/>
    <w:link w:val="stBilgi"/>
    <w:uiPriority w:val="99"/>
    <w:rsid w:val="00B67991"/>
    <w:rPr>
      <w:sz w:val="24"/>
      <w:szCs w:val="24"/>
      <w:lang w:eastAsia="en-US"/>
    </w:rPr>
  </w:style>
  <w:style w:type="paragraph" w:styleId="ListeParagraf">
    <w:name w:val="List Paragraph"/>
    <w:basedOn w:val="Normal"/>
    <w:uiPriority w:val="34"/>
    <w:qFormat/>
    <w:rsid w:val="005E371A"/>
    <w:pPr>
      <w:ind w:left="720"/>
      <w:contextualSpacing/>
    </w:pPr>
  </w:style>
  <w:style w:type="character" w:customStyle="1" w:styleId="GvdeMetniGirintisi3Char">
    <w:name w:val="Gövde Metni Girintisi 3 Char"/>
    <w:basedOn w:val="VarsaylanParagrafYazTipi"/>
    <w:link w:val="GvdeMetniGirintisi3"/>
    <w:rsid w:val="00F37A65"/>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213">
      <w:bodyDiv w:val="1"/>
      <w:marLeft w:val="0"/>
      <w:marRight w:val="0"/>
      <w:marTop w:val="0"/>
      <w:marBottom w:val="0"/>
      <w:divBdr>
        <w:top w:val="none" w:sz="0" w:space="0" w:color="auto"/>
        <w:left w:val="none" w:sz="0" w:space="0" w:color="auto"/>
        <w:bottom w:val="none" w:sz="0" w:space="0" w:color="auto"/>
        <w:right w:val="none" w:sz="0" w:space="0" w:color="auto"/>
      </w:divBdr>
    </w:div>
    <w:div w:id="7223335">
      <w:bodyDiv w:val="1"/>
      <w:marLeft w:val="0"/>
      <w:marRight w:val="0"/>
      <w:marTop w:val="0"/>
      <w:marBottom w:val="0"/>
      <w:divBdr>
        <w:top w:val="none" w:sz="0" w:space="0" w:color="auto"/>
        <w:left w:val="none" w:sz="0" w:space="0" w:color="auto"/>
        <w:bottom w:val="none" w:sz="0" w:space="0" w:color="auto"/>
        <w:right w:val="none" w:sz="0" w:space="0" w:color="auto"/>
      </w:divBdr>
    </w:div>
    <w:div w:id="8679761">
      <w:bodyDiv w:val="1"/>
      <w:marLeft w:val="0"/>
      <w:marRight w:val="0"/>
      <w:marTop w:val="0"/>
      <w:marBottom w:val="0"/>
      <w:divBdr>
        <w:top w:val="none" w:sz="0" w:space="0" w:color="auto"/>
        <w:left w:val="none" w:sz="0" w:space="0" w:color="auto"/>
        <w:bottom w:val="none" w:sz="0" w:space="0" w:color="auto"/>
        <w:right w:val="none" w:sz="0" w:space="0" w:color="auto"/>
      </w:divBdr>
    </w:div>
    <w:div w:id="11033489">
      <w:bodyDiv w:val="1"/>
      <w:marLeft w:val="0"/>
      <w:marRight w:val="0"/>
      <w:marTop w:val="0"/>
      <w:marBottom w:val="0"/>
      <w:divBdr>
        <w:top w:val="none" w:sz="0" w:space="0" w:color="auto"/>
        <w:left w:val="none" w:sz="0" w:space="0" w:color="auto"/>
        <w:bottom w:val="none" w:sz="0" w:space="0" w:color="auto"/>
        <w:right w:val="none" w:sz="0" w:space="0" w:color="auto"/>
      </w:divBdr>
    </w:div>
    <w:div w:id="18051901">
      <w:bodyDiv w:val="1"/>
      <w:marLeft w:val="0"/>
      <w:marRight w:val="0"/>
      <w:marTop w:val="0"/>
      <w:marBottom w:val="0"/>
      <w:divBdr>
        <w:top w:val="none" w:sz="0" w:space="0" w:color="auto"/>
        <w:left w:val="none" w:sz="0" w:space="0" w:color="auto"/>
        <w:bottom w:val="none" w:sz="0" w:space="0" w:color="auto"/>
        <w:right w:val="none" w:sz="0" w:space="0" w:color="auto"/>
      </w:divBdr>
    </w:div>
    <w:div w:id="19595479">
      <w:bodyDiv w:val="1"/>
      <w:marLeft w:val="0"/>
      <w:marRight w:val="0"/>
      <w:marTop w:val="0"/>
      <w:marBottom w:val="0"/>
      <w:divBdr>
        <w:top w:val="none" w:sz="0" w:space="0" w:color="auto"/>
        <w:left w:val="none" w:sz="0" w:space="0" w:color="auto"/>
        <w:bottom w:val="none" w:sz="0" w:space="0" w:color="auto"/>
        <w:right w:val="none" w:sz="0" w:space="0" w:color="auto"/>
      </w:divBdr>
    </w:div>
    <w:div w:id="21976795">
      <w:bodyDiv w:val="1"/>
      <w:marLeft w:val="0"/>
      <w:marRight w:val="0"/>
      <w:marTop w:val="0"/>
      <w:marBottom w:val="0"/>
      <w:divBdr>
        <w:top w:val="none" w:sz="0" w:space="0" w:color="auto"/>
        <w:left w:val="none" w:sz="0" w:space="0" w:color="auto"/>
        <w:bottom w:val="none" w:sz="0" w:space="0" w:color="auto"/>
        <w:right w:val="none" w:sz="0" w:space="0" w:color="auto"/>
      </w:divBdr>
    </w:div>
    <w:div w:id="25982604">
      <w:bodyDiv w:val="1"/>
      <w:marLeft w:val="0"/>
      <w:marRight w:val="0"/>
      <w:marTop w:val="0"/>
      <w:marBottom w:val="0"/>
      <w:divBdr>
        <w:top w:val="none" w:sz="0" w:space="0" w:color="auto"/>
        <w:left w:val="none" w:sz="0" w:space="0" w:color="auto"/>
        <w:bottom w:val="none" w:sz="0" w:space="0" w:color="auto"/>
        <w:right w:val="none" w:sz="0" w:space="0" w:color="auto"/>
      </w:divBdr>
    </w:div>
    <w:div w:id="39789343">
      <w:bodyDiv w:val="1"/>
      <w:marLeft w:val="0"/>
      <w:marRight w:val="0"/>
      <w:marTop w:val="0"/>
      <w:marBottom w:val="0"/>
      <w:divBdr>
        <w:top w:val="none" w:sz="0" w:space="0" w:color="auto"/>
        <w:left w:val="none" w:sz="0" w:space="0" w:color="auto"/>
        <w:bottom w:val="none" w:sz="0" w:space="0" w:color="auto"/>
        <w:right w:val="none" w:sz="0" w:space="0" w:color="auto"/>
      </w:divBdr>
    </w:div>
    <w:div w:id="40327022">
      <w:bodyDiv w:val="1"/>
      <w:marLeft w:val="0"/>
      <w:marRight w:val="0"/>
      <w:marTop w:val="0"/>
      <w:marBottom w:val="0"/>
      <w:divBdr>
        <w:top w:val="none" w:sz="0" w:space="0" w:color="auto"/>
        <w:left w:val="none" w:sz="0" w:space="0" w:color="auto"/>
        <w:bottom w:val="none" w:sz="0" w:space="0" w:color="auto"/>
        <w:right w:val="none" w:sz="0" w:space="0" w:color="auto"/>
      </w:divBdr>
    </w:div>
    <w:div w:id="43987614">
      <w:bodyDiv w:val="1"/>
      <w:marLeft w:val="0"/>
      <w:marRight w:val="0"/>
      <w:marTop w:val="0"/>
      <w:marBottom w:val="0"/>
      <w:divBdr>
        <w:top w:val="none" w:sz="0" w:space="0" w:color="auto"/>
        <w:left w:val="none" w:sz="0" w:space="0" w:color="auto"/>
        <w:bottom w:val="none" w:sz="0" w:space="0" w:color="auto"/>
        <w:right w:val="none" w:sz="0" w:space="0" w:color="auto"/>
      </w:divBdr>
    </w:div>
    <w:div w:id="45034972">
      <w:bodyDiv w:val="1"/>
      <w:marLeft w:val="0"/>
      <w:marRight w:val="0"/>
      <w:marTop w:val="0"/>
      <w:marBottom w:val="0"/>
      <w:divBdr>
        <w:top w:val="none" w:sz="0" w:space="0" w:color="auto"/>
        <w:left w:val="none" w:sz="0" w:space="0" w:color="auto"/>
        <w:bottom w:val="none" w:sz="0" w:space="0" w:color="auto"/>
        <w:right w:val="none" w:sz="0" w:space="0" w:color="auto"/>
      </w:divBdr>
    </w:div>
    <w:div w:id="45230301">
      <w:bodyDiv w:val="1"/>
      <w:marLeft w:val="0"/>
      <w:marRight w:val="0"/>
      <w:marTop w:val="0"/>
      <w:marBottom w:val="0"/>
      <w:divBdr>
        <w:top w:val="none" w:sz="0" w:space="0" w:color="auto"/>
        <w:left w:val="none" w:sz="0" w:space="0" w:color="auto"/>
        <w:bottom w:val="none" w:sz="0" w:space="0" w:color="auto"/>
        <w:right w:val="none" w:sz="0" w:space="0" w:color="auto"/>
      </w:divBdr>
      <w:divsChild>
        <w:div w:id="876356914">
          <w:marLeft w:val="0"/>
          <w:marRight w:val="0"/>
          <w:marTop w:val="0"/>
          <w:marBottom w:val="0"/>
          <w:divBdr>
            <w:top w:val="none" w:sz="0" w:space="0" w:color="auto"/>
            <w:left w:val="none" w:sz="0" w:space="0" w:color="auto"/>
            <w:bottom w:val="none" w:sz="0" w:space="0" w:color="auto"/>
            <w:right w:val="none" w:sz="0" w:space="0" w:color="auto"/>
          </w:divBdr>
          <w:divsChild>
            <w:div w:id="1908495354">
              <w:marLeft w:val="0"/>
              <w:marRight w:val="0"/>
              <w:marTop w:val="0"/>
              <w:marBottom w:val="0"/>
              <w:divBdr>
                <w:top w:val="none" w:sz="0" w:space="0" w:color="auto"/>
                <w:left w:val="none" w:sz="0" w:space="0" w:color="auto"/>
                <w:bottom w:val="none" w:sz="0" w:space="0" w:color="auto"/>
                <w:right w:val="none" w:sz="0" w:space="0" w:color="auto"/>
              </w:divBdr>
              <w:divsChild>
                <w:div w:id="1658454466">
                  <w:marLeft w:val="0"/>
                  <w:marRight w:val="0"/>
                  <w:marTop w:val="0"/>
                  <w:marBottom w:val="0"/>
                  <w:divBdr>
                    <w:top w:val="none" w:sz="0" w:space="0" w:color="auto"/>
                    <w:left w:val="none" w:sz="0" w:space="0" w:color="auto"/>
                    <w:bottom w:val="none" w:sz="0" w:space="0" w:color="auto"/>
                    <w:right w:val="none" w:sz="0" w:space="0" w:color="auto"/>
                  </w:divBdr>
                  <w:divsChild>
                    <w:div w:id="207103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4801">
      <w:bodyDiv w:val="1"/>
      <w:marLeft w:val="0"/>
      <w:marRight w:val="0"/>
      <w:marTop w:val="0"/>
      <w:marBottom w:val="0"/>
      <w:divBdr>
        <w:top w:val="none" w:sz="0" w:space="0" w:color="auto"/>
        <w:left w:val="none" w:sz="0" w:space="0" w:color="auto"/>
        <w:bottom w:val="none" w:sz="0" w:space="0" w:color="auto"/>
        <w:right w:val="none" w:sz="0" w:space="0" w:color="auto"/>
      </w:divBdr>
    </w:div>
    <w:div w:id="53624639">
      <w:bodyDiv w:val="1"/>
      <w:marLeft w:val="0"/>
      <w:marRight w:val="0"/>
      <w:marTop w:val="0"/>
      <w:marBottom w:val="0"/>
      <w:divBdr>
        <w:top w:val="none" w:sz="0" w:space="0" w:color="auto"/>
        <w:left w:val="none" w:sz="0" w:space="0" w:color="auto"/>
        <w:bottom w:val="none" w:sz="0" w:space="0" w:color="auto"/>
        <w:right w:val="none" w:sz="0" w:space="0" w:color="auto"/>
      </w:divBdr>
    </w:div>
    <w:div w:id="54621805">
      <w:bodyDiv w:val="1"/>
      <w:marLeft w:val="0"/>
      <w:marRight w:val="0"/>
      <w:marTop w:val="0"/>
      <w:marBottom w:val="0"/>
      <w:divBdr>
        <w:top w:val="none" w:sz="0" w:space="0" w:color="auto"/>
        <w:left w:val="none" w:sz="0" w:space="0" w:color="auto"/>
        <w:bottom w:val="none" w:sz="0" w:space="0" w:color="auto"/>
        <w:right w:val="none" w:sz="0" w:space="0" w:color="auto"/>
      </w:divBdr>
    </w:div>
    <w:div w:id="58678662">
      <w:bodyDiv w:val="1"/>
      <w:marLeft w:val="0"/>
      <w:marRight w:val="0"/>
      <w:marTop w:val="0"/>
      <w:marBottom w:val="0"/>
      <w:divBdr>
        <w:top w:val="none" w:sz="0" w:space="0" w:color="auto"/>
        <w:left w:val="none" w:sz="0" w:space="0" w:color="auto"/>
        <w:bottom w:val="none" w:sz="0" w:space="0" w:color="auto"/>
        <w:right w:val="none" w:sz="0" w:space="0" w:color="auto"/>
      </w:divBdr>
    </w:div>
    <w:div w:id="75171190">
      <w:bodyDiv w:val="1"/>
      <w:marLeft w:val="0"/>
      <w:marRight w:val="0"/>
      <w:marTop w:val="0"/>
      <w:marBottom w:val="0"/>
      <w:divBdr>
        <w:top w:val="none" w:sz="0" w:space="0" w:color="auto"/>
        <w:left w:val="none" w:sz="0" w:space="0" w:color="auto"/>
        <w:bottom w:val="none" w:sz="0" w:space="0" w:color="auto"/>
        <w:right w:val="none" w:sz="0" w:space="0" w:color="auto"/>
      </w:divBdr>
    </w:div>
    <w:div w:id="79521123">
      <w:bodyDiv w:val="1"/>
      <w:marLeft w:val="0"/>
      <w:marRight w:val="0"/>
      <w:marTop w:val="0"/>
      <w:marBottom w:val="0"/>
      <w:divBdr>
        <w:top w:val="none" w:sz="0" w:space="0" w:color="auto"/>
        <w:left w:val="none" w:sz="0" w:space="0" w:color="auto"/>
        <w:bottom w:val="none" w:sz="0" w:space="0" w:color="auto"/>
        <w:right w:val="none" w:sz="0" w:space="0" w:color="auto"/>
      </w:divBdr>
    </w:div>
    <w:div w:id="84806275">
      <w:bodyDiv w:val="1"/>
      <w:marLeft w:val="0"/>
      <w:marRight w:val="0"/>
      <w:marTop w:val="0"/>
      <w:marBottom w:val="0"/>
      <w:divBdr>
        <w:top w:val="none" w:sz="0" w:space="0" w:color="auto"/>
        <w:left w:val="none" w:sz="0" w:space="0" w:color="auto"/>
        <w:bottom w:val="none" w:sz="0" w:space="0" w:color="auto"/>
        <w:right w:val="none" w:sz="0" w:space="0" w:color="auto"/>
      </w:divBdr>
    </w:div>
    <w:div w:id="87695275">
      <w:bodyDiv w:val="1"/>
      <w:marLeft w:val="0"/>
      <w:marRight w:val="0"/>
      <w:marTop w:val="0"/>
      <w:marBottom w:val="0"/>
      <w:divBdr>
        <w:top w:val="none" w:sz="0" w:space="0" w:color="auto"/>
        <w:left w:val="none" w:sz="0" w:space="0" w:color="auto"/>
        <w:bottom w:val="none" w:sz="0" w:space="0" w:color="auto"/>
        <w:right w:val="none" w:sz="0" w:space="0" w:color="auto"/>
      </w:divBdr>
    </w:div>
    <w:div w:id="92016554">
      <w:bodyDiv w:val="1"/>
      <w:marLeft w:val="0"/>
      <w:marRight w:val="0"/>
      <w:marTop w:val="0"/>
      <w:marBottom w:val="0"/>
      <w:divBdr>
        <w:top w:val="none" w:sz="0" w:space="0" w:color="auto"/>
        <w:left w:val="none" w:sz="0" w:space="0" w:color="auto"/>
        <w:bottom w:val="none" w:sz="0" w:space="0" w:color="auto"/>
        <w:right w:val="none" w:sz="0" w:space="0" w:color="auto"/>
      </w:divBdr>
    </w:div>
    <w:div w:id="92942699">
      <w:bodyDiv w:val="1"/>
      <w:marLeft w:val="0"/>
      <w:marRight w:val="0"/>
      <w:marTop w:val="0"/>
      <w:marBottom w:val="0"/>
      <w:divBdr>
        <w:top w:val="none" w:sz="0" w:space="0" w:color="auto"/>
        <w:left w:val="none" w:sz="0" w:space="0" w:color="auto"/>
        <w:bottom w:val="none" w:sz="0" w:space="0" w:color="auto"/>
        <w:right w:val="none" w:sz="0" w:space="0" w:color="auto"/>
      </w:divBdr>
    </w:div>
    <w:div w:id="100540562">
      <w:bodyDiv w:val="1"/>
      <w:marLeft w:val="0"/>
      <w:marRight w:val="0"/>
      <w:marTop w:val="0"/>
      <w:marBottom w:val="0"/>
      <w:divBdr>
        <w:top w:val="none" w:sz="0" w:space="0" w:color="auto"/>
        <w:left w:val="none" w:sz="0" w:space="0" w:color="auto"/>
        <w:bottom w:val="none" w:sz="0" w:space="0" w:color="auto"/>
        <w:right w:val="none" w:sz="0" w:space="0" w:color="auto"/>
      </w:divBdr>
    </w:div>
    <w:div w:id="103816096">
      <w:bodyDiv w:val="1"/>
      <w:marLeft w:val="0"/>
      <w:marRight w:val="0"/>
      <w:marTop w:val="0"/>
      <w:marBottom w:val="0"/>
      <w:divBdr>
        <w:top w:val="none" w:sz="0" w:space="0" w:color="auto"/>
        <w:left w:val="none" w:sz="0" w:space="0" w:color="auto"/>
        <w:bottom w:val="none" w:sz="0" w:space="0" w:color="auto"/>
        <w:right w:val="none" w:sz="0" w:space="0" w:color="auto"/>
      </w:divBdr>
    </w:div>
    <w:div w:id="105122677">
      <w:bodyDiv w:val="1"/>
      <w:marLeft w:val="0"/>
      <w:marRight w:val="0"/>
      <w:marTop w:val="0"/>
      <w:marBottom w:val="0"/>
      <w:divBdr>
        <w:top w:val="none" w:sz="0" w:space="0" w:color="auto"/>
        <w:left w:val="none" w:sz="0" w:space="0" w:color="auto"/>
        <w:bottom w:val="none" w:sz="0" w:space="0" w:color="auto"/>
        <w:right w:val="none" w:sz="0" w:space="0" w:color="auto"/>
      </w:divBdr>
    </w:div>
    <w:div w:id="106048585">
      <w:bodyDiv w:val="1"/>
      <w:marLeft w:val="0"/>
      <w:marRight w:val="0"/>
      <w:marTop w:val="0"/>
      <w:marBottom w:val="0"/>
      <w:divBdr>
        <w:top w:val="none" w:sz="0" w:space="0" w:color="auto"/>
        <w:left w:val="none" w:sz="0" w:space="0" w:color="auto"/>
        <w:bottom w:val="none" w:sz="0" w:space="0" w:color="auto"/>
        <w:right w:val="none" w:sz="0" w:space="0" w:color="auto"/>
      </w:divBdr>
    </w:div>
    <w:div w:id="108429153">
      <w:bodyDiv w:val="1"/>
      <w:marLeft w:val="0"/>
      <w:marRight w:val="0"/>
      <w:marTop w:val="0"/>
      <w:marBottom w:val="0"/>
      <w:divBdr>
        <w:top w:val="none" w:sz="0" w:space="0" w:color="auto"/>
        <w:left w:val="none" w:sz="0" w:space="0" w:color="auto"/>
        <w:bottom w:val="none" w:sz="0" w:space="0" w:color="auto"/>
        <w:right w:val="none" w:sz="0" w:space="0" w:color="auto"/>
      </w:divBdr>
    </w:div>
    <w:div w:id="109666925">
      <w:bodyDiv w:val="1"/>
      <w:marLeft w:val="0"/>
      <w:marRight w:val="0"/>
      <w:marTop w:val="0"/>
      <w:marBottom w:val="0"/>
      <w:divBdr>
        <w:top w:val="none" w:sz="0" w:space="0" w:color="auto"/>
        <w:left w:val="none" w:sz="0" w:space="0" w:color="auto"/>
        <w:bottom w:val="none" w:sz="0" w:space="0" w:color="auto"/>
        <w:right w:val="none" w:sz="0" w:space="0" w:color="auto"/>
      </w:divBdr>
    </w:div>
    <w:div w:id="112595885">
      <w:bodyDiv w:val="1"/>
      <w:marLeft w:val="0"/>
      <w:marRight w:val="0"/>
      <w:marTop w:val="0"/>
      <w:marBottom w:val="0"/>
      <w:divBdr>
        <w:top w:val="none" w:sz="0" w:space="0" w:color="auto"/>
        <w:left w:val="none" w:sz="0" w:space="0" w:color="auto"/>
        <w:bottom w:val="none" w:sz="0" w:space="0" w:color="auto"/>
        <w:right w:val="none" w:sz="0" w:space="0" w:color="auto"/>
      </w:divBdr>
    </w:div>
    <w:div w:id="113181827">
      <w:bodyDiv w:val="1"/>
      <w:marLeft w:val="0"/>
      <w:marRight w:val="0"/>
      <w:marTop w:val="0"/>
      <w:marBottom w:val="0"/>
      <w:divBdr>
        <w:top w:val="none" w:sz="0" w:space="0" w:color="auto"/>
        <w:left w:val="none" w:sz="0" w:space="0" w:color="auto"/>
        <w:bottom w:val="none" w:sz="0" w:space="0" w:color="auto"/>
        <w:right w:val="none" w:sz="0" w:space="0" w:color="auto"/>
      </w:divBdr>
    </w:div>
    <w:div w:id="113600002">
      <w:bodyDiv w:val="1"/>
      <w:marLeft w:val="0"/>
      <w:marRight w:val="0"/>
      <w:marTop w:val="0"/>
      <w:marBottom w:val="0"/>
      <w:divBdr>
        <w:top w:val="none" w:sz="0" w:space="0" w:color="auto"/>
        <w:left w:val="none" w:sz="0" w:space="0" w:color="auto"/>
        <w:bottom w:val="none" w:sz="0" w:space="0" w:color="auto"/>
        <w:right w:val="none" w:sz="0" w:space="0" w:color="auto"/>
      </w:divBdr>
    </w:div>
    <w:div w:id="123930463">
      <w:bodyDiv w:val="1"/>
      <w:marLeft w:val="0"/>
      <w:marRight w:val="0"/>
      <w:marTop w:val="0"/>
      <w:marBottom w:val="0"/>
      <w:divBdr>
        <w:top w:val="none" w:sz="0" w:space="0" w:color="auto"/>
        <w:left w:val="none" w:sz="0" w:space="0" w:color="auto"/>
        <w:bottom w:val="none" w:sz="0" w:space="0" w:color="auto"/>
        <w:right w:val="none" w:sz="0" w:space="0" w:color="auto"/>
      </w:divBdr>
    </w:div>
    <w:div w:id="131024746">
      <w:bodyDiv w:val="1"/>
      <w:marLeft w:val="0"/>
      <w:marRight w:val="0"/>
      <w:marTop w:val="0"/>
      <w:marBottom w:val="0"/>
      <w:divBdr>
        <w:top w:val="none" w:sz="0" w:space="0" w:color="auto"/>
        <w:left w:val="none" w:sz="0" w:space="0" w:color="auto"/>
        <w:bottom w:val="none" w:sz="0" w:space="0" w:color="auto"/>
        <w:right w:val="none" w:sz="0" w:space="0" w:color="auto"/>
      </w:divBdr>
    </w:div>
    <w:div w:id="133525580">
      <w:bodyDiv w:val="1"/>
      <w:marLeft w:val="0"/>
      <w:marRight w:val="0"/>
      <w:marTop w:val="0"/>
      <w:marBottom w:val="0"/>
      <w:divBdr>
        <w:top w:val="none" w:sz="0" w:space="0" w:color="auto"/>
        <w:left w:val="none" w:sz="0" w:space="0" w:color="auto"/>
        <w:bottom w:val="none" w:sz="0" w:space="0" w:color="auto"/>
        <w:right w:val="none" w:sz="0" w:space="0" w:color="auto"/>
      </w:divBdr>
    </w:div>
    <w:div w:id="136805546">
      <w:bodyDiv w:val="1"/>
      <w:marLeft w:val="0"/>
      <w:marRight w:val="0"/>
      <w:marTop w:val="0"/>
      <w:marBottom w:val="0"/>
      <w:divBdr>
        <w:top w:val="none" w:sz="0" w:space="0" w:color="auto"/>
        <w:left w:val="none" w:sz="0" w:space="0" w:color="auto"/>
        <w:bottom w:val="none" w:sz="0" w:space="0" w:color="auto"/>
        <w:right w:val="none" w:sz="0" w:space="0" w:color="auto"/>
      </w:divBdr>
    </w:div>
    <w:div w:id="144514358">
      <w:bodyDiv w:val="1"/>
      <w:marLeft w:val="0"/>
      <w:marRight w:val="0"/>
      <w:marTop w:val="0"/>
      <w:marBottom w:val="0"/>
      <w:divBdr>
        <w:top w:val="none" w:sz="0" w:space="0" w:color="auto"/>
        <w:left w:val="none" w:sz="0" w:space="0" w:color="auto"/>
        <w:bottom w:val="none" w:sz="0" w:space="0" w:color="auto"/>
        <w:right w:val="none" w:sz="0" w:space="0" w:color="auto"/>
      </w:divBdr>
    </w:div>
    <w:div w:id="156850539">
      <w:bodyDiv w:val="1"/>
      <w:marLeft w:val="0"/>
      <w:marRight w:val="0"/>
      <w:marTop w:val="0"/>
      <w:marBottom w:val="0"/>
      <w:divBdr>
        <w:top w:val="none" w:sz="0" w:space="0" w:color="auto"/>
        <w:left w:val="none" w:sz="0" w:space="0" w:color="auto"/>
        <w:bottom w:val="none" w:sz="0" w:space="0" w:color="auto"/>
        <w:right w:val="none" w:sz="0" w:space="0" w:color="auto"/>
      </w:divBdr>
    </w:div>
    <w:div w:id="163282238">
      <w:bodyDiv w:val="1"/>
      <w:marLeft w:val="0"/>
      <w:marRight w:val="0"/>
      <w:marTop w:val="0"/>
      <w:marBottom w:val="0"/>
      <w:divBdr>
        <w:top w:val="none" w:sz="0" w:space="0" w:color="auto"/>
        <w:left w:val="none" w:sz="0" w:space="0" w:color="auto"/>
        <w:bottom w:val="none" w:sz="0" w:space="0" w:color="auto"/>
        <w:right w:val="none" w:sz="0" w:space="0" w:color="auto"/>
      </w:divBdr>
    </w:div>
    <w:div w:id="163478816">
      <w:bodyDiv w:val="1"/>
      <w:marLeft w:val="0"/>
      <w:marRight w:val="0"/>
      <w:marTop w:val="0"/>
      <w:marBottom w:val="0"/>
      <w:divBdr>
        <w:top w:val="none" w:sz="0" w:space="0" w:color="auto"/>
        <w:left w:val="none" w:sz="0" w:space="0" w:color="auto"/>
        <w:bottom w:val="none" w:sz="0" w:space="0" w:color="auto"/>
        <w:right w:val="none" w:sz="0" w:space="0" w:color="auto"/>
      </w:divBdr>
    </w:div>
    <w:div w:id="169412222">
      <w:bodyDiv w:val="1"/>
      <w:marLeft w:val="0"/>
      <w:marRight w:val="0"/>
      <w:marTop w:val="0"/>
      <w:marBottom w:val="0"/>
      <w:divBdr>
        <w:top w:val="none" w:sz="0" w:space="0" w:color="auto"/>
        <w:left w:val="none" w:sz="0" w:space="0" w:color="auto"/>
        <w:bottom w:val="none" w:sz="0" w:space="0" w:color="auto"/>
        <w:right w:val="none" w:sz="0" w:space="0" w:color="auto"/>
      </w:divBdr>
    </w:div>
    <w:div w:id="172770520">
      <w:bodyDiv w:val="1"/>
      <w:marLeft w:val="0"/>
      <w:marRight w:val="0"/>
      <w:marTop w:val="0"/>
      <w:marBottom w:val="0"/>
      <w:divBdr>
        <w:top w:val="none" w:sz="0" w:space="0" w:color="auto"/>
        <w:left w:val="none" w:sz="0" w:space="0" w:color="auto"/>
        <w:bottom w:val="none" w:sz="0" w:space="0" w:color="auto"/>
        <w:right w:val="none" w:sz="0" w:space="0" w:color="auto"/>
      </w:divBdr>
    </w:div>
    <w:div w:id="177693660">
      <w:bodyDiv w:val="1"/>
      <w:marLeft w:val="0"/>
      <w:marRight w:val="0"/>
      <w:marTop w:val="0"/>
      <w:marBottom w:val="0"/>
      <w:divBdr>
        <w:top w:val="none" w:sz="0" w:space="0" w:color="auto"/>
        <w:left w:val="none" w:sz="0" w:space="0" w:color="auto"/>
        <w:bottom w:val="none" w:sz="0" w:space="0" w:color="auto"/>
        <w:right w:val="none" w:sz="0" w:space="0" w:color="auto"/>
      </w:divBdr>
    </w:div>
    <w:div w:id="179317736">
      <w:bodyDiv w:val="1"/>
      <w:marLeft w:val="0"/>
      <w:marRight w:val="0"/>
      <w:marTop w:val="0"/>
      <w:marBottom w:val="0"/>
      <w:divBdr>
        <w:top w:val="none" w:sz="0" w:space="0" w:color="auto"/>
        <w:left w:val="none" w:sz="0" w:space="0" w:color="auto"/>
        <w:bottom w:val="none" w:sz="0" w:space="0" w:color="auto"/>
        <w:right w:val="none" w:sz="0" w:space="0" w:color="auto"/>
      </w:divBdr>
    </w:div>
    <w:div w:id="183784842">
      <w:marLeft w:val="0"/>
      <w:marRight w:val="0"/>
      <w:marTop w:val="0"/>
      <w:marBottom w:val="0"/>
      <w:divBdr>
        <w:top w:val="none" w:sz="0" w:space="0" w:color="auto"/>
        <w:left w:val="none" w:sz="0" w:space="0" w:color="auto"/>
        <w:bottom w:val="none" w:sz="0" w:space="0" w:color="auto"/>
        <w:right w:val="none" w:sz="0" w:space="0" w:color="auto"/>
      </w:divBdr>
    </w:div>
    <w:div w:id="190340831">
      <w:bodyDiv w:val="1"/>
      <w:marLeft w:val="0"/>
      <w:marRight w:val="0"/>
      <w:marTop w:val="0"/>
      <w:marBottom w:val="0"/>
      <w:divBdr>
        <w:top w:val="none" w:sz="0" w:space="0" w:color="auto"/>
        <w:left w:val="none" w:sz="0" w:space="0" w:color="auto"/>
        <w:bottom w:val="none" w:sz="0" w:space="0" w:color="auto"/>
        <w:right w:val="none" w:sz="0" w:space="0" w:color="auto"/>
      </w:divBdr>
    </w:div>
    <w:div w:id="190923920">
      <w:bodyDiv w:val="1"/>
      <w:marLeft w:val="0"/>
      <w:marRight w:val="0"/>
      <w:marTop w:val="0"/>
      <w:marBottom w:val="0"/>
      <w:divBdr>
        <w:top w:val="none" w:sz="0" w:space="0" w:color="auto"/>
        <w:left w:val="none" w:sz="0" w:space="0" w:color="auto"/>
        <w:bottom w:val="none" w:sz="0" w:space="0" w:color="auto"/>
        <w:right w:val="none" w:sz="0" w:space="0" w:color="auto"/>
      </w:divBdr>
    </w:div>
    <w:div w:id="195120487">
      <w:bodyDiv w:val="1"/>
      <w:marLeft w:val="0"/>
      <w:marRight w:val="0"/>
      <w:marTop w:val="0"/>
      <w:marBottom w:val="0"/>
      <w:divBdr>
        <w:top w:val="none" w:sz="0" w:space="0" w:color="auto"/>
        <w:left w:val="none" w:sz="0" w:space="0" w:color="auto"/>
        <w:bottom w:val="none" w:sz="0" w:space="0" w:color="auto"/>
        <w:right w:val="none" w:sz="0" w:space="0" w:color="auto"/>
      </w:divBdr>
    </w:div>
    <w:div w:id="204175998">
      <w:bodyDiv w:val="1"/>
      <w:marLeft w:val="0"/>
      <w:marRight w:val="0"/>
      <w:marTop w:val="0"/>
      <w:marBottom w:val="0"/>
      <w:divBdr>
        <w:top w:val="none" w:sz="0" w:space="0" w:color="auto"/>
        <w:left w:val="none" w:sz="0" w:space="0" w:color="auto"/>
        <w:bottom w:val="none" w:sz="0" w:space="0" w:color="auto"/>
        <w:right w:val="none" w:sz="0" w:space="0" w:color="auto"/>
      </w:divBdr>
    </w:div>
    <w:div w:id="205794779">
      <w:bodyDiv w:val="1"/>
      <w:marLeft w:val="0"/>
      <w:marRight w:val="0"/>
      <w:marTop w:val="0"/>
      <w:marBottom w:val="0"/>
      <w:divBdr>
        <w:top w:val="none" w:sz="0" w:space="0" w:color="auto"/>
        <w:left w:val="none" w:sz="0" w:space="0" w:color="auto"/>
        <w:bottom w:val="none" w:sz="0" w:space="0" w:color="auto"/>
        <w:right w:val="none" w:sz="0" w:space="0" w:color="auto"/>
      </w:divBdr>
    </w:div>
    <w:div w:id="206069980">
      <w:bodyDiv w:val="1"/>
      <w:marLeft w:val="0"/>
      <w:marRight w:val="0"/>
      <w:marTop w:val="0"/>
      <w:marBottom w:val="0"/>
      <w:divBdr>
        <w:top w:val="none" w:sz="0" w:space="0" w:color="auto"/>
        <w:left w:val="none" w:sz="0" w:space="0" w:color="auto"/>
        <w:bottom w:val="none" w:sz="0" w:space="0" w:color="auto"/>
        <w:right w:val="none" w:sz="0" w:space="0" w:color="auto"/>
      </w:divBdr>
    </w:div>
    <w:div w:id="207180904">
      <w:bodyDiv w:val="1"/>
      <w:marLeft w:val="0"/>
      <w:marRight w:val="0"/>
      <w:marTop w:val="0"/>
      <w:marBottom w:val="0"/>
      <w:divBdr>
        <w:top w:val="none" w:sz="0" w:space="0" w:color="auto"/>
        <w:left w:val="none" w:sz="0" w:space="0" w:color="auto"/>
        <w:bottom w:val="none" w:sz="0" w:space="0" w:color="auto"/>
        <w:right w:val="none" w:sz="0" w:space="0" w:color="auto"/>
      </w:divBdr>
    </w:div>
    <w:div w:id="210314922">
      <w:bodyDiv w:val="1"/>
      <w:marLeft w:val="0"/>
      <w:marRight w:val="0"/>
      <w:marTop w:val="0"/>
      <w:marBottom w:val="0"/>
      <w:divBdr>
        <w:top w:val="none" w:sz="0" w:space="0" w:color="auto"/>
        <w:left w:val="none" w:sz="0" w:space="0" w:color="auto"/>
        <w:bottom w:val="none" w:sz="0" w:space="0" w:color="auto"/>
        <w:right w:val="none" w:sz="0" w:space="0" w:color="auto"/>
      </w:divBdr>
    </w:div>
    <w:div w:id="226190798">
      <w:bodyDiv w:val="1"/>
      <w:marLeft w:val="0"/>
      <w:marRight w:val="0"/>
      <w:marTop w:val="0"/>
      <w:marBottom w:val="0"/>
      <w:divBdr>
        <w:top w:val="none" w:sz="0" w:space="0" w:color="auto"/>
        <w:left w:val="none" w:sz="0" w:space="0" w:color="auto"/>
        <w:bottom w:val="none" w:sz="0" w:space="0" w:color="auto"/>
        <w:right w:val="none" w:sz="0" w:space="0" w:color="auto"/>
      </w:divBdr>
    </w:div>
    <w:div w:id="227958872">
      <w:bodyDiv w:val="1"/>
      <w:marLeft w:val="0"/>
      <w:marRight w:val="0"/>
      <w:marTop w:val="0"/>
      <w:marBottom w:val="0"/>
      <w:divBdr>
        <w:top w:val="none" w:sz="0" w:space="0" w:color="auto"/>
        <w:left w:val="none" w:sz="0" w:space="0" w:color="auto"/>
        <w:bottom w:val="none" w:sz="0" w:space="0" w:color="auto"/>
        <w:right w:val="none" w:sz="0" w:space="0" w:color="auto"/>
      </w:divBdr>
    </w:div>
    <w:div w:id="229197767">
      <w:bodyDiv w:val="1"/>
      <w:marLeft w:val="0"/>
      <w:marRight w:val="0"/>
      <w:marTop w:val="0"/>
      <w:marBottom w:val="0"/>
      <w:divBdr>
        <w:top w:val="none" w:sz="0" w:space="0" w:color="auto"/>
        <w:left w:val="none" w:sz="0" w:space="0" w:color="auto"/>
        <w:bottom w:val="none" w:sz="0" w:space="0" w:color="auto"/>
        <w:right w:val="none" w:sz="0" w:space="0" w:color="auto"/>
      </w:divBdr>
    </w:div>
    <w:div w:id="235673626">
      <w:bodyDiv w:val="1"/>
      <w:marLeft w:val="0"/>
      <w:marRight w:val="0"/>
      <w:marTop w:val="0"/>
      <w:marBottom w:val="0"/>
      <w:divBdr>
        <w:top w:val="none" w:sz="0" w:space="0" w:color="auto"/>
        <w:left w:val="none" w:sz="0" w:space="0" w:color="auto"/>
        <w:bottom w:val="none" w:sz="0" w:space="0" w:color="auto"/>
        <w:right w:val="none" w:sz="0" w:space="0" w:color="auto"/>
      </w:divBdr>
    </w:div>
    <w:div w:id="239222617">
      <w:bodyDiv w:val="1"/>
      <w:marLeft w:val="0"/>
      <w:marRight w:val="0"/>
      <w:marTop w:val="0"/>
      <w:marBottom w:val="0"/>
      <w:divBdr>
        <w:top w:val="none" w:sz="0" w:space="0" w:color="auto"/>
        <w:left w:val="none" w:sz="0" w:space="0" w:color="auto"/>
        <w:bottom w:val="none" w:sz="0" w:space="0" w:color="auto"/>
        <w:right w:val="none" w:sz="0" w:space="0" w:color="auto"/>
      </w:divBdr>
    </w:div>
    <w:div w:id="243488805">
      <w:bodyDiv w:val="1"/>
      <w:marLeft w:val="0"/>
      <w:marRight w:val="0"/>
      <w:marTop w:val="0"/>
      <w:marBottom w:val="0"/>
      <w:divBdr>
        <w:top w:val="none" w:sz="0" w:space="0" w:color="auto"/>
        <w:left w:val="none" w:sz="0" w:space="0" w:color="auto"/>
        <w:bottom w:val="none" w:sz="0" w:space="0" w:color="auto"/>
        <w:right w:val="none" w:sz="0" w:space="0" w:color="auto"/>
      </w:divBdr>
    </w:div>
    <w:div w:id="245963832">
      <w:bodyDiv w:val="1"/>
      <w:marLeft w:val="0"/>
      <w:marRight w:val="0"/>
      <w:marTop w:val="0"/>
      <w:marBottom w:val="0"/>
      <w:divBdr>
        <w:top w:val="none" w:sz="0" w:space="0" w:color="auto"/>
        <w:left w:val="none" w:sz="0" w:space="0" w:color="auto"/>
        <w:bottom w:val="none" w:sz="0" w:space="0" w:color="auto"/>
        <w:right w:val="none" w:sz="0" w:space="0" w:color="auto"/>
      </w:divBdr>
    </w:div>
    <w:div w:id="254676806">
      <w:bodyDiv w:val="1"/>
      <w:marLeft w:val="0"/>
      <w:marRight w:val="0"/>
      <w:marTop w:val="0"/>
      <w:marBottom w:val="0"/>
      <w:divBdr>
        <w:top w:val="none" w:sz="0" w:space="0" w:color="auto"/>
        <w:left w:val="none" w:sz="0" w:space="0" w:color="auto"/>
        <w:bottom w:val="none" w:sz="0" w:space="0" w:color="auto"/>
        <w:right w:val="none" w:sz="0" w:space="0" w:color="auto"/>
      </w:divBdr>
    </w:div>
    <w:div w:id="254829710">
      <w:bodyDiv w:val="1"/>
      <w:marLeft w:val="0"/>
      <w:marRight w:val="0"/>
      <w:marTop w:val="0"/>
      <w:marBottom w:val="0"/>
      <w:divBdr>
        <w:top w:val="none" w:sz="0" w:space="0" w:color="auto"/>
        <w:left w:val="none" w:sz="0" w:space="0" w:color="auto"/>
        <w:bottom w:val="none" w:sz="0" w:space="0" w:color="auto"/>
        <w:right w:val="none" w:sz="0" w:space="0" w:color="auto"/>
      </w:divBdr>
    </w:div>
    <w:div w:id="260070010">
      <w:bodyDiv w:val="1"/>
      <w:marLeft w:val="0"/>
      <w:marRight w:val="0"/>
      <w:marTop w:val="0"/>
      <w:marBottom w:val="0"/>
      <w:divBdr>
        <w:top w:val="none" w:sz="0" w:space="0" w:color="auto"/>
        <w:left w:val="none" w:sz="0" w:space="0" w:color="auto"/>
        <w:bottom w:val="none" w:sz="0" w:space="0" w:color="auto"/>
        <w:right w:val="none" w:sz="0" w:space="0" w:color="auto"/>
      </w:divBdr>
    </w:div>
    <w:div w:id="263390656">
      <w:bodyDiv w:val="1"/>
      <w:marLeft w:val="0"/>
      <w:marRight w:val="0"/>
      <w:marTop w:val="0"/>
      <w:marBottom w:val="0"/>
      <w:divBdr>
        <w:top w:val="none" w:sz="0" w:space="0" w:color="auto"/>
        <w:left w:val="none" w:sz="0" w:space="0" w:color="auto"/>
        <w:bottom w:val="none" w:sz="0" w:space="0" w:color="auto"/>
        <w:right w:val="none" w:sz="0" w:space="0" w:color="auto"/>
      </w:divBdr>
    </w:div>
    <w:div w:id="263730989">
      <w:bodyDiv w:val="1"/>
      <w:marLeft w:val="0"/>
      <w:marRight w:val="0"/>
      <w:marTop w:val="0"/>
      <w:marBottom w:val="0"/>
      <w:divBdr>
        <w:top w:val="none" w:sz="0" w:space="0" w:color="auto"/>
        <w:left w:val="none" w:sz="0" w:space="0" w:color="auto"/>
        <w:bottom w:val="none" w:sz="0" w:space="0" w:color="auto"/>
        <w:right w:val="none" w:sz="0" w:space="0" w:color="auto"/>
      </w:divBdr>
    </w:div>
    <w:div w:id="268126021">
      <w:bodyDiv w:val="1"/>
      <w:marLeft w:val="0"/>
      <w:marRight w:val="0"/>
      <w:marTop w:val="0"/>
      <w:marBottom w:val="0"/>
      <w:divBdr>
        <w:top w:val="none" w:sz="0" w:space="0" w:color="auto"/>
        <w:left w:val="none" w:sz="0" w:space="0" w:color="auto"/>
        <w:bottom w:val="none" w:sz="0" w:space="0" w:color="auto"/>
        <w:right w:val="none" w:sz="0" w:space="0" w:color="auto"/>
      </w:divBdr>
    </w:div>
    <w:div w:id="268439013">
      <w:bodyDiv w:val="1"/>
      <w:marLeft w:val="0"/>
      <w:marRight w:val="0"/>
      <w:marTop w:val="0"/>
      <w:marBottom w:val="0"/>
      <w:divBdr>
        <w:top w:val="none" w:sz="0" w:space="0" w:color="auto"/>
        <w:left w:val="none" w:sz="0" w:space="0" w:color="auto"/>
        <w:bottom w:val="none" w:sz="0" w:space="0" w:color="auto"/>
        <w:right w:val="none" w:sz="0" w:space="0" w:color="auto"/>
      </w:divBdr>
    </w:div>
    <w:div w:id="276109094">
      <w:bodyDiv w:val="1"/>
      <w:marLeft w:val="0"/>
      <w:marRight w:val="0"/>
      <w:marTop w:val="0"/>
      <w:marBottom w:val="0"/>
      <w:divBdr>
        <w:top w:val="none" w:sz="0" w:space="0" w:color="auto"/>
        <w:left w:val="none" w:sz="0" w:space="0" w:color="auto"/>
        <w:bottom w:val="none" w:sz="0" w:space="0" w:color="auto"/>
        <w:right w:val="none" w:sz="0" w:space="0" w:color="auto"/>
      </w:divBdr>
    </w:div>
    <w:div w:id="278221498">
      <w:bodyDiv w:val="1"/>
      <w:marLeft w:val="0"/>
      <w:marRight w:val="0"/>
      <w:marTop w:val="0"/>
      <w:marBottom w:val="0"/>
      <w:divBdr>
        <w:top w:val="none" w:sz="0" w:space="0" w:color="auto"/>
        <w:left w:val="none" w:sz="0" w:space="0" w:color="auto"/>
        <w:bottom w:val="none" w:sz="0" w:space="0" w:color="auto"/>
        <w:right w:val="none" w:sz="0" w:space="0" w:color="auto"/>
      </w:divBdr>
    </w:div>
    <w:div w:id="296112774">
      <w:bodyDiv w:val="1"/>
      <w:marLeft w:val="0"/>
      <w:marRight w:val="0"/>
      <w:marTop w:val="0"/>
      <w:marBottom w:val="0"/>
      <w:divBdr>
        <w:top w:val="none" w:sz="0" w:space="0" w:color="auto"/>
        <w:left w:val="none" w:sz="0" w:space="0" w:color="auto"/>
        <w:bottom w:val="none" w:sz="0" w:space="0" w:color="auto"/>
        <w:right w:val="none" w:sz="0" w:space="0" w:color="auto"/>
      </w:divBdr>
    </w:div>
    <w:div w:id="297145284">
      <w:bodyDiv w:val="1"/>
      <w:marLeft w:val="0"/>
      <w:marRight w:val="0"/>
      <w:marTop w:val="0"/>
      <w:marBottom w:val="0"/>
      <w:divBdr>
        <w:top w:val="none" w:sz="0" w:space="0" w:color="auto"/>
        <w:left w:val="none" w:sz="0" w:space="0" w:color="auto"/>
        <w:bottom w:val="none" w:sz="0" w:space="0" w:color="auto"/>
        <w:right w:val="none" w:sz="0" w:space="0" w:color="auto"/>
      </w:divBdr>
    </w:div>
    <w:div w:id="297690124">
      <w:bodyDiv w:val="1"/>
      <w:marLeft w:val="0"/>
      <w:marRight w:val="0"/>
      <w:marTop w:val="0"/>
      <w:marBottom w:val="0"/>
      <w:divBdr>
        <w:top w:val="none" w:sz="0" w:space="0" w:color="auto"/>
        <w:left w:val="none" w:sz="0" w:space="0" w:color="auto"/>
        <w:bottom w:val="none" w:sz="0" w:space="0" w:color="auto"/>
        <w:right w:val="none" w:sz="0" w:space="0" w:color="auto"/>
      </w:divBdr>
    </w:div>
    <w:div w:id="305010330">
      <w:bodyDiv w:val="1"/>
      <w:marLeft w:val="0"/>
      <w:marRight w:val="0"/>
      <w:marTop w:val="0"/>
      <w:marBottom w:val="0"/>
      <w:divBdr>
        <w:top w:val="none" w:sz="0" w:space="0" w:color="auto"/>
        <w:left w:val="none" w:sz="0" w:space="0" w:color="auto"/>
        <w:bottom w:val="none" w:sz="0" w:space="0" w:color="auto"/>
        <w:right w:val="none" w:sz="0" w:space="0" w:color="auto"/>
      </w:divBdr>
    </w:div>
    <w:div w:id="305283131">
      <w:bodyDiv w:val="1"/>
      <w:marLeft w:val="0"/>
      <w:marRight w:val="0"/>
      <w:marTop w:val="0"/>
      <w:marBottom w:val="0"/>
      <w:divBdr>
        <w:top w:val="none" w:sz="0" w:space="0" w:color="auto"/>
        <w:left w:val="none" w:sz="0" w:space="0" w:color="auto"/>
        <w:bottom w:val="none" w:sz="0" w:space="0" w:color="auto"/>
        <w:right w:val="none" w:sz="0" w:space="0" w:color="auto"/>
      </w:divBdr>
    </w:div>
    <w:div w:id="317613901">
      <w:bodyDiv w:val="1"/>
      <w:marLeft w:val="0"/>
      <w:marRight w:val="0"/>
      <w:marTop w:val="0"/>
      <w:marBottom w:val="0"/>
      <w:divBdr>
        <w:top w:val="none" w:sz="0" w:space="0" w:color="auto"/>
        <w:left w:val="none" w:sz="0" w:space="0" w:color="auto"/>
        <w:bottom w:val="none" w:sz="0" w:space="0" w:color="auto"/>
        <w:right w:val="none" w:sz="0" w:space="0" w:color="auto"/>
      </w:divBdr>
    </w:div>
    <w:div w:id="320087517">
      <w:bodyDiv w:val="1"/>
      <w:marLeft w:val="0"/>
      <w:marRight w:val="0"/>
      <w:marTop w:val="0"/>
      <w:marBottom w:val="0"/>
      <w:divBdr>
        <w:top w:val="none" w:sz="0" w:space="0" w:color="auto"/>
        <w:left w:val="none" w:sz="0" w:space="0" w:color="auto"/>
        <w:bottom w:val="none" w:sz="0" w:space="0" w:color="auto"/>
        <w:right w:val="none" w:sz="0" w:space="0" w:color="auto"/>
      </w:divBdr>
    </w:div>
    <w:div w:id="339040275">
      <w:bodyDiv w:val="1"/>
      <w:marLeft w:val="0"/>
      <w:marRight w:val="0"/>
      <w:marTop w:val="0"/>
      <w:marBottom w:val="0"/>
      <w:divBdr>
        <w:top w:val="none" w:sz="0" w:space="0" w:color="auto"/>
        <w:left w:val="none" w:sz="0" w:space="0" w:color="auto"/>
        <w:bottom w:val="none" w:sz="0" w:space="0" w:color="auto"/>
        <w:right w:val="none" w:sz="0" w:space="0" w:color="auto"/>
      </w:divBdr>
      <w:divsChild>
        <w:div w:id="2115861764">
          <w:marLeft w:val="0"/>
          <w:marRight w:val="0"/>
          <w:marTop w:val="0"/>
          <w:marBottom w:val="0"/>
          <w:divBdr>
            <w:top w:val="none" w:sz="0" w:space="0" w:color="auto"/>
            <w:left w:val="none" w:sz="0" w:space="0" w:color="auto"/>
            <w:bottom w:val="none" w:sz="0" w:space="0" w:color="auto"/>
            <w:right w:val="none" w:sz="0" w:space="0" w:color="auto"/>
          </w:divBdr>
          <w:divsChild>
            <w:div w:id="2140219258">
              <w:marLeft w:val="0"/>
              <w:marRight w:val="0"/>
              <w:marTop w:val="0"/>
              <w:marBottom w:val="0"/>
              <w:divBdr>
                <w:top w:val="none" w:sz="0" w:space="0" w:color="auto"/>
                <w:left w:val="none" w:sz="0" w:space="0" w:color="auto"/>
                <w:bottom w:val="none" w:sz="0" w:space="0" w:color="auto"/>
                <w:right w:val="none" w:sz="0" w:space="0" w:color="auto"/>
              </w:divBdr>
              <w:divsChild>
                <w:div w:id="1540581116">
                  <w:marLeft w:val="0"/>
                  <w:marRight w:val="0"/>
                  <w:marTop w:val="0"/>
                  <w:marBottom w:val="0"/>
                  <w:divBdr>
                    <w:top w:val="none" w:sz="0" w:space="0" w:color="auto"/>
                    <w:left w:val="none" w:sz="0" w:space="0" w:color="auto"/>
                    <w:bottom w:val="none" w:sz="0" w:space="0" w:color="auto"/>
                    <w:right w:val="none" w:sz="0" w:space="0" w:color="auto"/>
                  </w:divBdr>
                  <w:divsChild>
                    <w:div w:id="8841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325951">
      <w:marLeft w:val="0"/>
      <w:marRight w:val="0"/>
      <w:marTop w:val="0"/>
      <w:marBottom w:val="0"/>
      <w:divBdr>
        <w:top w:val="none" w:sz="0" w:space="0" w:color="auto"/>
        <w:left w:val="none" w:sz="0" w:space="0" w:color="auto"/>
        <w:bottom w:val="none" w:sz="0" w:space="0" w:color="auto"/>
        <w:right w:val="none" w:sz="0" w:space="0" w:color="auto"/>
      </w:divBdr>
    </w:div>
    <w:div w:id="351877546">
      <w:bodyDiv w:val="1"/>
      <w:marLeft w:val="0"/>
      <w:marRight w:val="0"/>
      <w:marTop w:val="0"/>
      <w:marBottom w:val="0"/>
      <w:divBdr>
        <w:top w:val="none" w:sz="0" w:space="0" w:color="auto"/>
        <w:left w:val="none" w:sz="0" w:space="0" w:color="auto"/>
        <w:bottom w:val="none" w:sz="0" w:space="0" w:color="auto"/>
        <w:right w:val="none" w:sz="0" w:space="0" w:color="auto"/>
      </w:divBdr>
    </w:div>
    <w:div w:id="354041992">
      <w:bodyDiv w:val="1"/>
      <w:marLeft w:val="0"/>
      <w:marRight w:val="0"/>
      <w:marTop w:val="0"/>
      <w:marBottom w:val="0"/>
      <w:divBdr>
        <w:top w:val="none" w:sz="0" w:space="0" w:color="auto"/>
        <w:left w:val="none" w:sz="0" w:space="0" w:color="auto"/>
        <w:bottom w:val="none" w:sz="0" w:space="0" w:color="auto"/>
        <w:right w:val="none" w:sz="0" w:space="0" w:color="auto"/>
      </w:divBdr>
    </w:div>
    <w:div w:id="361591038">
      <w:bodyDiv w:val="1"/>
      <w:marLeft w:val="0"/>
      <w:marRight w:val="0"/>
      <w:marTop w:val="0"/>
      <w:marBottom w:val="0"/>
      <w:divBdr>
        <w:top w:val="none" w:sz="0" w:space="0" w:color="auto"/>
        <w:left w:val="none" w:sz="0" w:space="0" w:color="auto"/>
        <w:bottom w:val="none" w:sz="0" w:space="0" w:color="auto"/>
        <w:right w:val="none" w:sz="0" w:space="0" w:color="auto"/>
      </w:divBdr>
    </w:div>
    <w:div w:id="364253415">
      <w:bodyDiv w:val="1"/>
      <w:marLeft w:val="0"/>
      <w:marRight w:val="0"/>
      <w:marTop w:val="0"/>
      <w:marBottom w:val="0"/>
      <w:divBdr>
        <w:top w:val="none" w:sz="0" w:space="0" w:color="auto"/>
        <w:left w:val="none" w:sz="0" w:space="0" w:color="auto"/>
        <w:bottom w:val="none" w:sz="0" w:space="0" w:color="auto"/>
        <w:right w:val="none" w:sz="0" w:space="0" w:color="auto"/>
      </w:divBdr>
    </w:div>
    <w:div w:id="373114913">
      <w:bodyDiv w:val="1"/>
      <w:marLeft w:val="0"/>
      <w:marRight w:val="0"/>
      <w:marTop w:val="0"/>
      <w:marBottom w:val="0"/>
      <w:divBdr>
        <w:top w:val="none" w:sz="0" w:space="0" w:color="auto"/>
        <w:left w:val="none" w:sz="0" w:space="0" w:color="auto"/>
        <w:bottom w:val="none" w:sz="0" w:space="0" w:color="auto"/>
        <w:right w:val="none" w:sz="0" w:space="0" w:color="auto"/>
      </w:divBdr>
    </w:div>
    <w:div w:id="377054384">
      <w:bodyDiv w:val="1"/>
      <w:marLeft w:val="0"/>
      <w:marRight w:val="0"/>
      <w:marTop w:val="0"/>
      <w:marBottom w:val="0"/>
      <w:divBdr>
        <w:top w:val="none" w:sz="0" w:space="0" w:color="auto"/>
        <w:left w:val="none" w:sz="0" w:space="0" w:color="auto"/>
        <w:bottom w:val="none" w:sz="0" w:space="0" w:color="auto"/>
        <w:right w:val="none" w:sz="0" w:space="0" w:color="auto"/>
      </w:divBdr>
    </w:div>
    <w:div w:id="407044694">
      <w:bodyDiv w:val="1"/>
      <w:marLeft w:val="0"/>
      <w:marRight w:val="0"/>
      <w:marTop w:val="0"/>
      <w:marBottom w:val="0"/>
      <w:divBdr>
        <w:top w:val="none" w:sz="0" w:space="0" w:color="auto"/>
        <w:left w:val="none" w:sz="0" w:space="0" w:color="auto"/>
        <w:bottom w:val="none" w:sz="0" w:space="0" w:color="auto"/>
        <w:right w:val="none" w:sz="0" w:space="0" w:color="auto"/>
      </w:divBdr>
    </w:div>
    <w:div w:id="410659131">
      <w:bodyDiv w:val="1"/>
      <w:marLeft w:val="0"/>
      <w:marRight w:val="0"/>
      <w:marTop w:val="0"/>
      <w:marBottom w:val="0"/>
      <w:divBdr>
        <w:top w:val="none" w:sz="0" w:space="0" w:color="auto"/>
        <w:left w:val="none" w:sz="0" w:space="0" w:color="auto"/>
        <w:bottom w:val="none" w:sz="0" w:space="0" w:color="auto"/>
        <w:right w:val="none" w:sz="0" w:space="0" w:color="auto"/>
      </w:divBdr>
    </w:div>
    <w:div w:id="413358621">
      <w:bodyDiv w:val="1"/>
      <w:marLeft w:val="0"/>
      <w:marRight w:val="0"/>
      <w:marTop w:val="0"/>
      <w:marBottom w:val="0"/>
      <w:divBdr>
        <w:top w:val="none" w:sz="0" w:space="0" w:color="auto"/>
        <w:left w:val="none" w:sz="0" w:space="0" w:color="auto"/>
        <w:bottom w:val="none" w:sz="0" w:space="0" w:color="auto"/>
        <w:right w:val="none" w:sz="0" w:space="0" w:color="auto"/>
      </w:divBdr>
    </w:div>
    <w:div w:id="436217355">
      <w:bodyDiv w:val="1"/>
      <w:marLeft w:val="0"/>
      <w:marRight w:val="0"/>
      <w:marTop w:val="0"/>
      <w:marBottom w:val="0"/>
      <w:divBdr>
        <w:top w:val="none" w:sz="0" w:space="0" w:color="auto"/>
        <w:left w:val="none" w:sz="0" w:space="0" w:color="auto"/>
        <w:bottom w:val="none" w:sz="0" w:space="0" w:color="auto"/>
        <w:right w:val="none" w:sz="0" w:space="0" w:color="auto"/>
      </w:divBdr>
    </w:div>
    <w:div w:id="440415851">
      <w:bodyDiv w:val="1"/>
      <w:marLeft w:val="0"/>
      <w:marRight w:val="0"/>
      <w:marTop w:val="0"/>
      <w:marBottom w:val="0"/>
      <w:divBdr>
        <w:top w:val="none" w:sz="0" w:space="0" w:color="auto"/>
        <w:left w:val="none" w:sz="0" w:space="0" w:color="auto"/>
        <w:bottom w:val="none" w:sz="0" w:space="0" w:color="auto"/>
        <w:right w:val="none" w:sz="0" w:space="0" w:color="auto"/>
      </w:divBdr>
    </w:div>
    <w:div w:id="451705446">
      <w:bodyDiv w:val="1"/>
      <w:marLeft w:val="0"/>
      <w:marRight w:val="0"/>
      <w:marTop w:val="0"/>
      <w:marBottom w:val="0"/>
      <w:divBdr>
        <w:top w:val="none" w:sz="0" w:space="0" w:color="auto"/>
        <w:left w:val="none" w:sz="0" w:space="0" w:color="auto"/>
        <w:bottom w:val="none" w:sz="0" w:space="0" w:color="auto"/>
        <w:right w:val="none" w:sz="0" w:space="0" w:color="auto"/>
      </w:divBdr>
    </w:div>
    <w:div w:id="463423234">
      <w:bodyDiv w:val="1"/>
      <w:marLeft w:val="0"/>
      <w:marRight w:val="0"/>
      <w:marTop w:val="0"/>
      <w:marBottom w:val="0"/>
      <w:divBdr>
        <w:top w:val="none" w:sz="0" w:space="0" w:color="auto"/>
        <w:left w:val="none" w:sz="0" w:space="0" w:color="auto"/>
        <w:bottom w:val="none" w:sz="0" w:space="0" w:color="auto"/>
        <w:right w:val="none" w:sz="0" w:space="0" w:color="auto"/>
      </w:divBdr>
    </w:div>
    <w:div w:id="465240582">
      <w:bodyDiv w:val="1"/>
      <w:marLeft w:val="0"/>
      <w:marRight w:val="0"/>
      <w:marTop w:val="0"/>
      <w:marBottom w:val="0"/>
      <w:divBdr>
        <w:top w:val="none" w:sz="0" w:space="0" w:color="auto"/>
        <w:left w:val="none" w:sz="0" w:space="0" w:color="auto"/>
        <w:bottom w:val="none" w:sz="0" w:space="0" w:color="auto"/>
        <w:right w:val="none" w:sz="0" w:space="0" w:color="auto"/>
      </w:divBdr>
    </w:div>
    <w:div w:id="472020059">
      <w:bodyDiv w:val="1"/>
      <w:marLeft w:val="0"/>
      <w:marRight w:val="0"/>
      <w:marTop w:val="0"/>
      <w:marBottom w:val="0"/>
      <w:divBdr>
        <w:top w:val="none" w:sz="0" w:space="0" w:color="auto"/>
        <w:left w:val="none" w:sz="0" w:space="0" w:color="auto"/>
        <w:bottom w:val="none" w:sz="0" w:space="0" w:color="auto"/>
        <w:right w:val="none" w:sz="0" w:space="0" w:color="auto"/>
      </w:divBdr>
    </w:div>
    <w:div w:id="476731362">
      <w:bodyDiv w:val="1"/>
      <w:marLeft w:val="0"/>
      <w:marRight w:val="0"/>
      <w:marTop w:val="0"/>
      <w:marBottom w:val="0"/>
      <w:divBdr>
        <w:top w:val="none" w:sz="0" w:space="0" w:color="auto"/>
        <w:left w:val="none" w:sz="0" w:space="0" w:color="auto"/>
        <w:bottom w:val="none" w:sz="0" w:space="0" w:color="auto"/>
        <w:right w:val="none" w:sz="0" w:space="0" w:color="auto"/>
      </w:divBdr>
    </w:div>
    <w:div w:id="477112706">
      <w:bodyDiv w:val="1"/>
      <w:marLeft w:val="0"/>
      <w:marRight w:val="0"/>
      <w:marTop w:val="0"/>
      <w:marBottom w:val="0"/>
      <w:divBdr>
        <w:top w:val="none" w:sz="0" w:space="0" w:color="auto"/>
        <w:left w:val="none" w:sz="0" w:space="0" w:color="auto"/>
        <w:bottom w:val="none" w:sz="0" w:space="0" w:color="auto"/>
        <w:right w:val="none" w:sz="0" w:space="0" w:color="auto"/>
      </w:divBdr>
    </w:div>
    <w:div w:id="478227127">
      <w:bodyDiv w:val="1"/>
      <w:marLeft w:val="0"/>
      <w:marRight w:val="0"/>
      <w:marTop w:val="0"/>
      <w:marBottom w:val="0"/>
      <w:divBdr>
        <w:top w:val="none" w:sz="0" w:space="0" w:color="auto"/>
        <w:left w:val="none" w:sz="0" w:space="0" w:color="auto"/>
        <w:bottom w:val="none" w:sz="0" w:space="0" w:color="auto"/>
        <w:right w:val="none" w:sz="0" w:space="0" w:color="auto"/>
      </w:divBdr>
    </w:div>
    <w:div w:id="503975419">
      <w:bodyDiv w:val="1"/>
      <w:marLeft w:val="0"/>
      <w:marRight w:val="0"/>
      <w:marTop w:val="0"/>
      <w:marBottom w:val="0"/>
      <w:divBdr>
        <w:top w:val="none" w:sz="0" w:space="0" w:color="auto"/>
        <w:left w:val="none" w:sz="0" w:space="0" w:color="auto"/>
        <w:bottom w:val="none" w:sz="0" w:space="0" w:color="auto"/>
        <w:right w:val="none" w:sz="0" w:space="0" w:color="auto"/>
      </w:divBdr>
    </w:div>
    <w:div w:id="525411681">
      <w:bodyDiv w:val="1"/>
      <w:marLeft w:val="0"/>
      <w:marRight w:val="0"/>
      <w:marTop w:val="0"/>
      <w:marBottom w:val="0"/>
      <w:divBdr>
        <w:top w:val="none" w:sz="0" w:space="0" w:color="auto"/>
        <w:left w:val="none" w:sz="0" w:space="0" w:color="auto"/>
        <w:bottom w:val="none" w:sz="0" w:space="0" w:color="auto"/>
        <w:right w:val="none" w:sz="0" w:space="0" w:color="auto"/>
      </w:divBdr>
    </w:div>
    <w:div w:id="538009689">
      <w:bodyDiv w:val="1"/>
      <w:marLeft w:val="0"/>
      <w:marRight w:val="0"/>
      <w:marTop w:val="0"/>
      <w:marBottom w:val="0"/>
      <w:divBdr>
        <w:top w:val="none" w:sz="0" w:space="0" w:color="auto"/>
        <w:left w:val="none" w:sz="0" w:space="0" w:color="auto"/>
        <w:bottom w:val="none" w:sz="0" w:space="0" w:color="auto"/>
        <w:right w:val="none" w:sz="0" w:space="0" w:color="auto"/>
      </w:divBdr>
    </w:div>
    <w:div w:id="542250475">
      <w:bodyDiv w:val="1"/>
      <w:marLeft w:val="0"/>
      <w:marRight w:val="0"/>
      <w:marTop w:val="0"/>
      <w:marBottom w:val="0"/>
      <w:divBdr>
        <w:top w:val="none" w:sz="0" w:space="0" w:color="auto"/>
        <w:left w:val="none" w:sz="0" w:space="0" w:color="auto"/>
        <w:bottom w:val="none" w:sz="0" w:space="0" w:color="auto"/>
        <w:right w:val="none" w:sz="0" w:space="0" w:color="auto"/>
      </w:divBdr>
    </w:div>
    <w:div w:id="551312198">
      <w:bodyDiv w:val="1"/>
      <w:marLeft w:val="0"/>
      <w:marRight w:val="0"/>
      <w:marTop w:val="0"/>
      <w:marBottom w:val="0"/>
      <w:divBdr>
        <w:top w:val="none" w:sz="0" w:space="0" w:color="auto"/>
        <w:left w:val="none" w:sz="0" w:space="0" w:color="auto"/>
        <w:bottom w:val="none" w:sz="0" w:space="0" w:color="auto"/>
        <w:right w:val="none" w:sz="0" w:space="0" w:color="auto"/>
      </w:divBdr>
    </w:div>
    <w:div w:id="559171731">
      <w:bodyDiv w:val="1"/>
      <w:marLeft w:val="0"/>
      <w:marRight w:val="0"/>
      <w:marTop w:val="0"/>
      <w:marBottom w:val="0"/>
      <w:divBdr>
        <w:top w:val="none" w:sz="0" w:space="0" w:color="auto"/>
        <w:left w:val="none" w:sz="0" w:space="0" w:color="auto"/>
        <w:bottom w:val="none" w:sz="0" w:space="0" w:color="auto"/>
        <w:right w:val="none" w:sz="0" w:space="0" w:color="auto"/>
      </w:divBdr>
    </w:div>
    <w:div w:id="559949527">
      <w:bodyDiv w:val="1"/>
      <w:marLeft w:val="0"/>
      <w:marRight w:val="0"/>
      <w:marTop w:val="0"/>
      <w:marBottom w:val="0"/>
      <w:divBdr>
        <w:top w:val="none" w:sz="0" w:space="0" w:color="auto"/>
        <w:left w:val="none" w:sz="0" w:space="0" w:color="auto"/>
        <w:bottom w:val="none" w:sz="0" w:space="0" w:color="auto"/>
        <w:right w:val="none" w:sz="0" w:space="0" w:color="auto"/>
      </w:divBdr>
    </w:div>
    <w:div w:id="566039292">
      <w:bodyDiv w:val="1"/>
      <w:marLeft w:val="0"/>
      <w:marRight w:val="0"/>
      <w:marTop w:val="0"/>
      <w:marBottom w:val="0"/>
      <w:divBdr>
        <w:top w:val="none" w:sz="0" w:space="0" w:color="auto"/>
        <w:left w:val="none" w:sz="0" w:space="0" w:color="auto"/>
        <w:bottom w:val="none" w:sz="0" w:space="0" w:color="auto"/>
        <w:right w:val="none" w:sz="0" w:space="0" w:color="auto"/>
      </w:divBdr>
    </w:div>
    <w:div w:id="590432491">
      <w:bodyDiv w:val="1"/>
      <w:marLeft w:val="0"/>
      <w:marRight w:val="0"/>
      <w:marTop w:val="0"/>
      <w:marBottom w:val="0"/>
      <w:divBdr>
        <w:top w:val="none" w:sz="0" w:space="0" w:color="auto"/>
        <w:left w:val="none" w:sz="0" w:space="0" w:color="auto"/>
        <w:bottom w:val="none" w:sz="0" w:space="0" w:color="auto"/>
        <w:right w:val="none" w:sz="0" w:space="0" w:color="auto"/>
      </w:divBdr>
    </w:div>
    <w:div w:id="595286142">
      <w:bodyDiv w:val="1"/>
      <w:marLeft w:val="0"/>
      <w:marRight w:val="0"/>
      <w:marTop w:val="0"/>
      <w:marBottom w:val="0"/>
      <w:divBdr>
        <w:top w:val="none" w:sz="0" w:space="0" w:color="auto"/>
        <w:left w:val="none" w:sz="0" w:space="0" w:color="auto"/>
        <w:bottom w:val="none" w:sz="0" w:space="0" w:color="auto"/>
        <w:right w:val="none" w:sz="0" w:space="0" w:color="auto"/>
      </w:divBdr>
    </w:div>
    <w:div w:id="604657868">
      <w:bodyDiv w:val="1"/>
      <w:marLeft w:val="0"/>
      <w:marRight w:val="0"/>
      <w:marTop w:val="0"/>
      <w:marBottom w:val="0"/>
      <w:divBdr>
        <w:top w:val="none" w:sz="0" w:space="0" w:color="auto"/>
        <w:left w:val="none" w:sz="0" w:space="0" w:color="auto"/>
        <w:bottom w:val="none" w:sz="0" w:space="0" w:color="auto"/>
        <w:right w:val="none" w:sz="0" w:space="0" w:color="auto"/>
      </w:divBdr>
    </w:div>
    <w:div w:id="607782044">
      <w:bodyDiv w:val="1"/>
      <w:marLeft w:val="0"/>
      <w:marRight w:val="0"/>
      <w:marTop w:val="0"/>
      <w:marBottom w:val="0"/>
      <w:divBdr>
        <w:top w:val="none" w:sz="0" w:space="0" w:color="auto"/>
        <w:left w:val="none" w:sz="0" w:space="0" w:color="auto"/>
        <w:bottom w:val="none" w:sz="0" w:space="0" w:color="auto"/>
        <w:right w:val="none" w:sz="0" w:space="0" w:color="auto"/>
      </w:divBdr>
    </w:div>
    <w:div w:id="614825468">
      <w:bodyDiv w:val="1"/>
      <w:marLeft w:val="0"/>
      <w:marRight w:val="0"/>
      <w:marTop w:val="0"/>
      <w:marBottom w:val="0"/>
      <w:divBdr>
        <w:top w:val="none" w:sz="0" w:space="0" w:color="auto"/>
        <w:left w:val="none" w:sz="0" w:space="0" w:color="auto"/>
        <w:bottom w:val="none" w:sz="0" w:space="0" w:color="auto"/>
        <w:right w:val="none" w:sz="0" w:space="0" w:color="auto"/>
      </w:divBdr>
    </w:div>
    <w:div w:id="619729523">
      <w:bodyDiv w:val="1"/>
      <w:marLeft w:val="0"/>
      <w:marRight w:val="0"/>
      <w:marTop w:val="0"/>
      <w:marBottom w:val="0"/>
      <w:divBdr>
        <w:top w:val="none" w:sz="0" w:space="0" w:color="auto"/>
        <w:left w:val="none" w:sz="0" w:space="0" w:color="auto"/>
        <w:bottom w:val="none" w:sz="0" w:space="0" w:color="auto"/>
        <w:right w:val="none" w:sz="0" w:space="0" w:color="auto"/>
      </w:divBdr>
    </w:div>
    <w:div w:id="620381231">
      <w:bodyDiv w:val="1"/>
      <w:marLeft w:val="0"/>
      <w:marRight w:val="0"/>
      <w:marTop w:val="0"/>
      <w:marBottom w:val="0"/>
      <w:divBdr>
        <w:top w:val="none" w:sz="0" w:space="0" w:color="auto"/>
        <w:left w:val="none" w:sz="0" w:space="0" w:color="auto"/>
        <w:bottom w:val="none" w:sz="0" w:space="0" w:color="auto"/>
        <w:right w:val="none" w:sz="0" w:space="0" w:color="auto"/>
      </w:divBdr>
    </w:div>
    <w:div w:id="622467045">
      <w:bodyDiv w:val="1"/>
      <w:marLeft w:val="0"/>
      <w:marRight w:val="0"/>
      <w:marTop w:val="0"/>
      <w:marBottom w:val="0"/>
      <w:divBdr>
        <w:top w:val="none" w:sz="0" w:space="0" w:color="auto"/>
        <w:left w:val="none" w:sz="0" w:space="0" w:color="auto"/>
        <w:bottom w:val="none" w:sz="0" w:space="0" w:color="auto"/>
        <w:right w:val="none" w:sz="0" w:space="0" w:color="auto"/>
      </w:divBdr>
    </w:div>
    <w:div w:id="632756536">
      <w:bodyDiv w:val="1"/>
      <w:marLeft w:val="0"/>
      <w:marRight w:val="0"/>
      <w:marTop w:val="0"/>
      <w:marBottom w:val="0"/>
      <w:divBdr>
        <w:top w:val="none" w:sz="0" w:space="0" w:color="auto"/>
        <w:left w:val="none" w:sz="0" w:space="0" w:color="auto"/>
        <w:bottom w:val="none" w:sz="0" w:space="0" w:color="auto"/>
        <w:right w:val="none" w:sz="0" w:space="0" w:color="auto"/>
      </w:divBdr>
    </w:div>
    <w:div w:id="634288177">
      <w:bodyDiv w:val="1"/>
      <w:marLeft w:val="0"/>
      <w:marRight w:val="0"/>
      <w:marTop w:val="0"/>
      <w:marBottom w:val="0"/>
      <w:divBdr>
        <w:top w:val="none" w:sz="0" w:space="0" w:color="auto"/>
        <w:left w:val="none" w:sz="0" w:space="0" w:color="auto"/>
        <w:bottom w:val="none" w:sz="0" w:space="0" w:color="auto"/>
        <w:right w:val="none" w:sz="0" w:space="0" w:color="auto"/>
      </w:divBdr>
    </w:div>
    <w:div w:id="634679466">
      <w:bodyDiv w:val="1"/>
      <w:marLeft w:val="0"/>
      <w:marRight w:val="0"/>
      <w:marTop w:val="0"/>
      <w:marBottom w:val="0"/>
      <w:divBdr>
        <w:top w:val="none" w:sz="0" w:space="0" w:color="auto"/>
        <w:left w:val="none" w:sz="0" w:space="0" w:color="auto"/>
        <w:bottom w:val="none" w:sz="0" w:space="0" w:color="auto"/>
        <w:right w:val="none" w:sz="0" w:space="0" w:color="auto"/>
      </w:divBdr>
    </w:div>
    <w:div w:id="641665938">
      <w:bodyDiv w:val="1"/>
      <w:marLeft w:val="0"/>
      <w:marRight w:val="0"/>
      <w:marTop w:val="0"/>
      <w:marBottom w:val="0"/>
      <w:divBdr>
        <w:top w:val="none" w:sz="0" w:space="0" w:color="auto"/>
        <w:left w:val="none" w:sz="0" w:space="0" w:color="auto"/>
        <w:bottom w:val="none" w:sz="0" w:space="0" w:color="auto"/>
        <w:right w:val="none" w:sz="0" w:space="0" w:color="auto"/>
      </w:divBdr>
    </w:div>
    <w:div w:id="654646013">
      <w:bodyDiv w:val="1"/>
      <w:marLeft w:val="0"/>
      <w:marRight w:val="0"/>
      <w:marTop w:val="0"/>
      <w:marBottom w:val="0"/>
      <w:divBdr>
        <w:top w:val="none" w:sz="0" w:space="0" w:color="auto"/>
        <w:left w:val="none" w:sz="0" w:space="0" w:color="auto"/>
        <w:bottom w:val="none" w:sz="0" w:space="0" w:color="auto"/>
        <w:right w:val="none" w:sz="0" w:space="0" w:color="auto"/>
      </w:divBdr>
    </w:div>
    <w:div w:id="661278121">
      <w:bodyDiv w:val="1"/>
      <w:marLeft w:val="0"/>
      <w:marRight w:val="0"/>
      <w:marTop w:val="0"/>
      <w:marBottom w:val="0"/>
      <w:divBdr>
        <w:top w:val="none" w:sz="0" w:space="0" w:color="auto"/>
        <w:left w:val="none" w:sz="0" w:space="0" w:color="auto"/>
        <w:bottom w:val="none" w:sz="0" w:space="0" w:color="auto"/>
        <w:right w:val="none" w:sz="0" w:space="0" w:color="auto"/>
      </w:divBdr>
    </w:div>
    <w:div w:id="665935472">
      <w:bodyDiv w:val="1"/>
      <w:marLeft w:val="0"/>
      <w:marRight w:val="0"/>
      <w:marTop w:val="0"/>
      <w:marBottom w:val="0"/>
      <w:divBdr>
        <w:top w:val="none" w:sz="0" w:space="0" w:color="auto"/>
        <w:left w:val="none" w:sz="0" w:space="0" w:color="auto"/>
        <w:bottom w:val="none" w:sz="0" w:space="0" w:color="auto"/>
        <w:right w:val="none" w:sz="0" w:space="0" w:color="auto"/>
      </w:divBdr>
    </w:div>
    <w:div w:id="668365204">
      <w:bodyDiv w:val="1"/>
      <w:marLeft w:val="0"/>
      <w:marRight w:val="0"/>
      <w:marTop w:val="0"/>
      <w:marBottom w:val="0"/>
      <w:divBdr>
        <w:top w:val="none" w:sz="0" w:space="0" w:color="auto"/>
        <w:left w:val="none" w:sz="0" w:space="0" w:color="auto"/>
        <w:bottom w:val="none" w:sz="0" w:space="0" w:color="auto"/>
        <w:right w:val="none" w:sz="0" w:space="0" w:color="auto"/>
      </w:divBdr>
    </w:div>
    <w:div w:id="669218538">
      <w:bodyDiv w:val="1"/>
      <w:marLeft w:val="0"/>
      <w:marRight w:val="0"/>
      <w:marTop w:val="0"/>
      <w:marBottom w:val="0"/>
      <w:divBdr>
        <w:top w:val="none" w:sz="0" w:space="0" w:color="auto"/>
        <w:left w:val="none" w:sz="0" w:space="0" w:color="auto"/>
        <w:bottom w:val="none" w:sz="0" w:space="0" w:color="auto"/>
        <w:right w:val="none" w:sz="0" w:space="0" w:color="auto"/>
      </w:divBdr>
    </w:div>
    <w:div w:id="669717373">
      <w:bodyDiv w:val="1"/>
      <w:marLeft w:val="0"/>
      <w:marRight w:val="0"/>
      <w:marTop w:val="0"/>
      <w:marBottom w:val="0"/>
      <w:divBdr>
        <w:top w:val="none" w:sz="0" w:space="0" w:color="auto"/>
        <w:left w:val="none" w:sz="0" w:space="0" w:color="auto"/>
        <w:bottom w:val="none" w:sz="0" w:space="0" w:color="auto"/>
        <w:right w:val="none" w:sz="0" w:space="0" w:color="auto"/>
      </w:divBdr>
    </w:div>
    <w:div w:id="671839756">
      <w:bodyDiv w:val="1"/>
      <w:marLeft w:val="0"/>
      <w:marRight w:val="0"/>
      <w:marTop w:val="0"/>
      <w:marBottom w:val="0"/>
      <w:divBdr>
        <w:top w:val="none" w:sz="0" w:space="0" w:color="auto"/>
        <w:left w:val="none" w:sz="0" w:space="0" w:color="auto"/>
        <w:bottom w:val="none" w:sz="0" w:space="0" w:color="auto"/>
        <w:right w:val="none" w:sz="0" w:space="0" w:color="auto"/>
      </w:divBdr>
    </w:div>
    <w:div w:id="677199588">
      <w:bodyDiv w:val="1"/>
      <w:marLeft w:val="0"/>
      <w:marRight w:val="0"/>
      <w:marTop w:val="0"/>
      <w:marBottom w:val="0"/>
      <w:divBdr>
        <w:top w:val="none" w:sz="0" w:space="0" w:color="auto"/>
        <w:left w:val="none" w:sz="0" w:space="0" w:color="auto"/>
        <w:bottom w:val="none" w:sz="0" w:space="0" w:color="auto"/>
        <w:right w:val="none" w:sz="0" w:space="0" w:color="auto"/>
      </w:divBdr>
    </w:div>
    <w:div w:id="690378211">
      <w:bodyDiv w:val="1"/>
      <w:marLeft w:val="0"/>
      <w:marRight w:val="0"/>
      <w:marTop w:val="0"/>
      <w:marBottom w:val="0"/>
      <w:divBdr>
        <w:top w:val="none" w:sz="0" w:space="0" w:color="auto"/>
        <w:left w:val="none" w:sz="0" w:space="0" w:color="auto"/>
        <w:bottom w:val="none" w:sz="0" w:space="0" w:color="auto"/>
        <w:right w:val="none" w:sz="0" w:space="0" w:color="auto"/>
      </w:divBdr>
    </w:div>
    <w:div w:id="712849290">
      <w:bodyDiv w:val="1"/>
      <w:marLeft w:val="0"/>
      <w:marRight w:val="0"/>
      <w:marTop w:val="0"/>
      <w:marBottom w:val="0"/>
      <w:divBdr>
        <w:top w:val="none" w:sz="0" w:space="0" w:color="auto"/>
        <w:left w:val="none" w:sz="0" w:space="0" w:color="auto"/>
        <w:bottom w:val="none" w:sz="0" w:space="0" w:color="auto"/>
        <w:right w:val="none" w:sz="0" w:space="0" w:color="auto"/>
      </w:divBdr>
    </w:div>
    <w:div w:id="713241013">
      <w:bodyDiv w:val="1"/>
      <w:marLeft w:val="0"/>
      <w:marRight w:val="0"/>
      <w:marTop w:val="0"/>
      <w:marBottom w:val="0"/>
      <w:divBdr>
        <w:top w:val="none" w:sz="0" w:space="0" w:color="auto"/>
        <w:left w:val="none" w:sz="0" w:space="0" w:color="auto"/>
        <w:bottom w:val="none" w:sz="0" w:space="0" w:color="auto"/>
        <w:right w:val="none" w:sz="0" w:space="0" w:color="auto"/>
      </w:divBdr>
    </w:div>
    <w:div w:id="716272976">
      <w:bodyDiv w:val="1"/>
      <w:marLeft w:val="0"/>
      <w:marRight w:val="0"/>
      <w:marTop w:val="0"/>
      <w:marBottom w:val="0"/>
      <w:divBdr>
        <w:top w:val="none" w:sz="0" w:space="0" w:color="auto"/>
        <w:left w:val="none" w:sz="0" w:space="0" w:color="auto"/>
        <w:bottom w:val="none" w:sz="0" w:space="0" w:color="auto"/>
        <w:right w:val="none" w:sz="0" w:space="0" w:color="auto"/>
      </w:divBdr>
    </w:div>
    <w:div w:id="724639793">
      <w:bodyDiv w:val="1"/>
      <w:marLeft w:val="0"/>
      <w:marRight w:val="0"/>
      <w:marTop w:val="0"/>
      <w:marBottom w:val="0"/>
      <w:divBdr>
        <w:top w:val="none" w:sz="0" w:space="0" w:color="auto"/>
        <w:left w:val="none" w:sz="0" w:space="0" w:color="auto"/>
        <w:bottom w:val="none" w:sz="0" w:space="0" w:color="auto"/>
        <w:right w:val="none" w:sz="0" w:space="0" w:color="auto"/>
      </w:divBdr>
    </w:div>
    <w:div w:id="728697214">
      <w:bodyDiv w:val="1"/>
      <w:marLeft w:val="0"/>
      <w:marRight w:val="0"/>
      <w:marTop w:val="0"/>
      <w:marBottom w:val="0"/>
      <w:divBdr>
        <w:top w:val="none" w:sz="0" w:space="0" w:color="auto"/>
        <w:left w:val="none" w:sz="0" w:space="0" w:color="auto"/>
        <w:bottom w:val="none" w:sz="0" w:space="0" w:color="auto"/>
        <w:right w:val="none" w:sz="0" w:space="0" w:color="auto"/>
      </w:divBdr>
    </w:div>
    <w:div w:id="735399352">
      <w:bodyDiv w:val="1"/>
      <w:marLeft w:val="0"/>
      <w:marRight w:val="0"/>
      <w:marTop w:val="0"/>
      <w:marBottom w:val="0"/>
      <w:divBdr>
        <w:top w:val="none" w:sz="0" w:space="0" w:color="auto"/>
        <w:left w:val="none" w:sz="0" w:space="0" w:color="auto"/>
        <w:bottom w:val="none" w:sz="0" w:space="0" w:color="auto"/>
        <w:right w:val="none" w:sz="0" w:space="0" w:color="auto"/>
      </w:divBdr>
    </w:div>
    <w:div w:id="741490264">
      <w:bodyDiv w:val="1"/>
      <w:marLeft w:val="0"/>
      <w:marRight w:val="0"/>
      <w:marTop w:val="0"/>
      <w:marBottom w:val="0"/>
      <w:divBdr>
        <w:top w:val="none" w:sz="0" w:space="0" w:color="auto"/>
        <w:left w:val="none" w:sz="0" w:space="0" w:color="auto"/>
        <w:bottom w:val="none" w:sz="0" w:space="0" w:color="auto"/>
        <w:right w:val="none" w:sz="0" w:space="0" w:color="auto"/>
      </w:divBdr>
    </w:div>
    <w:div w:id="744106668">
      <w:bodyDiv w:val="1"/>
      <w:marLeft w:val="0"/>
      <w:marRight w:val="0"/>
      <w:marTop w:val="0"/>
      <w:marBottom w:val="0"/>
      <w:divBdr>
        <w:top w:val="none" w:sz="0" w:space="0" w:color="auto"/>
        <w:left w:val="none" w:sz="0" w:space="0" w:color="auto"/>
        <w:bottom w:val="none" w:sz="0" w:space="0" w:color="auto"/>
        <w:right w:val="none" w:sz="0" w:space="0" w:color="auto"/>
      </w:divBdr>
    </w:div>
    <w:div w:id="749471378">
      <w:bodyDiv w:val="1"/>
      <w:marLeft w:val="0"/>
      <w:marRight w:val="0"/>
      <w:marTop w:val="0"/>
      <w:marBottom w:val="0"/>
      <w:divBdr>
        <w:top w:val="none" w:sz="0" w:space="0" w:color="auto"/>
        <w:left w:val="none" w:sz="0" w:space="0" w:color="auto"/>
        <w:bottom w:val="none" w:sz="0" w:space="0" w:color="auto"/>
        <w:right w:val="none" w:sz="0" w:space="0" w:color="auto"/>
      </w:divBdr>
    </w:div>
    <w:div w:id="770317464">
      <w:bodyDiv w:val="1"/>
      <w:marLeft w:val="0"/>
      <w:marRight w:val="0"/>
      <w:marTop w:val="0"/>
      <w:marBottom w:val="0"/>
      <w:divBdr>
        <w:top w:val="none" w:sz="0" w:space="0" w:color="auto"/>
        <w:left w:val="none" w:sz="0" w:space="0" w:color="auto"/>
        <w:bottom w:val="none" w:sz="0" w:space="0" w:color="auto"/>
        <w:right w:val="none" w:sz="0" w:space="0" w:color="auto"/>
      </w:divBdr>
    </w:div>
    <w:div w:id="772868775">
      <w:bodyDiv w:val="1"/>
      <w:marLeft w:val="0"/>
      <w:marRight w:val="0"/>
      <w:marTop w:val="0"/>
      <w:marBottom w:val="0"/>
      <w:divBdr>
        <w:top w:val="none" w:sz="0" w:space="0" w:color="auto"/>
        <w:left w:val="none" w:sz="0" w:space="0" w:color="auto"/>
        <w:bottom w:val="none" w:sz="0" w:space="0" w:color="auto"/>
        <w:right w:val="none" w:sz="0" w:space="0" w:color="auto"/>
      </w:divBdr>
    </w:div>
    <w:div w:id="787629783">
      <w:bodyDiv w:val="1"/>
      <w:marLeft w:val="0"/>
      <w:marRight w:val="0"/>
      <w:marTop w:val="0"/>
      <w:marBottom w:val="0"/>
      <w:divBdr>
        <w:top w:val="none" w:sz="0" w:space="0" w:color="auto"/>
        <w:left w:val="none" w:sz="0" w:space="0" w:color="auto"/>
        <w:bottom w:val="none" w:sz="0" w:space="0" w:color="auto"/>
        <w:right w:val="none" w:sz="0" w:space="0" w:color="auto"/>
      </w:divBdr>
    </w:div>
    <w:div w:id="791361121">
      <w:bodyDiv w:val="1"/>
      <w:marLeft w:val="0"/>
      <w:marRight w:val="0"/>
      <w:marTop w:val="0"/>
      <w:marBottom w:val="0"/>
      <w:divBdr>
        <w:top w:val="none" w:sz="0" w:space="0" w:color="auto"/>
        <w:left w:val="none" w:sz="0" w:space="0" w:color="auto"/>
        <w:bottom w:val="none" w:sz="0" w:space="0" w:color="auto"/>
        <w:right w:val="none" w:sz="0" w:space="0" w:color="auto"/>
      </w:divBdr>
    </w:div>
    <w:div w:id="796021174">
      <w:bodyDiv w:val="1"/>
      <w:marLeft w:val="0"/>
      <w:marRight w:val="0"/>
      <w:marTop w:val="0"/>
      <w:marBottom w:val="0"/>
      <w:divBdr>
        <w:top w:val="none" w:sz="0" w:space="0" w:color="auto"/>
        <w:left w:val="none" w:sz="0" w:space="0" w:color="auto"/>
        <w:bottom w:val="none" w:sz="0" w:space="0" w:color="auto"/>
        <w:right w:val="none" w:sz="0" w:space="0" w:color="auto"/>
      </w:divBdr>
    </w:div>
    <w:div w:id="800925437">
      <w:bodyDiv w:val="1"/>
      <w:marLeft w:val="0"/>
      <w:marRight w:val="0"/>
      <w:marTop w:val="0"/>
      <w:marBottom w:val="0"/>
      <w:divBdr>
        <w:top w:val="none" w:sz="0" w:space="0" w:color="auto"/>
        <w:left w:val="none" w:sz="0" w:space="0" w:color="auto"/>
        <w:bottom w:val="none" w:sz="0" w:space="0" w:color="auto"/>
        <w:right w:val="none" w:sz="0" w:space="0" w:color="auto"/>
      </w:divBdr>
    </w:div>
    <w:div w:id="809245044">
      <w:bodyDiv w:val="1"/>
      <w:marLeft w:val="0"/>
      <w:marRight w:val="0"/>
      <w:marTop w:val="0"/>
      <w:marBottom w:val="0"/>
      <w:divBdr>
        <w:top w:val="none" w:sz="0" w:space="0" w:color="auto"/>
        <w:left w:val="none" w:sz="0" w:space="0" w:color="auto"/>
        <w:bottom w:val="none" w:sz="0" w:space="0" w:color="auto"/>
        <w:right w:val="none" w:sz="0" w:space="0" w:color="auto"/>
      </w:divBdr>
    </w:div>
    <w:div w:id="814687318">
      <w:bodyDiv w:val="1"/>
      <w:marLeft w:val="0"/>
      <w:marRight w:val="0"/>
      <w:marTop w:val="0"/>
      <w:marBottom w:val="0"/>
      <w:divBdr>
        <w:top w:val="none" w:sz="0" w:space="0" w:color="auto"/>
        <w:left w:val="none" w:sz="0" w:space="0" w:color="auto"/>
        <w:bottom w:val="none" w:sz="0" w:space="0" w:color="auto"/>
        <w:right w:val="none" w:sz="0" w:space="0" w:color="auto"/>
      </w:divBdr>
    </w:div>
    <w:div w:id="817262028">
      <w:bodyDiv w:val="1"/>
      <w:marLeft w:val="0"/>
      <w:marRight w:val="0"/>
      <w:marTop w:val="0"/>
      <w:marBottom w:val="0"/>
      <w:divBdr>
        <w:top w:val="none" w:sz="0" w:space="0" w:color="auto"/>
        <w:left w:val="none" w:sz="0" w:space="0" w:color="auto"/>
        <w:bottom w:val="none" w:sz="0" w:space="0" w:color="auto"/>
        <w:right w:val="none" w:sz="0" w:space="0" w:color="auto"/>
      </w:divBdr>
    </w:div>
    <w:div w:id="820462331">
      <w:bodyDiv w:val="1"/>
      <w:marLeft w:val="0"/>
      <w:marRight w:val="0"/>
      <w:marTop w:val="0"/>
      <w:marBottom w:val="0"/>
      <w:divBdr>
        <w:top w:val="none" w:sz="0" w:space="0" w:color="auto"/>
        <w:left w:val="none" w:sz="0" w:space="0" w:color="auto"/>
        <w:bottom w:val="none" w:sz="0" w:space="0" w:color="auto"/>
        <w:right w:val="none" w:sz="0" w:space="0" w:color="auto"/>
      </w:divBdr>
    </w:div>
    <w:div w:id="828206786">
      <w:bodyDiv w:val="1"/>
      <w:marLeft w:val="0"/>
      <w:marRight w:val="0"/>
      <w:marTop w:val="0"/>
      <w:marBottom w:val="0"/>
      <w:divBdr>
        <w:top w:val="none" w:sz="0" w:space="0" w:color="auto"/>
        <w:left w:val="none" w:sz="0" w:space="0" w:color="auto"/>
        <w:bottom w:val="none" w:sz="0" w:space="0" w:color="auto"/>
        <w:right w:val="none" w:sz="0" w:space="0" w:color="auto"/>
      </w:divBdr>
    </w:div>
    <w:div w:id="828398969">
      <w:bodyDiv w:val="1"/>
      <w:marLeft w:val="0"/>
      <w:marRight w:val="0"/>
      <w:marTop w:val="0"/>
      <w:marBottom w:val="0"/>
      <w:divBdr>
        <w:top w:val="none" w:sz="0" w:space="0" w:color="auto"/>
        <w:left w:val="none" w:sz="0" w:space="0" w:color="auto"/>
        <w:bottom w:val="none" w:sz="0" w:space="0" w:color="auto"/>
        <w:right w:val="none" w:sz="0" w:space="0" w:color="auto"/>
      </w:divBdr>
    </w:div>
    <w:div w:id="831020758">
      <w:bodyDiv w:val="1"/>
      <w:marLeft w:val="0"/>
      <w:marRight w:val="0"/>
      <w:marTop w:val="0"/>
      <w:marBottom w:val="0"/>
      <w:divBdr>
        <w:top w:val="none" w:sz="0" w:space="0" w:color="auto"/>
        <w:left w:val="none" w:sz="0" w:space="0" w:color="auto"/>
        <w:bottom w:val="none" w:sz="0" w:space="0" w:color="auto"/>
        <w:right w:val="none" w:sz="0" w:space="0" w:color="auto"/>
      </w:divBdr>
    </w:div>
    <w:div w:id="831918549">
      <w:bodyDiv w:val="1"/>
      <w:marLeft w:val="0"/>
      <w:marRight w:val="0"/>
      <w:marTop w:val="0"/>
      <w:marBottom w:val="0"/>
      <w:divBdr>
        <w:top w:val="none" w:sz="0" w:space="0" w:color="auto"/>
        <w:left w:val="none" w:sz="0" w:space="0" w:color="auto"/>
        <w:bottom w:val="none" w:sz="0" w:space="0" w:color="auto"/>
        <w:right w:val="none" w:sz="0" w:space="0" w:color="auto"/>
      </w:divBdr>
    </w:div>
    <w:div w:id="832180240">
      <w:bodyDiv w:val="1"/>
      <w:marLeft w:val="0"/>
      <w:marRight w:val="0"/>
      <w:marTop w:val="0"/>
      <w:marBottom w:val="0"/>
      <w:divBdr>
        <w:top w:val="none" w:sz="0" w:space="0" w:color="auto"/>
        <w:left w:val="none" w:sz="0" w:space="0" w:color="auto"/>
        <w:bottom w:val="none" w:sz="0" w:space="0" w:color="auto"/>
        <w:right w:val="none" w:sz="0" w:space="0" w:color="auto"/>
      </w:divBdr>
    </w:div>
    <w:div w:id="833492923">
      <w:bodyDiv w:val="1"/>
      <w:marLeft w:val="0"/>
      <w:marRight w:val="0"/>
      <w:marTop w:val="0"/>
      <w:marBottom w:val="0"/>
      <w:divBdr>
        <w:top w:val="none" w:sz="0" w:space="0" w:color="auto"/>
        <w:left w:val="none" w:sz="0" w:space="0" w:color="auto"/>
        <w:bottom w:val="none" w:sz="0" w:space="0" w:color="auto"/>
        <w:right w:val="none" w:sz="0" w:space="0" w:color="auto"/>
      </w:divBdr>
    </w:div>
    <w:div w:id="835339734">
      <w:bodyDiv w:val="1"/>
      <w:marLeft w:val="0"/>
      <w:marRight w:val="0"/>
      <w:marTop w:val="0"/>
      <w:marBottom w:val="0"/>
      <w:divBdr>
        <w:top w:val="none" w:sz="0" w:space="0" w:color="auto"/>
        <w:left w:val="none" w:sz="0" w:space="0" w:color="auto"/>
        <w:bottom w:val="none" w:sz="0" w:space="0" w:color="auto"/>
        <w:right w:val="none" w:sz="0" w:space="0" w:color="auto"/>
      </w:divBdr>
    </w:div>
    <w:div w:id="840892804">
      <w:bodyDiv w:val="1"/>
      <w:marLeft w:val="0"/>
      <w:marRight w:val="0"/>
      <w:marTop w:val="0"/>
      <w:marBottom w:val="0"/>
      <w:divBdr>
        <w:top w:val="none" w:sz="0" w:space="0" w:color="auto"/>
        <w:left w:val="none" w:sz="0" w:space="0" w:color="auto"/>
        <w:bottom w:val="none" w:sz="0" w:space="0" w:color="auto"/>
        <w:right w:val="none" w:sz="0" w:space="0" w:color="auto"/>
      </w:divBdr>
    </w:div>
    <w:div w:id="849493144">
      <w:bodyDiv w:val="1"/>
      <w:marLeft w:val="0"/>
      <w:marRight w:val="0"/>
      <w:marTop w:val="0"/>
      <w:marBottom w:val="0"/>
      <w:divBdr>
        <w:top w:val="none" w:sz="0" w:space="0" w:color="auto"/>
        <w:left w:val="none" w:sz="0" w:space="0" w:color="auto"/>
        <w:bottom w:val="none" w:sz="0" w:space="0" w:color="auto"/>
        <w:right w:val="none" w:sz="0" w:space="0" w:color="auto"/>
      </w:divBdr>
    </w:div>
    <w:div w:id="852574618">
      <w:bodyDiv w:val="1"/>
      <w:marLeft w:val="0"/>
      <w:marRight w:val="0"/>
      <w:marTop w:val="0"/>
      <w:marBottom w:val="0"/>
      <w:divBdr>
        <w:top w:val="none" w:sz="0" w:space="0" w:color="auto"/>
        <w:left w:val="none" w:sz="0" w:space="0" w:color="auto"/>
        <w:bottom w:val="none" w:sz="0" w:space="0" w:color="auto"/>
        <w:right w:val="none" w:sz="0" w:space="0" w:color="auto"/>
      </w:divBdr>
    </w:div>
    <w:div w:id="855459041">
      <w:bodyDiv w:val="1"/>
      <w:marLeft w:val="0"/>
      <w:marRight w:val="0"/>
      <w:marTop w:val="0"/>
      <w:marBottom w:val="0"/>
      <w:divBdr>
        <w:top w:val="none" w:sz="0" w:space="0" w:color="auto"/>
        <w:left w:val="none" w:sz="0" w:space="0" w:color="auto"/>
        <w:bottom w:val="none" w:sz="0" w:space="0" w:color="auto"/>
        <w:right w:val="none" w:sz="0" w:space="0" w:color="auto"/>
      </w:divBdr>
    </w:div>
    <w:div w:id="859008503">
      <w:bodyDiv w:val="1"/>
      <w:marLeft w:val="0"/>
      <w:marRight w:val="0"/>
      <w:marTop w:val="0"/>
      <w:marBottom w:val="0"/>
      <w:divBdr>
        <w:top w:val="none" w:sz="0" w:space="0" w:color="auto"/>
        <w:left w:val="none" w:sz="0" w:space="0" w:color="auto"/>
        <w:bottom w:val="none" w:sz="0" w:space="0" w:color="auto"/>
        <w:right w:val="none" w:sz="0" w:space="0" w:color="auto"/>
      </w:divBdr>
    </w:div>
    <w:div w:id="859708011">
      <w:bodyDiv w:val="1"/>
      <w:marLeft w:val="0"/>
      <w:marRight w:val="0"/>
      <w:marTop w:val="0"/>
      <w:marBottom w:val="0"/>
      <w:divBdr>
        <w:top w:val="none" w:sz="0" w:space="0" w:color="auto"/>
        <w:left w:val="none" w:sz="0" w:space="0" w:color="auto"/>
        <w:bottom w:val="none" w:sz="0" w:space="0" w:color="auto"/>
        <w:right w:val="none" w:sz="0" w:space="0" w:color="auto"/>
      </w:divBdr>
    </w:div>
    <w:div w:id="860125945">
      <w:bodyDiv w:val="1"/>
      <w:marLeft w:val="0"/>
      <w:marRight w:val="0"/>
      <w:marTop w:val="0"/>
      <w:marBottom w:val="0"/>
      <w:divBdr>
        <w:top w:val="none" w:sz="0" w:space="0" w:color="auto"/>
        <w:left w:val="none" w:sz="0" w:space="0" w:color="auto"/>
        <w:bottom w:val="none" w:sz="0" w:space="0" w:color="auto"/>
        <w:right w:val="none" w:sz="0" w:space="0" w:color="auto"/>
      </w:divBdr>
    </w:div>
    <w:div w:id="865558571">
      <w:bodyDiv w:val="1"/>
      <w:marLeft w:val="0"/>
      <w:marRight w:val="0"/>
      <w:marTop w:val="0"/>
      <w:marBottom w:val="0"/>
      <w:divBdr>
        <w:top w:val="none" w:sz="0" w:space="0" w:color="auto"/>
        <w:left w:val="none" w:sz="0" w:space="0" w:color="auto"/>
        <w:bottom w:val="none" w:sz="0" w:space="0" w:color="auto"/>
        <w:right w:val="none" w:sz="0" w:space="0" w:color="auto"/>
      </w:divBdr>
    </w:div>
    <w:div w:id="866479789">
      <w:bodyDiv w:val="1"/>
      <w:marLeft w:val="0"/>
      <w:marRight w:val="0"/>
      <w:marTop w:val="0"/>
      <w:marBottom w:val="0"/>
      <w:divBdr>
        <w:top w:val="none" w:sz="0" w:space="0" w:color="auto"/>
        <w:left w:val="none" w:sz="0" w:space="0" w:color="auto"/>
        <w:bottom w:val="none" w:sz="0" w:space="0" w:color="auto"/>
        <w:right w:val="none" w:sz="0" w:space="0" w:color="auto"/>
      </w:divBdr>
    </w:div>
    <w:div w:id="866715174">
      <w:bodyDiv w:val="1"/>
      <w:marLeft w:val="0"/>
      <w:marRight w:val="0"/>
      <w:marTop w:val="0"/>
      <w:marBottom w:val="0"/>
      <w:divBdr>
        <w:top w:val="none" w:sz="0" w:space="0" w:color="auto"/>
        <w:left w:val="none" w:sz="0" w:space="0" w:color="auto"/>
        <w:bottom w:val="none" w:sz="0" w:space="0" w:color="auto"/>
        <w:right w:val="none" w:sz="0" w:space="0" w:color="auto"/>
      </w:divBdr>
    </w:div>
    <w:div w:id="881285620">
      <w:bodyDiv w:val="1"/>
      <w:marLeft w:val="0"/>
      <w:marRight w:val="0"/>
      <w:marTop w:val="0"/>
      <w:marBottom w:val="0"/>
      <w:divBdr>
        <w:top w:val="none" w:sz="0" w:space="0" w:color="auto"/>
        <w:left w:val="none" w:sz="0" w:space="0" w:color="auto"/>
        <w:bottom w:val="none" w:sz="0" w:space="0" w:color="auto"/>
        <w:right w:val="none" w:sz="0" w:space="0" w:color="auto"/>
      </w:divBdr>
    </w:div>
    <w:div w:id="884029592">
      <w:bodyDiv w:val="1"/>
      <w:marLeft w:val="0"/>
      <w:marRight w:val="0"/>
      <w:marTop w:val="0"/>
      <w:marBottom w:val="0"/>
      <w:divBdr>
        <w:top w:val="none" w:sz="0" w:space="0" w:color="auto"/>
        <w:left w:val="none" w:sz="0" w:space="0" w:color="auto"/>
        <w:bottom w:val="none" w:sz="0" w:space="0" w:color="auto"/>
        <w:right w:val="none" w:sz="0" w:space="0" w:color="auto"/>
      </w:divBdr>
    </w:div>
    <w:div w:id="895624714">
      <w:bodyDiv w:val="1"/>
      <w:marLeft w:val="0"/>
      <w:marRight w:val="0"/>
      <w:marTop w:val="0"/>
      <w:marBottom w:val="0"/>
      <w:divBdr>
        <w:top w:val="none" w:sz="0" w:space="0" w:color="auto"/>
        <w:left w:val="none" w:sz="0" w:space="0" w:color="auto"/>
        <w:bottom w:val="none" w:sz="0" w:space="0" w:color="auto"/>
        <w:right w:val="none" w:sz="0" w:space="0" w:color="auto"/>
      </w:divBdr>
    </w:div>
    <w:div w:id="896551122">
      <w:bodyDiv w:val="1"/>
      <w:marLeft w:val="0"/>
      <w:marRight w:val="0"/>
      <w:marTop w:val="0"/>
      <w:marBottom w:val="0"/>
      <w:divBdr>
        <w:top w:val="none" w:sz="0" w:space="0" w:color="auto"/>
        <w:left w:val="none" w:sz="0" w:space="0" w:color="auto"/>
        <w:bottom w:val="none" w:sz="0" w:space="0" w:color="auto"/>
        <w:right w:val="none" w:sz="0" w:space="0" w:color="auto"/>
      </w:divBdr>
    </w:div>
    <w:div w:id="897588472">
      <w:bodyDiv w:val="1"/>
      <w:marLeft w:val="0"/>
      <w:marRight w:val="0"/>
      <w:marTop w:val="0"/>
      <w:marBottom w:val="0"/>
      <w:divBdr>
        <w:top w:val="none" w:sz="0" w:space="0" w:color="auto"/>
        <w:left w:val="none" w:sz="0" w:space="0" w:color="auto"/>
        <w:bottom w:val="none" w:sz="0" w:space="0" w:color="auto"/>
        <w:right w:val="none" w:sz="0" w:space="0" w:color="auto"/>
      </w:divBdr>
    </w:div>
    <w:div w:id="900796878">
      <w:bodyDiv w:val="1"/>
      <w:marLeft w:val="0"/>
      <w:marRight w:val="0"/>
      <w:marTop w:val="0"/>
      <w:marBottom w:val="0"/>
      <w:divBdr>
        <w:top w:val="none" w:sz="0" w:space="0" w:color="auto"/>
        <w:left w:val="none" w:sz="0" w:space="0" w:color="auto"/>
        <w:bottom w:val="none" w:sz="0" w:space="0" w:color="auto"/>
        <w:right w:val="none" w:sz="0" w:space="0" w:color="auto"/>
      </w:divBdr>
    </w:div>
    <w:div w:id="912200865">
      <w:bodyDiv w:val="1"/>
      <w:marLeft w:val="0"/>
      <w:marRight w:val="0"/>
      <w:marTop w:val="0"/>
      <w:marBottom w:val="0"/>
      <w:divBdr>
        <w:top w:val="none" w:sz="0" w:space="0" w:color="auto"/>
        <w:left w:val="none" w:sz="0" w:space="0" w:color="auto"/>
        <w:bottom w:val="none" w:sz="0" w:space="0" w:color="auto"/>
        <w:right w:val="none" w:sz="0" w:space="0" w:color="auto"/>
      </w:divBdr>
    </w:div>
    <w:div w:id="915751572">
      <w:bodyDiv w:val="1"/>
      <w:marLeft w:val="0"/>
      <w:marRight w:val="0"/>
      <w:marTop w:val="0"/>
      <w:marBottom w:val="0"/>
      <w:divBdr>
        <w:top w:val="none" w:sz="0" w:space="0" w:color="auto"/>
        <w:left w:val="none" w:sz="0" w:space="0" w:color="auto"/>
        <w:bottom w:val="none" w:sz="0" w:space="0" w:color="auto"/>
        <w:right w:val="none" w:sz="0" w:space="0" w:color="auto"/>
      </w:divBdr>
    </w:div>
    <w:div w:id="927075388">
      <w:bodyDiv w:val="1"/>
      <w:marLeft w:val="0"/>
      <w:marRight w:val="0"/>
      <w:marTop w:val="0"/>
      <w:marBottom w:val="0"/>
      <w:divBdr>
        <w:top w:val="none" w:sz="0" w:space="0" w:color="auto"/>
        <w:left w:val="none" w:sz="0" w:space="0" w:color="auto"/>
        <w:bottom w:val="none" w:sz="0" w:space="0" w:color="auto"/>
        <w:right w:val="none" w:sz="0" w:space="0" w:color="auto"/>
      </w:divBdr>
    </w:div>
    <w:div w:id="931820620">
      <w:bodyDiv w:val="1"/>
      <w:marLeft w:val="0"/>
      <w:marRight w:val="0"/>
      <w:marTop w:val="0"/>
      <w:marBottom w:val="0"/>
      <w:divBdr>
        <w:top w:val="none" w:sz="0" w:space="0" w:color="auto"/>
        <w:left w:val="none" w:sz="0" w:space="0" w:color="auto"/>
        <w:bottom w:val="none" w:sz="0" w:space="0" w:color="auto"/>
        <w:right w:val="none" w:sz="0" w:space="0" w:color="auto"/>
      </w:divBdr>
    </w:div>
    <w:div w:id="932518777">
      <w:bodyDiv w:val="1"/>
      <w:marLeft w:val="0"/>
      <w:marRight w:val="0"/>
      <w:marTop w:val="0"/>
      <w:marBottom w:val="0"/>
      <w:divBdr>
        <w:top w:val="none" w:sz="0" w:space="0" w:color="auto"/>
        <w:left w:val="none" w:sz="0" w:space="0" w:color="auto"/>
        <w:bottom w:val="none" w:sz="0" w:space="0" w:color="auto"/>
        <w:right w:val="none" w:sz="0" w:space="0" w:color="auto"/>
      </w:divBdr>
    </w:div>
    <w:div w:id="933317668">
      <w:bodyDiv w:val="1"/>
      <w:marLeft w:val="0"/>
      <w:marRight w:val="0"/>
      <w:marTop w:val="0"/>
      <w:marBottom w:val="0"/>
      <w:divBdr>
        <w:top w:val="none" w:sz="0" w:space="0" w:color="auto"/>
        <w:left w:val="none" w:sz="0" w:space="0" w:color="auto"/>
        <w:bottom w:val="none" w:sz="0" w:space="0" w:color="auto"/>
        <w:right w:val="none" w:sz="0" w:space="0" w:color="auto"/>
      </w:divBdr>
    </w:div>
    <w:div w:id="945576882">
      <w:bodyDiv w:val="1"/>
      <w:marLeft w:val="0"/>
      <w:marRight w:val="0"/>
      <w:marTop w:val="0"/>
      <w:marBottom w:val="0"/>
      <w:divBdr>
        <w:top w:val="none" w:sz="0" w:space="0" w:color="auto"/>
        <w:left w:val="none" w:sz="0" w:space="0" w:color="auto"/>
        <w:bottom w:val="none" w:sz="0" w:space="0" w:color="auto"/>
        <w:right w:val="none" w:sz="0" w:space="0" w:color="auto"/>
      </w:divBdr>
    </w:div>
    <w:div w:id="951789724">
      <w:bodyDiv w:val="1"/>
      <w:marLeft w:val="0"/>
      <w:marRight w:val="0"/>
      <w:marTop w:val="0"/>
      <w:marBottom w:val="0"/>
      <w:divBdr>
        <w:top w:val="none" w:sz="0" w:space="0" w:color="auto"/>
        <w:left w:val="none" w:sz="0" w:space="0" w:color="auto"/>
        <w:bottom w:val="none" w:sz="0" w:space="0" w:color="auto"/>
        <w:right w:val="none" w:sz="0" w:space="0" w:color="auto"/>
      </w:divBdr>
    </w:div>
    <w:div w:id="955792126">
      <w:bodyDiv w:val="1"/>
      <w:marLeft w:val="0"/>
      <w:marRight w:val="0"/>
      <w:marTop w:val="0"/>
      <w:marBottom w:val="0"/>
      <w:divBdr>
        <w:top w:val="none" w:sz="0" w:space="0" w:color="auto"/>
        <w:left w:val="none" w:sz="0" w:space="0" w:color="auto"/>
        <w:bottom w:val="none" w:sz="0" w:space="0" w:color="auto"/>
        <w:right w:val="none" w:sz="0" w:space="0" w:color="auto"/>
      </w:divBdr>
    </w:div>
    <w:div w:id="955872433">
      <w:bodyDiv w:val="1"/>
      <w:marLeft w:val="0"/>
      <w:marRight w:val="0"/>
      <w:marTop w:val="0"/>
      <w:marBottom w:val="0"/>
      <w:divBdr>
        <w:top w:val="none" w:sz="0" w:space="0" w:color="auto"/>
        <w:left w:val="none" w:sz="0" w:space="0" w:color="auto"/>
        <w:bottom w:val="none" w:sz="0" w:space="0" w:color="auto"/>
        <w:right w:val="none" w:sz="0" w:space="0" w:color="auto"/>
      </w:divBdr>
    </w:div>
    <w:div w:id="967206145">
      <w:bodyDiv w:val="1"/>
      <w:marLeft w:val="0"/>
      <w:marRight w:val="0"/>
      <w:marTop w:val="0"/>
      <w:marBottom w:val="0"/>
      <w:divBdr>
        <w:top w:val="none" w:sz="0" w:space="0" w:color="auto"/>
        <w:left w:val="none" w:sz="0" w:space="0" w:color="auto"/>
        <w:bottom w:val="none" w:sz="0" w:space="0" w:color="auto"/>
        <w:right w:val="none" w:sz="0" w:space="0" w:color="auto"/>
      </w:divBdr>
    </w:div>
    <w:div w:id="968583529">
      <w:bodyDiv w:val="1"/>
      <w:marLeft w:val="0"/>
      <w:marRight w:val="0"/>
      <w:marTop w:val="0"/>
      <w:marBottom w:val="0"/>
      <w:divBdr>
        <w:top w:val="none" w:sz="0" w:space="0" w:color="auto"/>
        <w:left w:val="none" w:sz="0" w:space="0" w:color="auto"/>
        <w:bottom w:val="none" w:sz="0" w:space="0" w:color="auto"/>
        <w:right w:val="none" w:sz="0" w:space="0" w:color="auto"/>
      </w:divBdr>
    </w:div>
    <w:div w:id="973871600">
      <w:bodyDiv w:val="1"/>
      <w:marLeft w:val="0"/>
      <w:marRight w:val="0"/>
      <w:marTop w:val="0"/>
      <w:marBottom w:val="0"/>
      <w:divBdr>
        <w:top w:val="none" w:sz="0" w:space="0" w:color="auto"/>
        <w:left w:val="none" w:sz="0" w:space="0" w:color="auto"/>
        <w:bottom w:val="none" w:sz="0" w:space="0" w:color="auto"/>
        <w:right w:val="none" w:sz="0" w:space="0" w:color="auto"/>
      </w:divBdr>
    </w:div>
    <w:div w:id="984745697">
      <w:bodyDiv w:val="1"/>
      <w:marLeft w:val="0"/>
      <w:marRight w:val="0"/>
      <w:marTop w:val="0"/>
      <w:marBottom w:val="0"/>
      <w:divBdr>
        <w:top w:val="none" w:sz="0" w:space="0" w:color="auto"/>
        <w:left w:val="none" w:sz="0" w:space="0" w:color="auto"/>
        <w:bottom w:val="none" w:sz="0" w:space="0" w:color="auto"/>
        <w:right w:val="none" w:sz="0" w:space="0" w:color="auto"/>
      </w:divBdr>
    </w:div>
    <w:div w:id="987900788">
      <w:bodyDiv w:val="1"/>
      <w:marLeft w:val="0"/>
      <w:marRight w:val="0"/>
      <w:marTop w:val="0"/>
      <w:marBottom w:val="0"/>
      <w:divBdr>
        <w:top w:val="none" w:sz="0" w:space="0" w:color="auto"/>
        <w:left w:val="none" w:sz="0" w:space="0" w:color="auto"/>
        <w:bottom w:val="none" w:sz="0" w:space="0" w:color="auto"/>
        <w:right w:val="none" w:sz="0" w:space="0" w:color="auto"/>
      </w:divBdr>
    </w:div>
    <w:div w:id="989332233">
      <w:bodyDiv w:val="1"/>
      <w:marLeft w:val="0"/>
      <w:marRight w:val="0"/>
      <w:marTop w:val="0"/>
      <w:marBottom w:val="0"/>
      <w:divBdr>
        <w:top w:val="none" w:sz="0" w:space="0" w:color="auto"/>
        <w:left w:val="none" w:sz="0" w:space="0" w:color="auto"/>
        <w:bottom w:val="none" w:sz="0" w:space="0" w:color="auto"/>
        <w:right w:val="none" w:sz="0" w:space="0" w:color="auto"/>
      </w:divBdr>
    </w:div>
    <w:div w:id="997462785">
      <w:bodyDiv w:val="1"/>
      <w:marLeft w:val="0"/>
      <w:marRight w:val="0"/>
      <w:marTop w:val="0"/>
      <w:marBottom w:val="0"/>
      <w:divBdr>
        <w:top w:val="none" w:sz="0" w:space="0" w:color="auto"/>
        <w:left w:val="none" w:sz="0" w:space="0" w:color="auto"/>
        <w:bottom w:val="none" w:sz="0" w:space="0" w:color="auto"/>
        <w:right w:val="none" w:sz="0" w:space="0" w:color="auto"/>
      </w:divBdr>
    </w:div>
    <w:div w:id="1002585349">
      <w:bodyDiv w:val="1"/>
      <w:marLeft w:val="0"/>
      <w:marRight w:val="0"/>
      <w:marTop w:val="0"/>
      <w:marBottom w:val="0"/>
      <w:divBdr>
        <w:top w:val="none" w:sz="0" w:space="0" w:color="auto"/>
        <w:left w:val="none" w:sz="0" w:space="0" w:color="auto"/>
        <w:bottom w:val="none" w:sz="0" w:space="0" w:color="auto"/>
        <w:right w:val="none" w:sz="0" w:space="0" w:color="auto"/>
      </w:divBdr>
    </w:div>
    <w:div w:id="1004938282">
      <w:bodyDiv w:val="1"/>
      <w:marLeft w:val="0"/>
      <w:marRight w:val="0"/>
      <w:marTop w:val="0"/>
      <w:marBottom w:val="0"/>
      <w:divBdr>
        <w:top w:val="none" w:sz="0" w:space="0" w:color="auto"/>
        <w:left w:val="none" w:sz="0" w:space="0" w:color="auto"/>
        <w:bottom w:val="none" w:sz="0" w:space="0" w:color="auto"/>
        <w:right w:val="none" w:sz="0" w:space="0" w:color="auto"/>
      </w:divBdr>
    </w:div>
    <w:div w:id="1019818793">
      <w:bodyDiv w:val="1"/>
      <w:marLeft w:val="0"/>
      <w:marRight w:val="0"/>
      <w:marTop w:val="0"/>
      <w:marBottom w:val="0"/>
      <w:divBdr>
        <w:top w:val="none" w:sz="0" w:space="0" w:color="auto"/>
        <w:left w:val="none" w:sz="0" w:space="0" w:color="auto"/>
        <w:bottom w:val="none" w:sz="0" w:space="0" w:color="auto"/>
        <w:right w:val="none" w:sz="0" w:space="0" w:color="auto"/>
      </w:divBdr>
    </w:div>
    <w:div w:id="1035959341">
      <w:bodyDiv w:val="1"/>
      <w:marLeft w:val="0"/>
      <w:marRight w:val="0"/>
      <w:marTop w:val="0"/>
      <w:marBottom w:val="0"/>
      <w:divBdr>
        <w:top w:val="none" w:sz="0" w:space="0" w:color="auto"/>
        <w:left w:val="none" w:sz="0" w:space="0" w:color="auto"/>
        <w:bottom w:val="none" w:sz="0" w:space="0" w:color="auto"/>
        <w:right w:val="none" w:sz="0" w:space="0" w:color="auto"/>
      </w:divBdr>
    </w:div>
    <w:div w:id="1043019684">
      <w:bodyDiv w:val="1"/>
      <w:marLeft w:val="0"/>
      <w:marRight w:val="0"/>
      <w:marTop w:val="0"/>
      <w:marBottom w:val="0"/>
      <w:divBdr>
        <w:top w:val="none" w:sz="0" w:space="0" w:color="auto"/>
        <w:left w:val="none" w:sz="0" w:space="0" w:color="auto"/>
        <w:bottom w:val="none" w:sz="0" w:space="0" w:color="auto"/>
        <w:right w:val="none" w:sz="0" w:space="0" w:color="auto"/>
      </w:divBdr>
    </w:div>
    <w:div w:id="1053622477">
      <w:bodyDiv w:val="1"/>
      <w:marLeft w:val="0"/>
      <w:marRight w:val="0"/>
      <w:marTop w:val="0"/>
      <w:marBottom w:val="0"/>
      <w:divBdr>
        <w:top w:val="none" w:sz="0" w:space="0" w:color="auto"/>
        <w:left w:val="none" w:sz="0" w:space="0" w:color="auto"/>
        <w:bottom w:val="none" w:sz="0" w:space="0" w:color="auto"/>
        <w:right w:val="none" w:sz="0" w:space="0" w:color="auto"/>
      </w:divBdr>
    </w:div>
    <w:div w:id="1065959124">
      <w:bodyDiv w:val="1"/>
      <w:marLeft w:val="0"/>
      <w:marRight w:val="0"/>
      <w:marTop w:val="0"/>
      <w:marBottom w:val="0"/>
      <w:divBdr>
        <w:top w:val="none" w:sz="0" w:space="0" w:color="auto"/>
        <w:left w:val="none" w:sz="0" w:space="0" w:color="auto"/>
        <w:bottom w:val="none" w:sz="0" w:space="0" w:color="auto"/>
        <w:right w:val="none" w:sz="0" w:space="0" w:color="auto"/>
      </w:divBdr>
    </w:div>
    <w:div w:id="1071275987">
      <w:bodyDiv w:val="1"/>
      <w:marLeft w:val="0"/>
      <w:marRight w:val="0"/>
      <w:marTop w:val="0"/>
      <w:marBottom w:val="0"/>
      <w:divBdr>
        <w:top w:val="none" w:sz="0" w:space="0" w:color="auto"/>
        <w:left w:val="none" w:sz="0" w:space="0" w:color="auto"/>
        <w:bottom w:val="none" w:sz="0" w:space="0" w:color="auto"/>
        <w:right w:val="none" w:sz="0" w:space="0" w:color="auto"/>
      </w:divBdr>
    </w:div>
    <w:div w:id="1073819169">
      <w:bodyDiv w:val="1"/>
      <w:marLeft w:val="0"/>
      <w:marRight w:val="0"/>
      <w:marTop w:val="0"/>
      <w:marBottom w:val="0"/>
      <w:divBdr>
        <w:top w:val="none" w:sz="0" w:space="0" w:color="auto"/>
        <w:left w:val="none" w:sz="0" w:space="0" w:color="auto"/>
        <w:bottom w:val="none" w:sz="0" w:space="0" w:color="auto"/>
        <w:right w:val="none" w:sz="0" w:space="0" w:color="auto"/>
      </w:divBdr>
    </w:div>
    <w:div w:id="1081803573">
      <w:bodyDiv w:val="1"/>
      <w:marLeft w:val="0"/>
      <w:marRight w:val="0"/>
      <w:marTop w:val="0"/>
      <w:marBottom w:val="0"/>
      <w:divBdr>
        <w:top w:val="none" w:sz="0" w:space="0" w:color="auto"/>
        <w:left w:val="none" w:sz="0" w:space="0" w:color="auto"/>
        <w:bottom w:val="none" w:sz="0" w:space="0" w:color="auto"/>
        <w:right w:val="none" w:sz="0" w:space="0" w:color="auto"/>
      </w:divBdr>
    </w:div>
    <w:div w:id="1083260100">
      <w:bodyDiv w:val="1"/>
      <w:marLeft w:val="0"/>
      <w:marRight w:val="0"/>
      <w:marTop w:val="0"/>
      <w:marBottom w:val="0"/>
      <w:divBdr>
        <w:top w:val="none" w:sz="0" w:space="0" w:color="auto"/>
        <w:left w:val="none" w:sz="0" w:space="0" w:color="auto"/>
        <w:bottom w:val="none" w:sz="0" w:space="0" w:color="auto"/>
        <w:right w:val="none" w:sz="0" w:space="0" w:color="auto"/>
      </w:divBdr>
    </w:div>
    <w:div w:id="1094400829">
      <w:bodyDiv w:val="1"/>
      <w:marLeft w:val="0"/>
      <w:marRight w:val="0"/>
      <w:marTop w:val="0"/>
      <w:marBottom w:val="0"/>
      <w:divBdr>
        <w:top w:val="none" w:sz="0" w:space="0" w:color="auto"/>
        <w:left w:val="none" w:sz="0" w:space="0" w:color="auto"/>
        <w:bottom w:val="none" w:sz="0" w:space="0" w:color="auto"/>
        <w:right w:val="none" w:sz="0" w:space="0" w:color="auto"/>
      </w:divBdr>
    </w:div>
    <w:div w:id="1101797368">
      <w:bodyDiv w:val="1"/>
      <w:marLeft w:val="0"/>
      <w:marRight w:val="0"/>
      <w:marTop w:val="0"/>
      <w:marBottom w:val="0"/>
      <w:divBdr>
        <w:top w:val="none" w:sz="0" w:space="0" w:color="auto"/>
        <w:left w:val="none" w:sz="0" w:space="0" w:color="auto"/>
        <w:bottom w:val="none" w:sz="0" w:space="0" w:color="auto"/>
        <w:right w:val="none" w:sz="0" w:space="0" w:color="auto"/>
      </w:divBdr>
    </w:div>
    <w:div w:id="1110199546">
      <w:bodyDiv w:val="1"/>
      <w:marLeft w:val="0"/>
      <w:marRight w:val="0"/>
      <w:marTop w:val="0"/>
      <w:marBottom w:val="0"/>
      <w:divBdr>
        <w:top w:val="none" w:sz="0" w:space="0" w:color="auto"/>
        <w:left w:val="none" w:sz="0" w:space="0" w:color="auto"/>
        <w:bottom w:val="none" w:sz="0" w:space="0" w:color="auto"/>
        <w:right w:val="none" w:sz="0" w:space="0" w:color="auto"/>
      </w:divBdr>
    </w:div>
    <w:div w:id="1113594337">
      <w:bodyDiv w:val="1"/>
      <w:marLeft w:val="0"/>
      <w:marRight w:val="0"/>
      <w:marTop w:val="0"/>
      <w:marBottom w:val="0"/>
      <w:divBdr>
        <w:top w:val="none" w:sz="0" w:space="0" w:color="auto"/>
        <w:left w:val="none" w:sz="0" w:space="0" w:color="auto"/>
        <w:bottom w:val="none" w:sz="0" w:space="0" w:color="auto"/>
        <w:right w:val="none" w:sz="0" w:space="0" w:color="auto"/>
      </w:divBdr>
    </w:div>
    <w:div w:id="1113748004">
      <w:bodyDiv w:val="1"/>
      <w:marLeft w:val="0"/>
      <w:marRight w:val="0"/>
      <w:marTop w:val="0"/>
      <w:marBottom w:val="0"/>
      <w:divBdr>
        <w:top w:val="none" w:sz="0" w:space="0" w:color="auto"/>
        <w:left w:val="none" w:sz="0" w:space="0" w:color="auto"/>
        <w:bottom w:val="none" w:sz="0" w:space="0" w:color="auto"/>
        <w:right w:val="none" w:sz="0" w:space="0" w:color="auto"/>
      </w:divBdr>
    </w:div>
    <w:div w:id="1114591158">
      <w:bodyDiv w:val="1"/>
      <w:marLeft w:val="0"/>
      <w:marRight w:val="0"/>
      <w:marTop w:val="0"/>
      <w:marBottom w:val="0"/>
      <w:divBdr>
        <w:top w:val="none" w:sz="0" w:space="0" w:color="auto"/>
        <w:left w:val="none" w:sz="0" w:space="0" w:color="auto"/>
        <w:bottom w:val="none" w:sz="0" w:space="0" w:color="auto"/>
        <w:right w:val="none" w:sz="0" w:space="0" w:color="auto"/>
      </w:divBdr>
    </w:div>
    <w:div w:id="1118337346">
      <w:bodyDiv w:val="1"/>
      <w:marLeft w:val="0"/>
      <w:marRight w:val="0"/>
      <w:marTop w:val="0"/>
      <w:marBottom w:val="0"/>
      <w:divBdr>
        <w:top w:val="none" w:sz="0" w:space="0" w:color="auto"/>
        <w:left w:val="none" w:sz="0" w:space="0" w:color="auto"/>
        <w:bottom w:val="none" w:sz="0" w:space="0" w:color="auto"/>
        <w:right w:val="none" w:sz="0" w:space="0" w:color="auto"/>
      </w:divBdr>
    </w:div>
    <w:div w:id="1121001049">
      <w:bodyDiv w:val="1"/>
      <w:marLeft w:val="0"/>
      <w:marRight w:val="0"/>
      <w:marTop w:val="0"/>
      <w:marBottom w:val="0"/>
      <w:divBdr>
        <w:top w:val="none" w:sz="0" w:space="0" w:color="auto"/>
        <w:left w:val="none" w:sz="0" w:space="0" w:color="auto"/>
        <w:bottom w:val="none" w:sz="0" w:space="0" w:color="auto"/>
        <w:right w:val="none" w:sz="0" w:space="0" w:color="auto"/>
      </w:divBdr>
    </w:div>
    <w:div w:id="1133015606">
      <w:bodyDiv w:val="1"/>
      <w:marLeft w:val="0"/>
      <w:marRight w:val="0"/>
      <w:marTop w:val="0"/>
      <w:marBottom w:val="0"/>
      <w:divBdr>
        <w:top w:val="none" w:sz="0" w:space="0" w:color="auto"/>
        <w:left w:val="none" w:sz="0" w:space="0" w:color="auto"/>
        <w:bottom w:val="none" w:sz="0" w:space="0" w:color="auto"/>
        <w:right w:val="none" w:sz="0" w:space="0" w:color="auto"/>
      </w:divBdr>
    </w:div>
    <w:div w:id="1154179539">
      <w:bodyDiv w:val="1"/>
      <w:marLeft w:val="0"/>
      <w:marRight w:val="0"/>
      <w:marTop w:val="0"/>
      <w:marBottom w:val="0"/>
      <w:divBdr>
        <w:top w:val="none" w:sz="0" w:space="0" w:color="auto"/>
        <w:left w:val="none" w:sz="0" w:space="0" w:color="auto"/>
        <w:bottom w:val="none" w:sz="0" w:space="0" w:color="auto"/>
        <w:right w:val="none" w:sz="0" w:space="0" w:color="auto"/>
      </w:divBdr>
    </w:div>
    <w:div w:id="1156067027">
      <w:bodyDiv w:val="1"/>
      <w:marLeft w:val="0"/>
      <w:marRight w:val="0"/>
      <w:marTop w:val="0"/>
      <w:marBottom w:val="0"/>
      <w:divBdr>
        <w:top w:val="none" w:sz="0" w:space="0" w:color="auto"/>
        <w:left w:val="none" w:sz="0" w:space="0" w:color="auto"/>
        <w:bottom w:val="none" w:sz="0" w:space="0" w:color="auto"/>
        <w:right w:val="none" w:sz="0" w:space="0" w:color="auto"/>
      </w:divBdr>
    </w:div>
    <w:div w:id="1156385158">
      <w:bodyDiv w:val="1"/>
      <w:marLeft w:val="0"/>
      <w:marRight w:val="0"/>
      <w:marTop w:val="0"/>
      <w:marBottom w:val="0"/>
      <w:divBdr>
        <w:top w:val="none" w:sz="0" w:space="0" w:color="auto"/>
        <w:left w:val="none" w:sz="0" w:space="0" w:color="auto"/>
        <w:bottom w:val="none" w:sz="0" w:space="0" w:color="auto"/>
        <w:right w:val="none" w:sz="0" w:space="0" w:color="auto"/>
      </w:divBdr>
    </w:div>
    <w:div w:id="1158961843">
      <w:bodyDiv w:val="1"/>
      <w:marLeft w:val="0"/>
      <w:marRight w:val="0"/>
      <w:marTop w:val="0"/>
      <w:marBottom w:val="0"/>
      <w:divBdr>
        <w:top w:val="none" w:sz="0" w:space="0" w:color="auto"/>
        <w:left w:val="none" w:sz="0" w:space="0" w:color="auto"/>
        <w:bottom w:val="none" w:sz="0" w:space="0" w:color="auto"/>
        <w:right w:val="none" w:sz="0" w:space="0" w:color="auto"/>
      </w:divBdr>
    </w:div>
    <w:div w:id="1168980194">
      <w:bodyDiv w:val="1"/>
      <w:marLeft w:val="0"/>
      <w:marRight w:val="0"/>
      <w:marTop w:val="0"/>
      <w:marBottom w:val="0"/>
      <w:divBdr>
        <w:top w:val="none" w:sz="0" w:space="0" w:color="auto"/>
        <w:left w:val="none" w:sz="0" w:space="0" w:color="auto"/>
        <w:bottom w:val="none" w:sz="0" w:space="0" w:color="auto"/>
        <w:right w:val="none" w:sz="0" w:space="0" w:color="auto"/>
      </w:divBdr>
    </w:div>
    <w:div w:id="1173572825">
      <w:bodyDiv w:val="1"/>
      <w:marLeft w:val="0"/>
      <w:marRight w:val="0"/>
      <w:marTop w:val="0"/>
      <w:marBottom w:val="0"/>
      <w:divBdr>
        <w:top w:val="none" w:sz="0" w:space="0" w:color="auto"/>
        <w:left w:val="none" w:sz="0" w:space="0" w:color="auto"/>
        <w:bottom w:val="none" w:sz="0" w:space="0" w:color="auto"/>
        <w:right w:val="none" w:sz="0" w:space="0" w:color="auto"/>
      </w:divBdr>
    </w:div>
    <w:div w:id="1174763110">
      <w:bodyDiv w:val="1"/>
      <w:marLeft w:val="0"/>
      <w:marRight w:val="0"/>
      <w:marTop w:val="0"/>
      <w:marBottom w:val="0"/>
      <w:divBdr>
        <w:top w:val="none" w:sz="0" w:space="0" w:color="auto"/>
        <w:left w:val="none" w:sz="0" w:space="0" w:color="auto"/>
        <w:bottom w:val="none" w:sz="0" w:space="0" w:color="auto"/>
        <w:right w:val="none" w:sz="0" w:space="0" w:color="auto"/>
      </w:divBdr>
    </w:div>
    <w:div w:id="1180850570">
      <w:bodyDiv w:val="1"/>
      <w:marLeft w:val="0"/>
      <w:marRight w:val="0"/>
      <w:marTop w:val="0"/>
      <w:marBottom w:val="0"/>
      <w:divBdr>
        <w:top w:val="none" w:sz="0" w:space="0" w:color="auto"/>
        <w:left w:val="none" w:sz="0" w:space="0" w:color="auto"/>
        <w:bottom w:val="none" w:sz="0" w:space="0" w:color="auto"/>
        <w:right w:val="none" w:sz="0" w:space="0" w:color="auto"/>
      </w:divBdr>
    </w:div>
    <w:div w:id="1183784608">
      <w:bodyDiv w:val="1"/>
      <w:marLeft w:val="0"/>
      <w:marRight w:val="0"/>
      <w:marTop w:val="0"/>
      <w:marBottom w:val="0"/>
      <w:divBdr>
        <w:top w:val="none" w:sz="0" w:space="0" w:color="auto"/>
        <w:left w:val="none" w:sz="0" w:space="0" w:color="auto"/>
        <w:bottom w:val="none" w:sz="0" w:space="0" w:color="auto"/>
        <w:right w:val="none" w:sz="0" w:space="0" w:color="auto"/>
      </w:divBdr>
    </w:div>
    <w:div w:id="1192456238">
      <w:bodyDiv w:val="1"/>
      <w:marLeft w:val="0"/>
      <w:marRight w:val="0"/>
      <w:marTop w:val="0"/>
      <w:marBottom w:val="0"/>
      <w:divBdr>
        <w:top w:val="none" w:sz="0" w:space="0" w:color="auto"/>
        <w:left w:val="none" w:sz="0" w:space="0" w:color="auto"/>
        <w:bottom w:val="none" w:sz="0" w:space="0" w:color="auto"/>
        <w:right w:val="none" w:sz="0" w:space="0" w:color="auto"/>
      </w:divBdr>
    </w:div>
    <w:div w:id="1193617596">
      <w:bodyDiv w:val="1"/>
      <w:marLeft w:val="0"/>
      <w:marRight w:val="0"/>
      <w:marTop w:val="0"/>
      <w:marBottom w:val="0"/>
      <w:divBdr>
        <w:top w:val="none" w:sz="0" w:space="0" w:color="auto"/>
        <w:left w:val="none" w:sz="0" w:space="0" w:color="auto"/>
        <w:bottom w:val="none" w:sz="0" w:space="0" w:color="auto"/>
        <w:right w:val="none" w:sz="0" w:space="0" w:color="auto"/>
      </w:divBdr>
    </w:div>
    <w:div w:id="1201818179">
      <w:bodyDiv w:val="1"/>
      <w:marLeft w:val="0"/>
      <w:marRight w:val="0"/>
      <w:marTop w:val="0"/>
      <w:marBottom w:val="0"/>
      <w:divBdr>
        <w:top w:val="none" w:sz="0" w:space="0" w:color="auto"/>
        <w:left w:val="none" w:sz="0" w:space="0" w:color="auto"/>
        <w:bottom w:val="none" w:sz="0" w:space="0" w:color="auto"/>
        <w:right w:val="none" w:sz="0" w:space="0" w:color="auto"/>
      </w:divBdr>
    </w:div>
    <w:div w:id="1210535219">
      <w:bodyDiv w:val="1"/>
      <w:marLeft w:val="0"/>
      <w:marRight w:val="0"/>
      <w:marTop w:val="0"/>
      <w:marBottom w:val="0"/>
      <w:divBdr>
        <w:top w:val="none" w:sz="0" w:space="0" w:color="auto"/>
        <w:left w:val="none" w:sz="0" w:space="0" w:color="auto"/>
        <w:bottom w:val="none" w:sz="0" w:space="0" w:color="auto"/>
        <w:right w:val="none" w:sz="0" w:space="0" w:color="auto"/>
      </w:divBdr>
    </w:div>
    <w:div w:id="1211302173">
      <w:bodyDiv w:val="1"/>
      <w:marLeft w:val="0"/>
      <w:marRight w:val="0"/>
      <w:marTop w:val="0"/>
      <w:marBottom w:val="0"/>
      <w:divBdr>
        <w:top w:val="none" w:sz="0" w:space="0" w:color="auto"/>
        <w:left w:val="none" w:sz="0" w:space="0" w:color="auto"/>
        <w:bottom w:val="none" w:sz="0" w:space="0" w:color="auto"/>
        <w:right w:val="none" w:sz="0" w:space="0" w:color="auto"/>
      </w:divBdr>
    </w:div>
    <w:div w:id="1212618351">
      <w:bodyDiv w:val="1"/>
      <w:marLeft w:val="0"/>
      <w:marRight w:val="0"/>
      <w:marTop w:val="0"/>
      <w:marBottom w:val="0"/>
      <w:divBdr>
        <w:top w:val="none" w:sz="0" w:space="0" w:color="auto"/>
        <w:left w:val="none" w:sz="0" w:space="0" w:color="auto"/>
        <w:bottom w:val="none" w:sz="0" w:space="0" w:color="auto"/>
        <w:right w:val="none" w:sz="0" w:space="0" w:color="auto"/>
      </w:divBdr>
    </w:div>
    <w:div w:id="1214851545">
      <w:bodyDiv w:val="1"/>
      <w:marLeft w:val="0"/>
      <w:marRight w:val="0"/>
      <w:marTop w:val="0"/>
      <w:marBottom w:val="0"/>
      <w:divBdr>
        <w:top w:val="none" w:sz="0" w:space="0" w:color="auto"/>
        <w:left w:val="none" w:sz="0" w:space="0" w:color="auto"/>
        <w:bottom w:val="none" w:sz="0" w:space="0" w:color="auto"/>
        <w:right w:val="none" w:sz="0" w:space="0" w:color="auto"/>
      </w:divBdr>
    </w:div>
    <w:div w:id="1216697485">
      <w:bodyDiv w:val="1"/>
      <w:marLeft w:val="0"/>
      <w:marRight w:val="0"/>
      <w:marTop w:val="0"/>
      <w:marBottom w:val="0"/>
      <w:divBdr>
        <w:top w:val="none" w:sz="0" w:space="0" w:color="auto"/>
        <w:left w:val="none" w:sz="0" w:space="0" w:color="auto"/>
        <w:bottom w:val="none" w:sz="0" w:space="0" w:color="auto"/>
        <w:right w:val="none" w:sz="0" w:space="0" w:color="auto"/>
      </w:divBdr>
    </w:div>
    <w:div w:id="1216894554">
      <w:bodyDiv w:val="1"/>
      <w:marLeft w:val="0"/>
      <w:marRight w:val="0"/>
      <w:marTop w:val="0"/>
      <w:marBottom w:val="0"/>
      <w:divBdr>
        <w:top w:val="none" w:sz="0" w:space="0" w:color="auto"/>
        <w:left w:val="none" w:sz="0" w:space="0" w:color="auto"/>
        <w:bottom w:val="none" w:sz="0" w:space="0" w:color="auto"/>
        <w:right w:val="none" w:sz="0" w:space="0" w:color="auto"/>
      </w:divBdr>
    </w:div>
    <w:div w:id="1225065832">
      <w:bodyDiv w:val="1"/>
      <w:marLeft w:val="0"/>
      <w:marRight w:val="0"/>
      <w:marTop w:val="0"/>
      <w:marBottom w:val="0"/>
      <w:divBdr>
        <w:top w:val="none" w:sz="0" w:space="0" w:color="auto"/>
        <w:left w:val="none" w:sz="0" w:space="0" w:color="auto"/>
        <w:bottom w:val="none" w:sz="0" w:space="0" w:color="auto"/>
        <w:right w:val="none" w:sz="0" w:space="0" w:color="auto"/>
      </w:divBdr>
    </w:div>
    <w:div w:id="1242064256">
      <w:bodyDiv w:val="1"/>
      <w:marLeft w:val="0"/>
      <w:marRight w:val="0"/>
      <w:marTop w:val="0"/>
      <w:marBottom w:val="0"/>
      <w:divBdr>
        <w:top w:val="none" w:sz="0" w:space="0" w:color="auto"/>
        <w:left w:val="none" w:sz="0" w:space="0" w:color="auto"/>
        <w:bottom w:val="none" w:sz="0" w:space="0" w:color="auto"/>
        <w:right w:val="none" w:sz="0" w:space="0" w:color="auto"/>
      </w:divBdr>
    </w:div>
    <w:div w:id="1247884585">
      <w:bodyDiv w:val="1"/>
      <w:marLeft w:val="0"/>
      <w:marRight w:val="0"/>
      <w:marTop w:val="0"/>
      <w:marBottom w:val="0"/>
      <w:divBdr>
        <w:top w:val="none" w:sz="0" w:space="0" w:color="auto"/>
        <w:left w:val="none" w:sz="0" w:space="0" w:color="auto"/>
        <w:bottom w:val="none" w:sz="0" w:space="0" w:color="auto"/>
        <w:right w:val="none" w:sz="0" w:space="0" w:color="auto"/>
      </w:divBdr>
    </w:div>
    <w:div w:id="1262421556">
      <w:bodyDiv w:val="1"/>
      <w:marLeft w:val="0"/>
      <w:marRight w:val="0"/>
      <w:marTop w:val="0"/>
      <w:marBottom w:val="0"/>
      <w:divBdr>
        <w:top w:val="none" w:sz="0" w:space="0" w:color="auto"/>
        <w:left w:val="none" w:sz="0" w:space="0" w:color="auto"/>
        <w:bottom w:val="none" w:sz="0" w:space="0" w:color="auto"/>
        <w:right w:val="none" w:sz="0" w:space="0" w:color="auto"/>
      </w:divBdr>
    </w:div>
    <w:div w:id="1275795379">
      <w:bodyDiv w:val="1"/>
      <w:marLeft w:val="0"/>
      <w:marRight w:val="0"/>
      <w:marTop w:val="0"/>
      <w:marBottom w:val="0"/>
      <w:divBdr>
        <w:top w:val="none" w:sz="0" w:space="0" w:color="auto"/>
        <w:left w:val="none" w:sz="0" w:space="0" w:color="auto"/>
        <w:bottom w:val="none" w:sz="0" w:space="0" w:color="auto"/>
        <w:right w:val="none" w:sz="0" w:space="0" w:color="auto"/>
      </w:divBdr>
    </w:div>
    <w:div w:id="1278835332">
      <w:bodyDiv w:val="1"/>
      <w:marLeft w:val="0"/>
      <w:marRight w:val="0"/>
      <w:marTop w:val="0"/>
      <w:marBottom w:val="0"/>
      <w:divBdr>
        <w:top w:val="none" w:sz="0" w:space="0" w:color="auto"/>
        <w:left w:val="none" w:sz="0" w:space="0" w:color="auto"/>
        <w:bottom w:val="none" w:sz="0" w:space="0" w:color="auto"/>
        <w:right w:val="none" w:sz="0" w:space="0" w:color="auto"/>
      </w:divBdr>
    </w:div>
    <w:div w:id="1280867991">
      <w:bodyDiv w:val="1"/>
      <w:marLeft w:val="0"/>
      <w:marRight w:val="0"/>
      <w:marTop w:val="0"/>
      <w:marBottom w:val="0"/>
      <w:divBdr>
        <w:top w:val="none" w:sz="0" w:space="0" w:color="auto"/>
        <w:left w:val="none" w:sz="0" w:space="0" w:color="auto"/>
        <w:bottom w:val="none" w:sz="0" w:space="0" w:color="auto"/>
        <w:right w:val="none" w:sz="0" w:space="0" w:color="auto"/>
      </w:divBdr>
    </w:div>
    <w:div w:id="1294096639">
      <w:bodyDiv w:val="1"/>
      <w:marLeft w:val="0"/>
      <w:marRight w:val="0"/>
      <w:marTop w:val="0"/>
      <w:marBottom w:val="0"/>
      <w:divBdr>
        <w:top w:val="none" w:sz="0" w:space="0" w:color="auto"/>
        <w:left w:val="none" w:sz="0" w:space="0" w:color="auto"/>
        <w:bottom w:val="none" w:sz="0" w:space="0" w:color="auto"/>
        <w:right w:val="none" w:sz="0" w:space="0" w:color="auto"/>
      </w:divBdr>
    </w:div>
    <w:div w:id="1295405229">
      <w:bodyDiv w:val="1"/>
      <w:marLeft w:val="0"/>
      <w:marRight w:val="0"/>
      <w:marTop w:val="0"/>
      <w:marBottom w:val="0"/>
      <w:divBdr>
        <w:top w:val="none" w:sz="0" w:space="0" w:color="auto"/>
        <w:left w:val="none" w:sz="0" w:space="0" w:color="auto"/>
        <w:bottom w:val="none" w:sz="0" w:space="0" w:color="auto"/>
        <w:right w:val="none" w:sz="0" w:space="0" w:color="auto"/>
      </w:divBdr>
    </w:div>
    <w:div w:id="1295909504">
      <w:bodyDiv w:val="1"/>
      <w:marLeft w:val="0"/>
      <w:marRight w:val="0"/>
      <w:marTop w:val="0"/>
      <w:marBottom w:val="0"/>
      <w:divBdr>
        <w:top w:val="none" w:sz="0" w:space="0" w:color="auto"/>
        <w:left w:val="none" w:sz="0" w:space="0" w:color="auto"/>
        <w:bottom w:val="none" w:sz="0" w:space="0" w:color="auto"/>
        <w:right w:val="none" w:sz="0" w:space="0" w:color="auto"/>
      </w:divBdr>
    </w:div>
    <w:div w:id="1298339438">
      <w:bodyDiv w:val="1"/>
      <w:marLeft w:val="0"/>
      <w:marRight w:val="0"/>
      <w:marTop w:val="0"/>
      <w:marBottom w:val="0"/>
      <w:divBdr>
        <w:top w:val="none" w:sz="0" w:space="0" w:color="auto"/>
        <w:left w:val="none" w:sz="0" w:space="0" w:color="auto"/>
        <w:bottom w:val="none" w:sz="0" w:space="0" w:color="auto"/>
        <w:right w:val="none" w:sz="0" w:space="0" w:color="auto"/>
      </w:divBdr>
    </w:div>
    <w:div w:id="1311253374">
      <w:bodyDiv w:val="1"/>
      <w:marLeft w:val="0"/>
      <w:marRight w:val="0"/>
      <w:marTop w:val="0"/>
      <w:marBottom w:val="0"/>
      <w:divBdr>
        <w:top w:val="none" w:sz="0" w:space="0" w:color="auto"/>
        <w:left w:val="none" w:sz="0" w:space="0" w:color="auto"/>
        <w:bottom w:val="none" w:sz="0" w:space="0" w:color="auto"/>
        <w:right w:val="none" w:sz="0" w:space="0" w:color="auto"/>
      </w:divBdr>
    </w:div>
    <w:div w:id="1319336623">
      <w:bodyDiv w:val="1"/>
      <w:marLeft w:val="0"/>
      <w:marRight w:val="0"/>
      <w:marTop w:val="0"/>
      <w:marBottom w:val="0"/>
      <w:divBdr>
        <w:top w:val="none" w:sz="0" w:space="0" w:color="auto"/>
        <w:left w:val="none" w:sz="0" w:space="0" w:color="auto"/>
        <w:bottom w:val="none" w:sz="0" w:space="0" w:color="auto"/>
        <w:right w:val="none" w:sz="0" w:space="0" w:color="auto"/>
      </w:divBdr>
    </w:div>
    <w:div w:id="1325888308">
      <w:bodyDiv w:val="1"/>
      <w:marLeft w:val="0"/>
      <w:marRight w:val="0"/>
      <w:marTop w:val="0"/>
      <w:marBottom w:val="0"/>
      <w:divBdr>
        <w:top w:val="none" w:sz="0" w:space="0" w:color="auto"/>
        <w:left w:val="none" w:sz="0" w:space="0" w:color="auto"/>
        <w:bottom w:val="none" w:sz="0" w:space="0" w:color="auto"/>
        <w:right w:val="none" w:sz="0" w:space="0" w:color="auto"/>
      </w:divBdr>
    </w:div>
    <w:div w:id="1340235051">
      <w:bodyDiv w:val="1"/>
      <w:marLeft w:val="0"/>
      <w:marRight w:val="0"/>
      <w:marTop w:val="0"/>
      <w:marBottom w:val="0"/>
      <w:divBdr>
        <w:top w:val="none" w:sz="0" w:space="0" w:color="auto"/>
        <w:left w:val="none" w:sz="0" w:space="0" w:color="auto"/>
        <w:bottom w:val="none" w:sz="0" w:space="0" w:color="auto"/>
        <w:right w:val="none" w:sz="0" w:space="0" w:color="auto"/>
      </w:divBdr>
    </w:div>
    <w:div w:id="1342707225">
      <w:bodyDiv w:val="1"/>
      <w:marLeft w:val="0"/>
      <w:marRight w:val="0"/>
      <w:marTop w:val="0"/>
      <w:marBottom w:val="0"/>
      <w:divBdr>
        <w:top w:val="none" w:sz="0" w:space="0" w:color="auto"/>
        <w:left w:val="none" w:sz="0" w:space="0" w:color="auto"/>
        <w:bottom w:val="none" w:sz="0" w:space="0" w:color="auto"/>
        <w:right w:val="none" w:sz="0" w:space="0" w:color="auto"/>
      </w:divBdr>
    </w:div>
    <w:div w:id="1346127850">
      <w:bodyDiv w:val="1"/>
      <w:marLeft w:val="0"/>
      <w:marRight w:val="0"/>
      <w:marTop w:val="0"/>
      <w:marBottom w:val="0"/>
      <w:divBdr>
        <w:top w:val="none" w:sz="0" w:space="0" w:color="auto"/>
        <w:left w:val="none" w:sz="0" w:space="0" w:color="auto"/>
        <w:bottom w:val="none" w:sz="0" w:space="0" w:color="auto"/>
        <w:right w:val="none" w:sz="0" w:space="0" w:color="auto"/>
      </w:divBdr>
    </w:div>
    <w:div w:id="1348605117">
      <w:bodyDiv w:val="1"/>
      <w:marLeft w:val="0"/>
      <w:marRight w:val="0"/>
      <w:marTop w:val="0"/>
      <w:marBottom w:val="0"/>
      <w:divBdr>
        <w:top w:val="none" w:sz="0" w:space="0" w:color="auto"/>
        <w:left w:val="none" w:sz="0" w:space="0" w:color="auto"/>
        <w:bottom w:val="none" w:sz="0" w:space="0" w:color="auto"/>
        <w:right w:val="none" w:sz="0" w:space="0" w:color="auto"/>
      </w:divBdr>
    </w:div>
    <w:div w:id="1354041309">
      <w:bodyDiv w:val="1"/>
      <w:marLeft w:val="0"/>
      <w:marRight w:val="0"/>
      <w:marTop w:val="0"/>
      <w:marBottom w:val="0"/>
      <w:divBdr>
        <w:top w:val="none" w:sz="0" w:space="0" w:color="auto"/>
        <w:left w:val="none" w:sz="0" w:space="0" w:color="auto"/>
        <w:bottom w:val="none" w:sz="0" w:space="0" w:color="auto"/>
        <w:right w:val="none" w:sz="0" w:space="0" w:color="auto"/>
      </w:divBdr>
    </w:div>
    <w:div w:id="1355961083">
      <w:bodyDiv w:val="1"/>
      <w:marLeft w:val="0"/>
      <w:marRight w:val="0"/>
      <w:marTop w:val="0"/>
      <w:marBottom w:val="0"/>
      <w:divBdr>
        <w:top w:val="none" w:sz="0" w:space="0" w:color="auto"/>
        <w:left w:val="none" w:sz="0" w:space="0" w:color="auto"/>
        <w:bottom w:val="none" w:sz="0" w:space="0" w:color="auto"/>
        <w:right w:val="none" w:sz="0" w:space="0" w:color="auto"/>
      </w:divBdr>
    </w:div>
    <w:div w:id="1358577343">
      <w:bodyDiv w:val="1"/>
      <w:marLeft w:val="0"/>
      <w:marRight w:val="0"/>
      <w:marTop w:val="0"/>
      <w:marBottom w:val="0"/>
      <w:divBdr>
        <w:top w:val="none" w:sz="0" w:space="0" w:color="auto"/>
        <w:left w:val="none" w:sz="0" w:space="0" w:color="auto"/>
        <w:bottom w:val="none" w:sz="0" w:space="0" w:color="auto"/>
        <w:right w:val="none" w:sz="0" w:space="0" w:color="auto"/>
      </w:divBdr>
    </w:div>
    <w:div w:id="1359548255">
      <w:bodyDiv w:val="1"/>
      <w:marLeft w:val="0"/>
      <w:marRight w:val="0"/>
      <w:marTop w:val="0"/>
      <w:marBottom w:val="0"/>
      <w:divBdr>
        <w:top w:val="none" w:sz="0" w:space="0" w:color="auto"/>
        <w:left w:val="none" w:sz="0" w:space="0" w:color="auto"/>
        <w:bottom w:val="none" w:sz="0" w:space="0" w:color="auto"/>
        <w:right w:val="none" w:sz="0" w:space="0" w:color="auto"/>
      </w:divBdr>
    </w:div>
    <w:div w:id="1364745727">
      <w:bodyDiv w:val="1"/>
      <w:marLeft w:val="0"/>
      <w:marRight w:val="0"/>
      <w:marTop w:val="0"/>
      <w:marBottom w:val="0"/>
      <w:divBdr>
        <w:top w:val="none" w:sz="0" w:space="0" w:color="auto"/>
        <w:left w:val="none" w:sz="0" w:space="0" w:color="auto"/>
        <w:bottom w:val="none" w:sz="0" w:space="0" w:color="auto"/>
        <w:right w:val="none" w:sz="0" w:space="0" w:color="auto"/>
      </w:divBdr>
    </w:div>
    <w:div w:id="1367759075">
      <w:bodyDiv w:val="1"/>
      <w:marLeft w:val="0"/>
      <w:marRight w:val="0"/>
      <w:marTop w:val="0"/>
      <w:marBottom w:val="0"/>
      <w:divBdr>
        <w:top w:val="none" w:sz="0" w:space="0" w:color="auto"/>
        <w:left w:val="none" w:sz="0" w:space="0" w:color="auto"/>
        <w:bottom w:val="none" w:sz="0" w:space="0" w:color="auto"/>
        <w:right w:val="none" w:sz="0" w:space="0" w:color="auto"/>
      </w:divBdr>
    </w:div>
    <w:div w:id="1372000080">
      <w:bodyDiv w:val="1"/>
      <w:marLeft w:val="0"/>
      <w:marRight w:val="0"/>
      <w:marTop w:val="0"/>
      <w:marBottom w:val="0"/>
      <w:divBdr>
        <w:top w:val="none" w:sz="0" w:space="0" w:color="auto"/>
        <w:left w:val="none" w:sz="0" w:space="0" w:color="auto"/>
        <w:bottom w:val="none" w:sz="0" w:space="0" w:color="auto"/>
        <w:right w:val="none" w:sz="0" w:space="0" w:color="auto"/>
      </w:divBdr>
    </w:div>
    <w:div w:id="1376739200">
      <w:bodyDiv w:val="1"/>
      <w:marLeft w:val="0"/>
      <w:marRight w:val="0"/>
      <w:marTop w:val="0"/>
      <w:marBottom w:val="0"/>
      <w:divBdr>
        <w:top w:val="none" w:sz="0" w:space="0" w:color="auto"/>
        <w:left w:val="none" w:sz="0" w:space="0" w:color="auto"/>
        <w:bottom w:val="none" w:sz="0" w:space="0" w:color="auto"/>
        <w:right w:val="none" w:sz="0" w:space="0" w:color="auto"/>
      </w:divBdr>
    </w:div>
    <w:div w:id="1382368082">
      <w:bodyDiv w:val="1"/>
      <w:marLeft w:val="0"/>
      <w:marRight w:val="0"/>
      <w:marTop w:val="0"/>
      <w:marBottom w:val="0"/>
      <w:divBdr>
        <w:top w:val="none" w:sz="0" w:space="0" w:color="auto"/>
        <w:left w:val="none" w:sz="0" w:space="0" w:color="auto"/>
        <w:bottom w:val="none" w:sz="0" w:space="0" w:color="auto"/>
        <w:right w:val="none" w:sz="0" w:space="0" w:color="auto"/>
      </w:divBdr>
    </w:div>
    <w:div w:id="1384452578">
      <w:bodyDiv w:val="1"/>
      <w:marLeft w:val="0"/>
      <w:marRight w:val="0"/>
      <w:marTop w:val="0"/>
      <w:marBottom w:val="0"/>
      <w:divBdr>
        <w:top w:val="none" w:sz="0" w:space="0" w:color="auto"/>
        <w:left w:val="none" w:sz="0" w:space="0" w:color="auto"/>
        <w:bottom w:val="none" w:sz="0" w:space="0" w:color="auto"/>
        <w:right w:val="none" w:sz="0" w:space="0" w:color="auto"/>
      </w:divBdr>
    </w:div>
    <w:div w:id="1385718641">
      <w:bodyDiv w:val="1"/>
      <w:marLeft w:val="0"/>
      <w:marRight w:val="0"/>
      <w:marTop w:val="0"/>
      <w:marBottom w:val="0"/>
      <w:divBdr>
        <w:top w:val="none" w:sz="0" w:space="0" w:color="auto"/>
        <w:left w:val="none" w:sz="0" w:space="0" w:color="auto"/>
        <w:bottom w:val="none" w:sz="0" w:space="0" w:color="auto"/>
        <w:right w:val="none" w:sz="0" w:space="0" w:color="auto"/>
      </w:divBdr>
    </w:div>
    <w:div w:id="1390155901">
      <w:bodyDiv w:val="1"/>
      <w:marLeft w:val="0"/>
      <w:marRight w:val="0"/>
      <w:marTop w:val="0"/>
      <w:marBottom w:val="0"/>
      <w:divBdr>
        <w:top w:val="none" w:sz="0" w:space="0" w:color="auto"/>
        <w:left w:val="none" w:sz="0" w:space="0" w:color="auto"/>
        <w:bottom w:val="none" w:sz="0" w:space="0" w:color="auto"/>
        <w:right w:val="none" w:sz="0" w:space="0" w:color="auto"/>
      </w:divBdr>
    </w:div>
    <w:div w:id="1392848086">
      <w:bodyDiv w:val="1"/>
      <w:marLeft w:val="0"/>
      <w:marRight w:val="0"/>
      <w:marTop w:val="0"/>
      <w:marBottom w:val="0"/>
      <w:divBdr>
        <w:top w:val="none" w:sz="0" w:space="0" w:color="auto"/>
        <w:left w:val="none" w:sz="0" w:space="0" w:color="auto"/>
        <w:bottom w:val="none" w:sz="0" w:space="0" w:color="auto"/>
        <w:right w:val="none" w:sz="0" w:space="0" w:color="auto"/>
      </w:divBdr>
    </w:div>
    <w:div w:id="1395010183">
      <w:bodyDiv w:val="1"/>
      <w:marLeft w:val="0"/>
      <w:marRight w:val="0"/>
      <w:marTop w:val="0"/>
      <w:marBottom w:val="0"/>
      <w:divBdr>
        <w:top w:val="none" w:sz="0" w:space="0" w:color="auto"/>
        <w:left w:val="none" w:sz="0" w:space="0" w:color="auto"/>
        <w:bottom w:val="none" w:sz="0" w:space="0" w:color="auto"/>
        <w:right w:val="none" w:sz="0" w:space="0" w:color="auto"/>
      </w:divBdr>
    </w:div>
    <w:div w:id="1402680247">
      <w:bodyDiv w:val="1"/>
      <w:marLeft w:val="0"/>
      <w:marRight w:val="0"/>
      <w:marTop w:val="0"/>
      <w:marBottom w:val="0"/>
      <w:divBdr>
        <w:top w:val="none" w:sz="0" w:space="0" w:color="auto"/>
        <w:left w:val="none" w:sz="0" w:space="0" w:color="auto"/>
        <w:bottom w:val="none" w:sz="0" w:space="0" w:color="auto"/>
        <w:right w:val="none" w:sz="0" w:space="0" w:color="auto"/>
      </w:divBdr>
    </w:div>
    <w:div w:id="1421835529">
      <w:bodyDiv w:val="1"/>
      <w:marLeft w:val="0"/>
      <w:marRight w:val="0"/>
      <w:marTop w:val="0"/>
      <w:marBottom w:val="0"/>
      <w:divBdr>
        <w:top w:val="none" w:sz="0" w:space="0" w:color="auto"/>
        <w:left w:val="none" w:sz="0" w:space="0" w:color="auto"/>
        <w:bottom w:val="none" w:sz="0" w:space="0" w:color="auto"/>
        <w:right w:val="none" w:sz="0" w:space="0" w:color="auto"/>
      </w:divBdr>
    </w:div>
    <w:div w:id="1423723631">
      <w:bodyDiv w:val="1"/>
      <w:marLeft w:val="0"/>
      <w:marRight w:val="0"/>
      <w:marTop w:val="0"/>
      <w:marBottom w:val="0"/>
      <w:divBdr>
        <w:top w:val="none" w:sz="0" w:space="0" w:color="auto"/>
        <w:left w:val="none" w:sz="0" w:space="0" w:color="auto"/>
        <w:bottom w:val="none" w:sz="0" w:space="0" w:color="auto"/>
        <w:right w:val="none" w:sz="0" w:space="0" w:color="auto"/>
      </w:divBdr>
    </w:div>
    <w:div w:id="1428427662">
      <w:bodyDiv w:val="1"/>
      <w:marLeft w:val="0"/>
      <w:marRight w:val="0"/>
      <w:marTop w:val="0"/>
      <w:marBottom w:val="0"/>
      <w:divBdr>
        <w:top w:val="none" w:sz="0" w:space="0" w:color="auto"/>
        <w:left w:val="none" w:sz="0" w:space="0" w:color="auto"/>
        <w:bottom w:val="none" w:sz="0" w:space="0" w:color="auto"/>
        <w:right w:val="none" w:sz="0" w:space="0" w:color="auto"/>
      </w:divBdr>
    </w:div>
    <w:div w:id="1437482888">
      <w:bodyDiv w:val="1"/>
      <w:marLeft w:val="0"/>
      <w:marRight w:val="0"/>
      <w:marTop w:val="0"/>
      <w:marBottom w:val="0"/>
      <w:divBdr>
        <w:top w:val="none" w:sz="0" w:space="0" w:color="auto"/>
        <w:left w:val="none" w:sz="0" w:space="0" w:color="auto"/>
        <w:bottom w:val="none" w:sz="0" w:space="0" w:color="auto"/>
        <w:right w:val="none" w:sz="0" w:space="0" w:color="auto"/>
      </w:divBdr>
    </w:div>
    <w:div w:id="1440834748">
      <w:bodyDiv w:val="1"/>
      <w:marLeft w:val="0"/>
      <w:marRight w:val="0"/>
      <w:marTop w:val="0"/>
      <w:marBottom w:val="0"/>
      <w:divBdr>
        <w:top w:val="none" w:sz="0" w:space="0" w:color="auto"/>
        <w:left w:val="none" w:sz="0" w:space="0" w:color="auto"/>
        <w:bottom w:val="none" w:sz="0" w:space="0" w:color="auto"/>
        <w:right w:val="none" w:sz="0" w:space="0" w:color="auto"/>
      </w:divBdr>
    </w:div>
    <w:div w:id="1441757546">
      <w:bodyDiv w:val="1"/>
      <w:marLeft w:val="0"/>
      <w:marRight w:val="0"/>
      <w:marTop w:val="0"/>
      <w:marBottom w:val="0"/>
      <w:divBdr>
        <w:top w:val="none" w:sz="0" w:space="0" w:color="auto"/>
        <w:left w:val="none" w:sz="0" w:space="0" w:color="auto"/>
        <w:bottom w:val="none" w:sz="0" w:space="0" w:color="auto"/>
        <w:right w:val="none" w:sz="0" w:space="0" w:color="auto"/>
      </w:divBdr>
    </w:div>
    <w:div w:id="1444380614">
      <w:bodyDiv w:val="1"/>
      <w:marLeft w:val="0"/>
      <w:marRight w:val="0"/>
      <w:marTop w:val="0"/>
      <w:marBottom w:val="0"/>
      <w:divBdr>
        <w:top w:val="none" w:sz="0" w:space="0" w:color="auto"/>
        <w:left w:val="none" w:sz="0" w:space="0" w:color="auto"/>
        <w:bottom w:val="none" w:sz="0" w:space="0" w:color="auto"/>
        <w:right w:val="none" w:sz="0" w:space="0" w:color="auto"/>
      </w:divBdr>
    </w:div>
    <w:div w:id="1445341011">
      <w:bodyDiv w:val="1"/>
      <w:marLeft w:val="0"/>
      <w:marRight w:val="0"/>
      <w:marTop w:val="0"/>
      <w:marBottom w:val="0"/>
      <w:divBdr>
        <w:top w:val="none" w:sz="0" w:space="0" w:color="auto"/>
        <w:left w:val="none" w:sz="0" w:space="0" w:color="auto"/>
        <w:bottom w:val="none" w:sz="0" w:space="0" w:color="auto"/>
        <w:right w:val="none" w:sz="0" w:space="0" w:color="auto"/>
      </w:divBdr>
    </w:div>
    <w:div w:id="1454396251">
      <w:bodyDiv w:val="1"/>
      <w:marLeft w:val="0"/>
      <w:marRight w:val="0"/>
      <w:marTop w:val="0"/>
      <w:marBottom w:val="0"/>
      <w:divBdr>
        <w:top w:val="none" w:sz="0" w:space="0" w:color="auto"/>
        <w:left w:val="none" w:sz="0" w:space="0" w:color="auto"/>
        <w:bottom w:val="none" w:sz="0" w:space="0" w:color="auto"/>
        <w:right w:val="none" w:sz="0" w:space="0" w:color="auto"/>
      </w:divBdr>
    </w:div>
    <w:div w:id="1455830694">
      <w:bodyDiv w:val="1"/>
      <w:marLeft w:val="0"/>
      <w:marRight w:val="0"/>
      <w:marTop w:val="0"/>
      <w:marBottom w:val="0"/>
      <w:divBdr>
        <w:top w:val="none" w:sz="0" w:space="0" w:color="auto"/>
        <w:left w:val="none" w:sz="0" w:space="0" w:color="auto"/>
        <w:bottom w:val="none" w:sz="0" w:space="0" w:color="auto"/>
        <w:right w:val="none" w:sz="0" w:space="0" w:color="auto"/>
      </w:divBdr>
    </w:div>
    <w:div w:id="1459448146">
      <w:bodyDiv w:val="1"/>
      <w:marLeft w:val="0"/>
      <w:marRight w:val="0"/>
      <w:marTop w:val="0"/>
      <w:marBottom w:val="0"/>
      <w:divBdr>
        <w:top w:val="none" w:sz="0" w:space="0" w:color="auto"/>
        <w:left w:val="none" w:sz="0" w:space="0" w:color="auto"/>
        <w:bottom w:val="none" w:sz="0" w:space="0" w:color="auto"/>
        <w:right w:val="none" w:sz="0" w:space="0" w:color="auto"/>
      </w:divBdr>
    </w:div>
    <w:div w:id="1461000143">
      <w:bodyDiv w:val="1"/>
      <w:marLeft w:val="0"/>
      <w:marRight w:val="0"/>
      <w:marTop w:val="0"/>
      <w:marBottom w:val="0"/>
      <w:divBdr>
        <w:top w:val="none" w:sz="0" w:space="0" w:color="auto"/>
        <w:left w:val="none" w:sz="0" w:space="0" w:color="auto"/>
        <w:bottom w:val="none" w:sz="0" w:space="0" w:color="auto"/>
        <w:right w:val="none" w:sz="0" w:space="0" w:color="auto"/>
      </w:divBdr>
    </w:div>
    <w:div w:id="1463957155">
      <w:bodyDiv w:val="1"/>
      <w:marLeft w:val="0"/>
      <w:marRight w:val="0"/>
      <w:marTop w:val="0"/>
      <w:marBottom w:val="0"/>
      <w:divBdr>
        <w:top w:val="none" w:sz="0" w:space="0" w:color="auto"/>
        <w:left w:val="none" w:sz="0" w:space="0" w:color="auto"/>
        <w:bottom w:val="none" w:sz="0" w:space="0" w:color="auto"/>
        <w:right w:val="none" w:sz="0" w:space="0" w:color="auto"/>
      </w:divBdr>
    </w:div>
    <w:div w:id="1466242417">
      <w:bodyDiv w:val="1"/>
      <w:marLeft w:val="0"/>
      <w:marRight w:val="0"/>
      <w:marTop w:val="0"/>
      <w:marBottom w:val="0"/>
      <w:divBdr>
        <w:top w:val="none" w:sz="0" w:space="0" w:color="auto"/>
        <w:left w:val="none" w:sz="0" w:space="0" w:color="auto"/>
        <w:bottom w:val="none" w:sz="0" w:space="0" w:color="auto"/>
        <w:right w:val="none" w:sz="0" w:space="0" w:color="auto"/>
      </w:divBdr>
    </w:div>
    <w:div w:id="1469976329">
      <w:bodyDiv w:val="1"/>
      <w:marLeft w:val="0"/>
      <w:marRight w:val="0"/>
      <w:marTop w:val="0"/>
      <w:marBottom w:val="0"/>
      <w:divBdr>
        <w:top w:val="none" w:sz="0" w:space="0" w:color="auto"/>
        <w:left w:val="none" w:sz="0" w:space="0" w:color="auto"/>
        <w:bottom w:val="none" w:sz="0" w:space="0" w:color="auto"/>
        <w:right w:val="none" w:sz="0" w:space="0" w:color="auto"/>
      </w:divBdr>
    </w:div>
    <w:div w:id="1476950281">
      <w:bodyDiv w:val="1"/>
      <w:marLeft w:val="0"/>
      <w:marRight w:val="0"/>
      <w:marTop w:val="0"/>
      <w:marBottom w:val="0"/>
      <w:divBdr>
        <w:top w:val="none" w:sz="0" w:space="0" w:color="auto"/>
        <w:left w:val="none" w:sz="0" w:space="0" w:color="auto"/>
        <w:bottom w:val="none" w:sz="0" w:space="0" w:color="auto"/>
        <w:right w:val="none" w:sz="0" w:space="0" w:color="auto"/>
      </w:divBdr>
    </w:div>
    <w:div w:id="1477456113">
      <w:bodyDiv w:val="1"/>
      <w:marLeft w:val="0"/>
      <w:marRight w:val="0"/>
      <w:marTop w:val="0"/>
      <w:marBottom w:val="0"/>
      <w:divBdr>
        <w:top w:val="none" w:sz="0" w:space="0" w:color="auto"/>
        <w:left w:val="none" w:sz="0" w:space="0" w:color="auto"/>
        <w:bottom w:val="none" w:sz="0" w:space="0" w:color="auto"/>
        <w:right w:val="none" w:sz="0" w:space="0" w:color="auto"/>
      </w:divBdr>
    </w:div>
    <w:div w:id="1478649147">
      <w:bodyDiv w:val="1"/>
      <w:marLeft w:val="0"/>
      <w:marRight w:val="0"/>
      <w:marTop w:val="0"/>
      <w:marBottom w:val="0"/>
      <w:divBdr>
        <w:top w:val="none" w:sz="0" w:space="0" w:color="auto"/>
        <w:left w:val="none" w:sz="0" w:space="0" w:color="auto"/>
        <w:bottom w:val="none" w:sz="0" w:space="0" w:color="auto"/>
        <w:right w:val="none" w:sz="0" w:space="0" w:color="auto"/>
      </w:divBdr>
    </w:div>
    <w:div w:id="1478956105">
      <w:bodyDiv w:val="1"/>
      <w:marLeft w:val="0"/>
      <w:marRight w:val="0"/>
      <w:marTop w:val="0"/>
      <w:marBottom w:val="0"/>
      <w:divBdr>
        <w:top w:val="none" w:sz="0" w:space="0" w:color="auto"/>
        <w:left w:val="none" w:sz="0" w:space="0" w:color="auto"/>
        <w:bottom w:val="none" w:sz="0" w:space="0" w:color="auto"/>
        <w:right w:val="none" w:sz="0" w:space="0" w:color="auto"/>
      </w:divBdr>
    </w:div>
    <w:div w:id="1480418220">
      <w:bodyDiv w:val="1"/>
      <w:marLeft w:val="0"/>
      <w:marRight w:val="0"/>
      <w:marTop w:val="0"/>
      <w:marBottom w:val="0"/>
      <w:divBdr>
        <w:top w:val="none" w:sz="0" w:space="0" w:color="auto"/>
        <w:left w:val="none" w:sz="0" w:space="0" w:color="auto"/>
        <w:bottom w:val="none" w:sz="0" w:space="0" w:color="auto"/>
        <w:right w:val="none" w:sz="0" w:space="0" w:color="auto"/>
      </w:divBdr>
    </w:div>
    <w:div w:id="1482575502">
      <w:bodyDiv w:val="1"/>
      <w:marLeft w:val="0"/>
      <w:marRight w:val="0"/>
      <w:marTop w:val="0"/>
      <w:marBottom w:val="0"/>
      <w:divBdr>
        <w:top w:val="none" w:sz="0" w:space="0" w:color="auto"/>
        <w:left w:val="none" w:sz="0" w:space="0" w:color="auto"/>
        <w:bottom w:val="none" w:sz="0" w:space="0" w:color="auto"/>
        <w:right w:val="none" w:sz="0" w:space="0" w:color="auto"/>
      </w:divBdr>
    </w:div>
    <w:div w:id="1496914807">
      <w:bodyDiv w:val="1"/>
      <w:marLeft w:val="0"/>
      <w:marRight w:val="0"/>
      <w:marTop w:val="0"/>
      <w:marBottom w:val="0"/>
      <w:divBdr>
        <w:top w:val="none" w:sz="0" w:space="0" w:color="auto"/>
        <w:left w:val="none" w:sz="0" w:space="0" w:color="auto"/>
        <w:bottom w:val="none" w:sz="0" w:space="0" w:color="auto"/>
        <w:right w:val="none" w:sz="0" w:space="0" w:color="auto"/>
      </w:divBdr>
    </w:div>
    <w:div w:id="1499536095">
      <w:bodyDiv w:val="1"/>
      <w:marLeft w:val="0"/>
      <w:marRight w:val="0"/>
      <w:marTop w:val="0"/>
      <w:marBottom w:val="0"/>
      <w:divBdr>
        <w:top w:val="none" w:sz="0" w:space="0" w:color="auto"/>
        <w:left w:val="none" w:sz="0" w:space="0" w:color="auto"/>
        <w:bottom w:val="none" w:sz="0" w:space="0" w:color="auto"/>
        <w:right w:val="none" w:sz="0" w:space="0" w:color="auto"/>
      </w:divBdr>
    </w:div>
    <w:div w:id="1501893649">
      <w:bodyDiv w:val="1"/>
      <w:marLeft w:val="0"/>
      <w:marRight w:val="0"/>
      <w:marTop w:val="0"/>
      <w:marBottom w:val="0"/>
      <w:divBdr>
        <w:top w:val="none" w:sz="0" w:space="0" w:color="auto"/>
        <w:left w:val="none" w:sz="0" w:space="0" w:color="auto"/>
        <w:bottom w:val="none" w:sz="0" w:space="0" w:color="auto"/>
        <w:right w:val="none" w:sz="0" w:space="0" w:color="auto"/>
      </w:divBdr>
    </w:div>
    <w:div w:id="1503161914">
      <w:bodyDiv w:val="1"/>
      <w:marLeft w:val="0"/>
      <w:marRight w:val="0"/>
      <w:marTop w:val="0"/>
      <w:marBottom w:val="0"/>
      <w:divBdr>
        <w:top w:val="none" w:sz="0" w:space="0" w:color="auto"/>
        <w:left w:val="none" w:sz="0" w:space="0" w:color="auto"/>
        <w:bottom w:val="none" w:sz="0" w:space="0" w:color="auto"/>
        <w:right w:val="none" w:sz="0" w:space="0" w:color="auto"/>
      </w:divBdr>
    </w:div>
    <w:div w:id="1504314968">
      <w:bodyDiv w:val="1"/>
      <w:marLeft w:val="0"/>
      <w:marRight w:val="0"/>
      <w:marTop w:val="0"/>
      <w:marBottom w:val="0"/>
      <w:divBdr>
        <w:top w:val="none" w:sz="0" w:space="0" w:color="auto"/>
        <w:left w:val="none" w:sz="0" w:space="0" w:color="auto"/>
        <w:bottom w:val="none" w:sz="0" w:space="0" w:color="auto"/>
        <w:right w:val="none" w:sz="0" w:space="0" w:color="auto"/>
      </w:divBdr>
    </w:div>
    <w:div w:id="1510483904">
      <w:bodyDiv w:val="1"/>
      <w:marLeft w:val="0"/>
      <w:marRight w:val="0"/>
      <w:marTop w:val="0"/>
      <w:marBottom w:val="0"/>
      <w:divBdr>
        <w:top w:val="none" w:sz="0" w:space="0" w:color="auto"/>
        <w:left w:val="none" w:sz="0" w:space="0" w:color="auto"/>
        <w:bottom w:val="none" w:sz="0" w:space="0" w:color="auto"/>
        <w:right w:val="none" w:sz="0" w:space="0" w:color="auto"/>
      </w:divBdr>
    </w:div>
    <w:div w:id="1515070434">
      <w:bodyDiv w:val="1"/>
      <w:marLeft w:val="0"/>
      <w:marRight w:val="0"/>
      <w:marTop w:val="0"/>
      <w:marBottom w:val="0"/>
      <w:divBdr>
        <w:top w:val="none" w:sz="0" w:space="0" w:color="auto"/>
        <w:left w:val="none" w:sz="0" w:space="0" w:color="auto"/>
        <w:bottom w:val="none" w:sz="0" w:space="0" w:color="auto"/>
        <w:right w:val="none" w:sz="0" w:space="0" w:color="auto"/>
      </w:divBdr>
    </w:div>
    <w:div w:id="1526403546">
      <w:bodyDiv w:val="1"/>
      <w:marLeft w:val="0"/>
      <w:marRight w:val="0"/>
      <w:marTop w:val="0"/>
      <w:marBottom w:val="0"/>
      <w:divBdr>
        <w:top w:val="none" w:sz="0" w:space="0" w:color="auto"/>
        <w:left w:val="none" w:sz="0" w:space="0" w:color="auto"/>
        <w:bottom w:val="none" w:sz="0" w:space="0" w:color="auto"/>
        <w:right w:val="none" w:sz="0" w:space="0" w:color="auto"/>
      </w:divBdr>
    </w:div>
    <w:div w:id="1531601928">
      <w:bodyDiv w:val="1"/>
      <w:marLeft w:val="0"/>
      <w:marRight w:val="0"/>
      <w:marTop w:val="0"/>
      <w:marBottom w:val="0"/>
      <w:divBdr>
        <w:top w:val="none" w:sz="0" w:space="0" w:color="auto"/>
        <w:left w:val="none" w:sz="0" w:space="0" w:color="auto"/>
        <w:bottom w:val="none" w:sz="0" w:space="0" w:color="auto"/>
        <w:right w:val="none" w:sz="0" w:space="0" w:color="auto"/>
      </w:divBdr>
    </w:div>
    <w:div w:id="1539079711">
      <w:bodyDiv w:val="1"/>
      <w:marLeft w:val="0"/>
      <w:marRight w:val="0"/>
      <w:marTop w:val="0"/>
      <w:marBottom w:val="0"/>
      <w:divBdr>
        <w:top w:val="none" w:sz="0" w:space="0" w:color="auto"/>
        <w:left w:val="none" w:sz="0" w:space="0" w:color="auto"/>
        <w:bottom w:val="none" w:sz="0" w:space="0" w:color="auto"/>
        <w:right w:val="none" w:sz="0" w:space="0" w:color="auto"/>
      </w:divBdr>
    </w:div>
    <w:div w:id="1543513286">
      <w:bodyDiv w:val="1"/>
      <w:marLeft w:val="0"/>
      <w:marRight w:val="0"/>
      <w:marTop w:val="0"/>
      <w:marBottom w:val="0"/>
      <w:divBdr>
        <w:top w:val="none" w:sz="0" w:space="0" w:color="auto"/>
        <w:left w:val="none" w:sz="0" w:space="0" w:color="auto"/>
        <w:bottom w:val="none" w:sz="0" w:space="0" w:color="auto"/>
        <w:right w:val="none" w:sz="0" w:space="0" w:color="auto"/>
      </w:divBdr>
    </w:div>
    <w:div w:id="1554081611">
      <w:bodyDiv w:val="1"/>
      <w:marLeft w:val="0"/>
      <w:marRight w:val="0"/>
      <w:marTop w:val="0"/>
      <w:marBottom w:val="0"/>
      <w:divBdr>
        <w:top w:val="none" w:sz="0" w:space="0" w:color="auto"/>
        <w:left w:val="none" w:sz="0" w:space="0" w:color="auto"/>
        <w:bottom w:val="none" w:sz="0" w:space="0" w:color="auto"/>
        <w:right w:val="none" w:sz="0" w:space="0" w:color="auto"/>
      </w:divBdr>
    </w:div>
    <w:div w:id="1554120732">
      <w:bodyDiv w:val="1"/>
      <w:marLeft w:val="0"/>
      <w:marRight w:val="0"/>
      <w:marTop w:val="0"/>
      <w:marBottom w:val="0"/>
      <w:divBdr>
        <w:top w:val="none" w:sz="0" w:space="0" w:color="auto"/>
        <w:left w:val="none" w:sz="0" w:space="0" w:color="auto"/>
        <w:bottom w:val="none" w:sz="0" w:space="0" w:color="auto"/>
        <w:right w:val="none" w:sz="0" w:space="0" w:color="auto"/>
      </w:divBdr>
    </w:div>
    <w:div w:id="1576357681">
      <w:bodyDiv w:val="1"/>
      <w:marLeft w:val="0"/>
      <w:marRight w:val="0"/>
      <w:marTop w:val="0"/>
      <w:marBottom w:val="0"/>
      <w:divBdr>
        <w:top w:val="none" w:sz="0" w:space="0" w:color="auto"/>
        <w:left w:val="none" w:sz="0" w:space="0" w:color="auto"/>
        <w:bottom w:val="none" w:sz="0" w:space="0" w:color="auto"/>
        <w:right w:val="none" w:sz="0" w:space="0" w:color="auto"/>
      </w:divBdr>
    </w:div>
    <w:div w:id="1579242824">
      <w:bodyDiv w:val="1"/>
      <w:marLeft w:val="0"/>
      <w:marRight w:val="0"/>
      <w:marTop w:val="0"/>
      <w:marBottom w:val="0"/>
      <w:divBdr>
        <w:top w:val="none" w:sz="0" w:space="0" w:color="auto"/>
        <w:left w:val="none" w:sz="0" w:space="0" w:color="auto"/>
        <w:bottom w:val="none" w:sz="0" w:space="0" w:color="auto"/>
        <w:right w:val="none" w:sz="0" w:space="0" w:color="auto"/>
      </w:divBdr>
    </w:div>
    <w:div w:id="1582713933">
      <w:bodyDiv w:val="1"/>
      <w:marLeft w:val="0"/>
      <w:marRight w:val="0"/>
      <w:marTop w:val="0"/>
      <w:marBottom w:val="0"/>
      <w:divBdr>
        <w:top w:val="none" w:sz="0" w:space="0" w:color="auto"/>
        <w:left w:val="none" w:sz="0" w:space="0" w:color="auto"/>
        <w:bottom w:val="none" w:sz="0" w:space="0" w:color="auto"/>
        <w:right w:val="none" w:sz="0" w:space="0" w:color="auto"/>
      </w:divBdr>
    </w:div>
    <w:div w:id="1584140432">
      <w:bodyDiv w:val="1"/>
      <w:marLeft w:val="0"/>
      <w:marRight w:val="0"/>
      <w:marTop w:val="0"/>
      <w:marBottom w:val="0"/>
      <w:divBdr>
        <w:top w:val="none" w:sz="0" w:space="0" w:color="auto"/>
        <w:left w:val="none" w:sz="0" w:space="0" w:color="auto"/>
        <w:bottom w:val="none" w:sz="0" w:space="0" w:color="auto"/>
        <w:right w:val="none" w:sz="0" w:space="0" w:color="auto"/>
      </w:divBdr>
    </w:div>
    <w:div w:id="1589772685">
      <w:bodyDiv w:val="1"/>
      <w:marLeft w:val="0"/>
      <w:marRight w:val="0"/>
      <w:marTop w:val="0"/>
      <w:marBottom w:val="0"/>
      <w:divBdr>
        <w:top w:val="none" w:sz="0" w:space="0" w:color="auto"/>
        <w:left w:val="none" w:sz="0" w:space="0" w:color="auto"/>
        <w:bottom w:val="none" w:sz="0" w:space="0" w:color="auto"/>
        <w:right w:val="none" w:sz="0" w:space="0" w:color="auto"/>
      </w:divBdr>
    </w:div>
    <w:div w:id="1599829192">
      <w:bodyDiv w:val="1"/>
      <w:marLeft w:val="0"/>
      <w:marRight w:val="0"/>
      <w:marTop w:val="0"/>
      <w:marBottom w:val="0"/>
      <w:divBdr>
        <w:top w:val="none" w:sz="0" w:space="0" w:color="auto"/>
        <w:left w:val="none" w:sz="0" w:space="0" w:color="auto"/>
        <w:bottom w:val="none" w:sz="0" w:space="0" w:color="auto"/>
        <w:right w:val="none" w:sz="0" w:space="0" w:color="auto"/>
      </w:divBdr>
    </w:div>
    <w:div w:id="1601449101">
      <w:bodyDiv w:val="1"/>
      <w:marLeft w:val="0"/>
      <w:marRight w:val="0"/>
      <w:marTop w:val="0"/>
      <w:marBottom w:val="0"/>
      <w:divBdr>
        <w:top w:val="none" w:sz="0" w:space="0" w:color="auto"/>
        <w:left w:val="none" w:sz="0" w:space="0" w:color="auto"/>
        <w:bottom w:val="none" w:sz="0" w:space="0" w:color="auto"/>
        <w:right w:val="none" w:sz="0" w:space="0" w:color="auto"/>
      </w:divBdr>
    </w:div>
    <w:div w:id="1613632607">
      <w:bodyDiv w:val="1"/>
      <w:marLeft w:val="0"/>
      <w:marRight w:val="0"/>
      <w:marTop w:val="0"/>
      <w:marBottom w:val="0"/>
      <w:divBdr>
        <w:top w:val="none" w:sz="0" w:space="0" w:color="auto"/>
        <w:left w:val="none" w:sz="0" w:space="0" w:color="auto"/>
        <w:bottom w:val="none" w:sz="0" w:space="0" w:color="auto"/>
        <w:right w:val="none" w:sz="0" w:space="0" w:color="auto"/>
      </w:divBdr>
    </w:div>
    <w:div w:id="1632898155">
      <w:bodyDiv w:val="1"/>
      <w:marLeft w:val="0"/>
      <w:marRight w:val="0"/>
      <w:marTop w:val="0"/>
      <w:marBottom w:val="0"/>
      <w:divBdr>
        <w:top w:val="none" w:sz="0" w:space="0" w:color="auto"/>
        <w:left w:val="none" w:sz="0" w:space="0" w:color="auto"/>
        <w:bottom w:val="none" w:sz="0" w:space="0" w:color="auto"/>
        <w:right w:val="none" w:sz="0" w:space="0" w:color="auto"/>
      </w:divBdr>
    </w:div>
    <w:div w:id="1642342814">
      <w:bodyDiv w:val="1"/>
      <w:marLeft w:val="0"/>
      <w:marRight w:val="0"/>
      <w:marTop w:val="0"/>
      <w:marBottom w:val="0"/>
      <w:divBdr>
        <w:top w:val="none" w:sz="0" w:space="0" w:color="auto"/>
        <w:left w:val="none" w:sz="0" w:space="0" w:color="auto"/>
        <w:bottom w:val="none" w:sz="0" w:space="0" w:color="auto"/>
        <w:right w:val="none" w:sz="0" w:space="0" w:color="auto"/>
      </w:divBdr>
    </w:div>
    <w:div w:id="1644382249">
      <w:bodyDiv w:val="1"/>
      <w:marLeft w:val="0"/>
      <w:marRight w:val="0"/>
      <w:marTop w:val="0"/>
      <w:marBottom w:val="0"/>
      <w:divBdr>
        <w:top w:val="none" w:sz="0" w:space="0" w:color="auto"/>
        <w:left w:val="none" w:sz="0" w:space="0" w:color="auto"/>
        <w:bottom w:val="none" w:sz="0" w:space="0" w:color="auto"/>
        <w:right w:val="none" w:sz="0" w:space="0" w:color="auto"/>
      </w:divBdr>
    </w:div>
    <w:div w:id="1652908632">
      <w:bodyDiv w:val="1"/>
      <w:marLeft w:val="0"/>
      <w:marRight w:val="0"/>
      <w:marTop w:val="0"/>
      <w:marBottom w:val="0"/>
      <w:divBdr>
        <w:top w:val="none" w:sz="0" w:space="0" w:color="auto"/>
        <w:left w:val="none" w:sz="0" w:space="0" w:color="auto"/>
        <w:bottom w:val="none" w:sz="0" w:space="0" w:color="auto"/>
        <w:right w:val="none" w:sz="0" w:space="0" w:color="auto"/>
      </w:divBdr>
    </w:div>
    <w:div w:id="1657609785">
      <w:bodyDiv w:val="1"/>
      <w:marLeft w:val="0"/>
      <w:marRight w:val="0"/>
      <w:marTop w:val="0"/>
      <w:marBottom w:val="0"/>
      <w:divBdr>
        <w:top w:val="none" w:sz="0" w:space="0" w:color="auto"/>
        <w:left w:val="none" w:sz="0" w:space="0" w:color="auto"/>
        <w:bottom w:val="none" w:sz="0" w:space="0" w:color="auto"/>
        <w:right w:val="none" w:sz="0" w:space="0" w:color="auto"/>
      </w:divBdr>
    </w:div>
    <w:div w:id="1657755987">
      <w:bodyDiv w:val="1"/>
      <w:marLeft w:val="0"/>
      <w:marRight w:val="0"/>
      <w:marTop w:val="0"/>
      <w:marBottom w:val="0"/>
      <w:divBdr>
        <w:top w:val="none" w:sz="0" w:space="0" w:color="auto"/>
        <w:left w:val="none" w:sz="0" w:space="0" w:color="auto"/>
        <w:bottom w:val="none" w:sz="0" w:space="0" w:color="auto"/>
        <w:right w:val="none" w:sz="0" w:space="0" w:color="auto"/>
      </w:divBdr>
    </w:div>
    <w:div w:id="1659572192">
      <w:bodyDiv w:val="1"/>
      <w:marLeft w:val="0"/>
      <w:marRight w:val="0"/>
      <w:marTop w:val="0"/>
      <w:marBottom w:val="0"/>
      <w:divBdr>
        <w:top w:val="none" w:sz="0" w:space="0" w:color="auto"/>
        <w:left w:val="none" w:sz="0" w:space="0" w:color="auto"/>
        <w:bottom w:val="none" w:sz="0" w:space="0" w:color="auto"/>
        <w:right w:val="none" w:sz="0" w:space="0" w:color="auto"/>
      </w:divBdr>
    </w:div>
    <w:div w:id="1661930193">
      <w:bodyDiv w:val="1"/>
      <w:marLeft w:val="0"/>
      <w:marRight w:val="0"/>
      <w:marTop w:val="0"/>
      <w:marBottom w:val="0"/>
      <w:divBdr>
        <w:top w:val="none" w:sz="0" w:space="0" w:color="auto"/>
        <w:left w:val="none" w:sz="0" w:space="0" w:color="auto"/>
        <w:bottom w:val="none" w:sz="0" w:space="0" w:color="auto"/>
        <w:right w:val="none" w:sz="0" w:space="0" w:color="auto"/>
      </w:divBdr>
    </w:div>
    <w:div w:id="1664317338">
      <w:bodyDiv w:val="1"/>
      <w:marLeft w:val="0"/>
      <w:marRight w:val="0"/>
      <w:marTop w:val="0"/>
      <w:marBottom w:val="0"/>
      <w:divBdr>
        <w:top w:val="none" w:sz="0" w:space="0" w:color="auto"/>
        <w:left w:val="none" w:sz="0" w:space="0" w:color="auto"/>
        <w:bottom w:val="none" w:sz="0" w:space="0" w:color="auto"/>
        <w:right w:val="none" w:sz="0" w:space="0" w:color="auto"/>
      </w:divBdr>
    </w:div>
    <w:div w:id="1676688116">
      <w:bodyDiv w:val="1"/>
      <w:marLeft w:val="0"/>
      <w:marRight w:val="0"/>
      <w:marTop w:val="0"/>
      <w:marBottom w:val="0"/>
      <w:divBdr>
        <w:top w:val="none" w:sz="0" w:space="0" w:color="auto"/>
        <w:left w:val="none" w:sz="0" w:space="0" w:color="auto"/>
        <w:bottom w:val="none" w:sz="0" w:space="0" w:color="auto"/>
        <w:right w:val="none" w:sz="0" w:space="0" w:color="auto"/>
      </w:divBdr>
    </w:div>
    <w:div w:id="1682048429">
      <w:bodyDiv w:val="1"/>
      <w:marLeft w:val="0"/>
      <w:marRight w:val="0"/>
      <w:marTop w:val="0"/>
      <w:marBottom w:val="0"/>
      <w:divBdr>
        <w:top w:val="none" w:sz="0" w:space="0" w:color="auto"/>
        <w:left w:val="none" w:sz="0" w:space="0" w:color="auto"/>
        <w:bottom w:val="none" w:sz="0" w:space="0" w:color="auto"/>
        <w:right w:val="none" w:sz="0" w:space="0" w:color="auto"/>
      </w:divBdr>
    </w:div>
    <w:div w:id="1689327182">
      <w:bodyDiv w:val="1"/>
      <w:marLeft w:val="0"/>
      <w:marRight w:val="0"/>
      <w:marTop w:val="0"/>
      <w:marBottom w:val="0"/>
      <w:divBdr>
        <w:top w:val="none" w:sz="0" w:space="0" w:color="auto"/>
        <w:left w:val="none" w:sz="0" w:space="0" w:color="auto"/>
        <w:bottom w:val="none" w:sz="0" w:space="0" w:color="auto"/>
        <w:right w:val="none" w:sz="0" w:space="0" w:color="auto"/>
      </w:divBdr>
    </w:div>
    <w:div w:id="1691058117">
      <w:bodyDiv w:val="1"/>
      <w:marLeft w:val="0"/>
      <w:marRight w:val="0"/>
      <w:marTop w:val="0"/>
      <w:marBottom w:val="0"/>
      <w:divBdr>
        <w:top w:val="none" w:sz="0" w:space="0" w:color="auto"/>
        <w:left w:val="none" w:sz="0" w:space="0" w:color="auto"/>
        <w:bottom w:val="none" w:sz="0" w:space="0" w:color="auto"/>
        <w:right w:val="none" w:sz="0" w:space="0" w:color="auto"/>
      </w:divBdr>
    </w:div>
    <w:div w:id="1706632919">
      <w:bodyDiv w:val="1"/>
      <w:marLeft w:val="0"/>
      <w:marRight w:val="0"/>
      <w:marTop w:val="0"/>
      <w:marBottom w:val="0"/>
      <w:divBdr>
        <w:top w:val="none" w:sz="0" w:space="0" w:color="auto"/>
        <w:left w:val="none" w:sz="0" w:space="0" w:color="auto"/>
        <w:bottom w:val="none" w:sz="0" w:space="0" w:color="auto"/>
        <w:right w:val="none" w:sz="0" w:space="0" w:color="auto"/>
      </w:divBdr>
    </w:div>
    <w:div w:id="1709524820">
      <w:bodyDiv w:val="1"/>
      <w:marLeft w:val="0"/>
      <w:marRight w:val="0"/>
      <w:marTop w:val="0"/>
      <w:marBottom w:val="0"/>
      <w:divBdr>
        <w:top w:val="none" w:sz="0" w:space="0" w:color="auto"/>
        <w:left w:val="none" w:sz="0" w:space="0" w:color="auto"/>
        <w:bottom w:val="none" w:sz="0" w:space="0" w:color="auto"/>
        <w:right w:val="none" w:sz="0" w:space="0" w:color="auto"/>
      </w:divBdr>
    </w:div>
    <w:div w:id="1711414949">
      <w:bodyDiv w:val="1"/>
      <w:marLeft w:val="0"/>
      <w:marRight w:val="0"/>
      <w:marTop w:val="0"/>
      <w:marBottom w:val="0"/>
      <w:divBdr>
        <w:top w:val="none" w:sz="0" w:space="0" w:color="auto"/>
        <w:left w:val="none" w:sz="0" w:space="0" w:color="auto"/>
        <w:bottom w:val="none" w:sz="0" w:space="0" w:color="auto"/>
        <w:right w:val="none" w:sz="0" w:space="0" w:color="auto"/>
      </w:divBdr>
    </w:div>
    <w:div w:id="1715226587">
      <w:bodyDiv w:val="1"/>
      <w:marLeft w:val="0"/>
      <w:marRight w:val="0"/>
      <w:marTop w:val="0"/>
      <w:marBottom w:val="0"/>
      <w:divBdr>
        <w:top w:val="none" w:sz="0" w:space="0" w:color="auto"/>
        <w:left w:val="none" w:sz="0" w:space="0" w:color="auto"/>
        <w:bottom w:val="none" w:sz="0" w:space="0" w:color="auto"/>
        <w:right w:val="none" w:sz="0" w:space="0" w:color="auto"/>
      </w:divBdr>
    </w:div>
    <w:div w:id="1715622192">
      <w:bodyDiv w:val="1"/>
      <w:marLeft w:val="0"/>
      <w:marRight w:val="0"/>
      <w:marTop w:val="0"/>
      <w:marBottom w:val="0"/>
      <w:divBdr>
        <w:top w:val="none" w:sz="0" w:space="0" w:color="auto"/>
        <w:left w:val="none" w:sz="0" w:space="0" w:color="auto"/>
        <w:bottom w:val="none" w:sz="0" w:space="0" w:color="auto"/>
        <w:right w:val="none" w:sz="0" w:space="0" w:color="auto"/>
      </w:divBdr>
    </w:div>
    <w:div w:id="1720321736">
      <w:bodyDiv w:val="1"/>
      <w:marLeft w:val="0"/>
      <w:marRight w:val="0"/>
      <w:marTop w:val="0"/>
      <w:marBottom w:val="0"/>
      <w:divBdr>
        <w:top w:val="none" w:sz="0" w:space="0" w:color="auto"/>
        <w:left w:val="none" w:sz="0" w:space="0" w:color="auto"/>
        <w:bottom w:val="none" w:sz="0" w:space="0" w:color="auto"/>
        <w:right w:val="none" w:sz="0" w:space="0" w:color="auto"/>
      </w:divBdr>
    </w:div>
    <w:div w:id="1723211335">
      <w:bodyDiv w:val="1"/>
      <w:marLeft w:val="0"/>
      <w:marRight w:val="0"/>
      <w:marTop w:val="0"/>
      <w:marBottom w:val="0"/>
      <w:divBdr>
        <w:top w:val="none" w:sz="0" w:space="0" w:color="auto"/>
        <w:left w:val="none" w:sz="0" w:space="0" w:color="auto"/>
        <w:bottom w:val="none" w:sz="0" w:space="0" w:color="auto"/>
        <w:right w:val="none" w:sz="0" w:space="0" w:color="auto"/>
      </w:divBdr>
    </w:div>
    <w:div w:id="1724255624">
      <w:bodyDiv w:val="1"/>
      <w:marLeft w:val="0"/>
      <w:marRight w:val="0"/>
      <w:marTop w:val="0"/>
      <w:marBottom w:val="0"/>
      <w:divBdr>
        <w:top w:val="none" w:sz="0" w:space="0" w:color="auto"/>
        <w:left w:val="none" w:sz="0" w:space="0" w:color="auto"/>
        <w:bottom w:val="none" w:sz="0" w:space="0" w:color="auto"/>
        <w:right w:val="none" w:sz="0" w:space="0" w:color="auto"/>
      </w:divBdr>
    </w:div>
    <w:div w:id="1737513159">
      <w:bodyDiv w:val="1"/>
      <w:marLeft w:val="0"/>
      <w:marRight w:val="0"/>
      <w:marTop w:val="0"/>
      <w:marBottom w:val="0"/>
      <w:divBdr>
        <w:top w:val="none" w:sz="0" w:space="0" w:color="auto"/>
        <w:left w:val="none" w:sz="0" w:space="0" w:color="auto"/>
        <w:bottom w:val="none" w:sz="0" w:space="0" w:color="auto"/>
        <w:right w:val="none" w:sz="0" w:space="0" w:color="auto"/>
      </w:divBdr>
    </w:div>
    <w:div w:id="1739866964">
      <w:bodyDiv w:val="1"/>
      <w:marLeft w:val="0"/>
      <w:marRight w:val="0"/>
      <w:marTop w:val="0"/>
      <w:marBottom w:val="0"/>
      <w:divBdr>
        <w:top w:val="none" w:sz="0" w:space="0" w:color="auto"/>
        <w:left w:val="none" w:sz="0" w:space="0" w:color="auto"/>
        <w:bottom w:val="none" w:sz="0" w:space="0" w:color="auto"/>
        <w:right w:val="none" w:sz="0" w:space="0" w:color="auto"/>
      </w:divBdr>
    </w:div>
    <w:div w:id="1739933792">
      <w:bodyDiv w:val="1"/>
      <w:marLeft w:val="0"/>
      <w:marRight w:val="0"/>
      <w:marTop w:val="0"/>
      <w:marBottom w:val="0"/>
      <w:divBdr>
        <w:top w:val="none" w:sz="0" w:space="0" w:color="auto"/>
        <w:left w:val="none" w:sz="0" w:space="0" w:color="auto"/>
        <w:bottom w:val="none" w:sz="0" w:space="0" w:color="auto"/>
        <w:right w:val="none" w:sz="0" w:space="0" w:color="auto"/>
      </w:divBdr>
    </w:div>
    <w:div w:id="1741899173">
      <w:bodyDiv w:val="1"/>
      <w:marLeft w:val="0"/>
      <w:marRight w:val="0"/>
      <w:marTop w:val="0"/>
      <w:marBottom w:val="0"/>
      <w:divBdr>
        <w:top w:val="none" w:sz="0" w:space="0" w:color="auto"/>
        <w:left w:val="none" w:sz="0" w:space="0" w:color="auto"/>
        <w:bottom w:val="none" w:sz="0" w:space="0" w:color="auto"/>
        <w:right w:val="none" w:sz="0" w:space="0" w:color="auto"/>
      </w:divBdr>
    </w:div>
    <w:div w:id="1744141731">
      <w:bodyDiv w:val="1"/>
      <w:marLeft w:val="0"/>
      <w:marRight w:val="0"/>
      <w:marTop w:val="0"/>
      <w:marBottom w:val="0"/>
      <w:divBdr>
        <w:top w:val="none" w:sz="0" w:space="0" w:color="auto"/>
        <w:left w:val="none" w:sz="0" w:space="0" w:color="auto"/>
        <w:bottom w:val="none" w:sz="0" w:space="0" w:color="auto"/>
        <w:right w:val="none" w:sz="0" w:space="0" w:color="auto"/>
      </w:divBdr>
    </w:div>
    <w:div w:id="1747074520">
      <w:bodyDiv w:val="1"/>
      <w:marLeft w:val="0"/>
      <w:marRight w:val="0"/>
      <w:marTop w:val="0"/>
      <w:marBottom w:val="0"/>
      <w:divBdr>
        <w:top w:val="none" w:sz="0" w:space="0" w:color="auto"/>
        <w:left w:val="none" w:sz="0" w:space="0" w:color="auto"/>
        <w:bottom w:val="none" w:sz="0" w:space="0" w:color="auto"/>
        <w:right w:val="none" w:sz="0" w:space="0" w:color="auto"/>
      </w:divBdr>
    </w:div>
    <w:div w:id="1753432259">
      <w:bodyDiv w:val="1"/>
      <w:marLeft w:val="0"/>
      <w:marRight w:val="0"/>
      <w:marTop w:val="0"/>
      <w:marBottom w:val="0"/>
      <w:divBdr>
        <w:top w:val="none" w:sz="0" w:space="0" w:color="auto"/>
        <w:left w:val="none" w:sz="0" w:space="0" w:color="auto"/>
        <w:bottom w:val="none" w:sz="0" w:space="0" w:color="auto"/>
        <w:right w:val="none" w:sz="0" w:space="0" w:color="auto"/>
      </w:divBdr>
    </w:div>
    <w:div w:id="1767337699">
      <w:bodyDiv w:val="1"/>
      <w:marLeft w:val="0"/>
      <w:marRight w:val="0"/>
      <w:marTop w:val="0"/>
      <w:marBottom w:val="0"/>
      <w:divBdr>
        <w:top w:val="none" w:sz="0" w:space="0" w:color="auto"/>
        <w:left w:val="none" w:sz="0" w:space="0" w:color="auto"/>
        <w:bottom w:val="none" w:sz="0" w:space="0" w:color="auto"/>
        <w:right w:val="none" w:sz="0" w:space="0" w:color="auto"/>
      </w:divBdr>
    </w:div>
    <w:div w:id="1768961915">
      <w:bodyDiv w:val="1"/>
      <w:marLeft w:val="0"/>
      <w:marRight w:val="0"/>
      <w:marTop w:val="0"/>
      <w:marBottom w:val="0"/>
      <w:divBdr>
        <w:top w:val="none" w:sz="0" w:space="0" w:color="auto"/>
        <w:left w:val="none" w:sz="0" w:space="0" w:color="auto"/>
        <w:bottom w:val="none" w:sz="0" w:space="0" w:color="auto"/>
        <w:right w:val="none" w:sz="0" w:space="0" w:color="auto"/>
      </w:divBdr>
    </w:div>
    <w:div w:id="1769350709">
      <w:bodyDiv w:val="1"/>
      <w:marLeft w:val="0"/>
      <w:marRight w:val="0"/>
      <w:marTop w:val="0"/>
      <w:marBottom w:val="0"/>
      <w:divBdr>
        <w:top w:val="none" w:sz="0" w:space="0" w:color="auto"/>
        <w:left w:val="none" w:sz="0" w:space="0" w:color="auto"/>
        <w:bottom w:val="none" w:sz="0" w:space="0" w:color="auto"/>
        <w:right w:val="none" w:sz="0" w:space="0" w:color="auto"/>
      </w:divBdr>
    </w:div>
    <w:div w:id="1774397863">
      <w:bodyDiv w:val="1"/>
      <w:marLeft w:val="0"/>
      <w:marRight w:val="0"/>
      <w:marTop w:val="0"/>
      <w:marBottom w:val="0"/>
      <w:divBdr>
        <w:top w:val="none" w:sz="0" w:space="0" w:color="auto"/>
        <w:left w:val="none" w:sz="0" w:space="0" w:color="auto"/>
        <w:bottom w:val="none" w:sz="0" w:space="0" w:color="auto"/>
        <w:right w:val="none" w:sz="0" w:space="0" w:color="auto"/>
      </w:divBdr>
    </w:div>
    <w:div w:id="1776943481">
      <w:bodyDiv w:val="1"/>
      <w:marLeft w:val="0"/>
      <w:marRight w:val="0"/>
      <w:marTop w:val="0"/>
      <w:marBottom w:val="0"/>
      <w:divBdr>
        <w:top w:val="none" w:sz="0" w:space="0" w:color="auto"/>
        <w:left w:val="none" w:sz="0" w:space="0" w:color="auto"/>
        <w:bottom w:val="none" w:sz="0" w:space="0" w:color="auto"/>
        <w:right w:val="none" w:sz="0" w:space="0" w:color="auto"/>
      </w:divBdr>
    </w:div>
    <w:div w:id="1795251972">
      <w:bodyDiv w:val="1"/>
      <w:marLeft w:val="0"/>
      <w:marRight w:val="0"/>
      <w:marTop w:val="0"/>
      <w:marBottom w:val="0"/>
      <w:divBdr>
        <w:top w:val="none" w:sz="0" w:space="0" w:color="auto"/>
        <w:left w:val="none" w:sz="0" w:space="0" w:color="auto"/>
        <w:bottom w:val="none" w:sz="0" w:space="0" w:color="auto"/>
        <w:right w:val="none" w:sz="0" w:space="0" w:color="auto"/>
      </w:divBdr>
    </w:div>
    <w:div w:id="1797605666">
      <w:bodyDiv w:val="1"/>
      <w:marLeft w:val="0"/>
      <w:marRight w:val="0"/>
      <w:marTop w:val="0"/>
      <w:marBottom w:val="0"/>
      <w:divBdr>
        <w:top w:val="none" w:sz="0" w:space="0" w:color="auto"/>
        <w:left w:val="none" w:sz="0" w:space="0" w:color="auto"/>
        <w:bottom w:val="none" w:sz="0" w:space="0" w:color="auto"/>
        <w:right w:val="none" w:sz="0" w:space="0" w:color="auto"/>
      </w:divBdr>
    </w:div>
    <w:div w:id="1800608364">
      <w:bodyDiv w:val="1"/>
      <w:marLeft w:val="0"/>
      <w:marRight w:val="0"/>
      <w:marTop w:val="0"/>
      <w:marBottom w:val="0"/>
      <w:divBdr>
        <w:top w:val="none" w:sz="0" w:space="0" w:color="auto"/>
        <w:left w:val="none" w:sz="0" w:space="0" w:color="auto"/>
        <w:bottom w:val="none" w:sz="0" w:space="0" w:color="auto"/>
        <w:right w:val="none" w:sz="0" w:space="0" w:color="auto"/>
      </w:divBdr>
    </w:div>
    <w:div w:id="1816681945">
      <w:bodyDiv w:val="1"/>
      <w:marLeft w:val="0"/>
      <w:marRight w:val="0"/>
      <w:marTop w:val="0"/>
      <w:marBottom w:val="0"/>
      <w:divBdr>
        <w:top w:val="none" w:sz="0" w:space="0" w:color="auto"/>
        <w:left w:val="none" w:sz="0" w:space="0" w:color="auto"/>
        <w:bottom w:val="none" w:sz="0" w:space="0" w:color="auto"/>
        <w:right w:val="none" w:sz="0" w:space="0" w:color="auto"/>
      </w:divBdr>
    </w:div>
    <w:div w:id="1829900875">
      <w:bodyDiv w:val="1"/>
      <w:marLeft w:val="0"/>
      <w:marRight w:val="0"/>
      <w:marTop w:val="0"/>
      <w:marBottom w:val="0"/>
      <w:divBdr>
        <w:top w:val="none" w:sz="0" w:space="0" w:color="auto"/>
        <w:left w:val="none" w:sz="0" w:space="0" w:color="auto"/>
        <w:bottom w:val="none" w:sz="0" w:space="0" w:color="auto"/>
        <w:right w:val="none" w:sz="0" w:space="0" w:color="auto"/>
      </w:divBdr>
    </w:div>
    <w:div w:id="1849170943">
      <w:bodyDiv w:val="1"/>
      <w:marLeft w:val="0"/>
      <w:marRight w:val="0"/>
      <w:marTop w:val="0"/>
      <w:marBottom w:val="0"/>
      <w:divBdr>
        <w:top w:val="none" w:sz="0" w:space="0" w:color="auto"/>
        <w:left w:val="none" w:sz="0" w:space="0" w:color="auto"/>
        <w:bottom w:val="none" w:sz="0" w:space="0" w:color="auto"/>
        <w:right w:val="none" w:sz="0" w:space="0" w:color="auto"/>
      </w:divBdr>
    </w:div>
    <w:div w:id="1860512088">
      <w:bodyDiv w:val="1"/>
      <w:marLeft w:val="0"/>
      <w:marRight w:val="0"/>
      <w:marTop w:val="0"/>
      <w:marBottom w:val="0"/>
      <w:divBdr>
        <w:top w:val="none" w:sz="0" w:space="0" w:color="auto"/>
        <w:left w:val="none" w:sz="0" w:space="0" w:color="auto"/>
        <w:bottom w:val="none" w:sz="0" w:space="0" w:color="auto"/>
        <w:right w:val="none" w:sz="0" w:space="0" w:color="auto"/>
      </w:divBdr>
    </w:div>
    <w:div w:id="1861164051">
      <w:bodyDiv w:val="1"/>
      <w:marLeft w:val="0"/>
      <w:marRight w:val="0"/>
      <w:marTop w:val="0"/>
      <w:marBottom w:val="0"/>
      <w:divBdr>
        <w:top w:val="none" w:sz="0" w:space="0" w:color="auto"/>
        <w:left w:val="none" w:sz="0" w:space="0" w:color="auto"/>
        <w:bottom w:val="none" w:sz="0" w:space="0" w:color="auto"/>
        <w:right w:val="none" w:sz="0" w:space="0" w:color="auto"/>
      </w:divBdr>
    </w:div>
    <w:div w:id="1868911534">
      <w:bodyDiv w:val="1"/>
      <w:marLeft w:val="0"/>
      <w:marRight w:val="0"/>
      <w:marTop w:val="0"/>
      <w:marBottom w:val="0"/>
      <w:divBdr>
        <w:top w:val="none" w:sz="0" w:space="0" w:color="auto"/>
        <w:left w:val="none" w:sz="0" w:space="0" w:color="auto"/>
        <w:bottom w:val="none" w:sz="0" w:space="0" w:color="auto"/>
        <w:right w:val="none" w:sz="0" w:space="0" w:color="auto"/>
      </w:divBdr>
    </w:div>
    <w:div w:id="1874146797">
      <w:bodyDiv w:val="1"/>
      <w:marLeft w:val="0"/>
      <w:marRight w:val="0"/>
      <w:marTop w:val="0"/>
      <w:marBottom w:val="0"/>
      <w:divBdr>
        <w:top w:val="none" w:sz="0" w:space="0" w:color="auto"/>
        <w:left w:val="none" w:sz="0" w:space="0" w:color="auto"/>
        <w:bottom w:val="none" w:sz="0" w:space="0" w:color="auto"/>
        <w:right w:val="none" w:sz="0" w:space="0" w:color="auto"/>
      </w:divBdr>
    </w:div>
    <w:div w:id="1879001170">
      <w:bodyDiv w:val="1"/>
      <w:marLeft w:val="0"/>
      <w:marRight w:val="0"/>
      <w:marTop w:val="0"/>
      <w:marBottom w:val="0"/>
      <w:divBdr>
        <w:top w:val="none" w:sz="0" w:space="0" w:color="auto"/>
        <w:left w:val="none" w:sz="0" w:space="0" w:color="auto"/>
        <w:bottom w:val="none" w:sz="0" w:space="0" w:color="auto"/>
        <w:right w:val="none" w:sz="0" w:space="0" w:color="auto"/>
      </w:divBdr>
    </w:div>
    <w:div w:id="1885210192">
      <w:bodyDiv w:val="1"/>
      <w:marLeft w:val="0"/>
      <w:marRight w:val="0"/>
      <w:marTop w:val="0"/>
      <w:marBottom w:val="0"/>
      <w:divBdr>
        <w:top w:val="none" w:sz="0" w:space="0" w:color="auto"/>
        <w:left w:val="none" w:sz="0" w:space="0" w:color="auto"/>
        <w:bottom w:val="none" w:sz="0" w:space="0" w:color="auto"/>
        <w:right w:val="none" w:sz="0" w:space="0" w:color="auto"/>
      </w:divBdr>
    </w:div>
    <w:div w:id="1885750583">
      <w:bodyDiv w:val="1"/>
      <w:marLeft w:val="0"/>
      <w:marRight w:val="0"/>
      <w:marTop w:val="0"/>
      <w:marBottom w:val="0"/>
      <w:divBdr>
        <w:top w:val="none" w:sz="0" w:space="0" w:color="auto"/>
        <w:left w:val="none" w:sz="0" w:space="0" w:color="auto"/>
        <w:bottom w:val="none" w:sz="0" w:space="0" w:color="auto"/>
        <w:right w:val="none" w:sz="0" w:space="0" w:color="auto"/>
      </w:divBdr>
    </w:div>
    <w:div w:id="1889758462">
      <w:bodyDiv w:val="1"/>
      <w:marLeft w:val="0"/>
      <w:marRight w:val="0"/>
      <w:marTop w:val="0"/>
      <w:marBottom w:val="0"/>
      <w:divBdr>
        <w:top w:val="none" w:sz="0" w:space="0" w:color="auto"/>
        <w:left w:val="none" w:sz="0" w:space="0" w:color="auto"/>
        <w:bottom w:val="none" w:sz="0" w:space="0" w:color="auto"/>
        <w:right w:val="none" w:sz="0" w:space="0" w:color="auto"/>
      </w:divBdr>
    </w:div>
    <w:div w:id="1906718348">
      <w:bodyDiv w:val="1"/>
      <w:marLeft w:val="0"/>
      <w:marRight w:val="0"/>
      <w:marTop w:val="0"/>
      <w:marBottom w:val="0"/>
      <w:divBdr>
        <w:top w:val="none" w:sz="0" w:space="0" w:color="auto"/>
        <w:left w:val="none" w:sz="0" w:space="0" w:color="auto"/>
        <w:bottom w:val="none" w:sz="0" w:space="0" w:color="auto"/>
        <w:right w:val="none" w:sz="0" w:space="0" w:color="auto"/>
      </w:divBdr>
    </w:div>
    <w:div w:id="1908301904">
      <w:bodyDiv w:val="1"/>
      <w:marLeft w:val="0"/>
      <w:marRight w:val="0"/>
      <w:marTop w:val="0"/>
      <w:marBottom w:val="0"/>
      <w:divBdr>
        <w:top w:val="none" w:sz="0" w:space="0" w:color="auto"/>
        <w:left w:val="none" w:sz="0" w:space="0" w:color="auto"/>
        <w:bottom w:val="none" w:sz="0" w:space="0" w:color="auto"/>
        <w:right w:val="none" w:sz="0" w:space="0" w:color="auto"/>
      </w:divBdr>
    </w:div>
    <w:div w:id="1919435329">
      <w:bodyDiv w:val="1"/>
      <w:marLeft w:val="0"/>
      <w:marRight w:val="0"/>
      <w:marTop w:val="0"/>
      <w:marBottom w:val="0"/>
      <w:divBdr>
        <w:top w:val="none" w:sz="0" w:space="0" w:color="auto"/>
        <w:left w:val="none" w:sz="0" w:space="0" w:color="auto"/>
        <w:bottom w:val="none" w:sz="0" w:space="0" w:color="auto"/>
        <w:right w:val="none" w:sz="0" w:space="0" w:color="auto"/>
      </w:divBdr>
    </w:div>
    <w:div w:id="1928608212">
      <w:bodyDiv w:val="1"/>
      <w:marLeft w:val="0"/>
      <w:marRight w:val="0"/>
      <w:marTop w:val="0"/>
      <w:marBottom w:val="0"/>
      <w:divBdr>
        <w:top w:val="none" w:sz="0" w:space="0" w:color="auto"/>
        <w:left w:val="none" w:sz="0" w:space="0" w:color="auto"/>
        <w:bottom w:val="none" w:sz="0" w:space="0" w:color="auto"/>
        <w:right w:val="none" w:sz="0" w:space="0" w:color="auto"/>
      </w:divBdr>
    </w:div>
    <w:div w:id="1931156541">
      <w:bodyDiv w:val="1"/>
      <w:marLeft w:val="0"/>
      <w:marRight w:val="0"/>
      <w:marTop w:val="0"/>
      <w:marBottom w:val="0"/>
      <w:divBdr>
        <w:top w:val="none" w:sz="0" w:space="0" w:color="auto"/>
        <w:left w:val="none" w:sz="0" w:space="0" w:color="auto"/>
        <w:bottom w:val="none" w:sz="0" w:space="0" w:color="auto"/>
        <w:right w:val="none" w:sz="0" w:space="0" w:color="auto"/>
      </w:divBdr>
    </w:div>
    <w:div w:id="1936553071">
      <w:bodyDiv w:val="1"/>
      <w:marLeft w:val="0"/>
      <w:marRight w:val="0"/>
      <w:marTop w:val="0"/>
      <w:marBottom w:val="0"/>
      <w:divBdr>
        <w:top w:val="none" w:sz="0" w:space="0" w:color="auto"/>
        <w:left w:val="none" w:sz="0" w:space="0" w:color="auto"/>
        <w:bottom w:val="none" w:sz="0" w:space="0" w:color="auto"/>
        <w:right w:val="none" w:sz="0" w:space="0" w:color="auto"/>
      </w:divBdr>
    </w:div>
    <w:div w:id="1939025242">
      <w:bodyDiv w:val="1"/>
      <w:marLeft w:val="0"/>
      <w:marRight w:val="0"/>
      <w:marTop w:val="0"/>
      <w:marBottom w:val="0"/>
      <w:divBdr>
        <w:top w:val="none" w:sz="0" w:space="0" w:color="auto"/>
        <w:left w:val="none" w:sz="0" w:space="0" w:color="auto"/>
        <w:bottom w:val="none" w:sz="0" w:space="0" w:color="auto"/>
        <w:right w:val="none" w:sz="0" w:space="0" w:color="auto"/>
      </w:divBdr>
    </w:div>
    <w:div w:id="1959336073">
      <w:bodyDiv w:val="1"/>
      <w:marLeft w:val="0"/>
      <w:marRight w:val="0"/>
      <w:marTop w:val="0"/>
      <w:marBottom w:val="0"/>
      <w:divBdr>
        <w:top w:val="none" w:sz="0" w:space="0" w:color="auto"/>
        <w:left w:val="none" w:sz="0" w:space="0" w:color="auto"/>
        <w:bottom w:val="none" w:sz="0" w:space="0" w:color="auto"/>
        <w:right w:val="none" w:sz="0" w:space="0" w:color="auto"/>
      </w:divBdr>
    </w:div>
    <w:div w:id="1968973488">
      <w:bodyDiv w:val="1"/>
      <w:marLeft w:val="0"/>
      <w:marRight w:val="0"/>
      <w:marTop w:val="0"/>
      <w:marBottom w:val="0"/>
      <w:divBdr>
        <w:top w:val="none" w:sz="0" w:space="0" w:color="auto"/>
        <w:left w:val="none" w:sz="0" w:space="0" w:color="auto"/>
        <w:bottom w:val="none" w:sz="0" w:space="0" w:color="auto"/>
        <w:right w:val="none" w:sz="0" w:space="0" w:color="auto"/>
      </w:divBdr>
    </w:div>
    <w:div w:id="1974094600">
      <w:bodyDiv w:val="1"/>
      <w:marLeft w:val="0"/>
      <w:marRight w:val="0"/>
      <w:marTop w:val="0"/>
      <w:marBottom w:val="0"/>
      <w:divBdr>
        <w:top w:val="none" w:sz="0" w:space="0" w:color="auto"/>
        <w:left w:val="none" w:sz="0" w:space="0" w:color="auto"/>
        <w:bottom w:val="none" w:sz="0" w:space="0" w:color="auto"/>
        <w:right w:val="none" w:sz="0" w:space="0" w:color="auto"/>
      </w:divBdr>
    </w:div>
    <w:div w:id="1984658017">
      <w:bodyDiv w:val="1"/>
      <w:marLeft w:val="0"/>
      <w:marRight w:val="0"/>
      <w:marTop w:val="0"/>
      <w:marBottom w:val="0"/>
      <w:divBdr>
        <w:top w:val="none" w:sz="0" w:space="0" w:color="auto"/>
        <w:left w:val="none" w:sz="0" w:space="0" w:color="auto"/>
        <w:bottom w:val="none" w:sz="0" w:space="0" w:color="auto"/>
        <w:right w:val="none" w:sz="0" w:space="0" w:color="auto"/>
      </w:divBdr>
    </w:div>
    <w:div w:id="1993561150">
      <w:bodyDiv w:val="1"/>
      <w:marLeft w:val="0"/>
      <w:marRight w:val="0"/>
      <w:marTop w:val="0"/>
      <w:marBottom w:val="0"/>
      <w:divBdr>
        <w:top w:val="none" w:sz="0" w:space="0" w:color="auto"/>
        <w:left w:val="none" w:sz="0" w:space="0" w:color="auto"/>
        <w:bottom w:val="none" w:sz="0" w:space="0" w:color="auto"/>
        <w:right w:val="none" w:sz="0" w:space="0" w:color="auto"/>
      </w:divBdr>
    </w:div>
    <w:div w:id="2006399578">
      <w:bodyDiv w:val="1"/>
      <w:marLeft w:val="0"/>
      <w:marRight w:val="0"/>
      <w:marTop w:val="0"/>
      <w:marBottom w:val="0"/>
      <w:divBdr>
        <w:top w:val="none" w:sz="0" w:space="0" w:color="auto"/>
        <w:left w:val="none" w:sz="0" w:space="0" w:color="auto"/>
        <w:bottom w:val="none" w:sz="0" w:space="0" w:color="auto"/>
        <w:right w:val="none" w:sz="0" w:space="0" w:color="auto"/>
      </w:divBdr>
    </w:div>
    <w:div w:id="2009169806">
      <w:bodyDiv w:val="1"/>
      <w:marLeft w:val="0"/>
      <w:marRight w:val="0"/>
      <w:marTop w:val="0"/>
      <w:marBottom w:val="0"/>
      <w:divBdr>
        <w:top w:val="none" w:sz="0" w:space="0" w:color="auto"/>
        <w:left w:val="none" w:sz="0" w:space="0" w:color="auto"/>
        <w:bottom w:val="none" w:sz="0" w:space="0" w:color="auto"/>
        <w:right w:val="none" w:sz="0" w:space="0" w:color="auto"/>
      </w:divBdr>
    </w:div>
    <w:div w:id="2018849981">
      <w:bodyDiv w:val="1"/>
      <w:marLeft w:val="0"/>
      <w:marRight w:val="0"/>
      <w:marTop w:val="0"/>
      <w:marBottom w:val="0"/>
      <w:divBdr>
        <w:top w:val="none" w:sz="0" w:space="0" w:color="auto"/>
        <w:left w:val="none" w:sz="0" w:space="0" w:color="auto"/>
        <w:bottom w:val="none" w:sz="0" w:space="0" w:color="auto"/>
        <w:right w:val="none" w:sz="0" w:space="0" w:color="auto"/>
      </w:divBdr>
    </w:div>
    <w:div w:id="2020423477">
      <w:bodyDiv w:val="1"/>
      <w:marLeft w:val="0"/>
      <w:marRight w:val="0"/>
      <w:marTop w:val="0"/>
      <w:marBottom w:val="0"/>
      <w:divBdr>
        <w:top w:val="none" w:sz="0" w:space="0" w:color="auto"/>
        <w:left w:val="none" w:sz="0" w:space="0" w:color="auto"/>
        <w:bottom w:val="none" w:sz="0" w:space="0" w:color="auto"/>
        <w:right w:val="none" w:sz="0" w:space="0" w:color="auto"/>
      </w:divBdr>
    </w:div>
    <w:div w:id="2021812670">
      <w:bodyDiv w:val="1"/>
      <w:marLeft w:val="0"/>
      <w:marRight w:val="0"/>
      <w:marTop w:val="0"/>
      <w:marBottom w:val="0"/>
      <w:divBdr>
        <w:top w:val="none" w:sz="0" w:space="0" w:color="auto"/>
        <w:left w:val="none" w:sz="0" w:space="0" w:color="auto"/>
        <w:bottom w:val="none" w:sz="0" w:space="0" w:color="auto"/>
        <w:right w:val="none" w:sz="0" w:space="0" w:color="auto"/>
      </w:divBdr>
    </w:div>
    <w:div w:id="2025009070">
      <w:bodyDiv w:val="1"/>
      <w:marLeft w:val="0"/>
      <w:marRight w:val="0"/>
      <w:marTop w:val="0"/>
      <w:marBottom w:val="0"/>
      <w:divBdr>
        <w:top w:val="none" w:sz="0" w:space="0" w:color="auto"/>
        <w:left w:val="none" w:sz="0" w:space="0" w:color="auto"/>
        <w:bottom w:val="none" w:sz="0" w:space="0" w:color="auto"/>
        <w:right w:val="none" w:sz="0" w:space="0" w:color="auto"/>
      </w:divBdr>
    </w:div>
    <w:div w:id="2031026452">
      <w:bodyDiv w:val="1"/>
      <w:marLeft w:val="0"/>
      <w:marRight w:val="0"/>
      <w:marTop w:val="0"/>
      <w:marBottom w:val="0"/>
      <w:divBdr>
        <w:top w:val="none" w:sz="0" w:space="0" w:color="auto"/>
        <w:left w:val="none" w:sz="0" w:space="0" w:color="auto"/>
        <w:bottom w:val="none" w:sz="0" w:space="0" w:color="auto"/>
        <w:right w:val="none" w:sz="0" w:space="0" w:color="auto"/>
      </w:divBdr>
    </w:div>
    <w:div w:id="2032024696">
      <w:bodyDiv w:val="1"/>
      <w:marLeft w:val="0"/>
      <w:marRight w:val="0"/>
      <w:marTop w:val="0"/>
      <w:marBottom w:val="0"/>
      <w:divBdr>
        <w:top w:val="none" w:sz="0" w:space="0" w:color="auto"/>
        <w:left w:val="none" w:sz="0" w:space="0" w:color="auto"/>
        <w:bottom w:val="none" w:sz="0" w:space="0" w:color="auto"/>
        <w:right w:val="none" w:sz="0" w:space="0" w:color="auto"/>
      </w:divBdr>
    </w:div>
    <w:div w:id="2036807983">
      <w:bodyDiv w:val="1"/>
      <w:marLeft w:val="0"/>
      <w:marRight w:val="0"/>
      <w:marTop w:val="0"/>
      <w:marBottom w:val="0"/>
      <w:divBdr>
        <w:top w:val="none" w:sz="0" w:space="0" w:color="auto"/>
        <w:left w:val="none" w:sz="0" w:space="0" w:color="auto"/>
        <w:bottom w:val="none" w:sz="0" w:space="0" w:color="auto"/>
        <w:right w:val="none" w:sz="0" w:space="0" w:color="auto"/>
      </w:divBdr>
    </w:div>
    <w:div w:id="2052991757">
      <w:bodyDiv w:val="1"/>
      <w:marLeft w:val="0"/>
      <w:marRight w:val="0"/>
      <w:marTop w:val="0"/>
      <w:marBottom w:val="0"/>
      <w:divBdr>
        <w:top w:val="none" w:sz="0" w:space="0" w:color="auto"/>
        <w:left w:val="none" w:sz="0" w:space="0" w:color="auto"/>
        <w:bottom w:val="none" w:sz="0" w:space="0" w:color="auto"/>
        <w:right w:val="none" w:sz="0" w:space="0" w:color="auto"/>
      </w:divBdr>
    </w:div>
    <w:div w:id="2055500403">
      <w:bodyDiv w:val="1"/>
      <w:marLeft w:val="0"/>
      <w:marRight w:val="0"/>
      <w:marTop w:val="0"/>
      <w:marBottom w:val="0"/>
      <w:divBdr>
        <w:top w:val="none" w:sz="0" w:space="0" w:color="auto"/>
        <w:left w:val="none" w:sz="0" w:space="0" w:color="auto"/>
        <w:bottom w:val="none" w:sz="0" w:space="0" w:color="auto"/>
        <w:right w:val="none" w:sz="0" w:space="0" w:color="auto"/>
      </w:divBdr>
    </w:div>
    <w:div w:id="2064667987">
      <w:bodyDiv w:val="1"/>
      <w:marLeft w:val="0"/>
      <w:marRight w:val="0"/>
      <w:marTop w:val="0"/>
      <w:marBottom w:val="0"/>
      <w:divBdr>
        <w:top w:val="none" w:sz="0" w:space="0" w:color="auto"/>
        <w:left w:val="none" w:sz="0" w:space="0" w:color="auto"/>
        <w:bottom w:val="none" w:sz="0" w:space="0" w:color="auto"/>
        <w:right w:val="none" w:sz="0" w:space="0" w:color="auto"/>
      </w:divBdr>
    </w:div>
    <w:div w:id="2073114365">
      <w:bodyDiv w:val="1"/>
      <w:marLeft w:val="0"/>
      <w:marRight w:val="0"/>
      <w:marTop w:val="0"/>
      <w:marBottom w:val="0"/>
      <w:divBdr>
        <w:top w:val="none" w:sz="0" w:space="0" w:color="auto"/>
        <w:left w:val="none" w:sz="0" w:space="0" w:color="auto"/>
        <w:bottom w:val="none" w:sz="0" w:space="0" w:color="auto"/>
        <w:right w:val="none" w:sz="0" w:space="0" w:color="auto"/>
      </w:divBdr>
    </w:div>
    <w:div w:id="2073115632">
      <w:bodyDiv w:val="1"/>
      <w:marLeft w:val="0"/>
      <w:marRight w:val="0"/>
      <w:marTop w:val="0"/>
      <w:marBottom w:val="0"/>
      <w:divBdr>
        <w:top w:val="none" w:sz="0" w:space="0" w:color="auto"/>
        <w:left w:val="none" w:sz="0" w:space="0" w:color="auto"/>
        <w:bottom w:val="none" w:sz="0" w:space="0" w:color="auto"/>
        <w:right w:val="none" w:sz="0" w:space="0" w:color="auto"/>
      </w:divBdr>
    </w:div>
    <w:div w:id="2078504857">
      <w:bodyDiv w:val="1"/>
      <w:marLeft w:val="0"/>
      <w:marRight w:val="0"/>
      <w:marTop w:val="0"/>
      <w:marBottom w:val="0"/>
      <w:divBdr>
        <w:top w:val="none" w:sz="0" w:space="0" w:color="auto"/>
        <w:left w:val="none" w:sz="0" w:space="0" w:color="auto"/>
        <w:bottom w:val="none" w:sz="0" w:space="0" w:color="auto"/>
        <w:right w:val="none" w:sz="0" w:space="0" w:color="auto"/>
      </w:divBdr>
    </w:div>
    <w:div w:id="2081828432">
      <w:bodyDiv w:val="1"/>
      <w:marLeft w:val="0"/>
      <w:marRight w:val="0"/>
      <w:marTop w:val="0"/>
      <w:marBottom w:val="0"/>
      <w:divBdr>
        <w:top w:val="none" w:sz="0" w:space="0" w:color="auto"/>
        <w:left w:val="none" w:sz="0" w:space="0" w:color="auto"/>
        <w:bottom w:val="none" w:sz="0" w:space="0" w:color="auto"/>
        <w:right w:val="none" w:sz="0" w:space="0" w:color="auto"/>
      </w:divBdr>
    </w:div>
    <w:div w:id="2085058296">
      <w:bodyDiv w:val="1"/>
      <w:marLeft w:val="0"/>
      <w:marRight w:val="0"/>
      <w:marTop w:val="0"/>
      <w:marBottom w:val="0"/>
      <w:divBdr>
        <w:top w:val="none" w:sz="0" w:space="0" w:color="auto"/>
        <w:left w:val="none" w:sz="0" w:space="0" w:color="auto"/>
        <w:bottom w:val="none" w:sz="0" w:space="0" w:color="auto"/>
        <w:right w:val="none" w:sz="0" w:space="0" w:color="auto"/>
      </w:divBdr>
    </w:div>
    <w:div w:id="2085715833">
      <w:bodyDiv w:val="1"/>
      <w:marLeft w:val="0"/>
      <w:marRight w:val="0"/>
      <w:marTop w:val="0"/>
      <w:marBottom w:val="0"/>
      <w:divBdr>
        <w:top w:val="none" w:sz="0" w:space="0" w:color="auto"/>
        <w:left w:val="none" w:sz="0" w:space="0" w:color="auto"/>
        <w:bottom w:val="none" w:sz="0" w:space="0" w:color="auto"/>
        <w:right w:val="none" w:sz="0" w:space="0" w:color="auto"/>
      </w:divBdr>
    </w:div>
    <w:div w:id="2086759680">
      <w:bodyDiv w:val="1"/>
      <w:marLeft w:val="0"/>
      <w:marRight w:val="0"/>
      <w:marTop w:val="0"/>
      <w:marBottom w:val="0"/>
      <w:divBdr>
        <w:top w:val="none" w:sz="0" w:space="0" w:color="auto"/>
        <w:left w:val="none" w:sz="0" w:space="0" w:color="auto"/>
        <w:bottom w:val="none" w:sz="0" w:space="0" w:color="auto"/>
        <w:right w:val="none" w:sz="0" w:space="0" w:color="auto"/>
      </w:divBdr>
    </w:div>
    <w:div w:id="2087258575">
      <w:bodyDiv w:val="1"/>
      <w:marLeft w:val="0"/>
      <w:marRight w:val="0"/>
      <w:marTop w:val="0"/>
      <w:marBottom w:val="0"/>
      <w:divBdr>
        <w:top w:val="none" w:sz="0" w:space="0" w:color="auto"/>
        <w:left w:val="none" w:sz="0" w:space="0" w:color="auto"/>
        <w:bottom w:val="none" w:sz="0" w:space="0" w:color="auto"/>
        <w:right w:val="none" w:sz="0" w:space="0" w:color="auto"/>
      </w:divBdr>
    </w:div>
    <w:div w:id="2090885539">
      <w:bodyDiv w:val="1"/>
      <w:marLeft w:val="0"/>
      <w:marRight w:val="0"/>
      <w:marTop w:val="0"/>
      <w:marBottom w:val="0"/>
      <w:divBdr>
        <w:top w:val="none" w:sz="0" w:space="0" w:color="auto"/>
        <w:left w:val="none" w:sz="0" w:space="0" w:color="auto"/>
        <w:bottom w:val="none" w:sz="0" w:space="0" w:color="auto"/>
        <w:right w:val="none" w:sz="0" w:space="0" w:color="auto"/>
      </w:divBdr>
    </w:div>
    <w:div w:id="2100519769">
      <w:bodyDiv w:val="1"/>
      <w:marLeft w:val="0"/>
      <w:marRight w:val="0"/>
      <w:marTop w:val="0"/>
      <w:marBottom w:val="0"/>
      <w:divBdr>
        <w:top w:val="none" w:sz="0" w:space="0" w:color="auto"/>
        <w:left w:val="none" w:sz="0" w:space="0" w:color="auto"/>
        <w:bottom w:val="none" w:sz="0" w:space="0" w:color="auto"/>
        <w:right w:val="none" w:sz="0" w:space="0" w:color="auto"/>
      </w:divBdr>
    </w:div>
    <w:div w:id="2100984556">
      <w:bodyDiv w:val="1"/>
      <w:marLeft w:val="0"/>
      <w:marRight w:val="0"/>
      <w:marTop w:val="0"/>
      <w:marBottom w:val="0"/>
      <w:divBdr>
        <w:top w:val="none" w:sz="0" w:space="0" w:color="auto"/>
        <w:left w:val="none" w:sz="0" w:space="0" w:color="auto"/>
        <w:bottom w:val="none" w:sz="0" w:space="0" w:color="auto"/>
        <w:right w:val="none" w:sz="0" w:space="0" w:color="auto"/>
      </w:divBdr>
    </w:div>
    <w:div w:id="2101871896">
      <w:bodyDiv w:val="1"/>
      <w:marLeft w:val="0"/>
      <w:marRight w:val="0"/>
      <w:marTop w:val="0"/>
      <w:marBottom w:val="0"/>
      <w:divBdr>
        <w:top w:val="none" w:sz="0" w:space="0" w:color="auto"/>
        <w:left w:val="none" w:sz="0" w:space="0" w:color="auto"/>
        <w:bottom w:val="none" w:sz="0" w:space="0" w:color="auto"/>
        <w:right w:val="none" w:sz="0" w:space="0" w:color="auto"/>
      </w:divBdr>
    </w:div>
    <w:div w:id="2115125146">
      <w:bodyDiv w:val="1"/>
      <w:marLeft w:val="0"/>
      <w:marRight w:val="0"/>
      <w:marTop w:val="0"/>
      <w:marBottom w:val="0"/>
      <w:divBdr>
        <w:top w:val="none" w:sz="0" w:space="0" w:color="auto"/>
        <w:left w:val="none" w:sz="0" w:space="0" w:color="auto"/>
        <w:bottom w:val="none" w:sz="0" w:space="0" w:color="auto"/>
        <w:right w:val="none" w:sz="0" w:space="0" w:color="auto"/>
      </w:divBdr>
    </w:div>
    <w:div w:id="2132359186">
      <w:bodyDiv w:val="1"/>
      <w:marLeft w:val="0"/>
      <w:marRight w:val="0"/>
      <w:marTop w:val="0"/>
      <w:marBottom w:val="0"/>
      <w:divBdr>
        <w:top w:val="none" w:sz="0" w:space="0" w:color="auto"/>
        <w:left w:val="none" w:sz="0" w:space="0" w:color="auto"/>
        <w:bottom w:val="none" w:sz="0" w:space="0" w:color="auto"/>
        <w:right w:val="none" w:sz="0" w:space="0" w:color="auto"/>
      </w:divBdr>
    </w:div>
    <w:div w:id="2132673555">
      <w:bodyDiv w:val="1"/>
      <w:marLeft w:val="0"/>
      <w:marRight w:val="0"/>
      <w:marTop w:val="0"/>
      <w:marBottom w:val="0"/>
      <w:divBdr>
        <w:top w:val="none" w:sz="0" w:space="0" w:color="auto"/>
        <w:left w:val="none" w:sz="0" w:space="0" w:color="auto"/>
        <w:bottom w:val="none" w:sz="0" w:space="0" w:color="auto"/>
        <w:right w:val="none" w:sz="0" w:space="0" w:color="auto"/>
      </w:divBdr>
    </w:div>
    <w:div w:id="2137598372">
      <w:bodyDiv w:val="1"/>
      <w:marLeft w:val="0"/>
      <w:marRight w:val="0"/>
      <w:marTop w:val="0"/>
      <w:marBottom w:val="0"/>
      <w:divBdr>
        <w:top w:val="none" w:sz="0" w:space="0" w:color="auto"/>
        <w:left w:val="none" w:sz="0" w:space="0" w:color="auto"/>
        <w:bottom w:val="none" w:sz="0" w:space="0" w:color="auto"/>
        <w:right w:val="none" w:sz="0" w:space="0" w:color="auto"/>
      </w:divBdr>
    </w:div>
    <w:div w:id="2141069771">
      <w:bodyDiv w:val="1"/>
      <w:marLeft w:val="0"/>
      <w:marRight w:val="0"/>
      <w:marTop w:val="0"/>
      <w:marBottom w:val="0"/>
      <w:divBdr>
        <w:top w:val="none" w:sz="0" w:space="0" w:color="auto"/>
        <w:left w:val="none" w:sz="0" w:space="0" w:color="auto"/>
        <w:bottom w:val="none" w:sz="0" w:space="0" w:color="auto"/>
        <w:right w:val="none" w:sz="0" w:space="0" w:color="auto"/>
      </w:divBdr>
    </w:div>
    <w:div w:id="2141223906">
      <w:bodyDiv w:val="1"/>
      <w:marLeft w:val="0"/>
      <w:marRight w:val="0"/>
      <w:marTop w:val="0"/>
      <w:marBottom w:val="0"/>
      <w:divBdr>
        <w:top w:val="none" w:sz="0" w:space="0" w:color="auto"/>
        <w:left w:val="none" w:sz="0" w:space="0" w:color="auto"/>
        <w:bottom w:val="none" w:sz="0" w:space="0" w:color="auto"/>
        <w:right w:val="none" w:sz="0" w:space="0" w:color="auto"/>
      </w:divBdr>
    </w:div>
    <w:div w:id="214296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0CC70-1AAE-4789-A394-7A2FAA8F4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3400</Words>
  <Characters>22196</Characters>
  <Application>Microsoft Office Word</Application>
  <DocSecurity>4</DocSecurity>
  <Lines>184</Lines>
  <Paragraphs>51</Paragraphs>
  <ScaleCrop>false</ScaleCrop>
  <HeadingPairs>
    <vt:vector size="2" baseType="variant">
      <vt:variant>
        <vt:lpstr>Konu Başlığı</vt:lpstr>
      </vt:variant>
      <vt:variant>
        <vt:i4>1</vt:i4>
      </vt:variant>
    </vt:vector>
  </HeadingPairs>
  <TitlesOfParts>
    <vt:vector size="1" baseType="lpstr">
      <vt:lpstr>1</vt:lpstr>
    </vt:vector>
  </TitlesOfParts>
  <Company>DTM</Company>
  <LinksUpToDate>false</LinksUpToDate>
  <CharactersWithSpaces>25545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Mustafa Aydın</cp:lastModifiedBy>
  <cp:revision>2</cp:revision>
  <cp:lastPrinted>2018-04-12T07:15:00Z</cp:lastPrinted>
  <dcterms:created xsi:type="dcterms:W3CDTF">2018-05-24T06:59:00Z</dcterms:created>
  <dcterms:modified xsi:type="dcterms:W3CDTF">2018-05-24T06:59:00Z</dcterms:modified>
</cp:coreProperties>
</file>