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EB0" w:rsidRPr="00381436" w:rsidRDefault="001D754D" w:rsidP="001D754D">
      <w:pPr>
        <w:contextualSpacing/>
        <w:jc w:val="both"/>
        <w:rPr>
          <w:b/>
        </w:rPr>
      </w:pPr>
      <w:r w:rsidRPr="00381436">
        <w:rPr>
          <w:b/>
        </w:rPr>
        <w:t>Ek</w:t>
      </w:r>
    </w:p>
    <w:p w:rsidR="001C1EB0" w:rsidRPr="00381436" w:rsidRDefault="001C1EB0" w:rsidP="00914096">
      <w:pPr>
        <w:jc w:val="center"/>
        <w:rPr>
          <w:b/>
          <w:caps/>
        </w:rPr>
      </w:pPr>
    </w:p>
    <w:p w:rsidR="00914096" w:rsidRPr="00381436" w:rsidRDefault="00914096" w:rsidP="00466610">
      <w:pPr>
        <w:jc w:val="center"/>
        <w:rPr>
          <w:b/>
          <w:caps/>
        </w:rPr>
      </w:pPr>
      <w:r w:rsidRPr="00381436">
        <w:rPr>
          <w:b/>
          <w:caps/>
        </w:rPr>
        <w:t>BİLGİLENDİRME RAPORU</w:t>
      </w:r>
    </w:p>
    <w:p w:rsidR="00914096" w:rsidRPr="00381436" w:rsidRDefault="00914096" w:rsidP="00164FF4">
      <w:pPr>
        <w:jc w:val="both"/>
        <w:rPr>
          <w:b/>
          <w:caps/>
        </w:rPr>
      </w:pPr>
    </w:p>
    <w:p w:rsidR="00164FF4" w:rsidRPr="00381436" w:rsidRDefault="00164FF4" w:rsidP="00164FF4">
      <w:pPr>
        <w:pStyle w:val="ListeParagraf"/>
        <w:numPr>
          <w:ilvl w:val="0"/>
          <w:numId w:val="4"/>
        </w:numPr>
        <w:jc w:val="both"/>
        <w:rPr>
          <w:b/>
          <w:caps/>
        </w:rPr>
      </w:pPr>
      <w:r w:rsidRPr="00381436">
        <w:rPr>
          <w:b/>
          <w:caps/>
        </w:rPr>
        <w:t>soruşturmaya ilişkin GEnel BİLgi ve işlemler</w:t>
      </w:r>
    </w:p>
    <w:p w:rsidR="00164FF4" w:rsidRPr="00381436" w:rsidRDefault="00731D63" w:rsidP="001D754D">
      <w:pPr>
        <w:pStyle w:val="ListeParagraf"/>
        <w:numPr>
          <w:ilvl w:val="1"/>
          <w:numId w:val="6"/>
        </w:numPr>
        <w:ind w:left="426"/>
        <w:contextualSpacing/>
        <w:jc w:val="both"/>
        <w:rPr>
          <w:b/>
          <w:caps/>
        </w:rPr>
      </w:pPr>
      <w:r w:rsidRPr="00381436">
        <w:rPr>
          <w:b/>
        </w:rPr>
        <w:t>Mevcut önlem</w:t>
      </w:r>
      <w:r w:rsidR="008C7F8B" w:rsidRPr="00381436">
        <w:rPr>
          <w:b/>
        </w:rPr>
        <w:t xml:space="preserve"> ve </w:t>
      </w:r>
      <w:r w:rsidR="00F85C0F" w:rsidRPr="00381436">
        <w:rPr>
          <w:b/>
        </w:rPr>
        <w:t>s</w:t>
      </w:r>
      <w:r w:rsidR="008C7F8B" w:rsidRPr="00381436">
        <w:rPr>
          <w:b/>
        </w:rPr>
        <w:t xml:space="preserve">oruşturma </w:t>
      </w:r>
      <w:r w:rsidRPr="00381436">
        <w:rPr>
          <w:b/>
          <w:caps/>
        </w:rPr>
        <w:t xml:space="preserve"> </w:t>
      </w:r>
    </w:p>
    <w:p w:rsidR="00AA1DEB" w:rsidRPr="00381436" w:rsidRDefault="000A45DA" w:rsidP="00AA1DEB">
      <w:pPr>
        <w:spacing w:after="240" w:line="276" w:lineRule="auto"/>
        <w:jc w:val="both"/>
        <w:rPr>
          <w:noProof/>
        </w:rPr>
      </w:pPr>
      <w:r w:rsidRPr="00381436">
        <w:rPr>
          <w:noProof/>
        </w:rPr>
        <w:t xml:space="preserve">(1) </w:t>
      </w:r>
      <w:r w:rsidR="00AA1DEB" w:rsidRPr="00381436">
        <w:rPr>
          <w:noProof/>
        </w:rPr>
        <w:t>Soruşturma kapsamında değerlendirilen, Çin Halk Cumhuriyeti (ÇHC) menşeli o dönemde geçerli olan İstatistik Pozisyonlarına Bölünmüş Türk Gümrük Tarife Cetveli (TGTC) çerçevesinde 4412.10, 4412.31, 4412.32 ve 4412.39 gümrük tarife pozisyonlu (GTP) “kontrplaklar” için yürütülen esas soruşturma neticesinde 20/10/2006 tarihli ve 26325 sayılı Resmî Gazete’de yayımlanan İthalatta Haksız Rekabetin Önlenmesine İlişkin Tebliğ</w:t>
      </w:r>
      <w:r w:rsidR="001E220D" w:rsidRPr="00381436">
        <w:rPr>
          <w:noProof/>
        </w:rPr>
        <w:t xml:space="preserve"> (Tebliğ No: 2006/28) </w:t>
      </w:r>
      <w:r w:rsidR="00AA1DEB" w:rsidRPr="00381436">
        <w:rPr>
          <w:noProof/>
        </w:rPr>
        <w:t>ile metreküp başına 240 ABD Doları dampinge karşı kesin önlem yürürlüğe konulmuştur.</w:t>
      </w:r>
    </w:p>
    <w:p w:rsidR="00AA1DEB" w:rsidRPr="00381436" w:rsidRDefault="00AA1DEB" w:rsidP="00AA1DEB">
      <w:pPr>
        <w:spacing w:after="240" w:line="276" w:lineRule="auto"/>
        <w:jc w:val="both"/>
        <w:rPr>
          <w:noProof/>
        </w:rPr>
      </w:pPr>
      <w:r w:rsidRPr="00381436">
        <w:rPr>
          <w:noProof/>
        </w:rPr>
        <w:t xml:space="preserve">(2) Söz konusu önleme ilişkin yürütülen ilk </w:t>
      </w:r>
      <w:r w:rsidRPr="00381436">
        <w:t>nihai gözden geçirme soruşturması (NGGS)</w:t>
      </w:r>
      <w:r w:rsidRPr="00381436">
        <w:rPr>
          <w:noProof/>
        </w:rPr>
        <w:t>, 10/7/2012 tarihli ve 28349 sayılı Resmî Gazete’de yayımlanan İthalatta Haksız Rekabetin Önlenmesine İlişkin Tebliğ (Tebliğ No: 2012/16) ile sonuçlandırılmış ve dampinge karşı kesin önlemin aynen uygulanmaya devam edilmesine karar verilmiştir.</w:t>
      </w:r>
    </w:p>
    <w:p w:rsidR="00AA1DEB" w:rsidRPr="00381436" w:rsidRDefault="00AA1DEB" w:rsidP="00AA1DEB">
      <w:pPr>
        <w:spacing w:after="240" w:line="276" w:lineRule="auto"/>
        <w:jc w:val="both"/>
        <w:rPr>
          <w:noProof/>
        </w:rPr>
      </w:pPr>
      <w:r w:rsidRPr="00381436">
        <w:rPr>
          <w:noProof/>
        </w:rPr>
        <w:t>(3) ÇHC menşeli kontrplakların ithalatında uygulanmakta olan dampinge karşı önlemin Bulgaristan ve Vietnam üzerinden menşe saptırması yapılarak etkisiz kılındığı iddiası ile başlatılan önlemlerin etkisiz kılınmasına karşı soruşturma neticesinde, 28/10/2016 tarihli ve 29871 sayılı Resmî Gazete’de yayımlanan İthalatta Haksız Rekabetin Önlenmesine İlişkin Tebliğ (Tebliğ No: 2016/45) ile Bulgaristan ve Vietnam menşeli olarak beyan edilen ve/veya bu ülke çıkışlı soruşturma konusu ürün ithalatında, 2012/16 sayılı Tebliğ ile ÇHC menşeli ürün için yürürlükte bulunan dampinge karşı kesin önlem ile aynı tutarda dampinge karşı kesin önlemin yürürlüğe konulmasına karar verilmiştir.</w:t>
      </w:r>
    </w:p>
    <w:p w:rsidR="00AA1DEB" w:rsidRPr="00381436" w:rsidRDefault="00AA1DEB" w:rsidP="00AA1DEB">
      <w:pPr>
        <w:spacing w:after="240" w:line="276" w:lineRule="auto"/>
        <w:jc w:val="both"/>
        <w:rPr>
          <w:noProof/>
        </w:rPr>
      </w:pPr>
      <w:r w:rsidRPr="00381436">
        <w:rPr>
          <w:noProof/>
        </w:rPr>
        <w:t>(4) Yönetmeliğin 35 inci maddesinin ikinci fıkrası hükmünce, 12/1/2017 tarihli ve 29946 sayılı Resmî Gazete’de yayımlanan İthalatta Haksız Rekabetin Önlenmesine İlişkin Tebliğ (Tebliğ No: 2017/2) vasıtasıyla mevcut önlemin yürürlükten kalkacağı ve ilgili ürünün yerli üretim dalının veya yerli üretim dalı adına hareket ettiğini tevsik eden gerçek veya tüzel kişi ya da kuruluşların mevzuatta öngörülen sürelerde yeterli delillerle desteklenmiş bir başvuru ile NGGS açılması talebinde bulunabilecekleri duyurulmuştur.</w:t>
      </w:r>
    </w:p>
    <w:p w:rsidR="00AA1DEB" w:rsidRPr="00381436" w:rsidRDefault="00AA1DEB" w:rsidP="00AA1DEB">
      <w:pPr>
        <w:spacing w:after="240" w:line="276" w:lineRule="auto"/>
        <w:jc w:val="both"/>
        <w:rPr>
          <w:noProof/>
        </w:rPr>
      </w:pPr>
      <w:r w:rsidRPr="00381436">
        <w:rPr>
          <w:noProof/>
        </w:rPr>
        <w:t>(5) Yerli üretim dalı adına hareket ettiğini tevsik eden Kontrplak Üreticileri Derneği (KONÜDER) tarafından, anılan Tebliğ’de öngörülen sürede ÇHC menşeli “kontrplaklar” için bir NGGS açılması hususunda 1- Ay-Kon-San Aydın Kontrplak Orman Ürn. San. Nak. İç ve Dış Tic. Ltd. Şti., 2- Bizon Ağaç San. ve Tic. A.Ş., 3- Dastaş Demircioğlu Ağaç Sanayi ve Tic. A.Ş., 4- Erbaa Kaplama San. ve Tic. Ltd. Şti. ve 5- Taşköprü Tarım Hayvancılık Orman Ürünleri Tekstil Madencilik Tic. ve San. A.Ş. firmaları adına başvuruda bulunulmuştur.</w:t>
      </w:r>
    </w:p>
    <w:p w:rsidR="00AA1DEB" w:rsidRPr="00381436" w:rsidRDefault="00AA1DEB" w:rsidP="00AA1DEB">
      <w:pPr>
        <w:spacing w:after="240" w:line="276" w:lineRule="auto"/>
        <w:jc w:val="both"/>
        <w:rPr>
          <w:noProof/>
        </w:rPr>
      </w:pPr>
      <w:r w:rsidRPr="00381436">
        <w:rPr>
          <w:noProof/>
        </w:rPr>
        <w:t xml:space="preserve">(6) Söz konusu başvuru, 1- Akça Kontrplak Fabrikası San. ve Tic. A.Ş., 2- Anıl Orman Ürün San. ve Dış Tic. Ltd. Şti., 3- Bayrak Ağaç Ür. San. ve Tic. Ltd. Şti., 4- Bayrak Kontraplak Orman Ürünleri İnşaat Sanayi ve Tic. Ltd. Şti., 5- Çağ Orman Ürünleri ve Oto A.Ş., 6- Deksan Demircioğlu Kontrplak Fabrikası, 7- Dülger Mobilya İmalat Ticaret ve Sanayi Ltd. Şti., 8- Menta Mobilya Koltuk Malz. Orm. Ür. Nak. San. Tic. Ltd. Şti., 9- Panel Kontrplak San. ve Tic. </w:t>
      </w:r>
      <w:r w:rsidRPr="00381436">
        <w:rPr>
          <w:noProof/>
        </w:rPr>
        <w:lastRenderedPageBreak/>
        <w:t>Ltd. Şti, 10- Pelit Arslan Kontrplak Fabrikası A.Ş., 11- Petek Kontrplak San. ve Tic. A.Ş., 12- Sağlamlar Orman Tarım Ürün. Tic. ve San. A.Ş., 13- TKS Tosya Ağaç Kaplama ve Yonga Levha San. Tic. A.Ş. ve 14- Tunçay Kontrplak Orman Ürünleri İnş. Tur. Tic. ve San. Ltd. Şti. tarafından desteklenmiştir.</w:t>
      </w:r>
    </w:p>
    <w:p w:rsidR="00AA1DEB" w:rsidRPr="00381436" w:rsidRDefault="00AA1DEB" w:rsidP="00AA1DEB">
      <w:pPr>
        <w:spacing w:after="240" w:line="276" w:lineRule="auto"/>
        <w:jc w:val="both"/>
        <w:rPr>
          <w:noProof/>
        </w:rPr>
      </w:pPr>
      <w:r w:rsidRPr="00381436">
        <w:rPr>
          <w:noProof/>
        </w:rPr>
        <w:t xml:space="preserve">(7) Başvuru kapsamında sunulan bilgi ve belgeler, İthalatta Haksız Rekabeti Değerlendirme Kurulu (Kurul) tarafından değerlendirilmiş ve bir NGGS açılmasını haklı kılacak yeterlilikte delillerin mevcudiyetine kanaat getirilmiş olup 5/7/2017 tarihli ve 30115 sayılı Resmî Gazete’de yayımlanan İthalatta Haksız Rekabetin Önlenmesine İlişkin Tebliğ (Tebliğ No: 2017/16) </w:t>
      </w:r>
      <w:r w:rsidR="00E124F2" w:rsidRPr="00381436">
        <w:rPr>
          <w:noProof/>
        </w:rPr>
        <w:t>ile başlatılan NGGS, T.C. Ekonomi Bakanlığı (Bakanlık) İthalat Genel Müdürlüğü (Genel Müdürlük) tarafından yürütülerek tamamlanmıştır.</w:t>
      </w:r>
    </w:p>
    <w:p w:rsidR="00AA1DEB" w:rsidRPr="00381436" w:rsidRDefault="00AA1DEB" w:rsidP="00AA1DEB">
      <w:pPr>
        <w:spacing w:after="240" w:line="276" w:lineRule="auto"/>
        <w:jc w:val="both"/>
        <w:rPr>
          <w:noProof/>
        </w:rPr>
      </w:pPr>
      <w:r w:rsidRPr="00381436">
        <w:rPr>
          <w:noProof/>
        </w:rPr>
        <w:t>(8) Diğer taraftan, 28/3/2018 tarihli ve 30374 sayılı Resmî Gazete’de yayımlanan 2018/11481 sayılı Bakanlar Kurulu Kararı ile ülkemiz ile aralarında gümrük birliği veya serbest ticaret anlaşması bulunan ülkeler hariç olmak üzere ÇHC’nin de aralarında bulunduğu ülkeler menşeli soruşturma konusu ürünlere yönelik CIF bedelin %20'si oranında ilave gümrük vergisi (İGV) uygulanmaya başlanmıştır.</w:t>
      </w:r>
    </w:p>
    <w:p w:rsidR="00164FF4" w:rsidRPr="00381436" w:rsidRDefault="00164FF4" w:rsidP="001D754D">
      <w:pPr>
        <w:pStyle w:val="ListeParagraf"/>
        <w:numPr>
          <w:ilvl w:val="1"/>
          <w:numId w:val="6"/>
        </w:numPr>
        <w:ind w:left="426"/>
        <w:contextualSpacing/>
        <w:jc w:val="both"/>
        <w:rPr>
          <w:b/>
        </w:rPr>
      </w:pPr>
      <w:r w:rsidRPr="00381436">
        <w:rPr>
          <w:b/>
        </w:rPr>
        <w:t>Yerli üretim dalının temsil niteliği</w:t>
      </w:r>
    </w:p>
    <w:p w:rsidR="00AA1DEB" w:rsidRPr="00381436" w:rsidRDefault="00AA1DEB" w:rsidP="00AA1DEB">
      <w:pPr>
        <w:spacing w:after="240" w:line="276" w:lineRule="auto"/>
        <w:jc w:val="both"/>
        <w:rPr>
          <w:noProof/>
        </w:rPr>
      </w:pPr>
      <w:r w:rsidRPr="00381436">
        <w:rPr>
          <w:noProof/>
        </w:rPr>
        <w:t xml:space="preserve">(1) KONÜDER tarafından adına başvuru yapılan firmaların Yönetmeliğin 18 inci ve 20 nci maddeleri çerçevesinde yerli üretim dalını temsil niteliğini haiz olduğu anlaşılmış olup </w:t>
      </w:r>
      <w:r w:rsidR="0091663C" w:rsidRPr="00381436">
        <w:rPr>
          <w:noProof/>
        </w:rPr>
        <w:t>bu raporun ilerleyen bölümlerinde</w:t>
      </w:r>
      <w:r w:rsidRPr="00381436">
        <w:rPr>
          <w:noProof/>
        </w:rPr>
        <w:t xml:space="preserve"> bu firmalar, yerli üretim dalı olarak anılacaktır.</w:t>
      </w:r>
    </w:p>
    <w:p w:rsidR="00AA1DEB" w:rsidRPr="00381436" w:rsidRDefault="00AA1DEB" w:rsidP="00AA1DEB">
      <w:pPr>
        <w:spacing w:after="240" w:line="276" w:lineRule="auto"/>
        <w:jc w:val="both"/>
        <w:rPr>
          <w:noProof/>
        </w:rPr>
      </w:pPr>
      <w:r w:rsidRPr="00381436">
        <w:rPr>
          <w:noProof/>
        </w:rPr>
        <w:t>(2) Söz konusu başvuru, Akça Kontrplak Fabrikası San. ve Tic. A.Ş., Anıl Orman Ürün San. ve Dış Tic. Ltd. Şti., Bayrak Ağaç Ür. San. ve Tic. Ltd. Şti., Bayrak Kontraplak Orman Ürünleri İnşaat Sanayi ve Tic. Ltd. Şti., Çağ Orman Ürünleri ve Oto A.Ş., Deksan Demircioğlu Kontrplak Fabrikası, Dülger Mobilya İmalat Ticaret ve Sanayi Ltd. Şti., Menta Mobilya Koltuk Malz. Orm. Ür. Nak. San. Tic. Ltd. Şti., Panel Kontrplak San. ve Tic. Ltd. Şti, Pelit Arslan Kontrplak Fabrikası A.Ş., Petek Kontrplak San. ve Tic. A.Ş., Sağlamlar Orman Tarım Ürün. Tic. ve San. A.Ş., TKS Tosya Ağaç Kaplama ve Yonga Levha San. Tic. A.Ş. ve Tunçay Kontrplak Orman Ürünleri İnş. Tur. Tic. ve San. Ltd. Şti. tarafından da desteklenmiştir.</w:t>
      </w:r>
    </w:p>
    <w:p w:rsidR="00164FF4" w:rsidRPr="00381436" w:rsidRDefault="00AA1DEB" w:rsidP="0091663C">
      <w:pPr>
        <w:spacing w:after="240" w:line="276" w:lineRule="auto"/>
        <w:jc w:val="both"/>
        <w:rPr>
          <w:noProof/>
        </w:rPr>
      </w:pPr>
      <w:r w:rsidRPr="00381436">
        <w:rPr>
          <w:noProof/>
        </w:rPr>
        <w:t>(3) 1- Yaykın Kontrplak ve Orman Ür. San. İç ve Dış Tic. Ltd. Şti., 2- Kuriş Entegre Ağaç San. Tic. A.Ş., 3- Latif KAHVECİOĞLU ve 4- İsmail Hakkı BAYRAK ise bilinen diğer yerli üreticilerdir.</w:t>
      </w:r>
    </w:p>
    <w:p w:rsidR="00E124F2" w:rsidRPr="00381436" w:rsidRDefault="00E124F2" w:rsidP="00E124F2">
      <w:pPr>
        <w:pStyle w:val="ListeParagraf"/>
        <w:numPr>
          <w:ilvl w:val="1"/>
          <w:numId w:val="6"/>
        </w:numPr>
        <w:ind w:left="426"/>
        <w:contextualSpacing/>
        <w:jc w:val="both"/>
        <w:rPr>
          <w:b/>
        </w:rPr>
      </w:pPr>
      <w:r w:rsidRPr="00381436">
        <w:rPr>
          <w:b/>
        </w:rPr>
        <w:t xml:space="preserve">Gözden </w:t>
      </w:r>
      <w:r w:rsidR="005A5F76" w:rsidRPr="00381436">
        <w:rPr>
          <w:b/>
        </w:rPr>
        <w:t xml:space="preserve">geçirme dönemi </w:t>
      </w:r>
    </w:p>
    <w:p w:rsidR="00E124F2" w:rsidRPr="00381436" w:rsidRDefault="00E124F2" w:rsidP="00E124F2">
      <w:pPr>
        <w:spacing w:after="240" w:line="276" w:lineRule="auto"/>
        <w:jc w:val="both"/>
        <w:rPr>
          <w:noProof/>
        </w:rPr>
      </w:pPr>
      <w:r w:rsidRPr="00381436">
        <w:rPr>
          <w:noProof/>
        </w:rPr>
        <w:t>(1) Önlemin yürürlükten kalkması durumunda, dampingin ve zararın devamı veya yeniden meydana gelmesinin muhtemel olup olmadığının  tespiti  için 01/01/2014–31/12/2016 arasındaki dönem gözden geçirme dönemi olarak alınmıştır.</w:t>
      </w:r>
    </w:p>
    <w:p w:rsidR="00164FF4" w:rsidRPr="00381436" w:rsidRDefault="00164FF4" w:rsidP="001D754D">
      <w:pPr>
        <w:pStyle w:val="ListeParagraf"/>
        <w:numPr>
          <w:ilvl w:val="1"/>
          <w:numId w:val="6"/>
        </w:numPr>
        <w:ind w:left="426"/>
        <w:contextualSpacing/>
        <w:jc w:val="both"/>
        <w:rPr>
          <w:b/>
        </w:rPr>
      </w:pPr>
      <w:r w:rsidRPr="00381436">
        <w:rPr>
          <w:b/>
        </w:rPr>
        <w:t>İlgili tarafların bilgilendirilmesi, dinlenmesi ve bilgilerin değerlendirilmesi</w:t>
      </w:r>
    </w:p>
    <w:p w:rsidR="0091663C" w:rsidRPr="00381436" w:rsidRDefault="0091663C" w:rsidP="0091663C">
      <w:pPr>
        <w:spacing w:after="240" w:line="276" w:lineRule="auto"/>
        <w:jc w:val="both"/>
        <w:rPr>
          <w:noProof/>
        </w:rPr>
      </w:pPr>
      <w:r w:rsidRPr="00381436">
        <w:rPr>
          <w:noProof/>
        </w:rPr>
        <w:t>(1) Soruşturma açılmasını müteakip, söz konusu ürünün Bakanlıkça tespit edilen Türkiye’de yerleşik ithalatçılarına, ÇHC’de yerleşik bilinen üretici/ihracatçılarına ve ÇHC Ankara Büyükelçiliğine ülkede yerleşik diğer üreticilere/ihracatçılara iletilebilmesini teminen soruşturma açılışına ilişkin bildirimde bulunulmuştur.</w:t>
      </w:r>
    </w:p>
    <w:p w:rsidR="0091663C" w:rsidRPr="00381436" w:rsidRDefault="0091663C" w:rsidP="0091663C">
      <w:pPr>
        <w:spacing w:after="240" w:line="276" w:lineRule="auto"/>
        <w:jc w:val="both"/>
        <w:rPr>
          <w:noProof/>
        </w:rPr>
      </w:pPr>
      <w:r w:rsidRPr="00381436">
        <w:rPr>
          <w:noProof/>
        </w:rPr>
        <w:lastRenderedPageBreak/>
        <w:t>(2) Bildirimde, soruşturma açılış Tebliğine, başvurunun gizli olmayan metinlerine ve soru formlarına nereden erişileceği hususunda bilgi verilmiştir.</w:t>
      </w:r>
    </w:p>
    <w:p w:rsidR="0091663C" w:rsidRPr="00381436" w:rsidRDefault="0091663C" w:rsidP="0091663C">
      <w:pPr>
        <w:spacing w:after="240" w:line="276" w:lineRule="auto"/>
        <w:jc w:val="both"/>
        <w:rPr>
          <w:noProof/>
        </w:rPr>
      </w:pPr>
      <w:r w:rsidRPr="00381436">
        <w:rPr>
          <w:noProof/>
        </w:rPr>
        <w:t>(3) Taraflara soru formunu yanıtlamaları için posta süresi dâhil 37 gün süre tanınmıştır. İthalatçı ve soruşturma konusu ülkedeki üretici/ihracatçılardan süre uzatımı yönünde bir talep alınmamıştır.</w:t>
      </w:r>
    </w:p>
    <w:p w:rsidR="0091663C" w:rsidRPr="00381436" w:rsidRDefault="0091663C" w:rsidP="0091663C">
      <w:pPr>
        <w:spacing w:after="240" w:line="276" w:lineRule="auto"/>
        <w:jc w:val="both"/>
        <w:rPr>
          <w:noProof/>
        </w:rPr>
      </w:pPr>
      <w:r w:rsidRPr="00381436">
        <w:rPr>
          <w:noProof/>
        </w:rPr>
        <w:t xml:space="preserve">(4) Ürünün yerli üreticileri soruşturma süresi boyunca Bakanlık ile işbirliği içinde olmuş ve gerektiğinde talep edilen ilave bilgi ve belgeleri temin etmiştir. </w:t>
      </w:r>
    </w:p>
    <w:p w:rsidR="0091663C" w:rsidRPr="00381436" w:rsidRDefault="0091663C" w:rsidP="0091663C">
      <w:pPr>
        <w:spacing w:after="240" w:line="276" w:lineRule="auto"/>
        <w:jc w:val="both"/>
        <w:rPr>
          <w:noProof/>
        </w:rPr>
      </w:pPr>
      <w:r w:rsidRPr="00381436">
        <w:rPr>
          <w:noProof/>
        </w:rPr>
        <w:t>(5) Soruşturmaya konu ülkede yerleşik üretici/ihracatçı firmalardan işbirliğine gelen olmamıştır.</w:t>
      </w:r>
    </w:p>
    <w:p w:rsidR="0091663C" w:rsidRPr="00381436" w:rsidRDefault="0091663C" w:rsidP="0091663C">
      <w:pPr>
        <w:spacing w:after="240" w:line="276" w:lineRule="auto"/>
        <w:jc w:val="both"/>
        <w:rPr>
          <w:noProof/>
        </w:rPr>
      </w:pPr>
      <w:r w:rsidRPr="00381436">
        <w:rPr>
          <w:noProof/>
        </w:rPr>
        <w:t>(6) Soruşturma konusu ürünün ithalatını yaptığı tespit edilen ve kendilerine soru formu gönderilen firmaların bir tanesinden yanıt alınmıştır.</w:t>
      </w:r>
    </w:p>
    <w:p w:rsidR="0091663C" w:rsidRPr="00381436" w:rsidRDefault="0091663C" w:rsidP="0091663C">
      <w:pPr>
        <w:spacing w:after="240" w:line="276" w:lineRule="auto"/>
        <w:jc w:val="both"/>
        <w:rPr>
          <w:noProof/>
        </w:rPr>
      </w:pPr>
      <w:r w:rsidRPr="00381436">
        <w:rPr>
          <w:noProof/>
        </w:rPr>
        <w:t>(7) Soruşturmaya ilişkin bilgi ve bulguların tamamlanması akabinde, soruşturma sonucunda alınacak karara esas teşkil edecek bilgi, bulgu, tespit ve değerlendirmeleri içeren nihai bildirim</w:t>
      </w:r>
      <w:r w:rsidR="005A5F76" w:rsidRPr="00381436">
        <w:rPr>
          <w:noProof/>
        </w:rPr>
        <w:t xml:space="preserve"> </w:t>
      </w:r>
      <w:r w:rsidRPr="00381436">
        <w:rPr>
          <w:noProof/>
        </w:rPr>
        <w:t>20/3/2018 tarihinde yayımlanmıştır. Söz konusu bildirim, soruşturma konusu ülkenin Ankara Büyükelçiliği ile soruşturma sırasında görüş bildiren taraflara ve yerli üretim dalına iletilmiştir.</w:t>
      </w:r>
    </w:p>
    <w:p w:rsidR="0091663C" w:rsidRPr="00381436" w:rsidRDefault="0091663C" w:rsidP="0091663C">
      <w:pPr>
        <w:spacing w:after="240" w:line="276" w:lineRule="auto"/>
        <w:jc w:val="both"/>
        <w:rPr>
          <w:noProof/>
        </w:rPr>
      </w:pPr>
      <w:r w:rsidRPr="00381436">
        <w:rPr>
          <w:noProof/>
        </w:rPr>
        <w:t>(8) Nihai bildirim sonrasında, taraflardan nihai bildirime ilişkin görüş alınmamıştır.</w:t>
      </w:r>
    </w:p>
    <w:p w:rsidR="00164FF4" w:rsidRPr="00381436" w:rsidRDefault="0091663C" w:rsidP="0091663C">
      <w:pPr>
        <w:spacing w:after="240" w:line="276" w:lineRule="auto"/>
        <w:jc w:val="both"/>
      </w:pPr>
      <w:r w:rsidRPr="00381436">
        <w:rPr>
          <w:noProof/>
        </w:rPr>
        <w:t>(9) Tarafların soruşturma boyunca ortaya koyduğu tüm bilgi, belge ve görüşler incelenmiş, mezkûr görüşlerden mevzuat kapsamında değerlendirilebilecek olanlarına bu bildirimin ilgili bölümlerinde değinilmiştir.</w:t>
      </w:r>
    </w:p>
    <w:p w:rsidR="008E4B08" w:rsidRPr="00381436" w:rsidRDefault="00164FF4" w:rsidP="001D754D">
      <w:pPr>
        <w:pStyle w:val="ListeParagraf"/>
        <w:numPr>
          <w:ilvl w:val="0"/>
          <w:numId w:val="4"/>
        </w:numPr>
        <w:jc w:val="both"/>
        <w:rPr>
          <w:b/>
          <w:caps/>
        </w:rPr>
      </w:pPr>
      <w:r w:rsidRPr="00381436">
        <w:rPr>
          <w:b/>
          <w:caps/>
        </w:rPr>
        <w:t>Soruşturma konusu ürün ve benzer ürün</w:t>
      </w:r>
    </w:p>
    <w:p w:rsidR="00D106A4" w:rsidRPr="00381436" w:rsidRDefault="00D106A4" w:rsidP="00D106A4">
      <w:pPr>
        <w:spacing w:after="240" w:line="276" w:lineRule="auto"/>
        <w:jc w:val="both"/>
        <w:rPr>
          <w:bCs/>
        </w:rPr>
      </w:pPr>
      <w:r w:rsidRPr="00381436">
        <w:rPr>
          <w:noProof/>
        </w:rPr>
        <w:t>(1) Soruşturma konusu ürün, ÇHC menşeli 4412.10, 4412.31, 4412.33, 4412.34 ve 4412.39</w:t>
      </w:r>
      <w:r w:rsidRPr="00381436">
        <w:t xml:space="preserve"> </w:t>
      </w:r>
      <w:proofErr w:type="spellStart"/>
      <w:r w:rsidRPr="00381436">
        <w:t>GTP’ler</w:t>
      </w:r>
      <w:proofErr w:type="spellEnd"/>
      <w:r w:rsidRPr="00381436">
        <w:t xml:space="preserve"> altında sınıflandırılan</w:t>
      </w:r>
      <w:r w:rsidRPr="00381436">
        <w:rPr>
          <w:bCs/>
        </w:rPr>
        <w:t xml:space="preserve"> “</w:t>
      </w:r>
      <w:proofErr w:type="spellStart"/>
      <w:r w:rsidRPr="00381436">
        <w:rPr>
          <w:bCs/>
        </w:rPr>
        <w:t>kontrplaklar”dır</w:t>
      </w:r>
      <w:proofErr w:type="spellEnd"/>
      <w:r w:rsidRPr="00381436">
        <w:rPr>
          <w:rStyle w:val="DipnotBavurusu"/>
          <w:bCs/>
        </w:rPr>
        <w:footnoteReference w:id="1"/>
      </w:r>
      <w:r w:rsidRPr="00381436">
        <w:rPr>
          <w:bCs/>
        </w:rPr>
        <w:t>.</w:t>
      </w:r>
    </w:p>
    <w:p w:rsidR="00D106A4" w:rsidRPr="00381436" w:rsidRDefault="00D106A4" w:rsidP="00D106A4">
      <w:pPr>
        <w:spacing w:after="240" w:line="276" w:lineRule="auto"/>
        <w:jc w:val="both"/>
        <w:rPr>
          <w:noProof/>
        </w:rPr>
      </w:pPr>
      <w:r w:rsidRPr="00381436">
        <w:rPr>
          <w:noProof/>
        </w:rPr>
        <w:t>(2) Kontrplaklar, temel olarak kütüklerin soyma tekniği ile katmanlara ayrılması ve bu katmanların birbirlerine lif (su) yönleri dik gelecek şekilde yüksek sıcaklık ve basınç altında çapraz yapıştırılmaları ile üretilen ve kullanım alanlarına göre yüzeyleri sert ağaç katmanları, fenolik film, plastik laminat, doyurulmuş kâğıt, fiber takviyeli reçine, boya veya cila ile kaplanabilen ahşap panellerdir.</w:t>
      </w:r>
    </w:p>
    <w:p w:rsidR="00D106A4" w:rsidRPr="00381436" w:rsidRDefault="00D106A4" w:rsidP="00D106A4">
      <w:pPr>
        <w:spacing w:after="240" w:line="276" w:lineRule="auto"/>
        <w:jc w:val="both"/>
        <w:rPr>
          <w:noProof/>
        </w:rPr>
      </w:pPr>
      <w:r w:rsidRPr="00381436">
        <w:rPr>
          <w:noProof/>
        </w:rPr>
        <w:t>(3) Kontrplaklar yapılarda beton döküm panelleri, endüstriyel zeminler, yapı panelleri (çatı, duvar, döşeme, cephe kaplama, vb) gibi yük taşıyıcı, kara, deniz ve demiryolu taşıtlarında zemin ve panel, ambalaj sektöründe kargo ambalajı, mobilya ve parke sektöründe ise ara mamul olarak pek çok değişik şekilde kullanılmaktadır. İnşaat sektöründe kullanılan beton kontrplağı, ikame edilebilirlik açısından kalıplık tahta ile çelik beton kalıbı arasında en ekonomik sınıfı teşkil etmektedir.</w:t>
      </w:r>
    </w:p>
    <w:p w:rsidR="00D106A4" w:rsidRPr="00381436" w:rsidRDefault="00D106A4" w:rsidP="00D106A4">
      <w:pPr>
        <w:spacing w:after="240" w:line="276" w:lineRule="auto"/>
        <w:jc w:val="both"/>
      </w:pPr>
      <w:proofErr w:type="gramStart"/>
      <w:r w:rsidRPr="00381436">
        <w:rPr>
          <w:noProof/>
        </w:rPr>
        <w:lastRenderedPageBreak/>
        <w:t>(4) Yerli üretim dalı tarafından üretilen kontrplaklar ile ithal edilen ürünler arasında ürünlerin fiziksel özellikleri, kullanım alanları, müşteriler ve hitap ettikleri pazarlar</w:t>
      </w:r>
      <w:r w:rsidRPr="00381436">
        <w:t xml:space="preserve"> bakımından bir fark olmadığı ve bu çerçevede bahse konu maddenin Yönetmeliğin 4 üncü maddesi çerçevesinde ithal ürünle benzer ürün olduğu, mevcut önleme esas teşkil eden soruşturmada tespit edilmiş olup bu tespitte herhangi bir değişiklik olmamıştır.</w:t>
      </w:r>
      <w:proofErr w:type="gramEnd"/>
    </w:p>
    <w:p w:rsidR="00D67735" w:rsidRPr="00381436" w:rsidRDefault="00D106A4" w:rsidP="00D603F1">
      <w:pPr>
        <w:spacing w:after="240" w:line="276" w:lineRule="auto"/>
        <w:jc w:val="both"/>
      </w:pPr>
      <w:r w:rsidRPr="00381436">
        <w:t xml:space="preserve">(5) Soruşturma kapsamında yapılan incelemelerde soruşturma konusu maddelerin yukarıda belirtilen </w:t>
      </w:r>
      <w:r w:rsidRPr="00381436">
        <w:rPr>
          <w:noProof/>
        </w:rPr>
        <w:t>GTP’ler</w:t>
      </w:r>
      <w:r w:rsidRPr="00381436">
        <w:t xml:space="preserve"> dışında bir sınıflandırma altında ithal edildiğine ilişkin herhangi bir bulgu edinilmemiştir. Öte yandan, soruşturma konusu maddeler haricinde bir maddenin mezkûr </w:t>
      </w:r>
      <w:proofErr w:type="spellStart"/>
      <w:r w:rsidRPr="00381436">
        <w:t>GTP’lerin</w:t>
      </w:r>
      <w:proofErr w:type="spellEnd"/>
      <w:r w:rsidRPr="00381436">
        <w:t xml:space="preserve"> altında ithal edildiğine dair bir itirazda da bulunulmamıştır.</w:t>
      </w:r>
    </w:p>
    <w:p w:rsidR="00D67735" w:rsidRPr="00381436" w:rsidRDefault="00D67735" w:rsidP="00D603F1">
      <w:pPr>
        <w:spacing w:after="240" w:line="276" w:lineRule="auto"/>
        <w:jc w:val="both"/>
      </w:pPr>
      <w:r w:rsidRPr="00381436">
        <w:t>(</w:t>
      </w:r>
      <w:r w:rsidR="00D603F1" w:rsidRPr="00381436">
        <w:t>6</w:t>
      </w:r>
      <w:r w:rsidRPr="00381436">
        <w:t>) Soruşturma konusu ürün ve benzer ürün ile ilgili açıklamalar bağlayıcı nitelikte olmayıp genel içerikli ve bilgi amaçlıdır.</w:t>
      </w:r>
    </w:p>
    <w:p w:rsidR="00164FF4" w:rsidRPr="00381436" w:rsidRDefault="00164FF4" w:rsidP="00164FF4">
      <w:pPr>
        <w:pStyle w:val="ListeParagraf"/>
        <w:numPr>
          <w:ilvl w:val="0"/>
          <w:numId w:val="4"/>
        </w:numPr>
        <w:jc w:val="both"/>
        <w:rPr>
          <w:b/>
          <w:caps/>
        </w:rPr>
      </w:pPr>
      <w:r w:rsidRPr="00381436">
        <w:rPr>
          <w:b/>
          <w:caps/>
        </w:rPr>
        <w:t>Dampingin Devamı ve</w:t>
      </w:r>
      <w:r w:rsidR="002861CC" w:rsidRPr="00381436">
        <w:rPr>
          <w:b/>
          <w:caps/>
        </w:rPr>
        <w:t>YA</w:t>
      </w:r>
      <w:r w:rsidRPr="00381436">
        <w:rPr>
          <w:b/>
          <w:caps/>
        </w:rPr>
        <w:t xml:space="preserve"> Yeniden Meydana Gelme İhtimali</w:t>
      </w:r>
    </w:p>
    <w:p w:rsidR="001D754D" w:rsidRPr="00381436" w:rsidRDefault="001D754D" w:rsidP="001D754D">
      <w:pPr>
        <w:pStyle w:val="ListeParagraf"/>
        <w:numPr>
          <w:ilvl w:val="0"/>
          <w:numId w:val="6"/>
        </w:numPr>
        <w:contextualSpacing/>
        <w:jc w:val="both"/>
        <w:rPr>
          <w:b/>
          <w:vanish/>
        </w:rPr>
      </w:pPr>
    </w:p>
    <w:p w:rsidR="001D754D" w:rsidRPr="00381436" w:rsidRDefault="001D754D" w:rsidP="001D754D">
      <w:pPr>
        <w:pStyle w:val="ListeParagraf"/>
        <w:numPr>
          <w:ilvl w:val="0"/>
          <w:numId w:val="6"/>
        </w:numPr>
        <w:contextualSpacing/>
        <w:jc w:val="both"/>
        <w:rPr>
          <w:b/>
          <w:vanish/>
        </w:rPr>
      </w:pPr>
    </w:p>
    <w:p w:rsidR="008E4B08" w:rsidRPr="00381436" w:rsidRDefault="00164FF4" w:rsidP="001D754D">
      <w:pPr>
        <w:pStyle w:val="ListeParagraf"/>
        <w:numPr>
          <w:ilvl w:val="1"/>
          <w:numId w:val="6"/>
        </w:numPr>
        <w:ind w:left="426"/>
        <w:contextualSpacing/>
        <w:jc w:val="both"/>
        <w:rPr>
          <w:b/>
        </w:rPr>
      </w:pPr>
      <w:r w:rsidRPr="00381436">
        <w:rPr>
          <w:b/>
        </w:rPr>
        <w:t xml:space="preserve">Genel açıklamalar </w:t>
      </w:r>
    </w:p>
    <w:p w:rsidR="005A5F76" w:rsidRPr="00381436" w:rsidRDefault="00B367A9" w:rsidP="005A5F76">
      <w:pPr>
        <w:spacing w:after="240" w:line="276" w:lineRule="auto"/>
        <w:jc w:val="both"/>
      </w:pPr>
      <w:r w:rsidRPr="00381436">
        <w:t xml:space="preserve">(1) </w:t>
      </w:r>
      <w:r w:rsidR="005A5F76" w:rsidRPr="00381436">
        <w:t xml:space="preserve">Yönetmeliğin 35 inci maddesi çerçevesinde önlemin yürürlükten kalkması halinde </w:t>
      </w:r>
      <w:proofErr w:type="gramStart"/>
      <w:r w:rsidR="005A5F76" w:rsidRPr="00381436">
        <w:t>dampingin</w:t>
      </w:r>
      <w:proofErr w:type="gramEnd"/>
      <w:r w:rsidR="005A5F76" w:rsidRPr="00381436">
        <w:t xml:space="preserve"> devam etmesinin veya yeniden meydana gelmesinin muhtemel olup olmadığı incelenmiştir.  </w:t>
      </w:r>
    </w:p>
    <w:p w:rsidR="005A5F76" w:rsidRPr="00381436" w:rsidRDefault="005A5F76" w:rsidP="005A5F76">
      <w:pPr>
        <w:spacing w:after="240" w:line="276" w:lineRule="auto"/>
        <w:jc w:val="both"/>
      </w:pPr>
      <w:r w:rsidRPr="00381436">
        <w:t xml:space="preserve">(2) Yönetmeliğin 40 </w:t>
      </w:r>
      <w:proofErr w:type="spellStart"/>
      <w:r w:rsidRPr="00381436">
        <w:t>ıncı</w:t>
      </w:r>
      <w:proofErr w:type="spellEnd"/>
      <w:r w:rsidRPr="00381436">
        <w:t xml:space="preserve"> ve 41 inci maddeleri çerçevesinde soruşturma sırasında yeni bir </w:t>
      </w:r>
      <w:proofErr w:type="gramStart"/>
      <w:r w:rsidRPr="00381436">
        <w:t>damping</w:t>
      </w:r>
      <w:proofErr w:type="gramEnd"/>
      <w:r w:rsidRPr="00381436">
        <w:t xml:space="preserve"> marjı hesaplanmamış, esas soruşturmada hesaplanmış olan damping marjı gösterge olarak dikkate alınmıştır.</w:t>
      </w:r>
    </w:p>
    <w:p w:rsidR="00D22EAC" w:rsidRPr="00381436" w:rsidRDefault="005A5F76" w:rsidP="005A5F76">
      <w:pPr>
        <w:pStyle w:val="ListeParagraf"/>
        <w:numPr>
          <w:ilvl w:val="1"/>
          <w:numId w:val="6"/>
        </w:numPr>
        <w:ind w:left="426"/>
        <w:contextualSpacing/>
        <w:jc w:val="both"/>
        <w:rPr>
          <w:b/>
        </w:rPr>
      </w:pPr>
      <w:r w:rsidRPr="00381436">
        <w:rPr>
          <w:b/>
        </w:rPr>
        <w:t xml:space="preserve">Esas soruşturmada tespit edilen </w:t>
      </w:r>
      <w:proofErr w:type="gramStart"/>
      <w:r w:rsidRPr="00381436">
        <w:rPr>
          <w:b/>
        </w:rPr>
        <w:t>damping</w:t>
      </w:r>
      <w:proofErr w:type="gramEnd"/>
      <w:r w:rsidRPr="00381436">
        <w:rPr>
          <w:b/>
        </w:rPr>
        <w:t xml:space="preserve"> marjları</w:t>
      </w:r>
    </w:p>
    <w:p w:rsidR="00D603F1" w:rsidRPr="00381436" w:rsidRDefault="00D603F1" w:rsidP="00D603F1">
      <w:pPr>
        <w:spacing w:after="240" w:line="276" w:lineRule="auto"/>
        <w:jc w:val="both"/>
      </w:pPr>
      <w:r w:rsidRPr="00381436">
        <w:t xml:space="preserve">(1) Mevcut dampinge karşı önlemin hukuki ve idari altyapısını teşkil eden esas soruşturma esnasında tespit edilen </w:t>
      </w:r>
      <w:proofErr w:type="gramStart"/>
      <w:r w:rsidRPr="00381436">
        <w:t>damping</w:t>
      </w:r>
      <w:proofErr w:type="gramEnd"/>
      <w:r w:rsidRPr="00381436">
        <w:t xml:space="preserve"> marjları, firmaların önlemin yürürlükten kalkması halindeki muhtemel davranışlarını yansıtacak önemli bir göstergedir. </w:t>
      </w:r>
    </w:p>
    <w:p w:rsidR="00B20C66" w:rsidRPr="00381436" w:rsidRDefault="00D603F1" w:rsidP="00822D3C">
      <w:pPr>
        <w:spacing w:after="240" w:line="276" w:lineRule="auto"/>
        <w:jc w:val="both"/>
      </w:pPr>
      <w:r w:rsidRPr="00381436">
        <w:t xml:space="preserve">(2) Buna göre, esas soruşturmada ÇHC menşeli kontrplaklara yönelik </w:t>
      </w:r>
      <w:proofErr w:type="gramStart"/>
      <w:r w:rsidRPr="00381436">
        <w:t>damping</w:t>
      </w:r>
      <w:proofErr w:type="gramEnd"/>
      <w:r w:rsidRPr="00381436">
        <w:t xml:space="preserve"> marjı </w:t>
      </w:r>
      <w:proofErr w:type="spellStart"/>
      <w:r w:rsidRPr="00381436">
        <w:t>Linyi</w:t>
      </w:r>
      <w:proofErr w:type="spellEnd"/>
      <w:r w:rsidRPr="00381436">
        <w:t> </w:t>
      </w:r>
      <w:proofErr w:type="spellStart"/>
      <w:r w:rsidRPr="00381436">
        <w:t>Huadeli</w:t>
      </w:r>
      <w:proofErr w:type="spellEnd"/>
      <w:r w:rsidRPr="00381436">
        <w:t> firması için CIF ihraç fiyatının %75,2’si, miktar bazında 286 ABD Doları/m</w:t>
      </w:r>
      <w:r w:rsidRPr="00381436">
        <w:rPr>
          <w:vertAlign w:val="superscript"/>
        </w:rPr>
        <w:t>3</w:t>
      </w:r>
      <w:r w:rsidRPr="00381436">
        <w:t>’ü, </w:t>
      </w:r>
      <w:proofErr w:type="spellStart"/>
      <w:r w:rsidRPr="00381436">
        <w:t>Linyi</w:t>
      </w:r>
      <w:proofErr w:type="spellEnd"/>
      <w:r w:rsidRPr="00381436">
        <w:t> </w:t>
      </w:r>
      <w:proofErr w:type="spellStart"/>
      <w:r w:rsidRPr="00381436">
        <w:t>Xingang</w:t>
      </w:r>
      <w:proofErr w:type="spellEnd"/>
      <w:r w:rsidRPr="00381436">
        <w:t> firması için ise CIF ihraç fiyatının %81,9’u, miktar bazında ise 306 ABD Doları/m</w:t>
      </w:r>
      <w:r w:rsidRPr="00381436">
        <w:rPr>
          <w:vertAlign w:val="superscript"/>
        </w:rPr>
        <w:t>3</w:t>
      </w:r>
      <w:r w:rsidRPr="00381436">
        <w:t>’ü olarak tespit edilmiştir.</w:t>
      </w:r>
    </w:p>
    <w:p w:rsidR="005A5F76" w:rsidRPr="00381436" w:rsidRDefault="005A5F76" w:rsidP="005A5F76">
      <w:pPr>
        <w:pStyle w:val="ListeParagraf"/>
        <w:numPr>
          <w:ilvl w:val="1"/>
          <w:numId w:val="6"/>
        </w:numPr>
        <w:ind w:left="426"/>
        <w:contextualSpacing/>
        <w:jc w:val="both"/>
        <w:rPr>
          <w:b/>
        </w:rPr>
      </w:pPr>
      <w:r w:rsidRPr="00381436">
        <w:rPr>
          <w:b/>
        </w:rPr>
        <w:t>Diğer Ülkeler Tarafından Uygulanmakta Olan Damping Önlemleri</w:t>
      </w:r>
    </w:p>
    <w:p w:rsidR="005A5F76" w:rsidRPr="00381436" w:rsidRDefault="005A5F76" w:rsidP="005A5F76">
      <w:pPr>
        <w:spacing w:after="240" w:line="276" w:lineRule="auto"/>
        <w:jc w:val="both"/>
      </w:pPr>
      <w:r w:rsidRPr="00381436">
        <w:t xml:space="preserve">(1) Soruşturma konusu ülkelere diğer ülkeler tarafından uygulanan </w:t>
      </w:r>
      <w:proofErr w:type="gramStart"/>
      <w:r w:rsidRPr="00381436">
        <w:t>damping</w:t>
      </w:r>
      <w:proofErr w:type="gramEnd"/>
      <w:r w:rsidRPr="00381436">
        <w:t xml:space="preserve"> önlemleri ya da damping soruşturmaları ihracatçı firmaların davranışlarını ve yapılabilmesi muhtemel olan dampingi göstermesi açısından önem taşımaktadır.</w:t>
      </w:r>
    </w:p>
    <w:p w:rsidR="005A5F76" w:rsidRPr="00381436" w:rsidRDefault="005A5F76" w:rsidP="00332B47">
      <w:pPr>
        <w:spacing w:after="240" w:line="276" w:lineRule="auto"/>
        <w:jc w:val="both"/>
      </w:pPr>
      <w:r w:rsidRPr="00381436">
        <w:t xml:space="preserve">(2) Bu çerçevede, </w:t>
      </w:r>
      <w:r w:rsidR="00332B47" w:rsidRPr="00381436">
        <w:t xml:space="preserve">Türkiye’nin dışında </w:t>
      </w:r>
      <w:r w:rsidR="003B791E">
        <w:t>Amerika Birleşik Devletleri, Avrupa Birliği</w:t>
      </w:r>
      <w:r w:rsidR="00332B47" w:rsidRPr="00381436">
        <w:t xml:space="preserve">, Fas, Güney Kore ve Peru’nun ÇHC menşeli kontrplaklara yönelik </w:t>
      </w:r>
      <w:proofErr w:type="gramStart"/>
      <w:r w:rsidR="00332B47" w:rsidRPr="00381436">
        <w:t>dampinge</w:t>
      </w:r>
      <w:proofErr w:type="gramEnd"/>
      <w:r w:rsidR="00332B47" w:rsidRPr="00381436">
        <w:t xml:space="preserve"> karşı önlemi bulunmaktadır</w:t>
      </w:r>
      <w:r w:rsidR="00332B47" w:rsidRPr="00381436">
        <w:rPr>
          <w:rStyle w:val="DipnotBavurusu"/>
        </w:rPr>
        <w:footnoteReference w:id="2"/>
      </w:r>
      <w:r w:rsidR="000B5EA1" w:rsidRPr="00381436">
        <w:t>.</w:t>
      </w:r>
    </w:p>
    <w:p w:rsidR="008E4B08" w:rsidRPr="00381436" w:rsidRDefault="000D216F" w:rsidP="001D754D">
      <w:pPr>
        <w:pStyle w:val="ListeParagraf"/>
        <w:numPr>
          <w:ilvl w:val="0"/>
          <w:numId w:val="4"/>
        </w:numPr>
        <w:jc w:val="both"/>
        <w:rPr>
          <w:b/>
          <w:caps/>
        </w:rPr>
      </w:pPr>
      <w:r w:rsidRPr="00381436">
        <w:rPr>
          <w:b/>
          <w:caps/>
        </w:rPr>
        <w:t>ZARARIN</w:t>
      </w:r>
      <w:r w:rsidR="008E4B08" w:rsidRPr="00381436">
        <w:rPr>
          <w:b/>
          <w:caps/>
        </w:rPr>
        <w:t xml:space="preserve"> Devamı ve Yeniden Meydana Gelmesi İhtimali</w:t>
      </w:r>
    </w:p>
    <w:p w:rsidR="001D754D" w:rsidRPr="00381436" w:rsidRDefault="001D754D" w:rsidP="001D754D">
      <w:pPr>
        <w:pStyle w:val="ListeParagraf"/>
        <w:numPr>
          <w:ilvl w:val="0"/>
          <w:numId w:val="6"/>
        </w:numPr>
        <w:contextualSpacing/>
        <w:jc w:val="both"/>
        <w:rPr>
          <w:b/>
          <w:vanish/>
        </w:rPr>
      </w:pPr>
    </w:p>
    <w:p w:rsidR="008A0CEA" w:rsidRPr="00381436" w:rsidRDefault="008A0CEA" w:rsidP="008A0CEA">
      <w:pPr>
        <w:pStyle w:val="ListeParagraf"/>
        <w:numPr>
          <w:ilvl w:val="1"/>
          <w:numId w:val="6"/>
        </w:numPr>
        <w:ind w:left="426"/>
        <w:contextualSpacing/>
        <w:jc w:val="both"/>
        <w:rPr>
          <w:b/>
        </w:rPr>
      </w:pPr>
      <w:r w:rsidRPr="00381436">
        <w:rPr>
          <w:b/>
        </w:rPr>
        <w:t>Genel Açıklamalar</w:t>
      </w:r>
    </w:p>
    <w:p w:rsidR="008A0CEA" w:rsidRPr="00381436" w:rsidRDefault="00E30CF6" w:rsidP="00E30CF6">
      <w:pPr>
        <w:spacing w:after="240" w:line="276" w:lineRule="auto"/>
        <w:jc w:val="both"/>
      </w:pPr>
      <w:r w:rsidRPr="00381436">
        <w:t xml:space="preserve">(1) </w:t>
      </w:r>
      <w:r w:rsidR="008A0CEA" w:rsidRPr="00381436">
        <w:t xml:space="preserve">Yönetmeliğin 35 inci maddesi çerçevesinde, gözden geçirme döneminde yerli üretim dalındaki zarar durumu ve önlemlerin yürürlükten kalkması halinde zarara etki edebilecek muhtemel gelişmeler incelenmiştir. Bu çerçevede, ithalatın miktarı ve gelişimi, ithalat </w:t>
      </w:r>
      <w:r w:rsidR="008A0CEA" w:rsidRPr="00381436">
        <w:lastRenderedPageBreak/>
        <w:t>fiyatlarının gelişimi, fiyat kırılması ve baskısı ile yerli üretim dalının ekonomik göstergeleri gözden geçirme dönemi için incelenmiştir.</w:t>
      </w:r>
    </w:p>
    <w:p w:rsidR="00E30CF6" w:rsidRPr="00381436" w:rsidRDefault="00E30CF6" w:rsidP="00E30CF6">
      <w:pPr>
        <w:spacing w:after="240" w:line="276" w:lineRule="auto"/>
        <w:jc w:val="both"/>
      </w:pPr>
      <w:r w:rsidRPr="00381436">
        <w:t>(2) Soruşturma konusu ürünün genel ithalatı ve soruşturmaya konu ülkeden yapılan ithalatın incelemesinde Türkiye İstatistik Kurumu (TÜİK) verileri kullanılmıştır.</w:t>
      </w:r>
    </w:p>
    <w:p w:rsidR="00412287" w:rsidRPr="00381436" w:rsidRDefault="00412287" w:rsidP="00C9601E">
      <w:pPr>
        <w:pStyle w:val="ListeParagraf"/>
        <w:numPr>
          <w:ilvl w:val="1"/>
          <w:numId w:val="6"/>
        </w:numPr>
        <w:ind w:left="426"/>
        <w:contextualSpacing/>
        <w:jc w:val="both"/>
        <w:rPr>
          <w:b/>
        </w:rPr>
      </w:pPr>
      <w:r w:rsidRPr="00381436">
        <w:rPr>
          <w:b/>
        </w:rPr>
        <w:t>Ürünün genel ithalatı</w:t>
      </w:r>
      <w:r w:rsidR="00AA4AB3" w:rsidRPr="00381436">
        <w:rPr>
          <w:b/>
        </w:rPr>
        <w:t>nın gelişimi</w:t>
      </w:r>
      <w:r w:rsidRPr="00381436">
        <w:rPr>
          <w:b/>
        </w:rPr>
        <w:t xml:space="preserve"> ve fiyatları</w:t>
      </w:r>
    </w:p>
    <w:p w:rsidR="00412287" w:rsidRPr="00381436" w:rsidRDefault="00412287" w:rsidP="00412287">
      <w:pPr>
        <w:spacing w:after="240" w:line="276" w:lineRule="auto"/>
        <w:jc w:val="both"/>
      </w:pPr>
      <w:proofErr w:type="gramStart"/>
      <w:r w:rsidRPr="00381436">
        <w:t>(1) Önleme konu kontrplaklara ilişkin genel ithalat istatistiklerine bakıldığında, ürünün 2014 yılında 314,6 bin m3 (327,7 milyon ABD Doları) olan toplam ithalatın, 2015 yılında 276,2 bin m3’e (306,0 milyon ABD Doları) ve 2016 yılında ise 275,4 bin m3’e (16,9 milyon ABD Doları) gerilediği görülmektedir.</w:t>
      </w:r>
      <w:proofErr w:type="gramEnd"/>
    </w:p>
    <w:p w:rsidR="008E4B08" w:rsidRPr="00381436" w:rsidRDefault="00412287" w:rsidP="00AA4AB3">
      <w:pPr>
        <w:spacing w:after="240" w:line="276" w:lineRule="auto"/>
        <w:jc w:val="both"/>
        <w:rPr>
          <w:b/>
        </w:rPr>
      </w:pPr>
      <w:r w:rsidRPr="00381436">
        <w:t>(2) Yukarıdaki veriler çerçevesinde ürün ithalatının ortalama birim fiyatları hesaplanmıştır. Buna göre kontrplak ithalatının 2014, 2015 ve 2016 yıllarında ortalama birim fiyatları sırasıyla 1.042 ABD Doları/m3, 1.108 ABD Doları/m3 ve 1.107 ABD Doları/m3 olarak gerçekleşmiştir.</w:t>
      </w:r>
    </w:p>
    <w:p w:rsidR="00412287" w:rsidRPr="00381436" w:rsidRDefault="00412287" w:rsidP="00412287">
      <w:pPr>
        <w:pStyle w:val="ListeParagraf"/>
        <w:numPr>
          <w:ilvl w:val="1"/>
          <w:numId w:val="6"/>
        </w:numPr>
        <w:ind w:left="426"/>
        <w:contextualSpacing/>
        <w:jc w:val="both"/>
        <w:rPr>
          <w:b/>
        </w:rPr>
      </w:pPr>
      <w:r w:rsidRPr="00381436">
        <w:rPr>
          <w:b/>
        </w:rPr>
        <w:t xml:space="preserve">Ürünün </w:t>
      </w:r>
      <w:r w:rsidR="00AA4AB3" w:rsidRPr="00381436">
        <w:rPr>
          <w:b/>
        </w:rPr>
        <w:t>soruşturma</w:t>
      </w:r>
      <w:r w:rsidRPr="00381436">
        <w:rPr>
          <w:b/>
        </w:rPr>
        <w:t xml:space="preserve"> konu</w:t>
      </w:r>
      <w:r w:rsidR="00AA4AB3" w:rsidRPr="00381436">
        <w:rPr>
          <w:b/>
        </w:rPr>
        <w:t>su</w:t>
      </w:r>
      <w:r w:rsidRPr="00381436">
        <w:rPr>
          <w:b/>
        </w:rPr>
        <w:t xml:space="preserve"> ülkeden ithalatının gelişimi ve fiyatları</w:t>
      </w:r>
    </w:p>
    <w:p w:rsidR="00412287" w:rsidRPr="00381436" w:rsidRDefault="00412287" w:rsidP="00C9601E">
      <w:pPr>
        <w:spacing w:after="240" w:line="276" w:lineRule="auto"/>
        <w:jc w:val="both"/>
      </w:pPr>
      <w:r w:rsidRPr="00381436">
        <w:t>(1) Önleme konu kontrplakların ÇHC’den yapılan ithalatı 2014, 2015 ve 2016 yıllarında sırasıyla 267 m3 (352,4 bin ABD Doları), 1.598 m3 (1,7 milyon ABD Doları) ve 52 m3 (69,9 bin ABD Doları) olarak gerçekleşmiştir.</w:t>
      </w:r>
    </w:p>
    <w:p w:rsidR="00412287" w:rsidRPr="00381436" w:rsidRDefault="00412287" w:rsidP="00C9601E">
      <w:pPr>
        <w:spacing w:after="240" w:line="276" w:lineRule="auto"/>
        <w:jc w:val="both"/>
      </w:pPr>
      <w:r w:rsidRPr="00381436">
        <w:t>(2) ÇHC menşeli kontrplak ithalatının toplam ithalat içindeki payı incelendiğinde ise 2014 ve 2015 yıllarında mezkûr pay sırasıyla %0,1 ve %0,6 olarak gerçekleşmiş, 2016 yılında ise bu oran sıfırlanmıştır.</w:t>
      </w:r>
    </w:p>
    <w:p w:rsidR="00412287" w:rsidRPr="00381436" w:rsidRDefault="00412287" w:rsidP="00C9601E">
      <w:pPr>
        <w:spacing w:after="240" w:line="276" w:lineRule="auto"/>
        <w:jc w:val="both"/>
      </w:pPr>
      <w:r w:rsidRPr="00381436">
        <w:t>(3) 2014-2016 yılları arasında ÇHC menşeli ithalatın birim fiyatlarına bakıldığında, kontrplakların ithal birim fiyatları 2014-2016 döneminde sırasıyla 1.320 ABD Doları/m3, 1.119 ABD Doları/ m3 ve 1.344 ABD Doları/ m3 seviy</w:t>
      </w:r>
      <w:r w:rsidR="005E2589" w:rsidRPr="00381436">
        <w:t>esinde gerçekleşmiştir</w:t>
      </w:r>
      <w:r w:rsidRPr="00381436">
        <w:t>.</w:t>
      </w:r>
    </w:p>
    <w:p w:rsidR="00412287" w:rsidRPr="00381436" w:rsidRDefault="00412287" w:rsidP="00412287">
      <w:pPr>
        <w:pStyle w:val="ListeParagraf"/>
        <w:numPr>
          <w:ilvl w:val="1"/>
          <w:numId w:val="6"/>
        </w:numPr>
        <w:ind w:left="426"/>
        <w:contextualSpacing/>
        <w:jc w:val="both"/>
        <w:rPr>
          <w:b/>
        </w:rPr>
      </w:pPr>
      <w:r w:rsidRPr="00381436">
        <w:rPr>
          <w:b/>
        </w:rPr>
        <w:t>Ürünün üçüncü ülkelerden ithalatının gelişimi ve fiyatları</w:t>
      </w:r>
    </w:p>
    <w:p w:rsidR="00412287" w:rsidRPr="00381436" w:rsidRDefault="00412287" w:rsidP="005E2589">
      <w:pPr>
        <w:spacing w:after="240" w:line="276" w:lineRule="auto"/>
        <w:jc w:val="both"/>
      </w:pPr>
      <w:r w:rsidRPr="00381436">
        <w:t>(1) Başvuruya konu olmayan üçüncü ülkeler menşeli toplam ithalata bakılmıştır. Söz konusu ithalatın 2014, 2015 ve 2016 yıllarında sırasıyla 314,4 bin m3, 274,6 bin m3 ve 275,4 bin m3 seviyesinde gerçekleştiği görülmektedir. Bahse konu ithalatın değeri ise aynı dönemde sırasıyla 327,4 milyon ABD Doları, 304,2 milyon ABD Doları ve 304,9 milyon ABD Doları olmuştur.</w:t>
      </w:r>
    </w:p>
    <w:p w:rsidR="00412287" w:rsidRPr="00381436" w:rsidRDefault="00412287" w:rsidP="005E2589">
      <w:pPr>
        <w:spacing w:after="240" w:line="276" w:lineRule="auto"/>
        <w:jc w:val="both"/>
      </w:pPr>
      <w:r w:rsidRPr="00381436">
        <w:t>(2) Üçüncü ülkeler menşeli ithalatın genel ithalat içerisindeki payı, yine aynı dönemde sırasıyla %99,9, %99,4 ve %100 olarak gerçekleşmiştir.</w:t>
      </w:r>
    </w:p>
    <w:p w:rsidR="00412287" w:rsidRPr="00381436" w:rsidRDefault="00412287" w:rsidP="005E2589">
      <w:pPr>
        <w:spacing w:after="240" w:line="276" w:lineRule="auto"/>
        <w:jc w:val="both"/>
      </w:pPr>
      <w:r w:rsidRPr="00381436">
        <w:t xml:space="preserve">(3) Başvuruya konu olmayan üçüncü ülkelerden gerçekleştirilen ithalatın ortalama birim fiyatlarına bakıldığında, ithal birim fiyatı inceleme dönemi için sırasıyla 1.041 ABD Doları/m3, 1.108 ABD Doları/m3 ve 1.107 ABD Doları/m3 </w:t>
      </w:r>
      <w:r w:rsidR="005E2589" w:rsidRPr="00381436">
        <w:t>seviyesinde oluşmuştur</w:t>
      </w:r>
      <w:r w:rsidRPr="00381436">
        <w:t>.</w:t>
      </w:r>
    </w:p>
    <w:p w:rsidR="00412287" w:rsidRPr="00381436" w:rsidRDefault="00412287" w:rsidP="00412287">
      <w:pPr>
        <w:pStyle w:val="ListeParagraf"/>
        <w:numPr>
          <w:ilvl w:val="1"/>
          <w:numId w:val="6"/>
        </w:numPr>
        <w:ind w:left="426"/>
        <w:contextualSpacing/>
        <w:jc w:val="both"/>
        <w:rPr>
          <w:b/>
        </w:rPr>
      </w:pPr>
      <w:r w:rsidRPr="00381436">
        <w:rPr>
          <w:b/>
        </w:rPr>
        <w:t>Türkiye toplam benzer mal tüketimi ve pazar payları</w:t>
      </w:r>
    </w:p>
    <w:p w:rsidR="00412287" w:rsidRPr="00381436" w:rsidRDefault="00412287" w:rsidP="005E2589">
      <w:pPr>
        <w:spacing w:after="240" w:line="276" w:lineRule="auto"/>
        <w:jc w:val="both"/>
      </w:pPr>
      <w:r w:rsidRPr="00381436">
        <w:t>(1) Önlem konusu ürünün yurt içi tüketimi 2014-2016 yılları için yerli üretim dalının ve diğer yerli üreticinin yurt içi satış miktarları ile aynı dönem içinde gerçekleşen genel ithalat miktarlarının toplanması sonucunda bulunmuştur.</w:t>
      </w:r>
    </w:p>
    <w:p w:rsidR="00CA1656" w:rsidRPr="00381436" w:rsidRDefault="00412287" w:rsidP="005E2589">
      <w:pPr>
        <w:spacing w:after="240" w:line="276" w:lineRule="auto"/>
        <w:jc w:val="both"/>
      </w:pPr>
      <w:r w:rsidRPr="00381436">
        <w:t>(2) Bu çerçevede</w:t>
      </w:r>
      <w:r w:rsidR="00CA1656" w:rsidRPr="00381436">
        <w:t>, kontrplaklar için 2014 yılında 100 olan yurt içi tüketim</w:t>
      </w:r>
      <w:r w:rsidR="00CA1656" w:rsidRPr="00381436">
        <w:t xml:space="preserve"> </w:t>
      </w:r>
      <w:r w:rsidR="00CA1656" w:rsidRPr="00381436">
        <w:t xml:space="preserve">endeksi, 2015 yılında 94’e, 2016 yılında ise 98’e inmiştir. Aynı dönemde </w:t>
      </w:r>
      <w:r w:rsidR="00CA1656" w:rsidRPr="00381436">
        <w:t xml:space="preserve">önleme konu ÇHC menşeli ithalatın yurt </w:t>
      </w:r>
      <w:r w:rsidR="00CA1656" w:rsidRPr="00381436">
        <w:lastRenderedPageBreak/>
        <w:t>içindeki pazar payı</w:t>
      </w:r>
      <w:r w:rsidR="00CA1656" w:rsidRPr="00381436">
        <w:t xml:space="preserve"> yüzde sıfır dolayında gerçekleşmiştir. D</w:t>
      </w:r>
      <w:r w:rsidR="00CA1656" w:rsidRPr="00381436">
        <w:t xml:space="preserve">iğer ülkelerin yurt içi tüketimden aldığı pay ise, </w:t>
      </w:r>
      <w:r w:rsidR="00CA1656" w:rsidRPr="00381436">
        <w:t xml:space="preserve">2014 yılı 100 kabul edildiğinde 2015 yılında 93, 2016 yılında ise 90 birim olarak gerçekleşmiştir. Yerli </w:t>
      </w:r>
      <w:r w:rsidR="00CA1656" w:rsidRPr="00381436">
        <w:t xml:space="preserve">üretim dalının pazar payı </w:t>
      </w:r>
      <w:r w:rsidR="00CA1656" w:rsidRPr="00381436">
        <w:t>ise, 2014 yılı</w:t>
      </w:r>
      <w:r w:rsidR="00CA1656" w:rsidRPr="00381436">
        <w:t xml:space="preserve"> </w:t>
      </w:r>
      <w:r w:rsidR="00CA1656" w:rsidRPr="00381436">
        <w:t xml:space="preserve">100 olarak kabul edildiğinde </w:t>
      </w:r>
      <w:r w:rsidR="00CA1656" w:rsidRPr="00381436">
        <w:t xml:space="preserve">2015 yılında </w:t>
      </w:r>
      <w:r w:rsidR="00CA1656" w:rsidRPr="00381436">
        <w:t>110’a, 2016 yılında ise 127’ye yükselmiştir.</w:t>
      </w:r>
      <w:r w:rsidR="00CA1656" w:rsidRPr="00381436">
        <w:t xml:space="preserve"> Toplam yerli üreticilerin aldığı pay ise </w:t>
      </w:r>
      <w:r w:rsidR="00CA1656" w:rsidRPr="00381436">
        <w:t>aynı dönemde sırasıyla 100, 118 ve 130 olarak gerçekleşmiştir.</w:t>
      </w:r>
    </w:p>
    <w:p w:rsidR="005E2589" w:rsidRPr="00381436" w:rsidRDefault="005E2589" w:rsidP="005E2589">
      <w:pPr>
        <w:pStyle w:val="ListeParagraf"/>
        <w:numPr>
          <w:ilvl w:val="1"/>
          <w:numId w:val="6"/>
        </w:numPr>
        <w:ind w:left="426"/>
        <w:contextualSpacing/>
        <w:jc w:val="both"/>
        <w:rPr>
          <w:b/>
        </w:rPr>
      </w:pPr>
      <w:r w:rsidRPr="00381436">
        <w:rPr>
          <w:b/>
        </w:rPr>
        <w:t>Fiyat kırılması</w:t>
      </w:r>
    </w:p>
    <w:p w:rsidR="005E2589" w:rsidRPr="00381436" w:rsidRDefault="005E2589" w:rsidP="005E2589">
      <w:pPr>
        <w:spacing w:after="240" w:line="276" w:lineRule="auto"/>
        <w:jc w:val="both"/>
      </w:pPr>
      <w:r w:rsidRPr="00381436">
        <w:t xml:space="preserve">(1) Fiyat kırılması hesabında TÜİK verileri temel alınmıştır. Fiyat kırılması, </w:t>
      </w:r>
      <w:proofErr w:type="gramStart"/>
      <w:r w:rsidRPr="00381436">
        <w:t>dampingli</w:t>
      </w:r>
      <w:proofErr w:type="gramEnd"/>
      <w:r w:rsidRPr="00381436">
        <w:t xml:space="preserve"> ithal ürünün Türkiye pazarına giriş fiyatlarının yerli üretim dalının fiyatlarının ne kadar altında kaldığını gösterir. Fiyat kırılması hesabında, önlem konusu ülkeden gerçekleştirilen ithalatın CIF bedeline %7 oranında gümrük </w:t>
      </w:r>
      <w:proofErr w:type="gramStart"/>
      <w:r w:rsidRPr="00381436">
        <w:t>vergisi  ile</w:t>
      </w:r>
      <w:proofErr w:type="gramEnd"/>
      <w:r w:rsidRPr="00381436">
        <w:t xml:space="preserve"> %2 oranında gümrükleme masrafı eklenerek inceleme konusu ürünün Türkiye piyasasına giriş fiyatı bulunmuştur. Bu şekilde elde edilen fiyat, yerli üretim dalının ağırlıklı ortalama yurt içi satış fiyatı ile mukayese edilerek soruşturma konusu ülkenin ihraç fiyatının yerli üretim dalının ağırlıklı ortalama iç piyasa satış fiyatını hangi oranda kırdığı tespit edilmektedir.</w:t>
      </w:r>
    </w:p>
    <w:p w:rsidR="005E2589" w:rsidRPr="00381436" w:rsidRDefault="005E2589" w:rsidP="005E2589">
      <w:pPr>
        <w:spacing w:after="240" w:line="276" w:lineRule="auto"/>
        <w:jc w:val="both"/>
      </w:pPr>
      <w:r w:rsidRPr="00381436">
        <w:t>(2) ÇHC menşeli kontrplakların ithalatın</w:t>
      </w:r>
      <w:r w:rsidR="00541118" w:rsidRPr="00381436">
        <w:t>ın fiyat kırılmasına neden olmadığı tespit edilmiştir.</w:t>
      </w:r>
    </w:p>
    <w:p w:rsidR="005E2589" w:rsidRPr="00381436" w:rsidRDefault="005E2589" w:rsidP="005E2589">
      <w:pPr>
        <w:pStyle w:val="ListeParagraf"/>
        <w:numPr>
          <w:ilvl w:val="1"/>
          <w:numId w:val="6"/>
        </w:numPr>
        <w:ind w:left="426"/>
        <w:contextualSpacing/>
        <w:jc w:val="both"/>
        <w:rPr>
          <w:b/>
        </w:rPr>
      </w:pPr>
      <w:r w:rsidRPr="00381436">
        <w:rPr>
          <w:b/>
        </w:rPr>
        <w:t>Fiyat baskısı</w:t>
      </w:r>
    </w:p>
    <w:p w:rsidR="005E2589" w:rsidRPr="00381436" w:rsidRDefault="005E2589" w:rsidP="005E2589">
      <w:pPr>
        <w:spacing w:after="240" w:line="276" w:lineRule="auto"/>
        <w:jc w:val="both"/>
      </w:pPr>
      <w:r w:rsidRPr="00381436">
        <w:t xml:space="preserve">(1) Fiyat baskısı hesabında TÜİK verileri temel alınmıştır. Fiyat baskısı ise, </w:t>
      </w:r>
      <w:proofErr w:type="gramStart"/>
      <w:r w:rsidRPr="00381436">
        <w:t>dampingli</w:t>
      </w:r>
      <w:proofErr w:type="gramEnd"/>
      <w:r w:rsidRPr="00381436">
        <w:t xml:space="preserve"> ithalat fiyatlarının Türkiye piyasasında yerli üretim dalının olması gereken satış fiyatının yüzde olarak ne kadar altında kaldığını göstermektedir. Fiyat baskısı hesabında önlem konusu ülkeden gerçekleştirilen ithalatın CIF bedeline %7 oranında gümrük vergisi2 ile %2 oranında gümrükleme masrafı eklenerek inceleme konusu ürünün Türkiye piyasasına giriş fiyatı bulunmuştur. Bu şekilde elde edilen fiyat, yerli üretim dalının ticari maliyetine %10 makul kar eklenerek hesaplanan satış fiyatı ile mukayese edilerek önlem konusu ülkenin ihraç fiyatının yerli üretim dalının ortalama iç piyasa satış fiyatlarını hangi oranda baskıladığı tespit edilmektedir.</w:t>
      </w:r>
    </w:p>
    <w:p w:rsidR="00E05BBC" w:rsidRPr="00381436" w:rsidRDefault="005E2589" w:rsidP="005E2589">
      <w:pPr>
        <w:spacing w:after="240" w:line="276" w:lineRule="auto"/>
        <w:jc w:val="both"/>
      </w:pPr>
      <w:r w:rsidRPr="00381436">
        <w:t>(2) ÇHC menşeli mezkûr ürün ithalatın</w:t>
      </w:r>
      <w:r w:rsidR="00541118" w:rsidRPr="00381436">
        <w:t xml:space="preserve">ın fiyat baskısına neden olmadığı </w:t>
      </w:r>
      <w:r w:rsidRPr="00381436">
        <w:t>tespit edilmiştir.</w:t>
      </w:r>
    </w:p>
    <w:p w:rsidR="005E2589" w:rsidRPr="00381436" w:rsidRDefault="005E2589" w:rsidP="005E2589">
      <w:pPr>
        <w:pStyle w:val="ListeParagraf"/>
        <w:numPr>
          <w:ilvl w:val="1"/>
          <w:numId w:val="6"/>
        </w:numPr>
        <w:ind w:left="426"/>
        <w:contextualSpacing/>
        <w:jc w:val="both"/>
        <w:rPr>
          <w:b/>
        </w:rPr>
      </w:pPr>
      <w:bookmarkStart w:id="0" w:name="_Toc512874033"/>
      <w:r w:rsidRPr="00381436">
        <w:rPr>
          <w:b/>
        </w:rPr>
        <w:t>Yerli üretim dalının ekonomik göstergeleri</w:t>
      </w:r>
      <w:bookmarkEnd w:id="0"/>
    </w:p>
    <w:p w:rsidR="005E2589" w:rsidRPr="00381436" w:rsidRDefault="005E2589" w:rsidP="005E2589">
      <w:pPr>
        <w:spacing w:after="240" w:line="276" w:lineRule="auto"/>
        <w:jc w:val="both"/>
      </w:pPr>
      <w:r w:rsidRPr="00381436">
        <w:t xml:space="preserve">(1) </w:t>
      </w:r>
      <w:r w:rsidR="00381436" w:rsidRPr="00381436">
        <w:t xml:space="preserve">Yerli </w:t>
      </w:r>
      <w:r w:rsidRPr="00381436">
        <w:t xml:space="preserve">üretim dalının ekonomik göstergelerinin KONÜDER tarafından adına başvuru yapılan 1- Ay-Kon-San Aydın Kontrplak Orman </w:t>
      </w:r>
      <w:proofErr w:type="spellStart"/>
      <w:r w:rsidRPr="00381436">
        <w:t>Ürn</w:t>
      </w:r>
      <w:proofErr w:type="spellEnd"/>
      <w:r w:rsidRPr="00381436">
        <w:t>. San. Nak. İç ve Dış Tic. Ltd. Şti</w:t>
      </w:r>
      <w:proofErr w:type="gramStart"/>
      <w:r w:rsidRPr="00381436">
        <w:t>.,</w:t>
      </w:r>
      <w:proofErr w:type="gramEnd"/>
      <w:r w:rsidRPr="00381436">
        <w:t xml:space="preserve"> 2- Bizon Ağaç San. ve Tic. A.Ş</w:t>
      </w:r>
      <w:proofErr w:type="gramStart"/>
      <w:r w:rsidRPr="00381436">
        <w:t>.,</w:t>
      </w:r>
      <w:proofErr w:type="gramEnd"/>
      <w:r w:rsidRPr="00381436">
        <w:t xml:space="preserve"> 3- </w:t>
      </w:r>
      <w:proofErr w:type="spellStart"/>
      <w:r w:rsidRPr="00381436">
        <w:t>Dastaş</w:t>
      </w:r>
      <w:proofErr w:type="spellEnd"/>
      <w:r w:rsidRPr="00381436">
        <w:t xml:space="preserve"> Demircioğlu Ağaç Sanayi ve Tic. A.Ş., 4- Erbaa Kaplama San. </w:t>
      </w:r>
      <w:proofErr w:type="gramStart"/>
      <w:r w:rsidRPr="00381436">
        <w:t>ve</w:t>
      </w:r>
      <w:proofErr w:type="gramEnd"/>
      <w:r w:rsidRPr="00381436">
        <w:t xml:space="preserve"> Tic. Ltd. Şti. ve 5- Taşköprü Tarım Hayvancılık Orman Ürünleri Tekstil Madencilik Tic. ve San. A.Ş. firmalarının soruşturma konusu ürüne ait 2014-2016 yılları verileri esas alınmıştır. Yönetmeliğin 17 </w:t>
      </w:r>
      <w:proofErr w:type="spellStart"/>
      <w:r w:rsidRPr="00381436">
        <w:t>nci</w:t>
      </w:r>
      <w:proofErr w:type="spellEnd"/>
      <w:r w:rsidRPr="00381436">
        <w:t xml:space="preserve"> maddesi hükümleri çerçevesinde, </w:t>
      </w:r>
      <w:proofErr w:type="gramStart"/>
      <w:r w:rsidRPr="00381436">
        <w:t>dampingli</w:t>
      </w:r>
      <w:proofErr w:type="gramEnd"/>
      <w:r w:rsidRPr="00381436">
        <w:t xml:space="preserve"> ithalatın yerli üretim dalının ekonomik göstergeleri üzerindeki etkisinin tespiti amacıyla, gözden geçirme dönemi içerisinde yerli üretim dalının üretim, satış, pazar payı, yurtiçi fiyatlar, kapasite, kapasite kullanımı, maliyetler, stoklar, istihdam, verimlilik, nakit akışı, kârlılık gibi göstergeleri analiz edilmiştir.</w:t>
      </w:r>
    </w:p>
    <w:p w:rsidR="005E2589" w:rsidRPr="00381436" w:rsidRDefault="005E2589" w:rsidP="005E2589">
      <w:pPr>
        <w:spacing w:after="240" w:line="276" w:lineRule="auto"/>
        <w:jc w:val="both"/>
      </w:pPr>
      <w:r w:rsidRPr="00381436">
        <w:t>(2) Söz konusu dönem için yapılan zarar analizinde eğilimin sağlıklı bir şekilde incelenmesi amacıyla, Türk Lirası bazındaki veriler TÜİK tarafından hesaplanan yıllık ortalama üretici fiyatları endeksi kullanılarak enflasyondan arındırılmış, reel hale getirilmiş ve 2014 yılı 100 kabul edilerek endekslenmiştir.</w:t>
      </w:r>
    </w:p>
    <w:p w:rsidR="005E2589" w:rsidRPr="00381436" w:rsidRDefault="005E2589" w:rsidP="005E2589">
      <w:pPr>
        <w:spacing w:after="240" w:line="276" w:lineRule="auto"/>
        <w:jc w:val="both"/>
      </w:pPr>
      <w:r w:rsidRPr="00381436">
        <w:t>(3) Kontrplaklar için yerli üretim dalının ekonomik göstergeleri şu şekilde oluşmuştur.</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lastRenderedPageBreak/>
        <w:t>Üretim, kapasite ve kapasite kullanım oranı (KKO)</w:t>
      </w:r>
    </w:p>
    <w:p w:rsidR="005E2589" w:rsidRPr="00381436" w:rsidRDefault="005E2589" w:rsidP="004D0EF6">
      <w:pPr>
        <w:pStyle w:val="Default"/>
        <w:numPr>
          <w:ilvl w:val="0"/>
          <w:numId w:val="9"/>
        </w:numPr>
        <w:spacing w:after="240" w:line="276" w:lineRule="auto"/>
        <w:ind w:left="0" w:firstLine="0"/>
        <w:jc w:val="both"/>
        <w:rPr>
          <w:bCs/>
          <w:color w:val="auto"/>
        </w:rPr>
      </w:pPr>
      <w:r w:rsidRPr="00381436">
        <w:rPr>
          <w:bCs/>
          <w:color w:val="auto"/>
        </w:rPr>
        <w:t xml:space="preserve">Yerli üretim dalının kontrplaklar için 2014 yılında 100 olan üretim miktar endeksi, 2015 yılında 103’e, 2016 yılında ise 124’e yükselmiştir. Aynı dönemde yerli üretim dalının kapasite kullanım oranı endeksi sırasıyla 100, 97 ve 84 olarak gerçekleşmiştir. </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Yurt içi satışlar</w:t>
      </w:r>
    </w:p>
    <w:p w:rsidR="005E2589" w:rsidRPr="00381436" w:rsidRDefault="005E2589" w:rsidP="004D0EF6">
      <w:pPr>
        <w:pStyle w:val="Default"/>
        <w:numPr>
          <w:ilvl w:val="0"/>
          <w:numId w:val="10"/>
        </w:numPr>
        <w:spacing w:after="240" w:line="276" w:lineRule="auto"/>
        <w:ind w:left="0" w:firstLine="0"/>
        <w:jc w:val="both"/>
        <w:rPr>
          <w:bCs/>
          <w:color w:val="auto"/>
          <w:spacing w:val="-2"/>
        </w:rPr>
      </w:pPr>
      <w:r w:rsidRPr="00381436">
        <w:rPr>
          <w:bCs/>
          <w:color w:val="auto"/>
        </w:rPr>
        <w:t>Yerli üretim dalının</w:t>
      </w:r>
      <w:r w:rsidRPr="00381436">
        <w:rPr>
          <w:bCs/>
          <w:color w:val="auto"/>
          <w:spacing w:val="-2"/>
        </w:rPr>
        <w:t xml:space="preserve"> </w:t>
      </w:r>
      <w:r w:rsidRPr="00381436">
        <w:rPr>
          <w:bCs/>
          <w:color w:val="auto"/>
        </w:rPr>
        <w:t xml:space="preserve">kontrplaklar </w:t>
      </w:r>
      <w:r w:rsidRPr="00381436">
        <w:rPr>
          <w:bCs/>
          <w:color w:val="auto"/>
          <w:spacing w:val="-2"/>
        </w:rPr>
        <w:t xml:space="preserve">için 2014 yılında 100 olarak kabul edilen yurt içi satış miktarı endeksi </w:t>
      </w:r>
      <w:r w:rsidRPr="00381436">
        <w:rPr>
          <w:bCs/>
          <w:color w:val="auto"/>
        </w:rPr>
        <w:t xml:space="preserve">2015 yılında 103’e, 2016 yılında ise 124’e yükselmiştir. </w:t>
      </w:r>
      <w:r w:rsidRPr="00381436">
        <w:rPr>
          <w:bCs/>
          <w:color w:val="auto"/>
          <w:spacing w:val="-2"/>
        </w:rPr>
        <w:t>Aynı dönemde yurt içi satış hasılası endeksi ise sırasıyla 100, 108 ve 132 olarak gerçekleşmiştir.</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Yurt içi fiyatlar</w:t>
      </w:r>
    </w:p>
    <w:p w:rsidR="005E2589" w:rsidRPr="00381436" w:rsidRDefault="005E2589" w:rsidP="004D0EF6">
      <w:pPr>
        <w:pStyle w:val="Default"/>
        <w:numPr>
          <w:ilvl w:val="0"/>
          <w:numId w:val="11"/>
        </w:numPr>
        <w:spacing w:after="240" w:line="276" w:lineRule="auto"/>
        <w:ind w:left="0" w:firstLine="0"/>
        <w:jc w:val="both"/>
        <w:rPr>
          <w:bCs/>
          <w:color w:val="auto"/>
          <w:spacing w:val="-2"/>
        </w:rPr>
      </w:pPr>
      <w:r w:rsidRPr="00381436">
        <w:rPr>
          <w:bCs/>
          <w:color w:val="auto"/>
        </w:rPr>
        <w:t>Yerli üretim dalının</w:t>
      </w:r>
      <w:r w:rsidRPr="00381436">
        <w:rPr>
          <w:bCs/>
          <w:color w:val="auto"/>
          <w:spacing w:val="-2"/>
        </w:rPr>
        <w:t xml:space="preserve"> </w:t>
      </w:r>
      <w:r w:rsidRPr="00381436">
        <w:rPr>
          <w:bCs/>
          <w:color w:val="auto"/>
        </w:rPr>
        <w:t xml:space="preserve">kontrplaklar </w:t>
      </w:r>
      <w:r w:rsidRPr="00381436">
        <w:rPr>
          <w:bCs/>
          <w:color w:val="auto"/>
          <w:spacing w:val="-2"/>
        </w:rPr>
        <w:t xml:space="preserve">için ağırlıklı ortalama yurt içi satış fiyatı 2014 yılında 100, 2015 yılında 104 ve 2016 yılında 107 olarak gerçekleşmiştir. </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İhracat</w:t>
      </w:r>
    </w:p>
    <w:p w:rsidR="005E2589" w:rsidRPr="00381436" w:rsidRDefault="005E2589" w:rsidP="004D0EF6">
      <w:pPr>
        <w:pStyle w:val="Default"/>
        <w:numPr>
          <w:ilvl w:val="0"/>
          <w:numId w:val="12"/>
        </w:numPr>
        <w:spacing w:after="240" w:line="276" w:lineRule="auto"/>
        <w:ind w:left="0" w:firstLine="0"/>
        <w:jc w:val="both"/>
        <w:rPr>
          <w:bCs/>
          <w:color w:val="auto"/>
          <w:spacing w:val="-2"/>
        </w:rPr>
      </w:pPr>
      <w:r w:rsidRPr="00381436">
        <w:rPr>
          <w:bCs/>
          <w:color w:val="auto"/>
        </w:rPr>
        <w:t>Yerli üretim dalının</w:t>
      </w:r>
      <w:r w:rsidRPr="00381436">
        <w:rPr>
          <w:bCs/>
          <w:color w:val="auto"/>
          <w:spacing w:val="-2"/>
        </w:rPr>
        <w:t xml:space="preserve"> </w:t>
      </w:r>
      <w:r w:rsidRPr="00381436">
        <w:rPr>
          <w:bCs/>
          <w:color w:val="auto"/>
        </w:rPr>
        <w:t xml:space="preserve">kontrplaklarda </w:t>
      </w:r>
      <w:r w:rsidRPr="00381436">
        <w:rPr>
          <w:bCs/>
          <w:color w:val="auto"/>
          <w:spacing w:val="-2"/>
        </w:rPr>
        <w:t xml:space="preserve">ihracat miktar endeksi 2014 yılında 100, 2015 yılında 375 ve 2016 yılında ise 518 olarak gerçekleşmiştir. </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Pazar payı</w:t>
      </w:r>
    </w:p>
    <w:p w:rsidR="005E2589" w:rsidRPr="00381436" w:rsidRDefault="005E2589" w:rsidP="004D0EF6">
      <w:pPr>
        <w:pStyle w:val="Default"/>
        <w:numPr>
          <w:ilvl w:val="0"/>
          <w:numId w:val="13"/>
        </w:numPr>
        <w:spacing w:after="240" w:line="276" w:lineRule="auto"/>
        <w:ind w:left="0" w:firstLine="0"/>
        <w:jc w:val="both"/>
        <w:rPr>
          <w:bCs/>
          <w:color w:val="auto"/>
          <w:spacing w:val="-2"/>
        </w:rPr>
      </w:pPr>
      <w:r w:rsidRPr="00381436">
        <w:rPr>
          <w:bCs/>
          <w:color w:val="auto"/>
        </w:rPr>
        <w:t>Yerli üretim dalının</w:t>
      </w:r>
      <w:r w:rsidRPr="00381436">
        <w:rPr>
          <w:bCs/>
          <w:color w:val="auto"/>
          <w:spacing w:val="-2"/>
        </w:rPr>
        <w:t xml:space="preserve"> </w:t>
      </w:r>
      <w:r w:rsidRPr="00381436">
        <w:rPr>
          <w:bCs/>
          <w:color w:val="auto"/>
        </w:rPr>
        <w:t xml:space="preserve">kontrplaklarda </w:t>
      </w:r>
      <w:r w:rsidRPr="00381436">
        <w:rPr>
          <w:bCs/>
          <w:color w:val="auto"/>
          <w:spacing w:val="-2"/>
        </w:rPr>
        <w:t>pazar payı endeksi 2014 yılında 100 iken 2015 yılında 110 ve 2016 yılında 127 olmuştur.</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Maliyetler</w:t>
      </w:r>
    </w:p>
    <w:p w:rsidR="005E2589" w:rsidRPr="00381436" w:rsidRDefault="005E2589" w:rsidP="004D0EF6">
      <w:pPr>
        <w:pStyle w:val="Default"/>
        <w:numPr>
          <w:ilvl w:val="0"/>
          <w:numId w:val="14"/>
        </w:numPr>
        <w:spacing w:after="240" w:line="276" w:lineRule="auto"/>
        <w:ind w:left="0" w:firstLine="0"/>
        <w:jc w:val="both"/>
        <w:rPr>
          <w:bCs/>
          <w:color w:val="auto"/>
          <w:spacing w:val="-2"/>
        </w:rPr>
      </w:pPr>
      <w:r w:rsidRPr="00381436">
        <w:rPr>
          <w:bCs/>
          <w:color w:val="auto"/>
        </w:rPr>
        <w:t>Yerli üretim dalının</w:t>
      </w:r>
      <w:r w:rsidRPr="00381436">
        <w:rPr>
          <w:bCs/>
          <w:color w:val="auto"/>
          <w:spacing w:val="-2"/>
        </w:rPr>
        <w:t xml:space="preserve"> </w:t>
      </w:r>
      <w:r w:rsidRPr="00381436">
        <w:rPr>
          <w:bCs/>
          <w:color w:val="auto"/>
        </w:rPr>
        <w:t xml:space="preserve">kontrplaklar </w:t>
      </w:r>
      <w:r w:rsidRPr="00381436">
        <w:rPr>
          <w:bCs/>
          <w:color w:val="auto"/>
          <w:spacing w:val="-2"/>
        </w:rPr>
        <w:t>için 2014 yılında reel olarak 100 kabul edilen birim ticari maliyeti 2015 yılında 103, 2016 yılında ise 108 olarak gerçekleşmiştir.</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Karlılık</w:t>
      </w:r>
    </w:p>
    <w:p w:rsidR="005E2589" w:rsidRPr="00381436" w:rsidRDefault="005E2589" w:rsidP="004D0EF6">
      <w:pPr>
        <w:pStyle w:val="Default"/>
        <w:numPr>
          <w:ilvl w:val="0"/>
          <w:numId w:val="15"/>
        </w:numPr>
        <w:spacing w:after="240" w:line="276" w:lineRule="auto"/>
        <w:ind w:left="0" w:firstLine="0"/>
        <w:jc w:val="both"/>
        <w:rPr>
          <w:bCs/>
          <w:color w:val="auto"/>
          <w:spacing w:val="-2"/>
        </w:rPr>
      </w:pPr>
      <w:r w:rsidRPr="00381436">
        <w:rPr>
          <w:bCs/>
          <w:color w:val="auto"/>
        </w:rPr>
        <w:t>Yerli üretim dalının</w:t>
      </w:r>
      <w:r w:rsidRPr="00381436">
        <w:rPr>
          <w:bCs/>
          <w:color w:val="auto"/>
          <w:spacing w:val="-2"/>
        </w:rPr>
        <w:t xml:space="preserve"> </w:t>
      </w:r>
      <w:r w:rsidRPr="00381436">
        <w:rPr>
          <w:bCs/>
          <w:color w:val="auto"/>
        </w:rPr>
        <w:t xml:space="preserve">kontrplaklar </w:t>
      </w:r>
      <w:r w:rsidRPr="00381436">
        <w:rPr>
          <w:bCs/>
          <w:color w:val="auto"/>
          <w:spacing w:val="-2"/>
        </w:rPr>
        <w:t>yurt içi satışlarından elde ettiği birim kar 2014 yılında 100 olarak kabul edildiğinde 2015 yılında 144, 2016 yılında 55 olarak gerçekleşmiştir.</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Stoklar</w:t>
      </w:r>
    </w:p>
    <w:p w:rsidR="005E2589" w:rsidRPr="00381436" w:rsidRDefault="005E2589" w:rsidP="004D0EF6">
      <w:pPr>
        <w:pStyle w:val="Default"/>
        <w:numPr>
          <w:ilvl w:val="0"/>
          <w:numId w:val="16"/>
        </w:numPr>
        <w:spacing w:after="240" w:line="276" w:lineRule="auto"/>
        <w:ind w:left="0" w:firstLine="0"/>
        <w:jc w:val="both"/>
        <w:rPr>
          <w:bCs/>
          <w:color w:val="auto"/>
          <w:spacing w:val="-2"/>
        </w:rPr>
      </w:pPr>
      <w:r w:rsidRPr="00381436">
        <w:rPr>
          <w:bCs/>
          <w:color w:val="auto"/>
        </w:rPr>
        <w:t>Yerli üretim dalının</w:t>
      </w:r>
      <w:r w:rsidRPr="00381436">
        <w:rPr>
          <w:bCs/>
          <w:color w:val="auto"/>
          <w:spacing w:val="-2"/>
        </w:rPr>
        <w:t xml:space="preserve"> </w:t>
      </w:r>
      <w:r w:rsidRPr="00381436">
        <w:rPr>
          <w:bCs/>
          <w:color w:val="auto"/>
        </w:rPr>
        <w:t xml:space="preserve">kontrplaklarda </w:t>
      </w:r>
      <w:r w:rsidRPr="00381436">
        <w:rPr>
          <w:bCs/>
          <w:color w:val="auto"/>
          <w:spacing w:val="-2"/>
        </w:rPr>
        <w:t>2014 yılında 100 olan stok miktar endeksi 2015 yılında 141’e yükselmiş, 2016 yılında ise 12’ye in</w:t>
      </w:r>
      <w:r w:rsidRPr="00381436">
        <w:rPr>
          <w:color w:val="auto"/>
        </w:rPr>
        <w:t>miş</w:t>
      </w:r>
      <w:r w:rsidRPr="00381436">
        <w:rPr>
          <w:bCs/>
          <w:color w:val="auto"/>
          <w:spacing w:val="-2"/>
        </w:rPr>
        <w:t xml:space="preserve">tir. </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İstihdam</w:t>
      </w:r>
    </w:p>
    <w:p w:rsidR="00466610" w:rsidRPr="00474A80" w:rsidRDefault="005E2589" w:rsidP="00466610">
      <w:pPr>
        <w:pStyle w:val="Default"/>
        <w:numPr>
          <w:ilvl w:val="0"/>
          <w:numId w:val="17"/>
        </w:numPr>
        <w:spacing w:after="240" w:line="276" w:lineRule="auto"/>
        <w:ind w:left="0" w:firstLine="0"/>
        <w:jc w:val="both"/>
        <w:rPr>
          <w:bCs/>
          <w:color w:val="auto"/>
          <w:spacing w:val="-2"/>
        </w:rPr>
      </w:pPr>
      <w:r w:rsidRPr="00381436">
        <w:rPr>
          <w:bCs/>
          <w:color w:val="auto"/>
        </w:rPr>
        <w:t>Yerli üretim dalının</w:t>
      </w:r>
      <w:r w:rsidRPr="00381436">
        <w:rPr>
          <w:bCs/>
          <w:color w:val="auto"/>
          <w:spacing w:val="-2"/>
        </w:rPr>
        <w:t xml:space="preserve"> 2014 yılında 100 olarak kabul edilen </w:t>
      </w:r>
      <w:r w:rsidRPr="00381436">
        <w:rPr>
          <w:bCs/>
          <w:color w:val="auto"/>
        </w:rPr>
        <w:t xml:space="preserve">kontrplaklar </w:t>
      </w:r>
      <w:r w:rsidRPr="00381436">
        <w:rPr>
          <w:bCs/>
          <w:color w:val="auto"/>
          <w:spacing w:val="-2"/>
        </w:rPr>
        <w:t>üretiminde çalışan doğrudan işçi sayısı endeksi 2015 yılında 103, 2016 yılında ise 127 olarak gerçekleşmiştir.</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Ücretler</w:t>
      </w:r>
    </w:p>
    <w:p w:rsidR="005E2589" w:rsidRPr="00381436" w:rsidRDefault="005E2589" w:rsidP="004D0EF6">
      <w:pPr>
        <w:pStyle w:val="Default"/>
        <w:numPr>
          <w:ilvl w:val="0"/>
          <w:numId w:val="18"/>
        </w:numPr>
        <w:spacing w:after="240" w:line="276" w:lineRule="auto"/>
        <w:ind w:left="0" w:firstLine="0"/>
        <w:jc w:val="both"/>
        <w:rPr>
          <w:bCs/>
          <w:color w:val="auto"/>
          <w:spacing w:val="-2"/>
          <w:u w:val="single"/>
        </w:rPr>
      </w:pPr>
      <w:r w:rsidRPr="00381436">
        <w:rPr>
          <w:bCs/>
          <w:color w:val="auto"/>
        </w:rPr>
        <w:t>Yerli üretim dalında</w:t>
      </w:r>
      <w:r w:rsidRPr="00381436">
        <w:rPr>
          <w:bCs/>
          <w:color w:val="auto"/>
          <w:spacing w:val="-2"/>
        </w:rPr>
        <w:t xml:space="preserve"> çalışan işçilerin aylık ücretleri endeksi 2014 yılında 100 olarak gerçekleşirken 2015 ve 2016 yıllarında bu oran sırasıyla 124 ve 145 olmuştur.</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Verimlilik</w:t>
      </w:r>
    </w:p>
    <w:p w:rsidR="005E2589" w:rsidRDefault="005E2589" w:rsidP="004D0EF6">
      <w:pPr>
        <w:pStyle w:val="Default"/>
        <w:numPr>
          <w:ilvl w:val="0"/>
          <w:numId w:val="19"/>
        </w:numPr>
        <w:spacing w:after="240" w:line="276" w:lineRule="auto"/>
        <w:ind w:left="0" w:firstLine="0"/>
        <w:jc w:val="both"/>
        <w:rPr>
          <w:bCs/>
          <w:color w:val="auto"/>
          <w:spacing w:val="-2"/>
        </w:rPr>
      </w:pPr>
      <w:r w:rsidRPr="00381436">
        <w:rPr>
          <w:bCs/>
          <w:color w:val="auto"/>
          <w:spacing w:val="-2"/>
        </w:rPr>
        <w:t xml:space="preserve">Üretimde çalışan işçi başına üretim miktarını gösteren verimlilik endeksi, </w:t>
      </w:r>
      <w:r w:rsidRPr="00381436">
        <w:rPr>
          <w:bCs/>
          <w:color w:val="auto"/>
        </w:rPr>
        <w:t xml:space="preserve">kontrplaklar </w:t>
      </w:r>
      <w:r w:rsidRPr="00381436">
        <w:rPr>
          <w:bCs/>
          <w:color w:val="auto"/>
          <w:spacing w:val="-2"/>
        </w:rPr>
        <w:t xml:space="preserve">üretiminde </w:t>
      </w:r>
      <w:r w:rsidRPr="00381436">
        <w:rPr>
          <w:bCs/>
          <w:color w:val="auto"/>
        </w:rPr>
        <w:t>2014</w:t>
      </w:r>
      <w:r w:rsidRPr="00381436">
        <w:rPr>
          <w:bCs/>
          <w:color w:val="auto"/>
          <w:spacing w:val="-2"/>
        </w:rPr>
        <w:t xml:space="preserve"> yılında 100 iken 2015 yılında bu oran sabit kalmış ve 2016 yılında 97 olarak gerçekleşmiştir. </w:t>
      </w:r>
    </w:p>
    <w:p w:rsidR="003B791E" w:rsidRDefault="003B791E" w:rsidP="003B791E">
      <w:pPr>
        <w:pStyle w:val="Default"/>
        <w:spacing w:after="240" w:line="276" w:lineRule="auto"/>
        <w:jc w:val="both"/>
        <w:rPr>
          <w:bCs/>
          <w:color w:val="auto"/>
          <w:spacing w:val="-2"/>
        </w:rPr>
      </w:pPr>
    </w:p>
    <w:p w:rsidR="003B791E" w:rsidRPr="00381436" w:rsidRDefault="003B791E" w:rsidP="003B791E">
      <w:pPr>
        <w:pStyle w:val="Default"/>
        <w:spacing w:after="240" w:line="276" w:lineRule="auto"/>
        <w:jc w:val="both"/>
        <w:rPr>
          <w:bCs/>
          <w:color w:val="auto"/>
          <w:spacing w:val="-2"/>
        </w:rPr>
      </w:pPr>
    </w:p>
    <w:p w:rsidR="005E2589" w:rsidRPr="00381436" w:rsidRDefault="005E2589" w:rsidP="004D0EF6">
      <w:pPr>
        <w:pStyle w:val="ListeParagraf"/>
        <w:numPr>
          <w:ilvl w:val="0"/>
          <w:numId w:val="24"/>
        </w:numPr>
        <w:spacing w:before="240"/>
        <w:ind w:left="284" w:hanging="284"/>
        <w:contextualSpacing/>
        <w:jc w:val="both"/>
        <w:rPr>
          <w:b/>
        </w:rPr>
      </w:pPr>
      <w:r w:rsidRPr="00381436">
        <w:rPr>
          <w:b/>
        </w:rPr>
        <w:lastRenderedPageBreak/>
        <w:t xml:space="preserve">Nakit akışı </w:t>
      </w:r>
    </w:p>
    <w:p w:rsidR="005E2589" w:rsidRPr="00381436" w:rsidRDefault="005E2589" w:rsidP="004D0EF6">
      <w:pPr>
        <w:pStyle w:val="Default"/>
        <w:numPr>
          <w:ilvl w:val="0"/>
          <w:numId w:val="20"/>
        </w:numPr>
        <w:spacing w:after="240" w:line="276" w:lineRule="auto"/>
        <w:ind w:left="0" w:firstLine="0"/>
        <w:jc w:val="both"/>
        <w:rPr>
          <w:bCs/>
          <w:color w:val="auto"/>
          <w:spacing w:val="-2"/>
        </w:rPr>
      </w:pPr>
      <w:r w:rsidRPr="00381436">
        <w:rPr>
          <w:bCs/>
          <w:color w:val="auto"/>
          <w:spacing w:val="-2"/>
        </w:rPr>
        <w:t xml:space="preserve">Yerli üretim dalının </w:t>
      </w:r>
      <w:r w:rsidRPr="00381436">
        <w:rPr>
          <w:bCs/>
          <w:color w:val="auto"/>
        </w:rPr>
        <w:t xml:space="preserve">kontrplakların </w:t>
      </w:r>
      <w:r w:rsidRPr="00381436">
        <w:rPr>
          <w:bCs/>
          <w:color w:val="auto"/>
          <w:spacing w:val="-2"/>
        </w:rPr>
        <w:t>üretim ve satışı ile sağladığı reel nakit akışı endeksi (</w:t>
      </w:r>
      <w:proofErr w:type="spellStart"/>
      <w:r w:rsidRPr="00381436">
        <w:rPr>
          <w:bCs/>
          <w:color w:val="auto"/>
          <w:spacing w:val="-2"/>
        </w:rPr>
        <w:t>Kar+</w:t>
      </w:r>
      <w:r w:rsidRPr="00381436">
        <w:rPr>
          <w:bCs/>
          <w:color w:val="auto"/>
        </w:rPr>
        <w:t>Amortisman</w:t>
      </w:r>
      <w:proofErr w:type="spellEnd"/>
      <w:r w:rsidRPr="00381436">
        <w:rPr>
          <w:bCs/>
          <w:color w:val="auto"/>
          <w:spacing w:val="-2"/>
        </w:rPr>
        <w:t>) 2014 yılında 100 iken 2015 yılında 112, 2016 yılında 92 olarak gerçekleşmiştir.</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Büyüme</w:t>
      </w:r>
    </w:p>
    <w:p w:rsidR="005E2589" w:rsidRPr="00381436" w:rsidRDefault="005E2589" w:rsidP="004D0EF6">
      <w:pPr>
        <w:pStyle w:val="Default"/>
        <w:numPr>
          <w:ilvl w:val="0"/>
          <w:numId w:val="21"/>
        </w:numPr>
        <w:spacing w:after="240" w:line="276" w:lineRule="auto"/>
        <w:ind w:left="0" w:firstLine="0"/>
        <w:jc w:val="both"/>
        <w:rPr>
          <w:bCs/>
          <w:color w:val="auto"/>
          <w:spacing w:val="-2"/>
        </w:rPr>
      </w:pPr>
      <w:r w:rsidRPr="00381436">
        <w:rPr>
          <w:bCs/>
          <w:color w:val="auto"/>
        </w:rPr>
        <w:t>Yerli üretim dalının</w:t>
      </w:r>
      <w:r w:rsidRPr="00381436">
        <w:rPr>
          <w:bCs/>
          <w:color w:val="auto"/>
          <w:spacing w:val="-2"/>
        </w:rPr>
        <w:t xml:space="preserve"> bütün faaliyetlerini kapsayan aktif büyüklüğü 2014 yılında 100 iken 2015 yılında 134 ve 2016 yılında 143 seviyesinde gerçekleşmiştir. </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Sermaye artışı</w:t>
      </w:r>
    </w:p>
    <w:p w:rsidR="005E2589" w:rsidRPr="00381436" w:rsidRDefault="005E2589" w:rsidP="004D0EF6">
      <w:pPr>
        <w:pStyle w:val="Default"/>
        <w:numPr>
          <w:ilvl w:val="0"/>
          <w:numId w:val="22"/>
        </w:numPr>
        <w:spacing w:after="240" w:line="276" w:lineRule="auto"/>
        <w:ind w:left="0" w:firstLine="0"/>
        <w:jc w:val="both"/>
        <w:rPr>
          <w:bCs/>
          <w:color w:val="auto"/>
          <w:spacing w:val="-2"/>
        </w:rPr>
      </w:pPr>
      <w:r w:rsidRPr="00381436">
        <w:rPr>
          <w:bCs/>
          <w:color w:val="auto"/>
        </w:rPr>
        <w:t>Yerli üretim dalının</w:t>
      </w:r>
      <w:r w:rsidRPr="00381436">
        <w:rPr>
          <w:bCs/>
          <w:color w:val="auto"/>
          <w:spacing w:val="-2"/>
        </w:rPr>
        <w:t xml:space="preserve"> 2014 yılında 100 olarak kabul edilen öz sermayesi 2015 yılında 116 ve 2016 yılında 124 olarak gerçekleşmiştir.</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Yatırımlar</w:t>
      </w:r>
    </w:p>
    <w:p w:rsidR="005E2589" w:rsidRPr="00381436" w:rsidRDefault="005E2589" w:rsidP="004D0EF6">
      <w:pPr>
        <w:pStyle w:val="Default"/>
        <w:numPr>
          <w:ilvl w:val="0"/>
          <w:numId w:val="23"/>
        </w:numPr>
        <w:spacing w:after="240" w:line="276" w:lineRule="auto"/>
        <w:ind w:left="0" w:firstLine="0"/>
        <w:jc w:val="both"/>
        <w:rPr>
          <w:bCs/>
          <w:color w:val="auto"/>
          <w:spacing w:val="-2"/>
        </w:rPr>
      </w:pPr>
      <w:r w:rsidRPr="00381436">
        <w:rPr>
          <w:bCs/>
          <w:color w:val="auto"/>
        </w:rPr>
        <w:t>Yerli üretim dalının</w:t>
      </w:r>
      <w:r w:rsidRPr="00381436">
        <w:rPr>
          <w:bCs/>
          <w:color w:val="auto"/>
          <w:spacing w:val="-2"/>
        </w:rPr>
        <w:t xml:space="preserve"> bütün faaliyetlerine ilişkin tevsi yatırımları 2014 yılında 100 iken 2015 yılında 303’e, 2016 yılında ise 147’e çıkmıştır. Yenileme yatırımları ise 2014 yılında 100 iken 2015 yılında 141’e yükselmiş, 2016 yılında ise 86’ya gerilemiştir.</w:t>
      </w:r>
    </w:p>
    <w:p w:rsidR="005E2589" w:rsidRPr="00381436" w:rsidRDefault="005E2589" w:rsidP="004D0EF6">
      <w:pPr>
        <w:pStyle w:val="ListeParagraf"/>
        <w:numPr>
          <w:ilvl w:val="0"/>
          <w:numId w:val="24"/>
        </w:numPr>
        <w:spacing w:before="240"/>
        <w:ind w:left="284" w:hanging="284"/>
        <w:contextualSpacing/>
        <w:jc w:val="both"/>
        <w:rPr>
          <w:b/>
        </w:rPr>
      </w:pPr>
      <w:r w:rsidRPr="00381436">
        <w:rPr>
          <w:b/>
        </w:rPr>
        <w:t>Yatırımların geri dönüş oranı</w:t>
      </w:r>
    </w:p>
    <w:p w:rsidR="004D0EF6" w:rsidRPr="00381436" w:rsidRDefault="005E2589" w:rsidP="004D0EF6">
      <w:pPr>
        <w:pStyle w:val="Default"/>
        <w:numPr>
          <w:ilvl w:val="0"/>
          <w:numId w:val="25"/>
        </w:numPr>
        <w:spacing w:after="240" w:line="276" w:lineRule="auto"/>
        <w:ind w:left="0" w:firstLine="0"/>
        <w:jc w:val="both"/>
        <w:rPr>
          <w:color w:val="auto"/>
        </w:rPr>
      </w:pPr>
      <w:r w:rsidRPr="00381436">
        <w:rPr>
          <w:bCs/>
          <w:color w:val="auto"/>
        </w:rPr>
        <w:t>Yerli üretim dalının</w:t>
      </w:r>
      <w:r w:rsidRPr="00381436">
        <w:rPr>
          <w:bCs/>
          <w:color w:val="auto"/>
          <w:spacing w:val="-2"/>
        </w:rPr>
        <w:t xml:space="preserve"> kontrplaklarda yatırım hasılatı (Kar/Aktifler) oranı 2014 yılında 100 iken 2015 yılında 103, 2016 yılında 82 olarak gerçekleşmiştir.</w:t>
      </w:r>
    </w:p>
    <w:p w:rsidR="005E2589" w:rsidRPr="00381436" w:rsidRDefault="005E2589" w:rsidP="005E2589">
      <w:pPr>
        <w:pStyle w:val="ListeParagraf"/>
        <w:numPr>
          <w:ilvl w:val="1"/>
          <w:numId w:val="6"/>
        </w:numPr>
        <w:ind w:left="426"/>
        <w:contextualSpacing/>
        <w:jc w:val="both"/>
        <w:rPr>
          <w:b/>
        </w:rPr>
      </w:pPr>
      <w:bookmarkStart w:id="1" w:name="_Toc512874034"/>
      <w:r w:rsidRPr="00381436">
        <w:rPr>
          <w:b/>
        </w:rPr>
        <w:t>Yerli üretim dalının ekonomik göstergelerinin değerlendirilmesi</w:t>
      </w:r>
      <w:bookmarkEnd w:id="1"/>
    </w:p>
    <w:p w:rsidR="005E2589" w:rsidRPr="00381436" w:rsidRDefault="005E2589" w:rsidP="004D0EF6">
      <w:pPr>
        <w:spacing w:after="240" w:line="276" w:lineRule="auto"/>
        <w:jc w:val="both"/>
      </w:pPr>
      <w:r w:rsidRPr="00381436">
        <w:t xml:space="preserve">(1) yerli üretim dalının kontrplaklara dair ekonomik göstergeleri bir bütün olarak değerlendirildiğinde ve </w:t>
      </w:r>
      <w:proofErr w:type="gramStart"/>
      <w:r w:rsidRPr="00381436">
        <w:t>dampinge</w:t>
      </w:r>
      <w:proofErr w:type="gramEnd"/>
      <w:r w:rsidRPr="00381436">
        <w:t xml:space="preserve"> karşı önlemin varlığında yerli üretim dalının üretim, yurt içi satış, yurt dışı satış, stoklar, kapasite, istihdam gibi verilerinde iyileşmeler bulunduğu anlaşılmaktadır. Özellikle 2016 yılında 2014 yılına kıyasla yerli üretim dalının kapasitesinde yaklaşık %47’lik artış yaşanmış, stoklarında ise azalmıştır.</w:t>
      </w:r>
    </w:p>
    <w:p w:rsidR="005E2589" w:rsidRPr="00381436" w:rsidRDefault="005E2589" w:rsidP="004D0EF6">
      <w:pPr>
        <w:spacing w:after="240" w:line="276" w:lineRule="auto"/>
        <w:jc w:val="both"/>
      </w:pPr>
      <w:r w:rsidRPr="00381436">
        <w:t xml:space="preserve">(2) Diğer taraftan, yerli üretim dalının yurt içi satış karlılık, yurt dışı satış karlılık, toplam karlılık, sınai ve ticari maliyetler, kapasite kullanım oranı, verimlilik, ürün nakit akışı gibi göstergelerinde bozulmalar yaşanmıştır. </w:t>
      </w:r>
    </w:p>
    <w:p w:rsidR="00466610" w:rsidRPr="00381436" w:rsidRDefault="005E2589" w:rsidP="004D0EF6">
      <w:pPr>
        <w:spacing w:after="240" w:line="276" w:lineRule="auto"/>
        <w:jc w:val="both"/>
      </w:pPr>
      <w:r w:rsidRPr="00381436">
        <w:t>(3) Tüm bu veriler birlikte değerlendirildiğinde önlemin kalkması halinde yerli üretim dalındaki zararın devamının veya yeniden meydana gelme ihtimalinin muhtemel olduğu sonucuna ulaşılabilmektedir.</w:t>
      </w:r>
    </w:p>
    <w:p w:rsidR="00164FF4" w:rsidRPr="00381436" w:rsidRDefault="00164FF4" w:rsidP="004D0EF6">
      <w:pPr>
        <w:pStyle w:val="ListeParagraf"/>
        <w:numPr>
          <w:ilvl w:val="0"/>
          <w:numId w:val="4"/>
        </w:numPr>
        <w:jc w:val="both"/>
        <w:rPr>
          <w:b/>
          <w:caps/>
        </w:rPr>
      </w:pPr>
      <w:r w:rsidRPr="00381436">
        <w:rPr>
          <w:b/>
          <w:caps/>
        </w:rPr>
        <w:t>Dampingin ve Zararın Devamı veya Yeniden Meydana Gelmesi İhtimalinin Değerlendirilmesi</w:t>
      </w:r>
    </w:p>
    <w:p w:rsidR="001D754D" w:rsidRPr="00381436" w:rsidRDefault="001D754D" w:rsidP="001D754D">
      <w:pPr>
        <w:pStyle w:val="ListeParagraf"/>
        <w:numPr>
          <w:ilvl w:val="0"/>
          <w:numId w:val="6"/>
        </w:numPr>
        <w:contextualSpacing/>
        <w:jc w:val="both"/>
        <w:rPr>
          <w:b/>
          <w:vanish/>
        </w:rPr>
      </w:pPr>
    </w:p>
    <w:p w:rsidR="00164FF4" w:rsidRPr="00381436" w:rsidRDefault="00164FF4" w:rsidP="001D754D">
      <w:pPr>
        <w:pStyle w:val="ListeParagraf"/>
        <w:numPr>
          <w:ilvl w:val="1"/>
          <w:numId w:val="6"/>
        </w:numPr>
        <w:ind w:left="426"/>
        <w:contextualSpacing/>
        <w:jc w:val="both"/>
        <w:rPr>
          <w:b/>
        </w:rPr>
      </w:pPr>
      <w:r w:rsidRPr="00381436">
        <w:rPr>
          <w:b/>
        </w:rPr>
        <w:t>Genel açıklamalar</w:t>
      </w:r>
    </w:p>
    <w:p w:rsidR="00D658B0" w:rsidRPr="00381436" w:rsidRDefault="00164FF4" w:rsidP="004D0EF6">
      <w:pPr>
        <w:spacing w:after="240" w:line="276" w:lineRule="auto"/>
        <w:jc w:val="both"/>
      </w:pPr>
      <w:r w:rsidRPr="00381436">
        <w:t xml:space="preserve">(1) </w:t>
      </w:r>
      <w:r w:rsidR="004D0EF6" w:rsidRPr="00381436">
        <w:t xml:space="preserve">Yönetmeliğin 35 inci maddesi hükümleri gereğince, önlemlerin yürürlükten kalkması halinde </w:t>
      </w:r>
      <w:proofErr w:type="gramStart"/>
      <w:r w:rsidR="004D0EF6" w:rsidRPr="00381436">
        <w:t>dampingin</w:t>
      </w:r>
      <w:proofErr w:type="gramEnd"/>
      <w:r w:rsidR="004D0EF6" w:rsidRPr="00381436">
        <w:t xml:space="preserve"> ve zararın devam etmesinin veya yeniden meydana gelmesinin muhtemel olup olmadığı değerlendirilmiştir. Bu çerçevede, önleme tabi ülkedeki kapasite ve ihracat potansiyeli ile talebi etkileyen unsurlar incelenmiştir.</w:t>
      </w:r>
    </w:p>
    <w:p w:rsidR="004D0EF6" w:rsidRPr="00381436" w:rsidRDefault="00321D17" w:rsidP="00321D17">
      <w:pPr>
        <w:pStyle w:val="ListeParagraf"/>
        <w:numPr>
          <w:ilvl w:val="1"/>
          <w:numId w:val="6"/>
        </w:numPr>
        <w:ind w:left="426"/>
        <w:contextualSpacing/>
        <w:jc w:val="both"/>
        <w:rPr>
          <w:b/>
        </w:rPr>
      </w:pPr>
      <w:bookmarkStart w:id="2" w:name="_Toc512874038"/>
      <w:r w:rsidRPr="00321D17">
        <w:rPr>
          <w:b/>
        </w:rPr>
        <w:t>Dampingin devamına veya yeniden meydana gelme ihtimaline ilişkin belirlemeler</w:t>
      </w:r>
      <w:bookmarkEnd w:id="2"/>
    </w:p>
    <w:p w:rsidR="00321D17" w:rsidRDefault="004D0EF6" w:rsidP="00321D17">
      <w:pPr>
        <w:spacing w:after="240" w:line="276" w:lineRule="auto"/>
        <w:jc w:val="both"/>
      </w:pPr>
      <w:r w:rsidRPr="00381436">
        <w:t xml:space="preserve">(1) </w:t>
      </w:r>
      <w:r w:rsidR="00321D17">
        <w:t xml:space="preserve">Bu raporun üçüncü bölümündeki değerlendirme çerçevesinde mevcut önlemin yürürlükten kaldırılması halinde </w:t>
      </w:r>
      <w:proofErr w:type="gramStart"/>
      <w:r w:rsidR="00321D17">
        <w:t>dampinge</w:t>
      </w:r>
      <w:proofErr w:type="gramEnd"/>
      <w:r w:rsidR="00321D17">
        <w:t xml:space="preserve"> konu olan soruşturma konusu ithalatın yeniden ortaya çıkmasının muhtemel</w:t>
      </w:r>
      <w:r w:rsidR="00321D17">
        <w:t xml:space="preserve"> olduğuna kanaat getirilmiştir.</w:t>
      </w:r>
    </w:p>
    <w:p w:rsidR="00321D17" w:rsidRDefault="00321D17" w:rsidP="00321D17">
      <w:pPr>
        <w:spacing w:after="240" w:line="276" w:lineRule="auto"/>
        <w:jc w:val="both"/>
      </w:pPr>
      <w:r>
        <w:lastRenderedPageBreak/>
        <w:t>(2) Değerlendirmelerde bütünlük sağlamak amacıyla, meri önlemin yürürlükten kaldırılm</w:t>
      </w:r>
      <w:r>
        <w:t>ası halinde önlem konusu ülke</w:t>
      </w:r>
      <w:r>
        <w:t xml:space="preserve"> menşeli ihracat kapasitesinin Türkiye piyasasına y</w:t>
      </w:r>
      <w:r>
        <w:t xml:space="preserve">önelme ihtimali incelenmiştir. </w:t>
      </w:r>
    </w:p>
    <w:p w:rsidR="00321D17" w:rsidRDefault="00321D17" w:rsidP="00321D17">
      <w:pPr>
        <w:spacing w:after="240" w:line="276" w:lineRule="auto"/>
        <w:jc w:val="both"/>
      </w:pPr>
      <w:r>
        <w:t>(3) İlk soruşturmad</w:t>
      </w:r>
      <w:r>
        <w:t xml:space="preserve">a </w:t>
      </w:r>
      <w:r w:rsidRPr="00321D17">
        <w:t xml:space="preserve">ÇHC menşeli kontrplaklara yönelik </w:t>
      </w:r>
      <w:r>
        <w:t xml:space="preserve">tespit edilen </w:t>
      </w:r>
      <w:proofErr w:type="gramStart"/>
      <w:r>
        <w:t>damping</w:t>
      </w:r>
      <w:proofErr w:type="gramEnd"/>
      <w:r>
        <w:t xml:space="preserve"> marj</w:t>
      </w:r>
      <w:r>
        <w:t>ın</w:t>
      </w:r>
      <w:r>
        <w:t>ın</w:t>
      </w:r>
      <w:r>
        <w:t xml:space="preserve">; </w:t>
      </w:r>
      <w:proofErr w:type="spellStart"/>
      <w:r w:rsidRPr="00321D17">
        <w:t>Linyi</w:t>
      </w:r>
      <w:proofErr w:type="spellEnd"/>
      <w:r w:rsidRPr="00321D17">
        <w:t xml:space="preserve"> </w:t>
      </w:r>
      <w:proofErr w:type="spellStart"/>
      <w:r w:rsidRPr="00321D17">
        <w:t>Huadeli</w:t>
      </w:r>
      <w:proofErr w:type="spellEnd"/>
      <w:r w:rsidRPr="00321D17">
        <w:t xml:space="preserve"> firması için CIF ihraç fiyatının %75,2’si, miktar bazında 286 ABD Doları/m3’ü, </w:t>
      </w:r>
      <w:proofErr w:type="spellStart"/>
      <w:r w:rsidRPr="00321D17">
        <w:t>Linyi</w:t>
      </w:r>
      <w:proofErr w:type="spellEnd"/>
      <w:r w:rsidRPr="00321D17">
        <w:t xml:space="preserve"> </w:t>
      </w:r>
      <w:proofErr w:type="spellStart"/>
      <w:r w:rsidRPr="00321D17">
        <w:t>Xingang</w:t>
      </w:r>
      <w:proofErr w:type="spellEnd"/>
      <w:r w:rsidRPr="00321D17">
        <w:t xml:space="preserve"> firması için ise CIF ihraç fiyatının %81,9’u, miktar bazında ise 306 ABD Doları/m3’ü olarak tespit edilmiş</w:t>
      </w:r>
      <w:r>
        <w:t xml:space="preserve"> olduğu göz önünde bulundurulduğunda söz konusu damping marjı seviyelerinin meri önlemin mevcut olmadığı piyasa koşullarında üretici/ihracatçı firmaların dampinge konu fiyatlarla soruşturma konusu ürünü Türkiye’ye ihraç etme eğilimini göstermesi bakımından önem arz ettiği düşünülmektedir.</w:t>
      </w:r>
    </w:p>
    <w:p w:rsidR="00252574" w:rsidRDefault="00252574" w:rsidP="00252574">
      <w:pPr>
        <w:spacing w:after="240" w:line="276" w:lineRule="auto"/>
        <w:jc w:val="both"/>
      </w:pPr>
      <w:r>
        <w:t xml:space="preserve">(4) </w:t>
      </w:r>
      <w:r>
        <w:t>Türkiye’nin dışında A</w:t>
      </w:r>
      <w:r>
        <w:t>merika Birleşik Devletleri</w:t>
      </w:r>
      <w:r>
        <w:t>, A</w:t>
      </w:r>
      <w:r>
        <w:t>vrupa Birliği</w:t>
      </w:r>
      <w:r>
        <w:t xml:space="preserve">, Fas, Güney Kore ve Peru’nun ÇHC menşeli kontrplaklara yönelik </w:t>
      </w:r>
      <w:proofErr w:type="gramStart"/>
      <w:r>
        <w:t>dampinge</w:t>
      </w:r>
      <w:proofErr w:type="gramEnd"/>
      <w:r>
        <w:t xml:space="preserve"> karşı önlemi bulunmaktadır</w:t>
      </w:r>
      <w:r>
        <w:t>.</w:t>
      </w:r>
      <w:r>
        <w:t xml:space="preserve">  </w:t>
      </w:r>
    </w:p>
    <w:p w:rsidR="004D0EF6" w:rsidRPr="00381436" w:rsidRDefault="00252574" w:rsidP="004D0EF6">
      <w:pPr>
        <w:spacing w:after="240" w:line="276" w:lineRule="auto"/>
        <w:jc w:val="both"/>
      </w:pPr>
      <w:r>
        <w:t xml:space="preserve">(5) </w:t>
      </w:r>
      <w:r w:rsidR="004D0EF6" w:rsidRPr="00381436">
        <w:t xml:space="preserve">Soruşturma konusu ülkenin ihracat kabiliyeti, Birleşmiş Milletler Ticaret İstatistikleri Veri Tabanı (UN </w:t>
      </w:r>
      <w:proofErr w:type="spellStart"/>
      <w:r w:rsidR="004D0EF6" w:rsidRPr="00381436">
        <w:t>Comtrade</w:t>
      </w:r>
      <w:proofErr w:type="spellEnd"/>
      <w:r w:rsidR="004D0EF6" w:rsidRPr="00381436">
        <w:t>) verileri kapsamında incelenmiştir.</w:t>
      </w:r>
    </w:p>
    <w:p w:rsidR="004D0EF6" w:rsidRPr="00381436" w:rsidRDefault="00252574" w:rsidP="004D0EF6">
      <w:pPr>
        <w:spacing w:after="240" w:line="276" w:lineRule="auto"/>
        <w:jc w:val="both"/>
      </w:pPr>
      <w:r>
        <w:t>(6</w:t>
      </w:r>
      <w:r w:rsidR="004D0EF6" w:rsidRPr="00381436">
        <w:t>) ÇHC’nin kontrplaklarda gerçekleştirdiği ihracata bakıldığında, söz konusu ihracatın 2013 yılında 11,6 milyon ton, 2014 yılında 12,4 milyon ton ve 2015 yılında ise 11,6 milyon ton seviyelerinde gerçekleştiği görülmektedir. ÇHC söz konusu ürünlerin ihracatında 2015 yılında miktar bazında %42,7’lik pay ile dünya sıralamasında ilk sırada yer almaktadır. Bu durum ÇHC’nin hâlihazırda önemli bir ihracat potansiyeli ve Türkiye’ye yönlendirebileceği ciddi kapasitesi bulunduğunu göstermektedir.</w:t>
      </w:r>
    </w:p>
    <w:p w:rsidR="00252574" w:rsidRDefault="00252574" w:rsidP="004D0EF6">
      <w:pPr>
        <w:spacing w:after="240" w:line="276" w:lineRule="auto"/>
        <w:jc w:val="both"/>
      </w:pPr>
      <w:r>
        <w:t>(7</w:t>
      </w:r>
      <w:r w:rsidR="004D0EF6" w:rsidRPr="00381436">
        <w:t>) Söz konusu ürünlerde ÇHC’nin dünya geneline yaptığı ihraç fiyatları diğer ülkelerin ihraç fiyatlarından düşük seyretmektedir. Anılan üründe dünya ihracat ortalaması 2015 yılında 1,0 ABD Doları/Kg iken Çin için bu değer 0,8 ABD Doları/Kg’dır. Ayrıca bu veriler dikkate alındığında, söz konusu ülkenin 2015 yılında Türkiye’ye yapmış olduğu ihracat birim fiyatı 1,5 ABD Doları/Kg olarak görülmekte olup önlemin kalkması halinde kontrplak ithalatının fiyat seviyesinin Çin’in ortalama fiyatlarına yaklaşabileceği hatta bu değerin altında oluşabileceği değerlendirilmektedir.</w:t>
      </w:r>
    </w:p>
    <w:p w:rsidR="004D0EF6" w:rsidRPr="00381436" w:rsidRDefault="004D0EF6" w:rsidP="004D0EF6">
      <w:pPr>
        <w:spacing w:after="240" w:line="276" w:lineRule="auto"/>
        <w:jc w:val="both"/>
      </w:pPr>
      <w:r w:rsidRPr="00381436">
        <w:t>(</w:t>
      </w:r>
      <w:r w:rsidR="00252574">
        <w:t>8</w:t>
      </w:r>
      <w:r w:rsidRPr="00381436">
        <w:t>) Fiyata duyarlı (talebin fiyat esnekliğinin yüksek olduğu) söz konusu ürün ithalatının büyük miktarlarda ve kolaylıkla Türkiye pazarına yönlendirilebileceği mütalaa edilmektedir.</w:t>
      </w:r>
    </w:p>
    <w:p w:rsidR="004D0EF6" w:rsidRPr="00381436" w:rsidRDefault="00252574" w:rsidP="004D0EF6">
      <w:pPr>
        <w:spacing w:after="240" w:line="276" w:lineRule="auto"/>
        <w:jc w:val="both"/>
      </w:pPr>
      <w:r>
        <w:t>(9</w:t>
      </w:r>
      <w:r w:rsidR="004D0EF6" w:rsidRPr="00381436">
        <w:t xml:space="preserve">) Bu çerçevede, önleme konu ülkedeki üretici/ihracatçıların üretimlerinin büyük bölümünü ihracata yönlendirdikleri bilinmekte olup Türkiye pazarının potansiyelini, dağıtım ve pazarlama kanallarını iyi bilmeleri nedeniyle pazarın bu üreticiler için cazip koşullar sunduğu değerlendirildiğinden, yürürlükteki önlemin kalkması halinde </w:t>
      </w:r>
      <w:proofErr w:type="gramStart"/>
      <w:r w:rsidR="004D0EF6" w:rsidRPr="00381436">
        <w:t>dampingli</w:t>
      </w:r>
      <w:proofErr w:type="gramEnd"/>
      <w:r w:rsidR="004D0EF6" w:rsidRPr="00381436">
        <w:t xml:space="preserve"> ithalatın devamı veya tekrarının muhtemel olduğu düşünülmektedir.</w:t>
      </w:r>
    </w:p>
    <w:p w:rsidR="00466610" w:rsidRDefault="00D934BF" w:rsidP="00507D17">
      <w:pPr>
        <w:spacing w:after="240" w:line="276" w:lineRule="auto"/>
        <w:jc w:val="both"/>
      </w:pPr>
      <w:r>
        <w:t>(10</w:t>
      </w:r>
      <w:r w:rsidR="004D0EF6" w:rsidRPr="00381436">
        <w:t xml:space="preserve">) Diğer taraftan, 2018/11481 sayılı Bakanlar Kurulu Kararı ile soruşturma konusu ürünlere yönelik CIF bedelin %20'si oranında İGV uygulanmaya başlanmış olması ve ürünlerin fiyata duyarlılığı dikkate alındığında söz konusu </w:t>
      </w:r>
      <w:proofErr w:type="gramStart"/>
      <w:r w:rsidR="004D0EF6" w:rsidRPr="00381436">
        <w:t>dampinge</w:t>
      </w:r>
      <w:proofErr w:type="gramEnd"/>
      <w:r w:rsidR="004D0EF6" w:rsidRPr="00381436">
        <w:t xml:space="preserve"> karşı önlemin İGV oranı</w:t>
      </w:r>
      <w:r>
        <w:t xml:space="preserve"> dikkate alınarak</w:t>
      </w:r>
      <w:r w:rsidR="004D0EF6" w:rsidRPr="00381436">
        <w:t xml:space="preserve"> azaltılabileceği değerlendirilmektedir.</w:t>
      </w:r>
    </w:p>
    <w:p w:rsidR="003B791E" w:rsidRPr="00381436" w:rsidRDefault="003B791E" w:rsidP="00507D17">
      <w:pPr>
        <w:spacing w:after="240" w:line="276" w:lineRule="auto"/>
        <w:jc w:val="both"/>
      </w:pPr>
    </w:p>
    <w:p w:rsidR="00164FF4" w:rsidRPr="00381436" w:rsidRDefault="00164FF4" w:rsidP="001D754D">
      <w:pPr>
        <w:pStyle w:val="ListeParagraf"/>
        <w:numPr>
          <w:ilvl w:val="0"/>
          <w:numId w:val="4"/>
        </w:numPr>
        <w:jc w:val="both"/>
        <w:rPr>
          <w:b/>
          <w:caps/>
        </w:rPr>
      </w:pPr>
      <w:r w:rsidRPr="00381436">
        <w:rPr>
          <w:b/>
          <w:caps/>
        </w:rPr>
        <w:lastRenderedPageBreak/>
        <w:t>Değerlendirme</w:t>
      </w:r>
      <w:r w:rsidR="008E4B08" w:rsidRPr="00381436">
        <w:rPr>
          <w:b/>
          <w:caps/>
        </w:rPr>
        <w:t xml:space="preserve"> ve Sonuç</w:t>
      </w:r>
    </w:p>
    <w:p w:rsidR="00507D17" w:rsidRPr="00381436" w:rsidRDefault="00507D17" w:rsidP="00507D17">
      <w:pPr>
        <w:pStyle w:val="ListeParagraf"/>
        <w:numPr>
          <w:ilvl w:val="0"/>
          <w:numId w:val="6"/>
        </w:numPr>
        <w:contextualSpacing/>
        <w:jc w:val="both"/>
        <w:rPr>
          <w:b/>
          <w:vanish/>
        </w:rPr>
      </w:pPr>
      <w:bookmarkStart w:id="3" w:name="_Toc512874042"/>
    </w:p>
    <w:p w:rsidR="00507D17" w:rsidRPr="00381436" w:rsidRDefault="00507D17" w:rsidP="00507D17">
      <w:pPr>
        <w:pStyle w:val="ListeParagraf"/>
        <w:numPr>
          <w:ilvl w:val="1"/>
          <w:numId w:val="6"/>
        </w:numPr>
        <w:ind w:left="426"/>
        <w:contextualSpacing/>
        <w:jc w:val="both"/>
        <w:rPr>
          <w:b/>
        </w:rPr>
      </w:pPr>
      <w:r w:rsidRPr="00381436">
        <w:rPr>
          <w:b/>
        </w:rPr>
        <w:t>Değerlendirme</w:t>
      </w:r>
      <w:bookmarkEnd w:id="3"/>
    </w:p>
    <w:p w:rsidR="00507D17" w:rsidRPr="00381436" w:rsidRDefault="00507D17" w:rsidP="00507D17">
      <w:pPr>
        <w:spacing w:after="240" w:line="276" w:lineRule="auto"/>
        <w:jc w:val="both"/>
      </w:pPr>
      <w:r w:rsidRPr="00381436">
        <w:t xml:space="preserve">(1) Esas soruşturma esnasında tespit edilen </w:t>
      </w:r>
      <w:proofErr w:type="gramStart"/>
      <w:r w:rsidRPr="00381436">
        <w:t>damping</w:t>
      </w:r>
      <w:proofErr w:type="gramEnd"/>
      <w:r w:rsidRPr="00381436">
        <w:t xml:space="preserve"> marjı, önlem konusu ülkede yerleşik üretici-ihracatçı firmaların önlemin yürürlükten kalkması halindeki muhtemel davranışlarını yansıtacak önemli bir gösterge olduğundan dikkate alınmıştır. Buna göre, esas soruşturma sırasında ÇHC’de yerleşik üretici-ihracatçı firmalar için </w:t>
      </w:r>
      <w:proofErr w:type="gramStart"/>
      <w:r w:rsidRPr="00381436">
        <w:t>damping</w:t>
      </w:r>
      <w:proofErr w:type="gramEnd"/>
      <w:r w:rsidRPr="00381436">
        <w:t xml:space="preserve"> marjları %75,2 ve %81,9 oranlarında (286 ABD Doları/m</w:t>
      </w:r>
      <w:r w:rsidRPr="00381436">
        <w:rPr>
          <w:vertAlign w:val="superscript"/>
        </w:rPr>
        <w:t>3</w:t>
      </w:r>
      <w:r w:rsidRPr="00381436">
        <w:t xml:space="preserve"> ile 306 ABD Doları/m</w:t>
      </w:r>
      <w:r w:rsidRPr="00381436">
        <w:rPr>
          <w:vertAlign w:val="superscript"/>
        </w:rPr>
        <w:t>3</w:t>
      </w:r>
      <w:r w:rsidRPr="00381436">
        <w:t xml:space="preserve">) tespit edilmiştir. </w:t>
      </w:r>
    </w:p>
    <w:p w:rsidR="00507D17" w:rsidRPr="00381436" w:rsidRDefault="00507D17" w:rsidP="00507D17">
      <w:pPr>
        <w:spacing w:after="240" w:line="276" w:lineRule="auto"/>
        <w:jc w:val="both"/>
      </w:pPr>
      <w:r w:rsidRPr="00381436">
        <w:t xml:space="preserve">(2) İncelenen dönemde ÇHC’den yapılan ithalatın önlemin de etkisiyle miktar olarak düştüğü ve toplam ithalat içerisindeki payının da azalarak sıfır düzeyine indiği belirlenmiştir. </w:t>
      </w:r>
    </w:p>
    <w:p w:rsidR="00507D17" w:rsidRPr="00381436" w:rsidRDefault="00507D17" w:rsidP="00507D17">
      <w:pPr>
        <w:spacing w:after="240" w:line="276" w:lineRule="auto"/>
        <w:jc w:val="both"/>
      </w:pPr>
      <w:r w:rsidRPr="00381436">
        <w:t xml:space="preserve">(3) Pazar payları incelendiğinde, önlemin varlığında ÇHC’nin pazar payı azalırken, diğer ülkelerin özellikle son yıllarda pazar paylarının tedricen azaldığı, bunun sonucunda yerli üretim dalının bu dönemde pazar payının arttığı belirlenmiş olup ÇHC menşeli söz konusu ürün ithalatı için yürürlüğe konulan </w:t>
      </w:r>
      <w:proofErr w:type="gramStart"/>
      <w:r w:rsidRPr="00381436">
        <w:t>dampinge</w:t>
      </w:r>
      <w:proofErr w:type="gramEnd"/>
      <w:r w:rsidRPr="00381436">
        <w:t xml:space="preserve"> karşı önlemin etkili olduğu değerlendirilmiştir.</w:t>
      </w:r>
    </w:p>
    <w:p w:rsidR="00507D17" w:rsidRPr="00381436" w:rsidRDefault="00507D17" w:rsidP="00507D17">
      <w:pPr>
        <w:spacing w:after="240" w:line="276" w:lineRule="auto"/>
        <w:jc w:val="both"/>
      </w:pPr>
      <w:r w:rsidRPr="00381436">
        <w:t xml:space="preserve">(4) Yürürlükteki </w:t>
      </w:r>
      <w:proofErr w:type="gramStart"/>
      <w:r w:rsidRPr="00381436">
        <w:t>dampinge</w:t>
      </w:r>
      <w:proofErr w:type="gramEnd"/>
      <w:r w:rsidRPr="00381436">
        <w:t xml:space="preserve"> karşı önlemin etkisiyle inceleme konusu ülkeden ithalatın durma noktasına gelmesi ve fiyatının gösterge niteliğinde olmamasının da etkisiyle 2014-2016 yıllarında fiyat baskısı ve kırılması tespit edilememiştir.</w:t>
      </w:r>
    </w:p>
    <w:p w:rsidR="00507D17" w:rsidRPr="00381436" w:rsidRDefault="00507D17" w:rsidP="00507D17">
      <w:pPr>
        <w:spacing w:after="240" w:line="276" w:lineRule="auto"/>
        <w:jc w:val="both"/>
      </w:pPr>
      <w:r w:rsidRPr="00381436">
        <w:t>(5) Yukarıda da izah edildiği üzere, ÇHC ihracat kabiliyeti bakımından önlem konusu ürün bağlamında küresel pazarda 2015 yılında miktar bazında aldığı %42,7’lik pay ile ilk sırada yer almakta olup önemli bir konuma sahiptir. Ayrıca, ÇHC menşeli ürünlerin birim fiyatlarının dünya ortalama ihraç birim fiyatlarının altında kaldığı ve söz konusu üründe talebin fiyat esnekliğinin yüksek olduğu tespit edilmiştir. Bahse konu ülke menşeli ihracatçıların genişleyen Türkiye pazarını iyi tanıdıkları ve pazara erişim konusunda herhangi bir sorunla karşılaşmadıkları görülmektedir. Bu minvalde, önleme tabi ülkenin şikâyet konusu üründe küresel pazarda önemli üretim kapasitesine ve ihracat kabiliyetine sahip olmasından dolayı önlemin yokluğunda ihracatını kolaylıkla Türkiye pazarına yönlendirebileceği değerlendirilmiştir.</w:t>
      </w:r>
    </w:p>
    <w:p w:rsidR="00507D17" w:rsidRPr="00381436" w:rsidRDefault="00507D17" w:rsidP="00507D17">
      <w:pPr>
        <w:spacing w:after="240" w:line="276" w:lineRule="auto"/>
        <w:jc w:val="both"/>
      </w:pPr>
      <w:r w:rsidRPr="00381436">
        <w:t xml:space="preserve">(6) Yerli üretim dalının ekonomik göstergeleri değerlendirildiğinde, </w:t>
      </w:r>
      <w:proofErr w:type="gramStart"/>
      <w:r w:rsidRPr="00381436">
        <w:t>dampinge</w:t>
      </w:r>
      <w:proofErr w:type="gramEnd"/>
      <w:r w:rsidRPr="00381436">
        <w:t xml:space="preserve"> karşı önlemin varlığında yerli üretim dalının üretim, yurt içi satış, yurt dışı satış, stoklar, kapasite, istihdam gibi verilerinde iyileşmeler olduğu, yerli üretim dalının yurt içi satış karlılık, yurt dışı satış karlılık, toplam karlılık, sınai ve ticari maliyetler, kapasite kullanım oranı, verimlilik, ürün nakit akışı gibi göstergelerinde ise bozulmalar yaşanmıştır.</w:t>
      </w:r>
    </w:p>
    <w:p w:rsidR="00507D17" w:rsidRPr="00381436" w:rsidRDefault="00507D17" w:rsidP="00507D17">
      <w:pPr>
        <w:spacing w:after="240" w:line="276" w:lineRule="auto"/>
        <w:jc w:val="both"/>
      </w:pPr>
      <w:r w:rsidRPr="00381436">
        <w:t xml:space="preserve">(7) Diğer taraftan, soruşturma konusu ürünlere yönelik uygulanmakta olan gümrük vergisi (%7 ve %10) ve son zamanda yürürlüğe giren ilave gümrük vergisi (%20) dikkate alındığında söz konusu </w:t>
      </w:r>
      <w:proofErr w:type="gramStart"/>
      <w:r w:rsidRPr="00381436">
        <w:t>dampinge</w:t>
      </w:r>
      <w:proofErr w:type="gramEnd"/>
      <w:r w:rsidRPr="00381436">
        <w:t xml:space="preserve"> karşı önlemin İGV oranında azaltılarak uygulanmaya devam edilebilec</w:t>
      </w:r>
      <w:r w:rsidR="00523675" w:rsidRPr="00381436">
        <w:t>eği hususu değerlendirilmiştir</w:t>
      </w:r>
      <w:r w:rsidRPr="00381436">
        <w:t>.</w:t>
      </w:r>
    </w:p>
    <w:p w:rsidR="00507D17" w:rsidRPr="00381436" w:rsidRDefault="00507D17" w:rsidP="00507D17">
      <w:pPr>
        <w:pStyle w:val="ListeParagraf"/>
        <w:numPr>
          <w:ilvl w:val="1"/>
          <w:numId w:val="6"/>
        </w:numPr>
        <w:ind w:left="426"/>
        <w:contextualSpacing/>
        <w:jc w:val="both"/>
        <w:rPr>
          <w:b/>
        </w:rPr>
      </w:pPr>
      <w:bookmarkStart w:id="4" w:name="_Toc512874043"/>
      <w:r w:rsidRPr="00381436">
        <w:rPr>
          <w:b/>
        </w:rPr>
        <w:t>Sonuç</w:t>
      </w:r>
      <w:bookmarkEnd w:id="4"/>
    </w:p>
    <w:p w:rsidR="00507D17" w:rsidRPr="00381436" w:rsidRDefault="00507D17" w:rsidP="00507D17">
      <w:pPr>
        <w:spacing w:after="240" w:line="276" w:lineRule="auto"/>
        <w:jc w:val="both"/>
      </w:pPr>
      <w:r w:rsidRPr="00381436">
        <w:t xml:space="preserve">(1) Yürütülen soruşturma esnasında elde edilen bilgi ve bulgular çerçevesinde, yürürlükteki önlemin ortadan kalkması durumunda </w:t>
      </w:r>
      <w:proofErr w:type="gramStart"/>
      <w:r w:rsidRPr="00381436">
        <w:t>dampingin</w:t>
      </w:r>
      <w:proofErr w:type="gramEnd"/>
      <w:r w:rsidRPr="00381436">
        <w:t xml:space="preserve"> ve zararın devam etmesinin veya yeniden meydana gelmesinin muhtemel olduğu değerlendirilmekle beraber ilave gümrük vergisi (%20) dikkate alındığında önlemin </w:t>
      </w:r>
      <w:r w:rsidR="00552572">
        <w:t xml:space="preserve">Yönetmeliğin 42 </w:t>
      </w:r>
      <w:proofErr w:type="spellStart"/>
      <w:r w:rsidR="00552572">
        <w:t>nci</w:t>
      </w:r>
      <w:proofErr w:type="spellEnd"/>
      <w:r w:rsidR="00552572">
        <w:t xml:space="preserve"> maddesi çerçevesinde azaltılarak</w:t>
      </w:r>
      <w:r w:rsidRPr="00381436">
        <w:t xml:space="preserve"> uygulanmaya devam edilmesinin uygun olacağı değerlendirilmiştir.</w:t>
      </w:r>
    </w:p>
    <w:p w:rsidR="009D52FF" w:rsidRDefault="00164FF4" w:rsidP="00507D17">
      <w:pPr>
        <w:spacing w:after="240" w:line="276" w:lineRule="auto"/>
        <w:jc w:val="both"/>
      </w:pPr>
      <w:r w:rsidRPr="00381436">
        <w:lastRenderedPageBreak/>
        <w:t>(</w:t>
      </w:r>
      <w:r w:rsidR="00523675" w:rsidRPr="00381436">
        <w:t>2</w:t>
      </w:r>
      <w:r w:rsidRPr="00381436">
        <w:t xml:space="preserve">) </w:t>
      </w:r>
      <w:r w:rsidR="009D52FF" w:rsidRPr="00381436">
        <w:t>Bu çerçevede, soruşturma neticesinde ulaşılan tespitleri değerlendiren Kurul’un kararı v</w:t>
      </w:r>
      <w:r w:rsidR="00523675" w:rsidRPr="00381436">
        <w:t>e Ekonomi Bakanının onayı ile 10/7</w:t>
      </w:r>
      <w:r w:rsidR="009D52FF" w:rsidRPr="00381436">
        <w:t xml:space="preserve">/2012 tarihli ve </w:t>
      </w:r>
      <w:r w:rsidR="00523675" w:rsidRPr="00381436">
        <w:t>28349</w:t>
      </w:r>
      <w:r w:rsidR="009D52FF" w:rsidRPr="00381436">
        <w:t xml:space="preserve"> sayılı Resmi </w:t>
      </w:r>
      <w:proofErr w:type="spellStart"/>
      <w:r w:rsidR="009D52FF" w:rsidRPr="00381436">
        <w:t>Gazete’de</w:t>
      </w:r>
      <w:proofErr w:type="spellEnd"/>
      <w:r w:rsidR="009D52FF" w:rsidRPr="00381436">
        <w:t xml:space="preserve"> yayımlanan İthalatta Haksız Rekabetin Önlenmesine İl</w:t>
      </w:r>
      <w:r w:rsidR="00523675" w:rsidRPr="00381436">
        <w:t>işkin Tebliğ (Tebliğ No: 2012/16</w:t>
      </w:r>
      <w:r w:rsidR="009D52FF" w:rsidRPr="00381436">
        <w:t xml:space="preserve">) kapsamında uygulanan </w:t>
      </w:r>
      <w:proofErr w:type="gramStart"/>
      <w:r w:rsidR="00523675" w:rsidRPr="00381436">
        <w:t>dampinge</w:t>
      </w:r>
      <w:proofErr w:type="gramEnd"/>
      <w:r w:rsidR="00523675" w:rsidRPr="00381436">
        <w:t xml:space="preserve"> karşı kesin </w:t>
      </w:r>
      <w:r w:rsidR="009D52FF" w:rsidRPr="00381436">
        <w:t>önlemin</w:t>
      </w:r>
      <w:r w:rsidR="00FA24D7">
        <w:t xml:space="preserve"> Yönetmeliğin 42 </w:t>
      </w:r>
      <w:proofErr w:type="spellStart"/>
      <w:r w:rsidR="00FA24D7">
        <w:t>nci</w:t>
      </w:r>
      <w:proofErr w:type="spellEnd"/>
      <w:r w:rsidR="00FA24D7">
        <w:t xml:space="preserve"> maddesi çerçevesinde</w:t>
      </w:r>
      <w:r w:rsidR="009D52FF" w:rsidRPr="00381436">
        <w:t xml:space="preserve"> </w:t>
      </w:r>
      <w:r w:rsidR="00523675" w:rsidRPr="00381436">
        <w:t>İGV oranı</w:t>
      </w:r>
      <w:r w:rsidR="00FA24D7">
        <w:t xml:space="preserve"> dikkate alınarak</w:t>
      </w:r>
      <w:r w:rsidR="00523675" w:rsidRPr="00381436">
        <w:t xml:space="preserve"> metrekü</w:t>
      </w:r>
      <w:bookmarkStart w:id="5" w:name="_GoBack"/>
      <w:bookmarkEnd w:id="5"/>
      <w:r w:rsidR="00523675" w:rsidRPr="00381436">
        <w:t>p başına 140 ABD Doları olarak</w:t>
      </w:r>
      <w:r w:rsidR="009D52FF" w:rsidRPr="00381436">
        <w:t xml:space="preserve"> uygulanmaya devam edilmesine karar verilmiştir.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87"/>
        <w:gridCol w:w="1660"/>
        <w:gridCol w:w="2352"/>
        <w:gridCol w:w="1662"/>
        <w:gridCol w:w="1899"/>
      </w:tblGrid>
      <w:tr w:rsidR="00FA24D7" w:rsidRPr="00A25D8F" w:rsidTr="00D13B38">
        <w:trPr>
          <w:trHeight w:val="340"/>
        </w:trPr>
        <w:tc>
          <w:tcPr>
            <w:tcW w:w="821" w:type="pct"/>
            <w:tcMar>
              <w:top w:w="0" w:type="dxa"/>
              <w:left w:w="108" w:type="dxa"/>
              <w:bottom w:w="0" w:type="dxa"/>
              <w:right w:w="108" w:type="dxa"/>
            </w:tcMar>
            <w:vAlign w:val="center"/>
            <w:hideMark/>
          </w:tcPr>
          <w:p w:rsidR="00FA24D7" w:rsidRPr="00A25D8F" w:rsidRDefault="00FA24D7" w:rsidP="00402164">
            <w:pPr>
              <w:tabs>
                <w:tab w:val="left" w:pos="566"/>
              </w:tabs>
              <w:spacing w:line="240" w:lineRule="exact"/>
              <w:jc w:val="center"/>
            </w:pPr>
            <w:r w:rsidRPr="00A25D8F">
              <w:rPr>
                <w:b/>
                <w:bCs/>
              </w:rPr>
              <w:t>GTP</w:t>
            </w:r>
          </w:p>
        </w:tc>
        <w:tc>
          <w:tcPr>
            <w:tcW w:w="916" w:type="pct"/>
            <w:tcMar>
              <w:top w:w="0" w:type="dxa"/>
              <w:left w:w="108" w:type="dxa"/>
              <w:bottom w:w="0" w:type="dxa"/>
              <w:right w:w="108" w:type="dxa"/>
            </w:tcMar>
            <w:vAlign w:val="center"/>
            <w:hideMark/>
          </w:tcPr>
          <w:p w:rsidR="00FA24D7" w:rsidRPr="00A25D8F" w:rsidRDefault="00FA24D7" w:rsidP="00402164">
            <w:pPr>
              <w:tabs>
                <w:tab w:val="left" w:pos="566"/>
              </w:tabs>
              <w:spacing w:line="240" w:lineRule="exact"/>
              <w:jc w:val="center"/>
            </w:pPr>
            <w:r w:rsidRPr="00A25D8F">
              <w:rPr>
                <w:b/>
                <w:bCs/>
              </w:rPr>
              <w:t>Eşya</w:t>
            </w:r>
            <w:r>
              <w:rPr>
                <w:b/>
                <w:bCs/>
              </w:rPr>
              <w:t xml:space="preserve"> </w:t>
            </w:r>
            <w:r w:rsidRPr="00A25D8F">
              <w:rPr>
                <w:b/>
                <w:bCs/>
              </w:rPr>
              <w:t>Tanımı</w:t>
            </w:r>
          </w:p>
        </w:tc>
        <w:tc>
          <w:tcPr>
            <w:tcW w:w="1298" w:type="pct"/>
            <w:tcMar>
              <w:top w:w="0" w:type="dxa"/>
              <w:left w:w="108" w:type="dxa"/>
              <w:bottom w:w="0" w:type="dxa"/>
              <w:right w:w="108" w:type="dxa"/>
            </w:tcMar>
            <w:vAlign w:val="center"/>
            <w:hideMark/>
          </w:tcPr>
          <w:p w:rsidR="00FA24D7" w:rsidRPr="00A25D8F" w:rsidRDefault="00FA24D7" w:rsidP="00402164">
            <w:pPr>
              <w:tabs>
                <w:tab w:val="left" w:pos="566"/>
              </w:tabs>
              <w:spacing w:line="240" w:lineRule="exact"/>
              <w:jc w:val="center"/>
            </w:pPr>
            <w:r w:rsidRPr="00A25D8F">
              <w:rPr>
                <w:b/>
                <w:bCs/>
              </w:rPr>
              <w:t>Menşe Ülke</w:t>
            </w:r>
          </w:p>
        </w:tc>
        <w:tc>
          <w:tcPr>
            <w:tcW w:w="917" w:type="pct"/>
            <w:vAlign w:val="center"/>
          </w:tcPr>
          <w:p w:rsidR="00FA24D7" w:rsidRPr="00A25D8F" w:rsidRDefault="00FA24D7" w:rsidP="00402164">
            <w:pPr>
              <w:tabs>
                <w:tab w:val="left" w:pos="566"/>
              </w:tabs>
              <w:spacing w:line="240" w:lineRule="exact"/>
              <w:jc w:val="center"/>
              <w:rPr>
                <w:b/>
                <w:bCs/>
              </w:rPr>
            </w:pPr>
            <w:r w:rsidRPr="00BF1CB9">
              <w:rPr>
                <w:b/>
                <w:bCs/>
              </w:rPr>
              <w:t>Firma Unvanı</w:t>
            </w:r>
          </w:p>
        </w:tc>
        <w:tc>
          <w:tcPr>
            <w:tcW w:w="1048" w:type="pct"/>
            <w:tcMar>
              <w:top w:w="0" w:type="dxa"/>
              <w:left w:w="108" w:type="dxa"/>
              <w:bottom w:w="0" w:type="dxa"/>
              <w:right w:w="108" w:type="dxa"/>
            </w:tcMar>
            <w:vAlign w:val="center"/>
            <w:hideMark/>
          </w:tcPr>
          <w:p w:rsidR="00FA24D7" w:rsidRPr="00776A70" w:rsidRDefault="00FA24D7" w:rsidP="00402164">
            <w:pPr>
              <w:tabs>
                <w:tab w:val="left" w:pos="566"/>
              </w:tabs>
              <w:spacing w:line="240" w:lineRule="exact"/>
              <w:jc w:val="center"/>
              <w:rPr>
                <w:b/>
                <w:bCs/>
              </w:rPr>
            </w:pPr>
            <w:r w:rsidRPr="00A25D8F">
              <w:rPr>
                <w:b/>
                <w:bCs/>
              </w:rPr>
              <w:t>Dampinge Karşı Önlem</w:t>
            </w:r>
          </w:p>
        </w:tc>
      </w:tr>
      <w:tr w:rsidR="00FA24D7" w:rsidRPr="00A25D8F" w:rsidTr="00D13B38">
        <w:trPr>
          <w:trHeight w:val="340"/>
        </w:trPr>
        <w:tc>
          <w:tcPr>
            <w:tcW w:w="821" w:type="pct"/>
            <w:tcMar>
              <w:top w:w="0" w:type="dxa"/>
              <w:left w:w="108" w:type="dxa"/>
              <w:bottom w:w="0" w:type="dxa"/>
              <w:right w:w="108" w:type="dxa"/>
            </w:tcMar>
            <w:vAlign w:val="center"/>
            <w:hideMark/>
          </w:tcPr>
          <w:p w:rsidR="00FA24D7" w:rsidRPr="00A25D8F" w:rsidRDefault="00FA24D7" w:rsidP="00402164">
            <w:pPr>
              <w:tabs>
                <w:tab w:val="left" w:pos="566"/>
              </w:tabs>
              <w:spacing w:line="240" w:lineRule="exact"/>
              <w:jc w:val="center"/>
            </w:pPr>
            <w:r w:rsidRPr="00AC01C0">
              <w:t>4412.1</w:t>
            </w:r>
            <w:r>
              <w:t>0</w:t>
            </w:r>
          </w:p>
        </w:tc>
        <w:tc>
          <w:tcPr>
            <w:tcW w:w="916" w:type="pct"/>
            <w:vMerge w:val="restart"/>
            <w:tcMar>
              <w:top w:w="0" w:type="dxa"/>
              <w:left w:w="108" w:type="dxa"/>
              <w:bottom w:w="0" w:type="dxa"/>
              <w:right w:w="108" w:type="dxa"/>
            </w:tcMar>
            <w:vAlign w:val="center"/>
            <w:hideMark/>
          </w:tcPr>
          <w:p w:rsidR="00FA24D7" w:rsidRPr="00A25D8F" w:rsidRDefault="00FA24D7" w:rsidP="00402164">
            <w:pPr>
              <w:tabs>
                <w:tab w:val="left" w:pos="566"/>
              </w:tabs>
              <w:spacing w:line="240" w:lineRule="exact"/>
              <w:jc w:val="center"/>
            </w:pPr>
            <w:r>
              <w:t>Kontrplaklar</w:t>
            </w:r>
          </w:p>
        </w:tc>
        <w:tc>
          <w:tcPr>
            <w:tcW w:w="1298" w:type="pct"/>
            <w:vMerge w:val="restart"/>
            <w:tcMar>
              <w:top w:w="0" w:type="dxa"/>
              <w:left w:w="108" w:type="dxa"/>
              <w:bottom w:w="0" w:type="dxa"/>
              <w:right w:w="108" w:type="dxa"/>
            </w:tcMar>
            <w:vAlign w:val="center"/>
            <w:hideMark/>
          </w:tcPr>
          <w:p w:rsidR="00FA24D7" w:rsidRPr="00A25D8F" w:rsidRDefault="00FA24D7" w:rsidP="00402164">
            <w:pPr>
              <w:tabs>
                <w:tab w:val="left" w:pos="566"/>
              </w:tabs>
              <w:spacing w:line="240" w:lineRule="exact"/>
              <w:jc w:val="center"/>
            </w:pPr>
            <w:r w:rsidRPr="00A25D8F">
              <w:t>Çin Halk Cumhuriyeti</w:t>
            </w:r>
          </w:p>
        </w:tc>
        <w:tc>
          <w:tcPr>
            <w:tcW w:w="917" w:type="pct"/>
            <w:vMerge w:val="restart"/>
            <w:vAlign w:val="center"/>
          </w:tcPr>
          <w:p w:rsidR="00FA24D7" w:rsidRDefault="00FA24D7" w:rsidP="00402164">
            <w:pPr>
              <w:tabs>
                <w:tab w:val="left" w:pos="566"/>
              </w:tabs>
              <w:spacing w:line="240" w:lineRule="exact"/>
              <w:jc w:val="center"/>
            </w:pPr>
            <w:r w:rsidRPr="00BF1CB9">
              <w:t>Tüm Firmalar</w:t>
            </w:r>
          </w:p>
        </w:tc>
        <w:tc>
          <w:tcPr>
            <w:tcW w:w="1048" w:type="pct"/>
            <w:vMerge w:val="restart"/>
            <w:tcMar>
              <w:top w:w="0" w:type="dxa"/>
              <w:left w:w="108" w:type="dxa"/>
              <w:bottom w:w="0" w:type="dxa"/>
              <w:right w:w="108" w:type="dxa"/>
            </w:tcMar>
            <w:vAlign w:val="center"/>
            <w:hideMark/>
          </w:tcPr>
          <w:p w:rsidR="00FA24D7" w:rsidRPr="00A25D8F" w:rsidRDefault="00FA24D7" w:rsidP="00402164">
            <w:pPr>
              <w:tabs>
                <w:tab w:val="left" w:pos="566"/>
              </w:tabs>
              <w:spacing w:line="240" w:lineRule="exact"/>
              <w:jc w:val="center"/>
            </w:pPr>
            <w:r>
              <w:t>140 ABD Doları/m</w:t>
            </w:r>
            <w:r w:rsidRPr="00776A70">
              <w:rPr>
                <w:vertAlign w:val="superscript"/>
              </w:rPr>
              <w:t>3</w:t>
            </w:r>
          </w:p>
        </w:tc>
      </w:tr>
      <w:tr w:rsidR="00FA24D7" w:rsidRPr="00A25D8F" w:rsidTr="00D13B38">
        <w:trPr>
          <w:trHeight w:val="340"/>
        </w:trPr>
        <w:tc>
          <w:tcPr>
            <w:tcW w:w="821" w:type="pct"/>
            <w:tcMar>
              <w:top w:w="0" w:type="dxa"/>
              <w:left w:w="108" w:type="dxa"/>
              <w:bottom w:w="0" w:type="dxa"/>
              <w:right w:w="108" w:type="dxa"/>
            </w:tcMar>
            <w:vAlign w:val="center"/>
          </w:tcPr>
          <w:p w:rsidR="00FA24D7" w:rsidRPr="00AC01C0" w:rsidRDefault="00FA24D7" w:rsidP="00402164">
            <w:pPr>
              <w:tabs>
                <w:tab w:val="left" w:pos="566"/>
              </w:tabs>
              <w:spacing w:line="240" w:lineRule="exact"/>
              <w:jc w:val="center"/>
            </w:pPr>
            <w:r>
              <w:t>4412.31</w:t>
            </w:r>
          </w:p>
        </w:tc>
        <w:tc>
          <w:tcPr>
            <w:tcW w:w="916" w:type="pct"/>
            <w:vMerge/>
            <w:tcMar>
              <w:top w:w="0" w:type="dxa"/>
              <w:left w:w="108" w:type="dxa"/>
              <w:bottom w:w="0" w:type="dxa"/>
              <w:right w:w="108" w:type="dxa"/>
            </w:tcMar>
            <w:vAlign w:val="center"/>
          </w:tcPr>
          <w:p w:rsidR="00FA24D7" w:rsidRDefault="00FA24D7" w:rsidP="00402164">
            <w:pPr>
              <w:tabs>
                <w:tab w:val="left" w:pos="566"/>
              </w:tabs>
              <w:spacing w:line="240" w:lineRule="exact"/>
              <w:jc w:val="center"/>
            </w:pPr>
          </w:p>
        </w:tc>
        <w:tc>
          <w:tcPr>
            <w:tcW w:w="1298" w:type="pct"/>
            <w:vMerge/>
            <w:tcMar>
              <w:top w:w="0" w:type="dxa"/>
              <w:left w:w="108" w:type="dxa"/>
              <w:bottom w:w="0" w:type="dxa"/>
              <w:right w:w="108" w:type="dxa"/>
            </w:tcMar>
            <w:vAlign w:val="center"/>
          </w:tcPr>
          <w:p w:rsidR="00FA24D7" w:rsidRPr="00A25D8F" w:rsidRDefault="00FA24D7" w:rsidP="00402164">
            <w:pPr>
              <w:tabs>
                <w:tab w:val="left" w:pos="566"/>
              </w:tabs>
              <w:spacing w:line="240" w:lineRule="exact"/>
              <w:jc w:val="center"/>
            </w:pPr>
          </w:p>
        </w:tc>
        <w:tc>
          <w:tcPr>
            <w:tcW w:w="917" w:type="pct"/>
            <w:vMerge/>
          </w:tcPr>
          <w:p w:rsidR="00FA24D7" w:rsidRPr="00A25D8F" w:rsidRDefault="00FA24D7" w:rsidP="00402164">
            <w:pPr>
              <w:tabs>
                <w:tab w:val="left" w:pos="566"/>
              </w:tabs>
              <w:spacing w:line="240" w:lineRule="exact"/>
              <w:jc w:val="center"/>
            </w:pPr>
          </w:p>
        </w:tc>
        <w:tc>
          <w:tcPr>
            <w:tcW w:w="1048" w:type="pct"/>
            <w:vMerge/>
            <w:tcMar>
              <w:top w:w="0" w:type="dxa"/>
              <w:left w:w="108" w:type="dxa"/>
              <w:bottom w:w="0" w:type="dxa"/>
              <w:right w:w="108" w:type="dxa"/>
            </w:tcMar>
            <w:vAlign w:val="center"/>
          </w:tcPr>
          <w:p w:rsidR="00FA24D7" w:rsidRPr="00A25D8F" w:rsidRDefault="00FA24D7" w:rsidP="00402164">
            <w:pPr>
              <w:tabs>
                <w:tab w:val="left" w:pos="566"/>
              </w:tabs>
              <w:spacing w:line="240" w:lineRule="exact"/>
              <w:jc w:val="center"/>
            </w:pPr>
          </w:p>
        </w:tc>
      </w:tr>
      <w:tr w:rsidR="00FA24D7" w:rsidRPr="00A25D8F" w:rsidTr="00D13B38">
        <w:trPr>
          <w:trHeight w:val="340"/>
        </w:trPr>
        <w:tc>
          <w:tcPr>
            <w:tcW w:w="821" w:type="pct"/>
            <w:tcMar>
              <w:top w:w="0" w:type="dxa"/>
              <w:left w:w="108" w:type="dxa"/>
              <w:bottom w:w="0" w:type="dxa"/>
              <w:right w:w="108" w:type="dxa"/>
            </w:tcMar>
            <w:vAlign w:val="center"/>
          </w:tcPr>
          <w:p w:rsidR="00FA24D7" w:rsidRPr="00AC01C0" w:rsidRDefault="00FA24D7" w:rsidP="00402164">
            <w:pPr>
              <w:tabs>
                <w:tab w:val="left" w:pos="566"/>
              </w:tabs>
              <w:spacing w:line="240" w:lineRule="exact"/>
              <w:jc w:val="center"/>
            </w:pPr>
            <w:r>
              <w:t>4412.33</w:t>
            </w:r>
          </w:p>
        </w:tc>
        <w:tc>
          <w:tcPr>
            <w:tcW w:w="916" w:type="pct"/>
            <w:vMerge/>
            <w:tcMar>
              <w:top w:w="0" w:type="dxa"/>
              <w:left w:w="108" w:type="dxa"/>
              <w:bottom w:w="0" w:type="dxa"/>
              <w:right w:w="108" w:type="dxa"/>
            </w:tcMar>
            <w:vAlign w:val="center"/>
          </w:tcPr>
          <w:p w:rsidR="00FA24D7" w:rsidRDefault="00FA24D7" w:rsidP="00402164">
            <w:pPr>
              <w:tabs>
                <w:tab w:val="left" w:pos="566"/>
              </w:tabs>
              <w:spacing w:line="240" w:lineRule="exact"/>
              <w:jc w:val="center"/>
            </w:pPr>
          </w:p>
        </w:tc>
        <w:tc>
          <w:tcPr>
            <w:tcW w:w="1298" w:type="pct"/>
            <w:vMerge/>
            <w:tcMar>
              <w:top w:w="0" w:type="dxa"/>
              <w:left w:w="108" w:type="dxa"/>
              <w:bottom w:w="0" w:type="dxa"/>
              <w:right w:w="108" w:type="dxa"/>
            </w:tcMar>
            <w:vAlign w:val="center"/>
          </w:tcPr>
          <w:p w:rsidR="00FA24D7" w:rsidRPr="00A25D8F" w:rsidRDefault="00FA24D7" w:rsidP="00402164">
            <w:pPr>
              <w:tabs>
                <w:tab w:val="left" w:pos="566"/>
              </w:tabs>
              <w:spacing w:line="240" w:lineRule="exact"/>
              <w:jc w:val="center"/>
            </w:pPr>
          </w:p>
        </w:tc>
        <w:tc>
          <w:tcPr>
            <w:tcW w:w="917" w:type="pct"/>
            <w:vMerge/>
          </w:tcPr>
          <w:p w:rsidR="00FA24D7" w:rsidRPr="00A25D8F" w:rsidRDefault="00FA24D7" w:rsidP="00402164">
            <w:pPr>
              <w:tabs>
                <w:tab w:val="left" w:pos="566"/>
              </w:tabs>
              <w:spacing w:line="240" w:lineRule="exact"/>
              <w:jc w:val="center"/>
            </w:pPr>
          </w:p>
        </w:tc>
        <w:tc>
          <w:tcPr>
            <w:tcW w:w="1048" w:type="pct"/>
            <w:vMerge/>
            <w:tcMar>
              <w:top w:w="0" w:type="dxa"/>
              <w:left w:w="108" w:type="dxa"/>
              <w:bottom w:w="0" w:type="dxa"/>
              <w:right w:w="108" w:type="dxa"/>
            </w:tcMar>
            <w:vAlign w:val="center"/>
          </w:tcPr>
          <w:p w:rsidR="00FA24D7" w:rsidRPr="00A25D8F" w:rsidRDefault="00FA24D7" w:rsidP="00402164">
            <w:pPr>
              <w:tabs>
                <w:tab w:val="left" w:pos="566"/>
              </w:tabs>
              <w:spacing w:line="240" w:lineRule="exact"/>
              <w:jc w:val="center"/>
            </w:pPr>
          </w:p>
        </w:tc>
      </w:tr>
      <w:tr w:rsidR="00FA24D7" w:rsidRPr="00A25D8F" w:rsidTr="00D13B38">
        <w:trPr>
          <w:trHeight w:val="340"/>
        </w:trPr>
        <w:tc>
          <w:tcPr>
            <w:tcW w:w="821" w:type="pct"/>
            <w:tcMar>
              <w:top w:w="0" w:type="dxa"/>
              <w:left w:w="108" w:type="dxa"/>
              <w:bottom w:w="0" w:type="dxa"/>
              <w:right w:w="108" w:type="dxa"/>
            </w:tcMar>
            <w:vAlign w:val="center"/>
          </w:tcPr>
          <w:p w:rsidR="00FA24D7" w:rsidRPr="00AC01C0" w:rsidRDefault="00FA24D7" w:rsidP="00402164">
            <w:pPr>
              <w:tabs>
                <w:tab w:val="left" w:pos="566"/>
              </w:tabs>
              <w:spacing w:line="240" w:lineRule="exact"/>
              <w:jc w:val="center"/>
            </w:pPr>
            <w:r>
              <w:t>4412.34</w:t>
            </w:r>
          </w:p>
        </w:tc>
        <w:tc>
          <w:tcPr>
            <w:tcW w:w="916" w:type="pct"/>
            <w:vMerge/>
            <w:tcMar>
              <w:top w:w="0" w:type="dxa"/>
              <w:left w:w="108" w:type="dxa"/>
              <w:bottom w:w="0" w:type="dxa"/>
              <w:right w:w="108" w:type="dxa"/>
            </w:tcMar>
            <w:vAlign w:val="center"/>
          </w:tcPr>
          <w:p w:rsidR="00FA24D7" w:rsidRDefault="00FA24D7" w:rsidP="00402164">
            <w:pPr>
              <w:tabs>
                <w:tab w:val="left" w:pos="566"/>
              </w:tabs>
              <w:spacing w:line="240" w:lineRule="exact"/>
              <w:jc w:val="center"/>
            </w:pPr>
          </w:p>
        </w:tc>
        <w:tc>
          <w:tcPr>
            <w:tcW w:w="1298" w:type="pct"/>
            <w:vMerge/>
            <w:tcMar>
              <w:top w:w="0" w:type="dxa"/>
              <w:left w:w="108" w:type="dxa"/>
              <w:bottom w:w="0" w:type="dxa"/>
              <w:right w:w="108" w:type="dxa"/>
            </w:tcMar>
            <w:vAlign w:val="center"/>
          </w:tcPr>
          <w:p w:rsidR="00FA24D7" w:rsidRPr="00A25D8F" w:rsidRDefault="00FA24D7" w:rsidP="00402164">
            <w:pPr>
              <w:tabs>
                <w:tab w:val="left" w:pos="566"/>
              </w:tabs>
              <w:spacing w:line="240" w:lineRule="exact"/>
              <w:jc w:val="center"/>
            </w:pPr>
          </w:p>
        </w:tc>
        <w:tc>
          <w:tcPr>
            <w:tcW w:w="917" w:type="pct"/>
            <w:vMerge/>
          </w:tcPr>
          <w:p w:rsidR="00FA24D7" w:rsidRPr="00A25D8F" w:rsidRDefault="00FA24D7" w:rsidP="00402164">
            <w:pPr>
              <w:tabs>
                <w:tab w:val="left" w:pos="566"/>
              </w:tabs>
              <w:spacing w:line="240" w:lineRule="exact"/>
              <w:jc w:val="center"/>
            </w:pPr>
          </w:p>
        </w:tc>
        <w:tc>
          <w:tcPr>
            <w:tcW w:w="1048" w:type="pct"/>
            <w:vMerge/>
            <w:tcMar>
              <w:top w:w="0" w:type="dxa"/>
              <w:left w:w="108" w:type="dxa"/>
              <w:bottom w:w="0" w:type="dxa"/>
              <w:right w:w="108" w:type="dxa"/>
            </w:tcMar>
            <w:vAlign w:val="center"/>
          </w:tcPr>
          <w:p w:rsidR="00FA24D7" w:rsidRPr="00A25D8F" w:rsidRDefault="00FA24D7" w:rsidP="00402164">
            <w:pPr>
              <w:tabs>
                <w:tab w:val="left" w:pos="566"/>
              </w:tabs>
              <w:spacing w:line="240" w:lineRule="exact"/>
              <w:jc w:val="center"/>
            </w:pPr>
          </w:p>
        </w:tc>
      </w:tr>
      <w:tr w:rsidR="00FA24D7" w:rsidRPr="00A25D8F" w:rsidTr="00D13B38">
        <w:trPr>
          <w:trHeight w:val="340"/>
        </w:trPr>
        <w:tc>
          <w:tcPr>
            <w:tcW w:w="821" w:type="pct"/>
            <w:tcMar>
              <w:top w:w="0" w:type="dxa"/>
              <w:left w:w="108" w:type="dxa"/>
              <w:bottom w:w="0" w:type="dxa"/>
              <w:right w:w="108" w:type="dxa"/>
            </w:tcMar>
            <w:vAlign w:val="center"/>
          </w:tcPr>
          <w:p w:rsidR="00FA24D7" w:rsidRPr="00AC01C0" w:rsidRDefault="00FA24D7" w:rsidP="00402164">
            <w:pPr>
              <w:tabs>
                <w:tab w:val="left" w:pos="566"/>
              </w:tabs>
              <w:spacing w:line="240" w:lineRule="exact"/>
              <w:jc w:val="center"/>
            </w:pPr>
            <w:r w:rsidRPr="00AC01C0">
              <w:t>4412.39</w:t>
            </w:r>
          </w:p>
        </w:tc>
        <w:tc>
          <w:tcPr>
            <w:tcW w:w="916" w:type="pct"/>
            <w:vMerge/>
            <w:tcMar>
              <w:top w:w="0" w:type="dxa"/>
              <w:left w:w="108" w:type="dxa"/>
              <w:bottom w:w="0" w:type="dxa"/>
              <w:right w:w="108" w:type="dxa"/>
            </w:tcMar>
            <w:vAlign w:val="center"/>
          </w:tcPr>
          <w:p w:rsidR="00FA24D7" w:rsidRDefault="00FA24D7" w:rsidP="00402164">
            <w:pPr>
              <w:tabs>
                <w:tab w:val="left" w:pos="566"/>
              </w:tabs>
              <w:spacing w:line="240" w:lineRule="exact"/>
              <w:jc w:val="center"/>
            </w:pPr>
          </w:p>
        </w:tc>
        <w:tc>
          <w:tcPr>
            <w:tcW w:w="1298" w:type="pct"/>
            <w:vMerge/>
            <w:tcMar>
              <w:top w:w="0" w:type="dxa"/>
              <w:left w:w="108" w:type="dxa"/>
              <w:bottom w:w="0" w:type="dxa"/>
              <w:right w:w="108" w:type="dxa"/>
            </w:tcMar>
            <w:vAlign w:val="center"/>
          </w:tcPr>
          <w:p w:rsidR="00FA24D7" w:rsidRPr="00A25D8F" w:rsidRDefault="00FA24D7" w:rsidP="00402164">
            <w:pPr>
              <w:tabs>
                <w:tab w:val="left" w:pos="566"/>
              </w:tabs>
              <w:spacing w:line="240" w:lineRule="exact"/>
              <w:jc w:val="center"/>
            </w:pPr>
          </w:p>
        </w:tc>
        <w:tc>
          <w:tcPr>
            <w:tcW w:w="917" w:type="pct"/>
            <w:vMerge/>
          </w:tcPr>
          <w:p w:rsidR="00FA24D7" w:rsidRPr="00A25D8F" w:rsidRDefault="00FA24D7" w:rsidP="00402164">
            <w:pPr>
              <w:tabs>
                <w:tab w:val="left" w:pos="566"/>
              </w:tabs>
              <w:spacing w:line="240" w:lineRule="exact"/>
              <w:jc w:val="center"/>
            </w:pPr>
          </w:p>
        </w:tc>
        <w:tc>
          <w:tcPr>
            <w:tcW w:w="1048" w:type="pct"/>
            <w:vMerge/>
            <w:tcMar>
              <w:top w:w="0" w:type="dxa"/>
              <w:left w:w="108" w:type="dxa"/>
              <w:bottom w:w="0" w:type="dxa"/>
              <w:right w:w="108" w:type="dxa"/>
            </w:tcMar>
            <w:vAlign w:val="center"/>
          </w:tcPr>
          <w:p w:rsidR="00FA24D7" w:rsidRPr="00A25D8F" w:rsidRDefault="00FA24D7" w:rsidP="00402164">
            <w:pPr>
              <w:tabs>
                <w:tab w:val="left" w:pos="566"/>
              </w:tabs>
              <w:spacing w:line="240" w:lineRule="exact"/>
              <w:jc w:val="center"/>
            </w:pPr>
          </w:p>
        </w:tc>
      </w:tr>
    </w:tbl>
    <w:p w:rsidR="00FA24D7" w:rsidRDefault="00FA24D7" w:rsidP="00FA24D7">
      <w:pPr>
        <w:spacing w:after="240" w:line="276" w:lineRule="auto"/>
        <w:jc w:val="both"/>
      </w:pPr>
    </w:p>
    <w:sectPr w:rsidR="00FA24D7" w:rsidSect="00057562">
      <w:headerReference w:type="first" r:id="rId8"/>
      <w:footerReference w:type="first" r:id="rId9"/>
      <w:pgSz w:w="11906" w:h="16838" w:code="9"/>
      <w:pgMar w:top="851" w:right="1418" w:bottom="1418" w:left="1418" w:header="851" w:footer="85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069" w:rsidRDefault="00203069">
      <w:r>
        <w:separator/>
      </w:r>
    </w:p>
  </w:endnote>
  <w:endnote w:type="continuationSeparator" w:id="0">
    <w:p w:rsidR="00203069" w:rsidRDefault="00203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EB9" w:rsidRDefault="00400EB9" w:rsidP="00BD4724">
    <w:pPr>
      <w:pStyle w:val="AltBilgi"/>
      <w:tabs>
        <w:tab w:val="clear" w:pos="4536"/>
        <w:tab w:val="clear" w:pos="9072"/>
        <w:tab w:val="left" w:pos="9529"/>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069" w:rsidRDefault="00203069">
      <w:r>
        <w:separator/>
      </w:r>
    </w:p>
  </w:footnote>
  <w:footnote w:type="continuationSeparator" w:id="0">
    <w:p w:rsidR="00203069" w:rsidRDefault="00203069">
      <w:r>
        <w:continuationSeparator/>
      </w:r>
    </w:p>
  </w:footnote>
  <w:footnote w:id="1">
    <w:p w:rsidR="00D106A4" w:rsidRDefault="00D106A4" w:rsidP="00D106A4">
      <w:pPr>
        <w:pStyle w:val="DipnotMetni"/>
        <w:jc w:val="both"/>
      </w:pPr>
      <w:r>
        <w:rPr>
          <w:rStyle w:val="DipnotBavurusu"/>
        </w:rPr>
        <w:footnoteRef/>
      </w:r>
      <w:r>
        <w:t xml:space="preserve"> Yürürlükteki TGTC uyarınca; 2016 yılında 4412.32 </w:t>
      </w:r>
      <w:proofErr w:type="spellStart"/>
      <w:r>
        <w:t>nolu</w:t>
      </w:r>
      <w:proofErr w:type="spellEnd"/>
      <w:r>
        <w:t xml:space="preserve"> </w:t>
      </w:r>
      <w:proofErr w:type="spellStart"/>
      <w:r>
        <w:t>GTP’te</w:t>
      </w:r>
      <w:proofErr w:type="spellEnd"/>
      <w:r>
        <w:t xml:space="preserve"> sınıflandırılan ürünler, 2017 yılında 4412.33 ve 4412.34 </w:t>
      </w:r>
      <w:proofErr w:type="spellStart"/>
      <w:r>
        <w:t>nolu</w:t>
      </w:r>
      <w:proofErr w:type="spellEnd"/>
      <w:r>
        <w:t xml:space="preserve"> GTP’lerde sınıflandırılmaya başlanmıştır. Bu çerçevede, soruşturmanın açılışı Tebliğinde güncel </w:t>
      </w:r>
      <w:proofErr w:type="spellStart"/>
      <w:r>
        <w:t>GTP’ler</w:t>
      </w:r>
      <w:proofErr w:type="spellEnd"/>
      <w:r>
        <w:t xml:space="preserve"> kullanılmış ancak kontrplaklara ilişkin veriler gözden geçirme döneminde geçerli olan 4412.10, 4412.31, 4412.32 ve 4412.39 </w:t>
      </w:r>
      <w:proofErr w:type="spellStart"/>
      <w:r>
        <w:t>nolu</w:t>
      </w:r>
      <w:proofErr w:type="spellEnd"/>
      <w:r>
        <w:t xml:space="preserve"> </w:t>
      </w:r>
      <w:proofErr w:type="spellStart"/>
      <w:r>
        <w:t>GTP’ler</w:t>
      </w:r>
      <w:proofErr w:type="spellEnd"/>
      <w:r>
        <w:t xml:space="preserve"> kullanılarak elde edilmiştir</w:t>
      </w:r>
    </w:p>
  </w:footnote>
  <w:footnote w:id="2">
    <w:p w:rsidR="00332B47" w:rsidRDefault="00332B47" w:rsidP="00332B47">
      <w:pPr>
        <w:pStyle w:val="DipnotMetni"/>
      </w:pPr>
      <w:r>
        <w:rPr>
          <w:rStyle w:val="DipnotBavurusu"/>
        </w:rPr>
        <w:footnoteRef/>
      </w:r>
      <w:r>
        <w:t xml:space="preserve"> Dünya Ticaret Örgütü (DTÖ) web sitesi: </w:t>
      </w:r>
      <w:hyperlink r:id="rId1" w:history="1">
        <w:r w:rsidRPr="00DD5017">
          <w:rPr>
            <w:rStyle w:val="Kpr"/>
          </w:rPr>
          <w:t>http://i-tip.wto.org/goods/Forms/TableView.aspx</w:t>
        </w:r>
      </w:hyperlink>
      <w:r w:rsidRPr="00DD5017">
        <w:t xml:space="preserve"> Erişim</w:t>
      </w:r>
      <w:r>
        <w:t xml:space="preserve">: </w:t>
      </w:r>
      <w:r w:rsidR="003B791E">
        <w:t>Mayıs</w:t>
      </w:r>
      <w:r>
        <w:t xml:space="preserv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EB9" w:rsidRDefault="00400EB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83D9F"/>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 w15:restartNumberingAfterBreak="0">
    <w:nsid w:val="05C4634E"/>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 w15:restartNumberingAfterBreak="0">
    <w:nsid w:val="05F372E6"/>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 w15:restartNumberingAfterBreak="0">
    <w:nsid w:val="0B4503CE"/>
    <w:multiLevelType w:val="multilevel"/>
    <w:tmpl w:val="00E246F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D1A42CD"/>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5" w15:restartNumberingAfterBreak="0">
    <w:nsid w:val="122E13A6"/>
    <w:multiLevelType w:val="hybridMultilevel"/>
    <w:tmpl w:val="1338CC5C"/>
    <w:lvl w:ilvl="0" w:tplc="11704E44">
      <w:start w:val="1"/>
      <mc:AlternateContent>
        <mc:Choice Requires="w14">
          <w:numFmt w:val="custom" w:format="a, ç, ĝ, ..."/>
        </mc:Choice>
        <mc:Fallback>
          <w:numFmt w:val="decimal"/>
        </mc:Fallback>
      </mc:AlternateContent>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6" w15:restartNumberingAfterBreak="0">
    <w:nsid w:val="13BD6189"/>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7" w15:restartNumberingAfterBreak="0">
    <w:nsid w:val="14BB07F8"/>
    <w:multiLevelType w:val="hybridMultilevel"/>
    <w:tmpl w:val="21D2CD5A"/>
    <w:lvl w:ilvl="0" w:tplc="0F1AAFC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C035BE1"/>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9" w15:restartNumberingAfterBreak="0">
    <w:nsid w:val="2CD363AE"/>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0" w15:restartNumberingAfterBreak="0">
    <w:nsid w:val="2E856129"/>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1" w15:restartNumberingAfterBreak="0">
    <w:nsid w:val="2F520F7E"/>
    <w:multiLevelType w:val="multilevel"/>
    <w:tmpl w:val="14D0CD3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165654"/>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3" w15:restartNumberingAfterBreak="0">
    <w:nsid w:val="391D4FD1"/>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4" w15:restartNumberingAfterBreak="0">
    <w:nsid w:val="4035601E"/>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5" w15:restartNumberingAfterBreak="0">
    <w:nsid w:val="43997BE1"/>
    <w:multiLevelType w:val="hybridMultilevel"/>
    <w:tmpl w:val="6910200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4412B88"/>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7" w15:restartNumberingAfterBreak="0">
    <w:nsid w:val="4F88599B"/>
    <w:multiLevelType w:val="hybridMultilevel"/>
    <w:tmpl w:val="6A26C02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FDD2527"/>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9" w15:restartNumberingAfterBreak="0">
    <w:nsid w:val="61B47C80"/>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50D6BAB"/>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1" w15:restartNumberingAfterBreak="0">
    <w:nsid w:val="6FF319B1"/>
    <w:multiLevelType w:val="hybridMultilevel"/>
    <w:tmpl w:val="61C2D660"/>
    <w:lvl w:ilvl="0" w:tplc="2F5AE4C8">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33B6D17"/>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3" w15:restartNumberingAfterBreak="0">
    <w:nsid w:val="74953D68"/>
    <w:multiLevelType w:val="hybridMultilevel"/>
    <w:tmpl w:val="178CCAEA"/>
    <w:lvl w:ilvl="0" w:tplc="CED42776">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4" w15:restartNumberingAfterBreak="0">
    <w:nsid w:val="77F410B0"/>
    <w:multiLevelType w:val="hybridMultilevel"/>
    <w:tmpl w:val="B5F4E530"/>
    <w:lvl w:ilvl="0" w:tplc="E628517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A2FA18">
      <w:start w:val="1"/>
      <w:numFmt w:val="lowerLetter"/>
      <w:lvlText w:val="%2"/>
      <w:lvlJc w:val="left"/>
      <w:pPr>
        <w:ind w:left="1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B8A8BA">
      <w:start w:val="1"/>
      <w:numFmt w:val="lowerRoman"/>
      <w:lvlText w:val="%3"/>
      <w:lvlJc w:val="left"/>
      <w:pPr>
        <w:ind w:left="2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9677BC">
      <w:start w:val="1"/>
      <w:numFmt w:val="decimal"/>
      <w:lvlText w:val="%4"/>
      <w:lvlJc w:val="left"/>
      <w:pPr>
        <w:ind w:left="3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747A00">
      <w:start w:val="1"/>
      <w:numFmt w:val="lowerLetter"/>
      <w:lvlText w:val="%5"/>
      <w:lvlJc w:val="left"/>
      <w:pPr>
        <w:ind w:left="3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4001A8">
      <w:start w:val="1"/>
      <w:numFmt w:val="lowerRoman"/>
      <w:lvlText w:val="%6"/>
      <w:lvlJc w:val="left"/>
      <w:pPr>
        <w:ind w:left="4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C8CB98">
      <w:start w:val="1"/>
      <w:numFmt w:val="decimal"/>
      <w:lvlText w:val="%7"/>
      <w:lvlJc w:val="left"/>
      <w:pPr>
        <w:ind w:left="5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0A554C">
      <w:start w:val="1"/>
      <w:numFmt w:val="lowerLetter"/>
      <w:lvlText w:val="%8"/>
      <w:lvlJc w:val="left"/>
      <w:pPr>
        <w:ind w:left="6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3E01CC">
      <w:start w:val="1"/>
      <w:numFmt w:val="lowerRoman"/>
      <w:lvlText w:val="%9"/>
      <w:lvlJc w:val="left"/>
      <w:pPr>
        <w:ind w:left="6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A7A5F0C"/>
    <w:multiLevelType w:val="hybridMultilevel"/>
    <w:tmpl w:val="1652C73E"/>
    <w:lvl w:ilvl="0" w:tplc="F9387586">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1"/>
  </w:num>
  <w:num w:numId="2">
    <w:abstractNumId w:val="7"/>
  </w:num>
  <w:num w:numId="3">
    <w:abstractNumId w:val="25"/>
  </w:num>
  <w:num w:numId="4">
    <w:abstractNumId w:val="3"/>
  </w:num>
  <w:num w:numId="5">
    <w:abstractNumId w:val="17"/>
  </w:num>
  <w:num w:numId="6">
    <w:abstractNumId w:val="19"/>
  </w:num>
  <w:num w:numId="7">
    <w:abstractNumId w:val="21"/>
  </w:num>
  <w:num w:numId="8">
    <w:abstractNumId w:val="15"/>
  </w:num>
  <w:num w:numId="9">
    <w:abstractNumId w:val="16"/>
  </w:num>
  <w:num w:numId="10">
    <w:abstractNumId w:val="23"/>
  </w:num>
  <w:num w:numId="11">
    <w:abstractNumId w:val="1"/>
  </w:num>
  <w:num w:numId="12">
    <w:abstractNumId w:val="2"/>
  </w:num>
  <w:num w:numId="13">
    <w:abstractNumId w:val="14"/>
  </w:num>
  <w:num w:numId="14">
    <w:abstractNumId w:val="13"/>
  </w:num>
  <w:num w:numId="15">
    <w:abstractNumId w:val="12"/>
  </w:num>
  <w:num w:numId="16">
    <w:abstractNumId w:val="9"/>
  </w:num>
  <w:num w:numId="17">
    <w:abstractNumId w:val="18"/>
  </w:num>
  <w:num w:numId="18">
    <w:abstractNumId w:val="0"/>
  </w:num>
  <w:num w:numId="19">
    <w:abstractNumId w:val="10"/>
  </w:num>
  <w:num w:numId="20">
    <w:abstractNumId w:val="8"/>
  </w:num>
  <w:num w:numId="21">
    <w:abstractNumId w:val="4"/>
  </w:num>
  <w:num w:numId="22">
    <w:abstractNumId w:val="22"/>
  </w:num>
  <w:num w:numId="23">
    <w:abstractNumId w:val="20"/>
  </w:num>
  <w:num w:numId="24">
    <w:abstractNumId w:val="5"/>
  </w:num>
  <w:num w:numId="25">
    <w:abstractNumId w:val="6"/>
  </w:num>
  <w:num w:numId="26">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gutterAtTop/>
  <w:hideGrammaticalErrors/>
  <w:proofState w:spelling="clean" w:grammar="clean"/>
  <w:defaultTabStop w:val="357"/>
  <w:hyphenationZone w:val="425"/>
  <w:drawingGridHorizontalSpacing w:val="120"/>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201"/>
    <w:rsid w:val="00000ED5"/>
    <w:rsid w:val="00000FA3"/>
    <w:rsid w:val="00001490"/>
    <w:rsid w:val="000014DA"/>
    <w:rsid w:val="00002DAA"/>
    <w:rsid w:val="0000430C"/>
    <w:rsid w:val="0000641A"/>
    <w:rsid w:val="00006558"/>
    <w:rsid w:val="00006960"/>
    <w:rsid w:val="00006D5A"/>
    <w:rsid w:val="00006DAD"/>
    <w:rsid w:val="000128DC"/>
    <w:rsid w:val="0001506B"/>
    <w:rsid w:val="000157F2"/>
    <w:rsid w:val="0001582F"/>
    <w:rsid w:val="0001665D"/>
    <w:rsid w:val="000170E8"/>
    <w:rsid w:val="0001715A"/>
    <w:rsid w:val="000174E6"/>
    <w:rsid w:val="00017BAE"/>
    <w:rsid w:val="00017E31"/>
    <w:rsid w:val="000207DA"/>
    <w:rsid w:val="00021A58"/>
    <w:rsid w:val="00022BE4"/>
    <w:rsid w:val="00022FA6"/>
    <w:rsid w:val="00023BCC"/>
    <w:rsid w:val="0002593D"/>
    <w:rsid w:val="00026DA8"/>
    <w:rsid w:val="00030BAE"/>
    <w:rsid w:val="00031B8C"/>
    <w:rsid w:val="00031EF4"/>
    <w:rsid w:val="00032151"/>
    <w:rsid w:val="00032B72"/>
    <w:rsid w:val="00032D04"/>
    <w:rsid w:val="000335FA"/>
    <w:rsid w:val="000347DC"/>
    <w:rsid w:val="00034C6B"/>
    <w:rsid w:val="00036684"/>
    <w:rsid w:val="0003698B"/>
    <w:rsid w:val="0003701D"/>
    <w:rsid w:val="0003706C"/>
    <w:rsid w:val="000373A2"/>
    <w:rsid w:val="000379D3"/>
    <w:rsid w:val="00040079"/>
    <w:rsid w:val="00040B60"/>
    <w:rsid w:val="00040D20"/>
    <w:rsid w:val="000424D9"/>
    <w:rsid w:val="00042B13"/>
    <w:rsid w:val="00042B99"/>
    <w:rsid w:val="00043991"/>
    <w:rsid w:val="00043B65"/>
    <w:rsid w:val="000446CD"/>
    <w:rsid w:val="00045065"/>
    <w:rsid w:val="000460DF"/>
    <w:rsid w:val="00050A1E"/>
    <w:rsid w:val="00051130"/>
    <w:rsid w:val="000513CD"/>
    <w:rsid w:val="00051791"/>
    <w:rsid w:val="0005360C"/>
    <w:rsid w:val="00054177"/>
    <w:rsid w:val="00055C84"/>
    <w:rsid w:val="00055EEA"/>
    <w:rsid w:val="00057562"/>
    <w:rsid w:val="000579FB"/>
    <w:rsid w:val="000602BD"/>
    <w:rsid w:val="000617D3"/>
    <w:rsid w:val="00063E39"/>
    <w:rsid w:val="00067354"/>
    <w:rsid w:val="00067D03"/>
    <w:rsid w:val="000711C0"/>
    <w:rsid w:val="000718D3"/>
    <w:rsid w:val="00071E18"/>
    <w:rsid w:val="00071EDF"/>
    <w:rsid w:val="00074808"/>
    <w:rsid w:val="000753C7"/>
    <w:rsid w:val="00075D14"/>
    <w:rsid w:val="0007770D"/>
    <w:rsid w:val="00077816"/>
    <w:rsid w:val="00077966"/>
    <w:rsid w:val="0008027C"/>
    <w:rsid w:val="000808EC"/>
    <w:rsid w:val="00081948"/>
    <w:rsid w:val="00083ABC"/>
    <w:rsid w:val="00083D4C"/>
    <w:rsid w:val="0008559E"/>
    <w:rsid w:val="000856D7"/>
    <w:rsid w:val="000865CB"/>
    <w:rsid w:val="00086F2F"/>
    <w:rsid w:val="0008759A"/>
    <w:rsid w:val="0008766D"/>
    <w:rsid w:val="00087A36"/>
    <w:rsid w:val="000924A1"/>
    <w:rsid w:val="000925EE"/>
    <w:rsid w:val="00092C3E"/>
    <w:rsid w:val="00093829"/>
    <w:rsid w:val="00094A4B"/>
    <w:rsid w:val="000954B2"/>
    <w:rsid w:val="000966C4"/>
    <w:rsid w:val="000A0655"/>
    <w:rsid w:val="000A0D6B"/>
    <w:rsid w:val="000A2DE8"/>
    <w:rsid w:val="000A3337"/>
    <w:rsid w:val="000A3490"/>
    <w:rsid w:val="000A45DA"/>
    <w:rsid w:val="000A6C13"/>
    <w:rsid w:val="000A758A"/>
    <w:rsid w:val="000A77B2"/>
    <w:rsid w:val="000B01C9"/>
    <w:rsid w:val="000B06E4"/>
    <w:rsid w:val="000B0BBC"/>
    <w:rsid w:val="000B1757"/>
    <w:rsid w:val="000B1C87"/>
    <w:rsid w:val="000B28E5"/>
    <w:rsid w:val="000B3786"/>
    <w:rsid w:val="000B3CAE"/>
    <w:rsid w:val="000B44ED"/>
    <w:rsid w:val="000B5EA1"/>
    <w:rsid w:val="000B5F0B"/>
    <w:rsid w:val="000B6EE9"/>
    <w:rsid w:val="000B7BF2"/>
    <w:rsid w:val="000C0149"/>
    <w:rsid w:val="000C262C"/>
    <w:rsid w:val="000C37E7"/>
    <w:rsid w:val="000C62FC"/>
    <w:rsid w:val="000C6921"/>
    <w:rsid w:val="000D1400"/>
    <w:rsid w:val="000D206B"/>
    <w:rsid w:val="000D216F"/>
    <w:rsid w:val="000D25AE"/>
    <w:rsid w:val="000D32AF"/>
    <w:rsid w:val="000D45AA"/>
    <w:rsid w:val="000D6037"/>
    <w:rsid w:val="000D63DE"/>
    <w:rsid w:val="000D6EAA"/>
    <w:rsid w:val="000D72DD"/>
    <w:rsid w:val="000D76D7"/>
    <w:rsid w:val="000E3A0E"/>
    <w:rsid w:val="000E4B4F"/>
    <w:rsid w:val="000E5193"/>
    <w:rsid w:val="000E734D"/>
    <w:rsid w:val="000E7D9A"/>
    <w:rsid w:val="000F1AEE"/>
    <w:rsid w:val="000F1C6A"/>
    <w:rsid w:val="000F30BD"/>
    <w:rsid w:val="000F3658"/>
    <w:rsid w:val="000F3BBA"/>
    <w:rsid w:val="000F6EC6"/>
    <w:rsid w:val="000F798A"/>
    <w:rsid w:val="000F7997"/>
    <w:rsid w:val="00100060"/>
    <w:rsid w:val="00101B68"/>
    <w:rsid w:val="00101DFD"/>
    <w:rsid w:val="00102A01"/>
    <w:rsid w:val="001046A3"/>
    <w:rsid w:val="001046DC"/>
    <w:rsid w:val="00104A8C"/>
    <w:rsid w:val="001057A7"/>
    <w:rsid w:val="0010591E"/>
    <w:rsid w:val="001102D8"/>
    <w:rsid w:val="001126BA"/>
    <w:rsid w:val="00113929"/>
    <w:rsid w:val="001143DE"/>
    <w:rsid w:val="0011472A"/>
    <w:rsid w:val="001169A7"/>
    <w:rsid w:val="00117837"/>
    <w:rsid w:val="0012051F"/>
    <w:rsid w:val="00120898"/>
    <w:rsid w:val="00121476"/>
    <w:rsid w:val="001221BB"/>
    <w:rsid w:val="001228B9"/>
    <w:rsid w:val="00122920"/>
    <w:rsid w:val="00122AD9"/>
    <w:rsid w:val="00124096"/>
    <w:rsid w:val="00125664"/>
    <w:rsid w:val="001257B0"/>
    <w:rsid w:val="0012580B"/>
    <w:rsid w:val="00126BB6"/>
    <w:rsid w:val="001276CD"/>
    <w:rsid w:val="001302EC"/>
    <w:rsid w:val="00130326"/>
    <w:rsid w:val="001305C0"/>
    <w:rsid w:val="001322ED"/>
    <w:rsid w:val="00132417"/>
    <w:rsid w:val="00132658"/>
    <w:rsid w:val="0013499C"/>
    <w:rsid w:val="001351F8"/>
    <w:rsid w:val="00136A61"/>
    <w:rsid w:val="00141ABB"/>
    <w:rsid w:val="00141B3F"/>
    <w:rsid w:val="001421E5"/>
    <w:rsid w:val="001435F1"/>
    <w:rsid w:val="00143B15"/>
    <w:rsid w:val="00145955"/>
    <w:rsid w:val="0014600D"/>
    <w:rsid w:val="00146D32"/>
    <w:rsid w:val="00150555"/>
    <w:rsid w:val="00150AAC"/>
    <w:rsid w:val="00151803"/>
    <w:rsid w:val="00152172"/>
    <w:rsid w:val="001534CC"/>
    <w:rsid w:val="00153BC4"/>
    <w:rsid w:val="0015454D"/>
    <w:rsid w:val="00157AB1"/>
    <w:rsid w:val="00161548"/>
    <w:rsid w:val="00161E7C"/>
    <w:rsid w:val="00163C3E"/>
    <w:rsid w:val="0016461B"/>
    <w:rsid w:val="00164FC7"/>
    <w:rsid w:val="00164FF4"/>
    <w:rsid w:val="0016519E"/>
    <w:rsid w:val="001653EB"/>
    <w:rsid w:val="001659D5"/>
    <w:rsid w:val="00166437"/>
    <w:rsid w:val="00166EBF"/>
    <w:rsid w:val="00167798"/>
    <w:rsid w:val="0017061B"/>
    <w:rsid w:val="00171C39"/>
    <w:rsid w:val="0017241B"/>
    <w:rsid w:val="00174CD8"/>
    <w:rsid w:val="00175D49"/>
    <w:rsid w:val="00176946"/>
    <w:rsid w:val="00176FB0"/>
    <w:rsid w:val="00182973"/>
    <w:rsid w:val="00182A6C"/>
    <w:rsid w:val="0018478C"/>
    <w:rsid w:val="0018577F"/>
    <w:rsid w:val="00186471"/>
    <w:rsid w:val="00186A7A"/>
    <w:rsid w:val="001876C9"/>
    <w:rsid w:val="00187BFA"/>
    <w:rsid w:val="0019004B"/>
    <w:rsid w:val="0019009B"/>
    <w:rsid w:val="00190450"/>
    <w:rsid w:val="00190B78"/>
    <w:rsid w:val="00190DC4"/>
    <w:rsid w:val="00191736"/>
    <w:rsid w:val="0019405E"/>
    <w:rsid w:val="00194A98"/>
    <w:rsid w:val="00194C3D"/>
    <w:rsid w:val="001971B5"/>
    <w:rsid w:val="001972FE"/>
    <w:rsid w:val="001A4A53"/>
    <w:rsid w:val="001A5A2B"/>
    <w:rsid w:val="001A5A36"/>
    <w:rsid w:val="001A6768"/>
    <w:rsid w:val="001A76DD"/>
    <w:rsid w:val="001A7F5C"/>
    <w:rsid w:val="001B2701"/>
    <w:rsid w:val="001B36CE"/>
    <w:rsid w:val="001B3785"/>
    <w:rsid w:val="001B3B60"/>
    <w:rsid w:val="001B3FD2"/>
    <w:rsid w:val="001B4A6E"/>
    <w:rsid w:val="001B7396"/>
    <w:rsid w:val="001B75B1"/>
    <w:rsid w:val="001C07DA"/>
    <w:rsid w:val="001C07EE"/>
    <w:rsid w:val="001C1424"/>
    <w:rsid w:val="001C1EB0"/>
    <w:rsid w:val="001C242B"/>
    <w:rsid w:val="001C268B"/>
    <w:rsid w:val="001C5A83"/>
    <w:rsid w:val="001C5B7D"/>
    <w:rsid w:val="001C5CBC"/>
    <w:rsid w:val="001C7BB5"/>
    <w:rsid w:val="001D00FE"/>
    <w:rsid w:val="001D0F06"/>
    <w:rsid w:val="001D108C"/>
    <w:rsid w:val="001D1403"/>
    <w:rsid w:val="001D2435"/>
    <w:rsid w:val="001D2BF5"/>
    <w:rsid w:val="001D3669"/>
    <w:rsid w:val="001D72BF"/>
    <w:rsid w:val="001D754D"/>
    <w:rsid w:val="001E07B4"/>
    <w:rsid w:val="001E220D"/>
    <w:rsid w:val="001E2451"/>
    <w:rsid w:val="001E4E25"/>
    <w:rsid w:val="001E51ED"/>
    <w:rsid w:val="001E59D5"/>
    <w:rsid w:val="001E6882"/>
    <w:rsid w:val="001E7094"/>
    <w:rsid w:val="001E726D"/>
    <w:rsid w:val="001F0BB7"/>
    <w:rsid w:val="001F1111"/>
    <w:rsid w:val="001F2060"/>
    <w:rsid w:val="001F3D2D"/>
    <w:rsid w:val="001F45C4"/>
    <w:rsid w:val="001F4693"/>
    <w:rsid w:val="001F7E7D"/>
    <w:rsid w:val="00200B0F"/>
    <w:rsid w:val="0020167B"/>
    <w:rsid w:val="00203069"/>
    <w:rsid w:val="00203C91"/>
    <w:rsid w:val="0020432B"/>
    <w:rsid w:val="00204A0D"/>
    <w:rsid w:val="002051BE"/>
    <w:rsid w:val="00205EAB"/>
    <w:rsid w:val="00206F8B"/>
    <w:rsid w:val="002076CA"/>
    <w:rsid w:val="0021082B"/>
    <w:rsid w:val="00210F20"/>
    <w:rsid w:val="0021154A"/>
    <w:rsid w:val="002115F6"/>
    <w:rsid w:val="002125E2"/>
    <w:rsid w:val="00212EC7"/>
    <w:rsid w:val="002131B3"/>
    <w:rsid w:val="00213449"/>
    <w:rsid w:val="0021396F"/>
    <w:rsid w:val="00214FE8"/>
    <w:rsid w:val="00221315"/>
    <w:rsid w:val="002215A8"/>
    <w:rsid w:val="00221C80"/>
    <w:rsid w:val="00221EC2"/>
    <w:rsid w:val="00222BB2"/>
    <w:rsid w:val="002261D2"/>
    <w:rsid w:val="00226BCE"/>
    <w:rsid w:val="00226FB6"/>
    <w:rsid w:val="0022780C"/>
    <w:rsid w:val="002304D6"/>
    <w:rsid w:val="00231337"/>
    <w:rsid w:val="00233C7D"/>
    <w:rsid w:val="00241ADA"/>
    <w:rsid w:val="00242673"/>
    <w:rsid w:val="00243666"/>
    <w:rsid w:val="002438AD"/>
    <w:rsid w:val="002446BD"/>
    <w:rsid w:val="002468C7"/>
    <w:rsid w:val="00247A19"/>
    <w:rsid w:val="002509C9"/>
    <w:rsid w:val="0025114F"/>
    <w:rsid w:val="00251887"/>
    <w:rsid w:val="00252574"/>
    <w:rsid w:val="002526F8"/>
    <w:rsid w:val="0025290B"/>
    <w:rsid w:val="00256B12"/>
    <w:rsid w:val="0025723E"/>
    <w:rsid w:val="00257840"/>
    <w:rsid w:val="00261B91"/>
    <w:rsid w:val="00263201"/>
    <w:rsid w:val="002638A9"/>
    <w:rsid w:val="00263FFA"/>
    <w:rsid w:val="00264113"/>
    <w:rsid w:val="00264450"/>
    <w:rsid w:val="00266C33"/>
    <w:rsid w:val="0027429C"/>
    <w:rsid w:val="0027642A"/>
    <w:rsid w:val="00286163"/>
    <w:rsid w:val="002861CC"/>
    <w:rsid w:val="002868B7"/>
    <w:rsid w:val="002879D1"/>
    <w:rsid w:val="0029018C"/>
    <w:rsid w:val="00292667"/>
    <w:rsid w:val="00293B68"/>
    <w:rsid w:val="00295E5A"/>
    <w:rsid w:val="00295EA6"/>
    <w:rsid w:val="002964F1"/>
    <w:rsid w:val="002A0373"/>
    <w:rsid w:val="002A1DE4"/>
    <w:rsid w:val="002A3910"/>
    <w:rsid w:val="002A5D83"/>
    <w:rsid w:val="002A6B74"/>
    <w:rsid w:val="002A77E2"/>
    <w:rsid w:val="002B1794"/>
    <w:rsid w:val="002B22B0"/>
    <w:rsid w:val="002B3F5D"/>
    <w:rsid w:val="002B46A6"/>
    <w:rsid w:val="002B4CCF"/>
    <w:rsid w:val="002B6FA2"/>
    <w:rsid w:val="002B7CF8"/>
    <w:rsid w:val="002C0625"/>
    <w:rsid w:val="002C0BF3"/>
    <w:rsid w:val="002C1B62"/>
    <w:rsid w:val="002C2924"/>
    <w:rsid w:val="002C3CC3"/>
    <w:rsid w:val="002C4451"/>
    <w:rsid w:val="002C609D"/>
    <w:rsid w:val="002C7256"/>
    <w:rsid w:val="002D15A9"/>
    <w:rsid w:val="002D2F0B"/>
    <w:rsid w:val="002D3479"/>
    <w:rsid w:val="002D35AA"/>
    <w:rsid w:val="002D503F"/>
    <w:rsid w:val="002D5B4C"/>
    <w:rsid w:val="002D7236"/>
    <w:rsid w:val="002E019D"/>
    <w:rsid w:val="002E0CCE"/>
    <w:rsid w:val="002E109D"/>
    <w:rsid w:val="002E1F68"/>
    <w:rsid w:val="002E2ACF"/>
    <w:rsid w:val="002E33A8"/>
    <w:rsid w:val="002E33F1"/>
    <w:rsid w:val="002E4C5A"/>
    <w:rsid w:val="002E54ED"/>
    <w:rsid w:val="002E7C9B"/>
    <w:rsid w:val="002F05C1"/>
    <w:rsid w:val="002F1132"/>
    <w:rsid w:val="002F370C"/>
    <w:rsid w:val="00300712"/>
    <w:rsid w:val="00302B56"/>
    <w:rsid w:val="00302C3D"/>
    <w:rsid w:val="00303F1A"/>
    <w:rsid w:val="0030414B"/>
    <w:rsid w:val="00305B2A"/>
    <w:rsid w:val="00305D50"/>
    <w:rsid w:val="003077EF"/>
    <w:rsid w:val="00311D0C"/>
    <w:rsid w:val="00315FB9"/>
    <w:rsid w:val="00317CF7"/>
    <w:rsid w:val="00320ABC"/>
    <w:rsid w:val="00320EB1"/>
    <w:rsid w:val="00321AAF"/>
    <w:rsid w:val="00321D17"/>
    <w:rsid w:val="003220CB"/>
    <w:rsid w:val="0032265B"/>
    <w:rsid w:val="00322D81"/>
    <w:rsid w:val="0032311C"/>
    <w:rsid w:val="00323BB5"/>
    <w:rsid w:val="00323D68"/>
    <w:rsid w:val="00323D6B"/>
    <w:rsid w:val="00325507"/>
    <w:rsid w:val="00326E61"/>
    <w:rsid w:val="0033242A"/>
    <w:rsid w:val="003325D8"/>
    <w:rsid w:val="00332B47"/>
    <w:rsid w:val="00334E1F"/>
    <w:rsid w:val="00334EDA"/>
    <w:rsid w:val="00336456"/>
    <w:rsid w:val="003402E3"/>
    <w:rsid w:val="00340E35"/>
    <w:rsid w:val="00340FAA"/>
    <w:rsid w:val="003418F0"/>
    <w:rsid w:val="00341C9F"/>
    <w:rsid w:val="00341CD9"/>
    <w:rsid w:val="00341D99"/>
    <w:rsid w:val="00341EBE"/>
    <w:rsid w:val="003422AF"/>
    <w:rsid w:val="0034299F"/>
    <w:rsid w:val="00342F0E"/>
    <w:rsid w:val="0034328B"/>
    <w:rsid w:val="003436B5"/>
    <w:rsid w:val="00343DBB"/>
    <w:rsid w:val="00344DA7"/>
    <w:rsid w:val="00345786"/>
    <w:rsid w:val="00347561"/>
    <w:rsid w:val="00347840"/>
    <w:rsid w:val="003510A3"/>
    <w:rsid w:val="003514D8"/>
    <w:rsid w:val="003516B3"/>
    <w:rsid w:val="00351DDC"/>
    <w:rsid w:val="00351FDA"/>
    <w:rsid w:val="00353184"/>
    <w:rsid w:val="00353B7E"/>
    <w:rsid w:val="00355886"/>
    <w:rsid w:val="0035752E"/>
    <w:rsid w:val="00360D7D"/>
    <w:rsid w:val="00361FF5"/>
    <w:rsid w:val="00363DE2"/>
    <w:rsid w:val="003642DA"/>
    <w:rsid w:val="00364A60"/>
    <w:rsid w:val="00365FF0"/>
    <w:rsid w:val="00366AC6"/>
    <w:rsid w:val="00367162"/>
    <w:rsid w:val="00370B1E"/>
    <w:rsid w:val="00371AD9"/>
    <w:rsid w:val="0037251B"/>
    <w:rsid w:val="00372D3B"/>
    <w:rsid w:val="00373F29"/>
    <w:rsid w:val="0037465B"/>
    <w:rsid w:val="00374A0D"/>
    <w:rsid w:val="00375AAE"/>
    <w:rsid w:val="00376E8D"/>
    <w:rsid w:val="00380159"/>
    <w:rsid w:val="003803B2"/>
    <w:rsid w:val="00381410"/>
    <w:rsid w:val="00381436"/>
    <w:rsid w:val="00381A01"/>
    <w:rsid w:val="0038237F"/>
    <w:rsid w:val="0038271E"/>
    <w:rsid w:val="00382B09"/>
    <w:rsid w:val="00384028"/>
    <w:rsid w:val="003840A3"/>
    <w:rsid w:val="00386027"/>
    <w:rsid w:val="0038614A"/>
    <w:rsid w:val="00391221"/>
    <w:rsid w:val="00392F90"/>
    <w:rsid w:val="0039361E"/>
    <w:rsid w:val="003938F0"/>
    <w:rsid w:val="00394AB0"/>
    <w:rsid w:val="003A078F"/>
    <w:rsid w:val="003A0B3D"/>
    <w:rsid w:val="003A1113"/>
    <w:rsid w:val="003A2778"/>
    <w:rsid w:val="003A28E3"/>
    <w:rsid w:val="003A2AA0"/>
    <w:rsid w:val="003A449C"/>
    <w:rsid w:val="003A4634"/>
    <w:rsid w:val="003A56C1"/>
    <w:rsid w:val="003A59EB"/>
    <w:rsid w:val="003A59FB"/>
    <w:rsid w:val="003B0554"/>
    <w:rsid w:val="003B0F76"/>
    <w:rsid w:val="003B1A87"/>
    <w:rsid w:val="003B1DBC"/>
    <w:rsid w:val="003B2000"/>
    <w:rsid w:val="003B2137"/>
    <w:rsid w:val="003B2D4C"/>
    <w:rsid w:val="003B309C"/>
    <w:rsid w:val="003B426A"/>
    <w:rsid w:val="003B670C"/>
    <w:rsid w:val="003B7352"/>
    <w:rsid w:val="003B791E"/>
    <w:rsid w:val="003C1369"/>
    <w:rsid w:val="003C188C"/>
    <w:rsid w:val="003C36CA"/>
    <w:rsid w:val="003C3861"/>
    <w:rsid w:val="003C457D"/>
    <w:rsid w:val="003C6689"/>
    <w:rsid w:val="003C6CB7"/>
    <w:rsid w:val="003C6F38"/>
    <w:rsid w:val="003C7B03"/>
    <w:rsid w:val="003D123F"/>
    <w:rsid w:val="003D2294"/>
    <w:rsid w:val="003D2AAC"/>
    <w:rsid w:val="003D3349"/>
    <w:rsid w:val="003D41F9"/>
    <w:rsid w:val="003D4467"/>
    <w:rsid w:val="003D4E5B"/>
    <w:rsid w:val="003D5AE8"/>
    <w:rsid w:val="003D5BF1"/>
    <w:rsid w:val="003D6D2B"/>
    <w:rsid w:val="003D6EBA"/>
    <w:rsid w:val="003D7E00"/>
    <w:rsid w:val="003D7F73"/>
    <w:rsid w:val="003E0D34"/>
    <w:rsid w:val="003E2402"/>
    <w:rsid w:val="003E6769"/>
    <w:rsid w:val="003E7EA4"/>
    <w:rsid w:val="003F0663"/>
    <w:rsid w:val="003F1387"/>
    <w:rsid w:val="003F1DAD"/>
    <w:rsid w:val="003F243B"/>
    <w:rsid w:val="003F2EB7"/>
    <w:rsid w:val="003F4461"/>
    <w:rsid w:val="003F48BF"/>
    <w:rsid w:val="003F6152"/>
    <w:rsid w:val="003F6487"/>
    <w:rsid w:val="003F6E8A"/>
    <w:rsid w:val="003F7FD6"/>
    <w:rsid w:val="00400290"/>
    <w:rsid w:val="00400EB9"/>
    <w:rsid w:val="00401693"/>
    <w:rsid w:val="00402840"/>
    <w:rsid w:val="00403829"/>
    <w:rsid w:val="00403B65"/>
    <w:rsid w:val="004065AB"/>
    <w:rsid w:val="00406B4A"/>
    <w:rsid w:val="004077B4"/>
    <w:rsid w:val="00412287"/>
    <w:rsid w:val="00412765"/>
    <w:rsid w:val="004141F9"/>
    <w:rsid w:val="00414AFA"/>
    <w:rsid w:val="00416FCE"/>
    <w:rsid w:val="00417613"/>
    <w:rsid w:val="00421D71"/>
    <w:rsid w:val="00422631"/>
    <w:rsid w:val="0042422B"/>
    <w:rsid w:val="004242C9"/>
    <w:rsid w:val="00424DD0"/>
    <w:rsid w:val="00430509"/>
    <w:rsid w:val="004310FE"/>
    <w:rsid w:val="00431C6F"/>
    <w:rsid w:val="00434246"/>
    <w:rsid w:val="004364CB"/>
    <w:rsid w:val="00436B0D"/>
    <w:rsid w:val="00436E97"/>
    <w:rsid w:val="004377F4"/>
    <w:rsid w:val="00437DA4"/>
    <w:rsid w:val="004405D6"/>
    <w:rsid w:val="00441FE9"/>
    <w:rsid w:val="004420D1"/>
    <w:rsid w:val="00443D77"/>
    <w:rsid w:val="00444F2D"/>
    <w:rsid w:val="00444F3F"/>
    <w:rsid w:val="00445ACE"/>
    <w:rsid w:val="00447F97"/>
    <w:rsid w:val="00450BC6"/>
    <w:rsid w:val="00450F40"/>
    <w:rsid w:val="00451237"/>
    <w:rsid w:val="00452A12"/>
    <w:rsid w:val="00452B73"/>
    <w:rsid w:val="00454F59"/>
    <w:rsid w:val="00456C74"/>
    <w:rsid w:val="00460CAE"/>
    <w:rsid w:val="00464771"/>
    <w:rsid w:val="00466610"/>
    <w:rsid w:val="004677BF"/>
    <w:rsid w:val="00467DFE"/>
    <w:rsid w:val="00470487"/>
    <w:rsid w:val="00470549"/>
    <w:rsid w:val="00470C16"/>
    <w:rsid w:val="00473C66"/>
    <w:rsid w:val="00473FAA"/>
    <w:rsid w:val="00474A80"/>
    <w:rsid w:val="00474CB7"/>
    <w:rsid w:val="00475C80"/>
    <w:rsid w:val="00475EB4"/>
    <w:rsid w:val="0047649C"/>
    <w:rsid w:val="0047764E"/>
    <w:rsid w:val="00477A4F"/>
    <w:rsid w:val="00480EB7"/>
    <w:rsid w:val="00482487"/>
    <w:rsid w:val="0048279E"/>
    <w:rsid w:val="004828D0"/>
    <w:rsid w:val="0048576C"/>
    <w:rsid w:val="004862A4"/>
    <w:rsid w:val="00486E42"/>
    <w:rsid w:val="00490009"/>
    <w:rsid w:val="00490085"/>
    <w:rsid w:val="00491262"/>
    <w:rsid w:val="00491609"/>
    <w:rsid w:val="00491B15"/>
    <w:rsid w:val="004963B8"/>
    <w:rsid w:val="00497A2F"/>
    <w:rsid w:val="004A0AD4"/>
    <w:rsid w:val="004A2166"/>
    <w:rsid w:val="004A4A9B"/>
    <w:rsid w:val="004A51DC"/>
    <w:rsid w:val="004A6997"/>
    <w:rsid w:val="004A7348"/>
    <w:rsid w:val="004B1F70"/>
    <w:rsid w:val="004B296D"/>
    <w:rsid w:val="004B74BB"/>
    <w:rsid w:val="004C1711"/>
    <w:rsid w:val="004C3938"/>
    <w:rsid w:val="004C50FF"/>
    <w:rsid w:val="004C5B4B"/>
    <w:rsid w:val="004D0EF6"/>
    <w:rsid w:val="004D1081"/>
    <w:rsid w:val="004D1C54"/>
    <w:rsid w:val="004D2A07"/>
    <w:rsid w:val="004D3586"/>
    <w:rsid w:val="004D4701"/>
    <w:rsid w:val="004D4A27"/>
    <w:rsid w:val="004D5190"/>
    <w:rsid w:val="004E29A6"/>
    <w:rsid w:val="004E6BCF"/>
    <w:rsid w:val="004E6FBC"/>
    <w:rsid w:val="004E78AF"/>
    <w:rsid w:val="004F2FA0"/>
    <w:rsid w:val="004F39CA"/>
    <w:rsid w:val="004F5B74"/>
    <w:rsid w:val="004F69F9"/>
    <w:rsid w:val="004F6FFD"/>
    <w:rsid w:val="004F71A5"/>
    <w:rsid w:val="004F7F43"/>
    <w:rsid w:val="0050107D"/>
    <w:rsid w:val="0050122C"/>
    <w:rsid w:val="00502F79"/>
    <w:rsid w:val="0050348A"/>
    <w:rsid w:val="00503930"/>
    <w:rsid w:val="00504B7A"/>
    <w:rsid w:val="005056F1"/>
    <w:rsid w:val="005059A2"/>
    <w:rsid w:val="00507119"/>
    <w:rsid w:val="00507D17"/>
    <w:rsid w:val="005118E1"/>
    <w:rsid w:val="0051200F"/>
    <w:rsid w:val="0051204A"/>
    <w:rsid w:val="0051207B"/>
    <w:rsid w:val="00512169"/>
    <w:rsid w:val="00512587"/>
    <w:rsid w:val="005134E1"/>
    <w:rsid w:val="00513726"/>
    <w:rsid w:val="00514730"/>
    <w:rsid w:val="00514E6C"/>
    <w:rsid w:val="00514FB8"/>
    <w:rsid w:val="00515925"/>
    <w:rsid w:val="0051703B"/>
    <w:rsid w:val="00517CE7"/>
    <w:rsid w:val="00520952"/>
    <w:rsid w:val="00523675"/>
    <w:rsid w:val="00523809"/>
    <w:rsid w:val="00523C41"/>
    <w:rsid w:val="00524015"/>
    <w:rsid w:val="0052592A"/>
    <w:rsid w:val="00526EEC"/>
    <w:rsid w:val="0052764A"/>
    <w:rsid w:val="00527F26"/>
    <w:rsid w:val="00530A65"/>
    <w:rsid w:val="00530D50"/>
    <w:rsid w:val="005328DC"/>
    <w:rsid w:val="00534D98"/>
    <w:rsid w:val="005350A5"/>
    <w:rsid w:val="00535878"/>
    <w:rsid w:val="0053613C"/>
    <w:rsid w:val="005363C6"/>
    <w:rsid w:val="00541118"/>
    <w:rsid w:val="00542B51"/>
    <w:rsid w:val="00543A2D"/>
    <w:rsid w:val="00544075"/>
    <w:rsid w:val="0054491B"/>
    <w:rsid w:val="0054682C"/>
    <w:rsid w:val="005468E0"/>
    <w:rsid w:val="00547C8C"/>
    <w:rsid w:val="00550715"/>
    <w:rsid w:val="0055153D"/>
    <w:rsid w:val="00552261"/>
    <w:rsid w:val="00552378"/>
    <w:rsid w:val="00552572"/>
    <w:rsid w:val="00552690"/>
    <w:rsid w:val="00552E04"/>
    <w:rsid w:val="00553543"/>
    <w:rsid w:val="0055393D"/>
    <w:rsid w:val="00554FF8"/>
    <w:rsid w:val="0055544E"/>
    <w:rsid w:val="00555DC5"/>
    <w:rsid w:val="00556703"/>
    <w:rsid w:val="00557E8D"/>
    <w:rsid w:val="005605A7"/>
    <w:rsid w:val="00560EFB"/>
    <w:rsid w:val="005622F5"/>
    <w:rsid w:val="00564825"/>
    <w:rsid w:val="00564C75"/>
    <w:rsid w:val="005652E8"/>
    <w:rsid w:val="00565800"/>
    <w:rsid w:val="00566983"/>
    <w:rsid w:val="00566ED6"/>
    <w:rsid w:val="00567BA5"/>
    <w:rsid w:val="00570602"/>
    <w:rsid w:val="00570B9D"/>
    <w:rsid w:val="00570D83"/>
    <w:rsid w:val="005744E0"/>
    <w:rsid w:val="005752DB"/>
    <w:rsid w:val="00576BA1"/>
    <w:rsid w:val="00576BE1"/>
    <w:rsid w:val="00582197"/>
    <w:rsid w:val="0058262C"/>
    <w:rsid w:val="00582A31"/>
    <w:rsid w:val="00582C12"/>
    <w:rsid w:val="00584AA5"/>
    <w:rsid w:val="0059117B"/>
    <w:rsid w:val="00591F81"/>
    <w:rsid w:val="005925AF"/>
    <w:rsid w:val="00596278"/>
    <w:rsid w:val="00596BDD"/>
    <w:rsid w:val="00597E25"/>
    <w:rsid w:val="005A0603"/>
    <w:rsid w:val="005A0D98"/>
    <w:rsid w:val="005A1308"/>
    <w:rsid w:val="005A2A7A"/>
    <w:rsid w:val="005A4028"/>
    <w:rsid w:val="005A5F76"/>
    <w:rsid w:val="005A6474"/>
    <w:rsid w:val="005A6781"/>
    <w:rsid w:val="005A6AF1"/>
    <w:rsid w:val="005A7681"/>
    <w:rsid w:val="005A7A64"/>
    <w:rsid w:val="005B0D70"/>
    <w:rsid w:val="005B2021"/>
    <w:rsid w:val="005B33CD"/>
    <w:rsid w:val="005B34C9"/>
    <w:rsid w:val="005B41D4"/>
    <w:rsid w:val="005B4EC2"/>
    <w:rsid w:val="005B5E39"/>
    <w:rsid w:val="005B5F39"/>
    <w:rsid w:val="005B7FB1"/>
    <w:rsid w:val="005C1FD9"/>
    <w:rsid w:val="005C3683"/>
    <w:rsid w:val="005C4476"/>
    <w:rsid w:val="005C4E57"/>
    <w:rsid w:val="005C57F6"/>
    <w:rsid w:val="005C7014"/>
    <w:rsid w:val="005C725C"/>
    <w:rsid w:val="005C72E8"/>
    <w:rsid w:val="005C7949"/>
    <w:rsid w:val="005C7E01"/>
    <w:rsid w:val="005D42D7"/>
    <w:rsid w:val="005D65D1"/>
    <w:rsid w:val="005D6AD0"/>
    <w:rsid w:val="005E0901"/>
    <w:rsid w:val="005E13FD"/>
    <w:rsid w:val="005E18A0"/>
    <w:rsid w:val="005E190D"/>
    <w:rsid w:val="005E2083"/>
    <w:rsid w:val="005E237D"/>
    <w:rsid w:val="005E2589"/>
    <w:rsid w:val="005E2C18"/>
    <w:rsid w:val="005E39B2"/>
    <w:rsid w:val="005E48DB"/>
    <w:rsid w:val="005E4CA9"/>
    <w:rsid w:val="005E4D4D"/>
    <w:rsid w:val="005E4FC1"/>
    <w:rsid w:val="005E52AA"/>
    <w:rsid w:val="005E7940"/>
    <w:rsid w:val="005E7D00"/>
    <w:rsid w:val="005F099E"/>
    <w:rsid w:val="005F1621"/>
    <w:rsid w:val="005F4B0C"/>
    <w:rsid w:val="005F6A98"/>
    <w:rsid w:val="005F7339"/>
    <w:rsid w:val="005F7371"/>
    <w:rsid w:val="00601A50"/>
    <w:rsid w:val="0060240E"/>
    <w:rsid w:val="00602476"/>
    <w:rsid w:val="006037FA"/>
    <w:rsid w:val="00603F19"/>
    <w:rsid w:val="0060490D"/>
    <w:rsid w:val="0060741A"/>
    <w:rsid w:val="0060752E"/>
    <w:rsid w:val="00614004"/>
    <w:rsid w:val="0061586A"/>
    <w:rsid w:val="00616A47"/>
    <w:rsid w:val="006220A9"/>
    <w:rsid w:val="006222EA"/>
    <w:rsid w:val="00622858"/>
    <w:rsid w:val="00624467"/>
    <w:rsid w:val="00624DC2"/>
    <w:rsid w:val="00624E16"/>
    <w:rsid w:val="00624ED4"/>
    <w:rsid w:val="006259B7"/>
    <w:rsid w:val="006276B4"/>
    <w:rsid w:val="00630D05"/>
    <w:rsid w:val="0063102D"/>
    <w:rsid w:val="00632EEA"/>
    <w:rsid w:val="00634F2E"/>
    <w:rsid w:val="00643F95"/>
    <w:rsid w:val="0064421C"/>
    <w:rsid w:val="006464D9"/>
    <w:rsid w:val="00653CF5"/>
    <w:rsid w:val="00655F9E"/>
    <w:rsid w:val="00655FA8"/>
    <w:rsid w:val="006570A9"/>
    <w:rsid w:val="006570D6"/>
    <w:rsid w:val="00661FC3"/>
    <w:rsid w:val="0066283C"/>
    <w:rsid w:val="0066285A"/>
    <w:rsid w:val="00663C27"/>
    <w:rsid w:val="006640B7"/>
    <w:rsid w:val="006641AB"/>
    <w:rsid w:val="00664667"/>
    <w:rsid w:val="006662AF"/>
    <w:rsid w:val="00666427"/>
    <w:rsid w:val="006679CB"/>
    <w:rsid w:val="006702BD"/>
    <w:rsid w:val="00670D34"/>
    <w:rsid w:val="006713B0"/>
    <w:rsid w:val="006726E7"/>
    <w:rsid w:val="00672CA8"/>
    <w:rsid w:val="00673327"/>
    <w:rsid w:val="00673868"/>
    <w:rsid w:val="00674E20"/>
    <w:rsid w:val="00675054"/>
    <w:rsid w:val="006757F3"/>
    <w:rsid w:val="00675933"/>
    <w:rsid w:val="006763CD"/>
    <w:rsid w:val="006766FC"/>
    <w:rsid w:val="0068057E"/>
    <w:rsid w:val="00680A41"/>
    <w:rsid w:val="00681A46"/>
    <w:rsid w:val="00682547"/>
    <w:rsid w:val="006827D1"/>
    <w:rsid w:val="00682D8B"/>
    <w:rsid w:val="0068403A"/>
    <w:rsid w:val="0068559F"/>
    <w:rsid w:val="00685A02"/>
    <w:rsid w:val="00687B87"/>
    <w:rsid w:val="00690C3D"/>
    <w:rsid w:val="0069153F"/>
    <w:rsid w:val="00692500"/>
    <w:rsid w:val="00692C8B"/>
    <w:rsid w:val="0069373B"/>
    <w:rsid w:val="00693795"/>
    <w:rsid w:val="00693870"/>
    <w:rsid w:val="006943A8"/>
    <w:rsid w:val="00695421"/>
    <w:rsid w:val="00695657"/>
    <w:rsid w:val="00695813"/>
    <w:rsid w:val="006A2136"/>
    <w:rsid w:val="006A3446"/>
    <w:rsid w:val="006A43F4"/>
    <w:rsid w:val="006A44CD"/>
    <w:rsid w:val="006A5B0C"/>
    <w:rsid w:val="006B08CC"/>
    <w:rsid w:val="006B0982"/>
    <w:rsid w:val="006B2407"/>
    <w:rsid w:val="006B27D3"/>
    <w:rsid w:val="006B466B"/>
    <w:rsid w:val="006B59DA"/>
    <w:rsid w:val="006B6289"/>
    <w:rsid w:val="006B73D7"/>
    <w:rsid w:val="006C06A6"/>
    <w:rsid w:val="006C0967"/>
    <w:rsid w:val="006C0FE7"/>
    <w:rsid w:val="006C13E8"/>
    <w:rsid w:val="006C1A3C"/>
    <w:rsid w:val="006C1B3C"/>
    <w:rsid w:val="006C1D85"/>
    <w:rsid w:val="006C315B"/>
    <w:rsid w:val="006C3D3D"/>
    <w:rsid w:val="006C687C"/>
    <w:rsid w:val="006D1387"/>
    <w:rsid w:val="006D2E3C"/>
    <w:rsid w:val="006D34B8"/>
    <w:rsid w:val="006D44B1"/>
    <w:rsid w:val="006D55C7"/>
    <w:rsid w:val="006D655D"/>
    <w:rsid w:val="006D669C"/>
    <w:rsid w:val="006D6BFC"/>
    <w:rsid w:val="006D6FF3"/>
    <w:rsid w:val="006D7400"/>
    <w:rsid w:val="006D7C45"/>
    <w:rsid w:val="006D7D00"/>
    <w:rsid w:val="006E0424"/>
    <w:rsid w:val="006E084C"/>
    <w:rsid w:val="006E159A"/>
    <w:rsid w:val="006E17A3"/>
    <w:rsid w:val="006E2077"/>
    <w:rsid w:val="006E35A6"/>
    <w:rsid w:val="006E396F"/>
    <w:rsid w:val="006E4030"/>
    <w:rsid w:val="006E40CA"/>
    <w:rsid w:val="006E57AC"/>
    <w:rsid w:val="006E5E9C"/>
    <w:rsid w:val="006E641E"/>
    <w:rsid w:val="006E7748"/>
    <w:rsid w:val="006E774C"/>
    <w:rsid w:val="006F1B73"/>
    <w:rsid w:val="006F44EC"/>
    <w:rsid w:val="006F6334"/>
    <w:rsid w:val="006F6A8F"/>
    <w:rsid w:val="006F77A2"/>
    <w:rsid w:val="006F7BE5"/>
    <w:rsid w:val="007003FE"/>
    <w:rsid w:val="00700571"/>
    <w:rsid w:val="00700F1B"/>
    <w:rsid w:val="007011CB"/>
    <w:rsid w:val="00701654"/>
    <w:rsid w:val="00701AFB"/>
    <w:rsid w:val="00702063"/>
    <w:rsid w:val="00703EF6"/>
    <w:rsid w:val="007072B5"/>
    <w:rsid w:val="007077AF"/>
    <w:rsid w:val="00707A53"/>
    <w:rsid w:val="00710A10"/>
    <w:rsid w:val="00711912"/>
    <w:rsid w:val="00711FEA"/>
    <w:rsid w:val="0071478E"/>
    <w:rsid w:val="00714BAC"/>
    <w:rsid w:val="00714FF4"/>
    <w:rsid w:val="00716D34"/>
    <w:rsid w:val="0072086C"/>
    <w:rsid w:val="00720FC9"/>
    <w:rsid w:val="00724201"/>
    <w:rsid w:val="00726400"/>
    <w:rsid w:val="00731C6B"/>
    <w:rsid w:val="00731D63"/>
    <w:rsid w:val="0073375B"/>
    <w:rsid w:val="00733EDF"/>
    <w:rsid w:val="007344BF"/>
    <w:rsid w:val="00741189"/>
    <w:rsid w:val="00742AEF"/>
    <w:rsid w:val="0074307D"/>
    <w:rsid w:val="00744912"/>
    <w:rsid w:val="00744ACE"/>
    <w:rsid w:val="00744B35"/>
    <w:rsid w:val="007453A4"/>
    <w:rsid w:val="0074616F"/>
    <w:rsid w:val="0075072B"/>
    <w:rsid w:val="00752AF2"/>
    <w:rsid w:val="00753D02"/>
    <w:rsid w:val="00755C0A"/>
    <w:rsid w:val="007569D2"/>
    <w:rsid w:val="00757631"/>
    <w:rsid w:val="00760C90"/>
    <w:rsid w:val="00761574"/>
    <w:rsid w:val="00764DB8"/>
    <w:rsid w:val="0076504B"/>
    <w:rsid w:val="0076584F"/>
    <w:rsid w:val="007673FC"/>
    <w:rsid w:val="00770987"/>
    <w:rsid w:val="00770C64"/>
    <w:rsid w:val="00772AC0"/>
    <w:rsid w:val="00773DB9"/>
    <w:rsid w:val="007755DE"/>
    <w:rsid w:val="0077610C"/>
    <w:rsid w:val="00776B55"/>
    <w:rsid w:val="00776FDE"/>
    <w:rsid w:val="00777E30"/>
    <w:rsid w:val="00781043"/>
    <w:rsid w:val="00782364"/>
    <w:rsid w:val="00783FA5"/>
    <w:rsid w:val="007843C5"/>
    <w:rsid w:val="007849FB"/>
    <w:rsid w:val="00784CA0"/>
    <w:rsid w:val="00787D71"/>
    <w:rsid w:val="00791061"/>
    <w:rsid w:val="00791339"/>
    <w:rsid w:val="00791F7A"/>
    <w:rsid w:val="00793655"/>
    <w:rsid w:val="00793FB8"/>
    <w:rsid w:val="007947ED"/>
    <w:rsid w:val="00794D87"/>
    <w:rsid w:val="00795913"/>
    <w:rsid w:val="00795A2F"/>
    <w:rsid w:val="00795CD4"/>
    <w:rsid w:val="007A1AE8"/>
    <w:rsid w:val="007A1D35"/>
    <w:rsid w:val="007A2238"/>
    <w:rsid w:val="007A2EF6"/>
    <w:rsid w:val="007A489B"/>
    <w:rsid w:val="007A4E87"/>
    <w:rsid w:val="007A4F01"/>
    <w:rsid w:val="007A5847"/>
    <w:rsid w:val="007A5A89"/>
    <w:rsid w:val="007A7E8C"/>
    <w:rsid w:val="007B00C8"/>
    <w:rsid w:val="007B18E6"/>
    <w:rsid w:val="007B19FD"/>
    <w:rsid w:val="007B1A88"/>
    <w:rsid w:val="007B1ADE"/>
    <w:rsid w:val="007B1C69"/>
    <w:rsid w:val="007B1D68"/>
    <w:rsid w:val="007B292B"/>
    <w:rsid w:val="007B2BA0"/>
    <w:rsid w:val="007B5059"/>
    <w:rsid w:val="007B5D16"/>
    <w:rsid w:val="007B6C3E"/>
    <w:rsid w:val="007B7960"/>
    <w:rsid w:val="007C051F"/>
    <w:rsid w:val="007C1878"/>
    <w:rsid w:val="007C1F27"/>
    <w:rsid w:val="007C1FCE"/>
    <w:rsid w:val="007C2284"/>
    <w:rsid w:val="007C27DA"/>
    <w:rsid w:val="007C2D93"/>
    <w:rsid w:val="007C3556"/>
    <w:rsid w:val="007C3695"/>
    <w:rsid w:val="007C37A6"/>
    <w:rsid w:val="007C521A"/>
    <w:rsid w:val="007C73AF"/>
    <w:rsid w:val="007C765E"/>
    <w:rsid w:val="007D0BA9"/>
    <w:rsid w:val="007D196A"/>
    <w:rsid w:val="007D1A8D"/>
    <w:rsid w:val="007D2416"/>
    <w:rsid w:val="007D291F"/>
    <w:rsid w:val="007D2AE1"/>
    <w:rsid w:val="007D458B"/>
    <w:rsid w:val="007D4CBB"/>
    <w:rsid w:val="007D4E4C"/>
    <w:rsid w:val="007D50AB"/>
    <w:rsid w:val="007D51D2"/>
    <w:rsid w:val="007D6627"/>
    <w:rsid w:val="007D6B88"/>
    <w:rsid w:val="007D6DA0"/>
    <w:rsid w:val="007D7E56"/>
    <w:rsid w:val="007E00BD"/>
    <w:rsid w:val="007E05E8"/>
    <w:rsid w:val="007E06FC"/>
    <w:rsid w:val="007E0BD3"/>
    <w:rsid w:val="007E2FFF"/>
    <w:rsid w:val="007E635D"/>
    <w:rsid w:val="007E68E0"/>
    <w:rsid w:val="007E7ACB"/>
    <w:rsid w:val="007F0A7E"/>
    <w:rsid w:val="007F0B6D"/>
    <w:rsid w:val="007F1315"/>
    <w:rsid w:val="007F1B41"/>
    <w:rsid w:val="007F586C"/>
    <w:rsid w:val="007F5BD7"/>
    <w:rsid w:val="007F5D51"/>
    <w:rsid w:val="007F69ED"/>
    <w:rsid w:val="007F7963"/>
    <w:rsid w:val="00800106"/>
    <w:rsid w:val="00800B4E"/>
    <w:rsid w:val="008012FE"/>
    <w:rsid w:val="008016DC"/>
    <w:rsid w:val="00801BE7"/>
    <w:rsid w:val="00801E55"/>
    <w:rsid w:val="00801EE2"/>
    <w:rsid w:val="00805758"/>
    <w:rsid w:val="00805A07"/>
    <w:rsid w:val="00807B52"/>
    <w:rsid w:val="00810519"/>
    <w:rsid w:val="0081086C"/>
    <w:rsid w:val="008145DE"/>
    <w:rsid w:val="00817172"/>
    <w:rsid w:val="008174F4"/>
    <w:rsid w:val="00820E7D"/>
    <w:rsid w:val="00821AFB"/>
    <w:rsid w:val="00822D3C"/>
    <w:rsid w:val="00823255"/>
    <w:rsid w:val="00823959"/>
    <w:rsid w:val="00823ECB"/>
    <w:rsid w:val="008240DF"/>
    <w:rsid w:val="0082479F"/>
    <w:rsid w:val="008251C8"/>
    <w:rsid w:val="00827055"/>
    <w:rsid w:val="0083040B"/>
    <w:rsid w:val="00831D09"/>
    <w:rsid w:val="0083277D"/>
    <w:rsid w:val="00832B1A"/>
    <w:rsid w:val="008342FA"/>
    <w:rsid w:val="008344A6"/>
    <w:rsid w:val="00834FC5"/>
    <w:rsid w:val="008403A6"/>
    <w:rsid w:val="0084042D"/>
    <w:rsid w:val="00842112"/>
    <w:rsid w:val="00842BBA"/>
    <w:rsid w:val="0084331E"/>
    <w:rsid w:val="00844431"/>
    <w:rsid w:val="008446EA"/>
    <w:rsid w:val="00846A3A"/>
    <w:rsid w:val="008476CF"/>
    <w:rsid w:val="00850680"/>
    <w:rsid w:val="008513A0"/>
    <w:rsid w:val="00851E47"/>
    <w:rsid w:val="00853EA4"/>
    <w:rsid w:val="0085405D"/>
    <w:rsid w:val="00854BFA"/>
    <w:rsid w:val="0085524E"/>
    <w:rsid w:val="008552E5"/>
    <w:rsid w:val="008564E0"/>
    <w:rsid w:val="008624AB"/>
    <w:rsid w:val="00862516"/>
    <w:rsid w:val="008634B0"/>
    <w:rsid w:val="0086437F"/>
    <w:rsid w:val="008649B9"/>
    <w:rsid w:val="00864E7C"/>
    <w:rsid w:val="008651F4"/>
    <w:rsid w:val="008655F5"/>
    <w:rsid w:val="0086563E"/>
    <w:rsid w:val="00866648"/>
    <w:rsid w:val="00867683"/>
    <w:rsid w:val="008705EB"/>
    <w:rsid w:val="00873BFE"/>
    <w:rsid w:val="00873C65"/>
    <w:rsid w:val="00876200"/>
    <w:rsid w:val="00876874"/>
    <w:rsid w:val="008777BD"/>
    <w:rsid w:val="00880046"/>
    <w:rsid w:val="00880054"/>
    <w:rsid w:val="00880EAC"/>
    <w:rsid w:val="0088253C"/>
    <w:rsid w:val="0088291F"/>
    <w:rsid w:val="008835BA"/>
    <w:rsid w:val="00884940"/>
    <w:rsid w:val="00886CDD"/>
    <w:rsid w:val="00887FB9"/>
    <w:rsid w:val="008900C0"/>
    <w:rsid w:val="00893251"/>
    <w:rsid w:val="00897AE0"/>
    <w:rsid w:val="00897D2C"/>
    <w:rsid w:val="00897F4B"/>
    <w:rsid w:val="008A0CEA"/>
    <w:rsid w:val="008A1839"/>
    <w:rsid w:val="008A19F1"/>
    <w:rsid w:val="008A3DD7"/>
    <w:rsid w:val="008A41EB"/>
    <w:rsid w:val="008A461B"/>
    <w:rsid w:val="008A4F57"/>
    <w:rsid w:val="008A5583"/>
    <w:rsid w:val="008A676A"/>
    <w:rsid w:val="008A6C75"/>
    <w:rsid w:val="008B0534"/>
    <w:rsid w:val="008B0A53"/>
    <w:rsid w:val="008B24ED"/>
    <w:rsid w:val="008B4365"/>
    <w:rsid w:val="008B5D66"/>
    <w:rsid w:val="008B7500"/>
    <w:rsid w:val="008B7A42"/>
    <w:rsid w:val="008B7AB9"/>
    <w:rsid w:val="008C0138"/>
    <w:rsid w:val="008C0561"/>
    <w:rsid w:val="008C19DB"/>
    <w:rsid w:val="008C1F03"/>
    <w:rsid w:val="008C22C2"/>
    <w:rsid w:val="008C307E"/>
    <w:rsid w:val="008C40B8"/>
    <w:rsid w:val="008C4BA4"/>
    <w:rsid w:val="008C62E5"/>
    <w:rsid w:val="008C7C5B"/>
    <w:rsid w:val="008C7F8B"/>
    <w:rsid w:val="008C7FFB"/>
    <w:rsid w:val="008D084A"/>
    <w:rsid w:val="008D3506"/>
    <w:rsid w:val="008D516B"/>
    <w:rsid w:val="008D5964"/>
    <w:rsid w:val="008D6240"/>
    <w:rsid w:val="008D62D3"/>
    <w:rsid w:val="008D6575"/>
    <w:rsid w:val="008E02BF"/>
    <w:rsid w:val="008E1203"/>
    <w:rsid w:val="008E174D"/>
    <w:rsid w:val="008E24B9"/>
    <w:rsid w:val="008E33BA"/>
    <w:rsid w:val="008E347C"/>
    <w:rsid w:val="008E34C4"/>
    <w:rsid w:val="008E3584"/>
    <w:rsid w:val="008E35C4"/>
    <w:rsid w:val="008E3662"/>
    <w:rsid w:val="008E37D3"/>
    <w:rsid w:val="008E3E75"/>
    <w:rsid w:val="008E4B08"/>
    <w:rsid w:val="008F018F"/>
    <w:rsid w:val="008F0CA1"/>
    <w:rsid w:val="008F263C"/>
    <w:rsid w:val="008F2EB2"/>
    <w:rsid w:val="008F4CDB"/>
    <w:rsid w:val="008F525C"/>
    <w:rsid w:val="008F6DE4"/>
    <w:rsid w:val="00900181"/>
    <w:rsid w:val="00900B6A"/>
    <w:rsid w:val="00904FBC"/>
    <w:rsid w:val="009062D0"/>
    <w:rsid w:val="00906585"/>
    <w:rsid w:val="009069DA"/>
    <w:rsid w:val="0091013A"/>
    <w:rsid w:val="0091021F"/>
    <w:rsid w:val="00911837"/>
    <w:rsid w:val="00911CA0"/>
    <w:rsid w:val="00911F62"/>
    <w:rsid w:val="00912C5B"/>
    <w:rsid w:val="00913183"/>
    <w:rsid w:val="00913B10"/>
    <w:rsid w:val="00913BFD"/>
    <w:rsid w:val="00914096"/>
    <w:rsid w:val="00914D60"/>
    <w:rsid w:val="0091593D"/>
    <w:rsid w:val="0091663C"/>
    <w:rsid w:val="0091730E"/>
    <w:rsid w:val="00920A3D"/>
    <w:rsid w:val="009211D4"/>
    <w:rsid w:val="00921629"/>
    <w:rsid w:val="0092235F"/>
    <w:rsid w:val="00922B44"/>
    <w:rsid w:val="009243D3"/>
    <w:rsid w:val="009244D1"/>
    <w:rsid w:val="00924730"/>
    <w:rsid w:val="009271A1"/>
    <w:rsid w:val="00927C60"/>
    <w:rsid w:val="009320A9"/>
    <w:rsid w:val="00934275"/>
    <w:rsid w:val="0093557C"/>
    <w:rsid w:val="00935849"/>
    <w:rsid w:val="0093716B"/>
    <w:rsid w:val="0094057B"/>
    <w:rsid w:val="009407EE"/>
    <w:rsid w:val="00940BFF"/>
    <w:rsid w:val="00941430"/>
    <w:rsid w:val="00941F51"/>
    <w:rsid w:val="0094272F"/>
    <w:rsid w:val="00944349"/>
    <w:rsid w:val="00944B01"/>
    <w:rsid w:val="00945ACE"/>
    <w:rsid w:val="00946D58"/>
    <w:rsid w:val="00947536"/>
    <w:rsid w:val="00950382"/>
    <w:rsid w:val="00951210"/>
    <w:rsid w:val="00952D42"/>
    <w:rsid w:val="00953310"/>
    <w:rsid w:val="00954560"/>
    <w:rsid w:val="00954D17"/>
    <w:rsid w:val="00955287"/>
    <w:rsid w:val="00960113"/>
    <w:rsid w:val="009615D6"/>
    <w:rsid w:val="00962070"/>
    <w:rsid w:val="00962EEA"/>
    <w:rsid w:val="00962F7E"/>
    <w:rsid w:val="00963F75"/>
    <w:rsid w:val="009642D8"/>
    <w:rsid w:val="00964C4D"/>
    <w:rsid w:val="00964CA6"/>
    <w:rsid w:val="00964F3E"/>
    <w:rsid w:val="00965386"/>
    <w:rsid w:val="0096577F"/>
    <w:rsid w:val="00970896"/>
    <w:rsid w:val="009709AB"/>
    <w:rsid w:val="00970CA2"/>
    <w:rsid w:val="00971732"/>
    <w:rsid w:val="00971D29"/>
    <w:rsid w:val="00972EEA"/>
    <w:rsid w:val="009734DE"/>
    <w:rsid w:val="00974B7C"/>
    <w:rsid w:val="00975299"/>
    <w:rsid w:val="00975BF7"/>
    <w:rsid w:val="0097672A"/>
    <w:rsid w:val="009858BD"/>
    <w:rsid w:val="0099110F"/>
    <w:rsid w:val="009920BB"/>
    <w:rsid w:val="00992AA3"/>
    <w:rsid w:val="00995F14"/>
    <w:rsid w:val="0099603C"/>
    <w:rsid w:val="00997938"/>
    <w:rsid w:val="00997945"/>
    <w:rsid w:val="00997980"/>
    <w:rsid w:val="009A1355"/>
    <w:rsid w:val="009A2BF4"/>
    <w:rsid w:val="009A2D7C"/>
    <w:rsid w:val="009A38A6"/>
    <w:rsid w:val="009A3A0A"/>
    <w:rsid w:val="009A4102"/>
    <w:rsid w:val="009A51FA"/>
    <w:rsid w:val="009A61E5"/>
    <w:rsid w:val="009B119E"/>
    <w:rsid w:val="009B2C5F"/>
    <w:rsid w:val="009B2FAB"/>
    <w:rsid w:val="009B3F24"/>
    <w:rsid w:val="009B45B7"/>
    <w:rsid w:val="009B4C10"/>
    <w:rsid w:val="009B5D80"/>
    <w:rsid w:val="009B68C1"/>
    <w:rsid w:val="009B7452"/>
    <w:rsid w:val="009B7499"/>
    <w:rsid w:val="009C0980"/>
    <w:rsid w:val="009C3301"/>
    <w:rsid w:val="009C3394"/>
    <w:rsid w:val="009C37DF"/>
    <w:rsid w:val="009C3BDC"/>
    <w:rsid w:val="009C45E9"/>
    <w:rsid w:val="009C55F7"/>
    <w:rsid w:val="009D0389"/>
    <w:rsid w:val="009D047B"/>
    <w:rsid w:val="009D12DD"/>
    <w:rsid w:val="009D14D9"/>
    <w:rsid w:val="009D37E1"/>
    <w:rsid w:val="009D4EF2"/>
    <w:rsid w:val="009D50B5"/>
    <w:rsid w:val="009D52FF"/>
    <w:rsid w:val="009D585B"/>
    <w:rsid w:val="009D6181"/>
    <w:rsid w:val="009D662D"/>
    <w:rsid w:val="009D6BF4"/>
    <w:rsid w:val="009D7CD7"/>
    <w:rsid w:val="009E0A42"/>
    <w:rsid w:val="009E52E0"/>
    <w:rsid w:val="009E797B"/>
    <w:rsid w:val="009F484B"/>
    <w:rsid w:val="009F585D"/>
    <w:rsid w:val="009F596D"/>
    <w:rsid w:val="009F7DF1"/>
    <w:rsid w:val="00A002C7"/>
    <w:rsid w:val="00A01EF1"/>
    <w:rsid w:val="00A0382C"/>
    <w:rsid w:val="00A03F68"/>
    <w:rsid w:val="00A03F85"/>
    <w:rsid w:val="00A0476B"/>
    <w:rsid w:val="00A04ABA"/>
    <w:rsid w:val="00A055BB"/>
    <w:rsid w:val="00A05B4B"/>
    <w:rsid w:val="00A1002B"/>
    <w:rsid w:val="00A10F70"/>
    <w:rsid w:val="00A10F81"/>
    <w:rsid w:val="00A1153A"/>
    <w:rsid w:val="00A12EEE"/>
    <w:rsid w:val="00A13428"/>
    <w:rsid w:val="00A14ACD"/>
    <w:rsid w:val="00A15701"/>
    <w:rsid w:val="00A165D1"/>
    <w:rsid w:val="00A174A3"/>
    <w:rsid w:val="00A222F0"/>
    <w:rsid w:val="00A2231C"/>
    <w:rsid w:val="00A2424D"/>
    <w:rsid w:val="00A262DC"/>
    <w:rsid w:val="00A266F4"/>
    <w:rsid w:val="00A2714C"/>
    <w:rsid w:val="00A27539"/>
    <w:rsid w:val="00A27F4C"/>
    <w:rsid w:val="00A30DDF"/>
    <w:rsid w:val="00A3232A"/>
    <w:rsid w:val="00A33EFA"/>
    <w:rsid w:val="00A33FC3"/>
    <w:rsid w:val="00A343EA"/>
    <w:rsid w:val="00A34A8A"/>
    <w:rsid w:val="00A36B7E"/>
    <w:rsid w:val="00A40398"/>
    <w:rsid w:val="00A40435"/>
    <w:rsid w:val="00A40F40"/>
    <w:rsid w:val="00A42E64"/>
    <w:rsid w:val="00A438FA"/>
    <w:rsid w:val="00A43D09"/>
    <w:rsid w:val="00A43D23"/>
    <w:rsid w:val="00A43F5A"/>
    <w:rsid w:val="00A44518"/>
    <w:rsid w:val="00A448A7"/>
    <w:rsid w:val="00A45DA6"/>
    <w:rsid w:val="00A47801"/>
    <w:rsid w:val="00A478C3"/>
    <w:rsid w:val="00A51ABB"/>
    <w:rsid w:val="00A524A2"/>
    <w:rsid w:val="00A5420E"/>
    <w:rsid w:val="00A552BF"/>
    <w:rsid w:val="00A56758"/>
    <w:rsid w:val="00A57C5B"/>
    <w:rsid w:val="00A61B44"/>
    <w:rsid w:val="00A61D22"/>
    <w:rsid w:val="00A6256A"/>
    <w:rsid w:val="00A62901"/>
    <w:rsid w:val="00A638D3"/>
    <w:rsid w:val="00A638DE"/>
    <w:rsid w:val="00A65EC8"/>
    <w:rsid w:val="00A660B7"/>
    <w:rsid w:val="00A67737"/>
    <w:rsid w:val="00A6780F"/>
    <w:rsid w:val="00A738FF"/>
    <w:rsid w:val="00A75A11"/>
    <w:rsid w:val="00A76298"/>
    <w:rsid w:val="00A762A9"/>
    <w:rsid w:val="00A778DA"/>
    <w:rsid w:val="00A77D33"/>
    <w:rsid w:val="00A77DBD"/>
    <w:rsid w:val="00A80FC6"/>
    <w:rsid w:val="00A81F0B"/>
    <w:rsid w:val="00A83D3D"/>
    <w:rsid w:val="00A84146"/>
    <w:rsid w:val="00A842BB"/>
    <w:rsid w:val="00A84324"/>
    <w:rsid w:val="00A8619C"/>
    <w:rsid w:val="00A8695A"/>
    <w:rsid w:val="00A87368"/>
    <w:rsid w:val="00A90138"/>
    <w:rsid w:val="00A90B66"/>
    <w:rsid w:val="00A90D0C"/>
    <w:rsid w:val="00A91960"/>
    <w:rsid w:val="00A91C1D"/>
    <w:rsid w:val="00A91D5B"/>
    <w:rsid w:val="00A945EB"/>
    <w:rsid w:val="00A9491B"/>
    <w:rsid w:val="00A9536C"/>
    <w:rsid w:val="00A96941"/>
    <w:rsid w:val="00A96A15"/>
    <w:rsid w:val="00A97583"/>
    <w:rsid w:val="00A977FB"/>
    <w:rsid w:val="00A978A7"/>
    <w:rsid w:val="00A97BC9"/>
    <w:rsid w:val="00AA1758"/>
    <w:rsid w:val="00AA1D23"/>
    <w:rsid w:val="00AA1DEB"/>
    <w:rsid w:val="00AA3819"/>
    <w:rsid w:val="00AA4062"/>
    <w:rsid w:val="00AA4213"/>
    <w:rsid w:val="00AA45D0"/>
    <w:rsid w:val="00AA49B2"/>
    <w:rsid w:val="00AA4AB3"/>
    <w:rsid w:val="00AA5B00"/>
    <w:rsid w:val="00AA6AB0"/>
    <w:rsid w:val="00AA7E09"/>
    <w:rsid w:val="00AB0EB3"/>
    <w:rsid w:val="00AB0FD1"/>
    <w:rsid w:val="00AB1D5A"/>
    <w:rsid w:val="00AB4BE9"/>
    <w:rsid w:val="00AB583A"/>
    <w:rsid w:val="00AB597F"/>
    <w:rsid w:val="00AB72BF"/>
    <w:rsid w:val="00AC06A7"/>
    <w:rsid w:val="00AC159C"/>
    <w:rsid w:val="00AC1774"/>
    <w:rsid w:val="00AC2156"/>
    <w:rsid w:val="00AC3A2A"/>
    <w:rsid w:val="00AC5E05"/>
    <w:rsid w:val="00AC6A27"/>
    <w:rsid w:val="00AD1284"/>
    <w:rsid w:val="00AD1D4F"/>
    <w:rsid w:val="00AD1F9B"/>
    <w:rsid w:val="00AD3C96"/>
    <w:rsid w:val="00AD6FA8"/>
    <w:rsid w:val="00AD700E"/>
    <w:rsid w:val="00AD75A0"/>
    <w:rsid w:val="00AE1D2F"/>
    <w:rsid w:val="00AE29AD"/>
    <w:rsid w:val="00AE3643"/>
    <w:rsid w:val="00AE383E"/>
    <w:rsid w:val="00AE513E"/>
    <w:rsid w:val="00AE567E"/>
    <w:rsid w:val="00AE582D"/>
    <w:rsid w:val="00AF00DD"/>
    <w:rsid w:val="00AF01D5"/>
    <w:rsid w:val="00AF35C9"/>
    <w:rsid w:val="00AF3FDA"/>
    <w:rsid w:val="00AF50BF"/>
    <w:rsid w:val="00AF56AA"/>
    <w:rsid w:val="00AF6C2A"/>
    <w:rsid w:val="00AF6F23"/>
    <w:rsid w:val="00B00257"/>
    <w:rsid w:val="00B00A03"/>
    <w:rsid w:val="00B01BE3"/>
    <w:rsid w:val="00B058F2"/>
    <w:rsid w:val="00B104D6"/>
    <w:rsid w:val="00B10F8F"/>
    <w:rsid w:val="00B1183C"/>
    <w:rsid w:val="00B1186F"/>
    <w:rsid w:val="00B120FA"/>
    <w:rsid w:val="00B12464"/>
    <w:rsid w:val="00B12690"/>
    <w:rsid w:val="00B128DF"/>
    <w:rsid w:val="00B12D91"/>
    <w:rsid w:val="00B1596D"/>
    <w:rsid w:val="00B15B07"/>
    <w:rsid w:val="00B1627F"/>
    <w:rsid w:val="00B162D3"/>
    <w:rsid w:val="00B16DA4"/>
    <w:rsid w:val="00B17FA4"/>
    <w:rsid w:val="00B20C66"/>
    <w:rsid w:val="00B21136"/>
    <w:rsid w:val="00B2270F"/>
    <w:rsid w:val="00B24617"/>
    <w:rsid w:val="00B27565"/>
    <w:rsid w:val="00B31329"/>
    <w:rsid w:val="00B32D0F"/>
    <w:rsid w:val="00B33D6D"/>
    <w:rsid w:val="00B35105"/>
    <w:rsid w:val="00B35408"/>
    <w:rsid w:val="00B367A9"/>
    <w:rsid w:val="00B40567"/>
    <w:rsid w:val="00B40A02"/>
    <w:rsid w:val="00B40D10"/>
    <w:rsid w:val="00B41092"/>
    <w:rsid w:val="00B416C5"/>
    <w:rsid w:val="00B41D90"/>
    <w:rsid w:val="00B41ED3"/>
    <w:rsid w:val="00B42814"/>
    <w:rsid w:val="00B44821"/>
    <w:rsid w:val="00B44DD5"/>
    <w:rsid w:val="00B450AC"/>
    <w:rsid w:val="00B45C41"/>
    <w:rsid w:val="00B46790"/>
    <w:rsid w:val="00B50018"/>
    <w:rsid w:val="00B50332"/>
    <w:rsid w:val="00B52663"/>
    <w:rsid w:val="00B529C2"/>
    <w:rsid w:val="00B536FE"/>
    <w:rsid w:val="00B53A5F"/>
    <w:rsid w:val="00B552CE"/>
    <w:rsid w:val="00B55567"/>
    <w:rsid w:val="00B55D39"/>
    <w:rsid w:val="00B560E7"/>
    <w:rsid w:val="00B561DE"/>
    <w:rsid w:val="00B624D0"/>
    <w:rsid w:val="00B631BF"/>
    <w:rsid w:val="00B63D54"/>
    <w:rsid w:val="00B63F74"/>
    <w:rsid w:val="00B6590D"/>
    <w:rsid w:val="00B66DC6"/>
    <w:rsid w:val="00B66EB7"/>
    <w:rsid w:val="00B67013"/>
    <w:rsid w:val="00B6775E"/>
    <w:rsid w:val="00B67AC7"/>
    <w:rsid w:val="00B7042D"/>
    <w:rsid w:val="00B70F74"/>
    <w:rsid w:val="00B70F96"/>
    <w:rsid w:val="00B73BA3"/>
    <w:rsid w:val="00B761FE"/>
    <w:rsid w:val="00B7661B"/>
    <w:rsid w:val="00B771C5"/>
    <w:rsid w:val="00B77CC5"/>
    <w:rsid w:val="00B77F36"/>
    <w:rsid w:val="00B81E55"/>
    <w:rsid w:val="00B82477"/>
    <w:rsid w:val="00B825FA"/>
    <w:rsid w:val="00B82D95"/>
    <w:rsid w:val="00B83F9F"/>
    <w:rsid w:val="00B84303"/>
    <w:rsid w:val="00B847D6"/>
    <w:rsid w:val="00B85B60"/>
    <w:rsid w:val="00B87FB8"/>
    <w:rsid w:val="00B929D1"/>
    <w:rsid w:val="00B93FDF"/>
    <w:rsid w:val="00B94A68"/>
    <w:rsid w:val="00B94AFE"/>
    <w:rsid w:val="00B94D26"/>
    <w:rsid w:val="00B94EA9"/>
    <w:rsid w:val="00B9556A"/>
    <w:rsid w:val="00B95D76"/>
    <w:rsid w:val="00B95FB7"/>
    <w:rsid w:val="00B96F1A"/>
    <w:rsid w:val="00B97CC6"/>
    <w:rsid w:val="00BA0B41"/>
    <w:rsid w:val="00BA0B9C"/>
    <w:rsid w:val="00BA17B4"/>
    <w:rsid w:val="00BA2D4E"/>
    <w:rsid w:val="00BA3B82"/>
    <w:rsid w:val="00BA3FBE"/>
    <w:rsid w:val="00BA4E61"/>
    <w:rsid w:val="00BA52FD"/>
    <w:rsid w:val="00BA7845"/>
    <w:rsid w:val="00BA7BFD"/>
    <w:rsid w:val="00BB2BE9"/>
    <w:rsid w:val="00BB4D1A"/>
    <w:rsid w:val="00BB5842"/>
    <w:rsid w:val="00BB5B33"/>
    <w:rsid w:val="00BB6903"/>
    <w:rsid w:val="00BB72F8"/>
    <w:rsid w:val="00BB76BB"/>
    <w:rsid w:val="00BC0541"/>
    <w:rsid w:val="00BC1B87"/>
    <w:rsid w:val="00BC2856"/>
    <w:rsid w:val="00BC2FBF"/>
    <w:rsid w:val="00BC3241"/>
    <w:rsid w:val="00BC4062"/>
    <w:rsid w:val="00BC4581"/>
    <w:rsid w:val="00BC461F"/>
    <w:rsid w:val="00BC52A7"/>
    <w:rsid w:val="00BC54B0"/>
    <w:rsid w:val="00BC564B"/>
    <w:rsid w:val="00BC5F9C"/>
    <w:rsid w:val="00BC5FC2"/>
    <w:rsid w:val="00BD0A35"/>
    <w:rsid w:val="00BD1544"/>
    <w:rsid w:val="00BD1B4C"/>
    <w:rsid w:val="00BD3213"/>
    <w:rsid w:val="00BD4724"/>
    <w:rsid w:val="00BD53F4"/>
    <w:rsid w:val="00BD648D"/>
    <w:rsid w:val="00BD7AE7"/>
    <w:rsid w:val="00BD7F9A"/>
    <w:rsid w:val="00BE0969"/>
    <w:rsid w:val="00BE0E87"/>
    <w:rsid w:val="00BE15F6"/>
    <w:rsid w:val="00BE1E66"/>
    <w:rsid w:val="00BE1E90"/>
    <w:rsid w:val="00BE2324"/>
    <w:rsid w:val="00BE2844"/>
    <w:rsid w:val="00BE2884"/>
    <w:rsid w:val="00BE29C4"/>
    <w:rsid w:val="00BE408A"/>
    <w:rsid w:val="00BE5751"/>
    <w:rsid w:val="00BE76E2"/>
    <w:rsid w:val="00BF17A4"/>
    <w:rsid w:val="00BF1D2D"/>
    <w:rsid w:val="00BF3C12"/>
    <w:rsid w:val="00BF5772"/>
    <w:rsid w:val="00BF794C"/>
    <w:rsid w:val="00C01289"/>
    <w:rsid w:val="00C02AB8"/>
    <w:rsid w:val="00C04CE6"/>
    <w:rsid w:val="00C04FF9"/>
    <w:rsid w:val="00C05CAA"/>
    <w:rsid w:val="00C0671C"/>
    <w:rsid w:val="00C07C66"/>
    <w:rsid w:val="00C108D2"/>
    <w:rsid w:val="00C117B4"/>
    <w:rsid w:val="00C11952"/>
    <w:rsid w:val="00C11C24"/>
    <w:rsid w:val="00C12E00"/>
    <w:rsid w:val="00C13745"/>
    <w:rsid w:val="00C13F22"/>
    <w:rsid w:val="00C16A7B"/>
    <w:rsid w:val="00C20AC9"/>
    <w:rsid w:val="00C22BAD"/>
    <w:rsid w:val="00C23CFE"/>
    <w:rsid w:val="00C24FEF"/>
    <w:rsid w:val="00C25337"/>
    <w:rsid w:val="00C25D0B"/>
    <w:rsid w:val="00C2640E"/>
    <w:rsid w:val="00C26653"/>
    <w:rsid w:val="00C31155"/>
    <w:rsid w:val="00C31374"/>
    <w:rsid w:val="00C322C1"/>
    <w:rsid w:val="00C34BA1"/>
    <w:rsid w:val="00C35531"/>
    <w:rsid w:val="00C35715"/>
    <w:rsid w:val="00C35A5B"/>
    <w:rsid w:val="00C36623"/>
    <w:rsid w:val="00C37BAD"/>
    <w:rsid w:val="00C43C1E"/>
    <w:rsid w:val="00C43F8D"/>
    <w:rsid w:val="00C47614"/>
    <w:rsid w:val="00C479F8"/>
    <w:rsid w:val="00C50A4B"/>
    <w:rsid w:val="00C518EF"/>
    <w:rsid w:val="00C51CAA"/>
    <w:rsid w:val="00C526E6"/>
    <w:rsid w:val="00C529E7"/>
    <w:rsid w:val="00C52DC7"/>
    <w:rsid w:val="00C55209"/>
    <w:rsid w:val="00C561F1"/>
    <w:rsid w:val="00C6030E"/>
    <w:rsid w:val="00C61B53"/>
    <w:rsid w:val="00C62400"/>
    <w:rsid w:val="00C62778"/>
    <w:rsid w:val="00C62F3E"/>
    <w:rsid w:val="00C63855"/>
    <w:rsid w:val="00C645B4"/>
    <w:rsid w:val="00C65445"/>
    <w:rsid w:val="00C669C7"/>
    <w:rsid w:val="00C672A2"/>
    <w:rsid w:val="00C673A7"/>
    <w:rsid w:val="00C67EFA"/>
    <w:rsid w:val="00C707F7"/>
    <w:rsid w:val="00C70B54"/>
    <w:rsid w:val="00C715BA"/>
    <w:rsid w:val="00C728C1"/>
    <w:rsid w:val="00C72BC2"/>
    <w:rsid w:val="00C73B66"/>
    <w:rsid w:val="00C742B5"/>
    <w:rsid w:val="00C74518"/>
    <w:rsid w:val="00C75BE3"/>
    <w:rsid w:val="00C803ED"/>
    <w:rsid w:val="00C80E84"/>
    <w:rsid w:val="00C81288"/>
    <w:rsid w:val="00C82134"/>
    <w:rsid w:val="00C8267D"/>
    <w:rsid w:val="00C8491C"/>
    <w:rsid w:val="00C92166"/>
    <w:rsid w:val="00C922F6"/>
    <w:rsid w:val="00C9601E"/>
    <w:rsid w:val="00C96370"/>
    <w:rsid w:val="00C96396"/>
    <w:rsid w:val="00C964BE"/>
    <w:rsid w:val="00C96E66"/>
    <w:rsid w:val="00CA05D3"/>
    <w:rsid w:val="00CA1656"/>
    <w:rsid w:val="00CA1BD0"/>
    <w:rsid w:val="00CA40EB"/>
    <w:rsid w:val="00CA5AC5"/>
    <w:rsid w:val="00CA600E"/>
    <w:rsid w:val="00CA6D49"/>
    <w:rsid w:val="00CA7880"/>
    <w:rsid w:val="00CB1A5F"/>
    <w:rsid w:val="00CB2309"/>
    <w:rsid w:val="00CB26BF"/>
    <w:rsid w:val="00CB322A"/>
    <w:rsid w:val="00CB3BDF"/>
    <w:rsid w:val="00CB3E80"/>
    <w:rsid w:val="00CB530F"/>
    <w:rsid w:val="00CB7438"/>
    <w:rsid w:val="00CC03C0"/>
    <w:rsid w:val="00CC08A5"/>
    <w:rsid w:val="00CC118F"/>
    <w:rsid w:val="00CC11EF"/>
    <w:rsid w:val="00CC1893"/>
    <w:rsid w:val="00CC2392"/>
    <w:rsid w:val="00CC2A7E"/>
    <w:rsid w:val="00CC2DB3"/>
    <w:rsid w:val="00CC3517"/>
    <w:rsid w:val="00CC36D2"/>
    <w:rsid w:val="00CC50D4"/>
    <w:rsid w:val="00CC6878"/>
    <w:rsid w:val="00CD04CF"/>
    <w:rsid w:val="00CD1032"/>
    <w:rsid w:val="00CD1093"/>
    <w:rsid w:val="00CD1202"/>
    <w:rsid w:val="00CD13C8"/>
    <w:rsid w:val="00CD1B38"/>
    <w:rsid w:val="00CD2514"/>
    <w:rsid w:val="00CD2977"/>
    <w:rsid w:val="00CD2CC4"/>
    <w:rsid w:val="00CD2F88"/>
    <w:rsid w:val="00CD404E"/>
    <w:rsid w:val="00CD4B88"/>
    <w:rsid w:val="00CD596F"/>
    <w:rsid w:val="00CD5ED3"/>
    <w:rsid w:val="00CD721C"/>
    <w:rsid w:val="00CE0B64"/>
    <w:rsid w:val="00CE0F12"/>
    <w:rsid w:val="00CE1468"/>
    <w:rsid w:val="00CE1D22"/>
    <w:rsid w:val="00CE4017"/>
    <w:rsid w:val="00CE67C3"/>
    <w:rsid w:val="00CE6996"/>
    <w:rsid w:val="00CE6CB4"/>
    <w:rsid w:val="00CF034D"/>
    <w:rsid w:val="00CF0C77"/>
    <w:rsid w:val="00CF13EB"/>
    <w:rsid w:val="00CF1461"/>
    <w:rsid w:val="00CF1545"/>
    <w:rsid w:val="00CF1A36"/>
    <w:rsid w:val="00CF3832"/>
    <w:rsid w:val="00CF4600"/>
    <w:rsid w:val="00CF5749"/>
    <w:rsid w:val="00CF5CDA"/>
    <w:rsid w:val="00CF621F"/>
    <w:rsid w:val="00CF70E6"/>
    <w:rsid w:val="00D00D9D"/>
    <w:rsid w:val="00D014A5"/>
    <w:rsid w:val="00D0157F"/>
    <w:rsid w:val="00D01848"/>
    <w:rsid w:val="00D01D95"/>
    <w:rsid w:val="00D03409"/>
    <w:rsid w:val="00D035C5"/>
    <w:rsid w:val="00D0373E"/>
    <w:rsid w:val="00D03C6B"/>
    <w:rsid w:val="00D03F3B"/>
    <w:rsid w:val="00D04A60"/>
    <w:rsid w:val="00D05201"/>
    <w:rsid w:val="00D06EB3"/>
    <w:rsid w:val="00D07ADB"/>
    <w:rsid w:val="00D07E40"/>
    <w:rsid w:val="00D106A4"/>
    <w:rsid w:val="00D10810"/>
    <w:rsid w:val="00D10EA8"/>
    <w:rsid w:val="00D116C9"/>
    <w:rsid w:val="00D11B09"/>
    <w:rsid w:val="00D13B38"/>
    <w:rsid w:val="00D144E8"/>
    <w:rsid w:val="00D1572D"/>
    <w:rsid w:val="00D159E7"/>
    <w:rsid w:val="00D174D5"/>
    <w:rsid w:val="00D17BEA"/>
    <w:rsid w:val="00D20746"/>
    <w:rsid w:val="00D211C2"/>
    <w:rsid w:val="00D21C30"/>
    <w:rsid w:val="00D2243D"/>
    <w:rsid w:val="00D2269E"/>
    <w:rsid w:val="00D229CA"/>
    <w:rsid w:val="00D22EAC"/>
    <w:rsid w:val="00D24C12"/>
    <w:rsid w:val="00D24EEE"/>
    <w:rsid w:val="00D25C9C"/>
    <w:rsid w:val="00D265EF"/>
    <w:rsid w:val="00D3052C"/>
    <w:rsid w:val="00D311F0"/>
    <w:rsid w:val="00D31FCC"/>
    <w:rsid w:val="00D32963"/>
    <w:rsid w:val="00D331D2"/>
    <w:rsid w:val="00D34DE9"/>
    <w:rsid w:val="00D36166"/>
    <w:rsid w:val="00D369F9"/>
    <w:rsid w:val="00D37BFA"/>
    <w:rsid w:val="00D37D90"/>
    <w:rsid w:val="00D40A66"/>
    <w:rsid w:val="00D412D5"/>
    <w:rsid w:val="00D41ECC"/>
    <w:rsid w:val="00D42BAF"/>
    <w:rsid w:val="00D44318"/>
    <w:rsid w:val="00D44950"/>
    <w:rsid w:val="00D44DAA"/>
    <w:rsid w:val="00D46396"/>
    <w:rsid w:val="00D47061"/>
    <w:rsid w:val="00D479CB"/>
    <w:rsid w:val="00D50B4F"/>
    <w:rsid w:val="00D50DCE"/>
    <w:rsid w:val="00D50E0C"/>
    <w:rsid w:val="00D513D4"/>
    <w:rsid w:val="00D51647"/>
    <w:rsid w:val="00D51888"/>
    <w:rsid w:val="00D51A58"/>
    <w:rsid w:val="00D5301D"/>
    <w:rsid w:val="00D54115"/>
    <w:rsid w:val="00D54980"/>
    <w:rsid w:val="00D54BD3"/>
    <w:rsid w:val="00D55A66"/>
    <w:rsid w:val="00D55B50"/>
    <w:rsid w:val="00D56A70"/>
    <w:rsid w:val="00D56DD1"/>
    <w:rsid w:val="00D5746A"/>
    <w:rsid w:val="00D603F1"/>
    <w:rsid w:val="00D607A5"/>
    <w:rsid w:val="00D60DF8"/>
    <w:rsid w:val="00D611EB"/>
    <w:rsid w:val="00D612E6"/>
    <w:rsid w:val="00D63E61"/>
    <w:rsid w:val="00D64470"/>
    <w:rsid w:val="00D64BD4"/>
    <w:rsid w:val="00D658B0"/>
    <w:rsid w:val="00D65DE2"/>
    <w:rsid w:val="00D66EA5"/>
    <w:rsid w:val="00D67735"/>
    <w:rsid w:val="00D7084D"/>
    <w:rsid w:val="00D70AE3"/>
    <w:rsid w:val="00D74033"/>
    <w:rsid w:val="00D74CCB"/>
    <w:rsid w:val="00D75D2D"/>
    <w:rsid w:val="00D767F3"/>
    <w:rsid w:val="00D77C71"/>
    <w:rsid w:val="00D80130"/>
    <w:rsid w:val="00D8224C"/>
    <w:rsid w:val="00D82532"/>
    <w:rsid w:val="00D82B06"/>
    <w:rsid w:val="00D839A7"/>
    <w:rsid w:val="00D861AA"/>
    <w:rsid w:val="00D87E3E"/>
    <w:rsid w:val="00D934BF"/>
    <w:rsid w:val="00D9355A"/>
    <w:rsid w:val="00D9391F"/>
    <w:rsid w:val="00D95E3C"/>
    <w:rsid w:val="00D96C0E"/>
    <w:rsid w:val="00D971E3"/>
    <w:rsid w:val="00D97682"/>
    <w:rsid w:val="00DA029A"/>
    <w:rsid w:val="00DA266E"/>
    <w:rsid w:val="00DA3797"/>
    <w:rsid w:val="00DA4BF2"/>
    <w:rsid w:val="00DA52D7"/>
    <w:rsid w:val="00DA58C6"/>
    <w:rsid w:val="00DA6DCE"/>
    <w:rsid w:val="00DB07F6"/>
    <w:rsid w:val="00DB0EC8"/>
    <w:rsid w:val="00DB1653"/>
    <w:rsid w:val="00DB330F"/>
    <w:rsid w:val="00DB3BA9"/>
    <w:rsid w:val="00DB4A04"/>
    <w:rsid w:val="00DB54E2"/>
    <w:rsid w:val="00DB5782"/>
    <w:rsid w:val="00DB684A"/>
    <w:rsid w:val="00DB718F"/>
    <w:rsid w:val="00DB72AC"/>
    <w:rsid w:val="00DB72BC"/>
    <w:rsid w:val="00DB7C77"/>
    <w:rsid w:val="00DB7EA8"/>
    <w:rsid w:val="00DC292A"/>
    <w:rsid w:val="00DC2A1F"/>
    <w:rsid w:val="00DC4AB7"/>
    <w:rsid w:val="00DC5C02"/>
    <w:rsid w:val="00DC6A40"/>
    <w:rsid w:val="00DC7A39"/>
    <w:rsid w:val="00DD3203"/>
    <w:rsid w:val="00DD3BE0"/>
    <w:rsid w:val="00DD4125"/>
    <w:rsid w:val="00DD4946"/>
    <w:rsid w:val="00DD4D21"/>
    <w:rsid w:val="00DD5B8B"/>
    <w:rsid w:val="00DD5C52"/>
    <w:rsid w:val="00DD5C70"/>
    <w:rsid w:val="00DD61EC"/>
    <w:rsid w:val="00DD6567"/>
    <w:rsid w:val="00DD7000"/>
    <w:rsid w:val="00DD734C"/>
    <w:rsid w:val="00DD78FA"/>
    <w:rsid w:val="00DD7BE9"/>
    <w:rsid w:val="00DE0154"/>
    <w:rsid w:val="00DE14D4"/>
    <w:rsid w:val="00DE18F8"/>
    <w:rsid w:val="00DE4EB6"/>
    <w:rsid w:val="00DE5879"/>
    <w:rsid w:val="00DE6EC9"/>
    <w:rsid w:val="00DF0A94"/>
    <w:rsid w:val="00DF1A09"/>
    <w:rsid w:val="00DF4E77"/>
    <w:rsid w:val="00DF4EA6"/>
    <w:rsid w:val="00DF5F9A"/>
    <w:rsid w:val="00DF6534"/>
    <w:rsid w:val="00DF67CA"/>
    <w:rsid w:val="00DF67DA"/>
    <w:rsid w:val="00E00254"/>
    <w:rsid w:val="00E006FE"/>
    <w:rsid w:val="00E00FBD"/>
    <w:rsid w:val="00E0139A"/>
    <w:rsid w:val="00E0173A"/>
    <w:rsid w:val="00E022A6"/>
    <w:rsid w:val="00E02ACC"/>
    <w:rsid w:val="00E04B4F"/>
    <w:rsid w:val="00E05536"/>
    <w:rsid w:val="00E05BBC"/>
    <w:rsid w:val="00E124F2"/>
    <w:rsid w:val="00E1300D"/>
    <w:rsid w:val="00E13A91"/>
    <w:rsid w:val="00E164A0"/>
    <w:rsid w:val="00E1689F"/>
    <w:rsid w:val="00E174F9"/>
    <w:rsid w:val="00E179B4"/>
    <w:rsid w:val="00E17FE8"/>
    <w:rsid w:val="00E202C4"/>
    <w:rsid w:val="00E21665"/>
    <w:rsid w:val="00E21D8C"/>
    <w:rsid w:val="00E235EF"/>
    <w:rsid w:val="00E23AB2"/>
    <w:rsid w:val="00E24458"/>
    <w:rsid w:val="00E24B23"/>
    <w:rsid w:val="00E27C2F"/>
    <w:rsid w:val="00E30BAC"/>
    <w:rsid w:val="00E30C99"/>
    <w:rsid w:val="00E30CF6"/>
    <w:rsid w:val="00E3153E"/>
    <w:rsid w:val="00E3235F"/>
    <w:rsid w:val="00E326A8"/>
    <w:rsid w:val="00E326EF"/>
    <w:rsid w:val="00E32854"/>
    <w:rsid w:val="00E32D08"/>
    <w:rsid w:val="00E33A6D"/>
    <w:rsid w:val="00E359B8"/>
    <w:rsid w:val="00E36DB0"/>
    <w:rsid w:val="00E36E2A"/>
    <w:rsid w:val="00E37661"/>
    <w:rsid w:val="00E400C1"/>
    <w:rsid w:val="00E4066D"/>
    <w:rsid w:val="00E424F8"/>
    <w:rsid w:val="00E433A8"/>
    <w:rsid w:val="00E44373"/>
    <w:rsid w:val="00E50629"/>
    <w:rsid w:val="00E5091A"/>
    <w:rsid w:val="00E514BF"/>
    <w:rsid w:val="00E5388D"/>
    <w:rsid w:val="00E53D7F"/>
    <w:rsid w:val="00E5779A"/>
    <w:rsid w:val="00E61993"/>
    <w:rsid w:val="00E61C2C"/>
    <w:rsid w:val="00E6219B"/>
    <w:rsid w:val="00E63DA5"/>
    <w:rsid w:val="00E64D6F"/>
    <w:rsid w:val="00E663C6"/>
    <w:rsid w:val="00E71D61"/>
    <w:rsid w:val="00E71E0F"/>
    <w:rsid w:val="00E7400B"/>
    <w:rsid w:val="00E742F9"/>
    <w:rsid w:val="00E74EED"/>
    <w:rsid w:val="00E757EF"/>
    <w:rsid w:val="00E76DA2"/>
    <w:rsid w:val="00E7708E"/>
    <w:rsid w:val="00E80159"/>
    <w:rsid w:val="00E807C8"/>
    <w:rsid w:val="00E81C92"/>
    <w:rsid w:val="00E81D38"/>
    <w:rsid w:val="00E85955"/>
    <w:rsid w:val="00E86734"/>
    <w:rsid w:val="00E87BC0"/>
    <w:rsid w:val="00E87E64"/>
    <w:rsid w:val="00E91080"/>
    <w:rsid w:val="00E911AA"/>
    <w:rsid w:val="00E912B0"/>
    <w:rsid w:val="00E915BE"/>
    <w:rsid w:val="00E9395D"/>
    <w:rsid w:val="00E93C14"/>
    <w:rsid w:val="00E9441B"/>
    <w:rsid w:val="00E97CA1"/>
    <w:rsid w:val="00EA015C"/>
    <w:rsid w:val="00EA01BA"/>
    <w:rsid w:val="00EA0885"/>
    <w:rsid w:val="00EA1000"/>
    <w:rsid w:val="00EA29D7"/>
    <w:rsid w:val="00EA2EB6"/>
    <w:rsid w:val="00EA38D5"/>
    <w:rsid w:val="00EA3997"/>
    <w:rsid w:val="00EA55A8"/>
    <w:rsid w:val="00EB0673"/>
    <w:rsid w:val="00EB1CA4"/>
    <w:rsid w:val="00EB26D5"/>
    <w:rsid w:val="00EB2A6C"/>
    <w:rsid w:val="00EB2AAB"/>
    <w:rsid w:val="00EB2D23"/>
    <w:rsid w:val="00EB3C25"/>
    <w:rsid w:val="00EB5423"/>
    <w:rsid w:val="00EB5FC9"/>
    <w:rsid w:val="00EB63D0"/>
    <w:rsid w:val="00EB6C3C"/>
    <w:rsid w:val="00EB71EA"/>
    <w:rsid w:val="00EC172B"/>
    <w:rsid w:val="00EC3B6D"/>
    <w:rsid w:val="00EC3FF1"/>
    <w:rsid w:val="00EC44A5"/>
    <w:rsid w:val="00EC50F8"/>
    <w:rsid w:val="00EC5DC7"/>
    <w:rsid w:val="00EC716B"/>
    <w:rsid w:val="00EC7CE5"/>
    <w:rsid w:val="00ED1F2F"/>
    <w:rsid w:val="00ED3CFC"/>
    <w:rsid w:val="00ED3E4A"/>
    <w:rsid w:val="00ED51F2"/>
    <w:rsid w:val="00ED5594"/>
    <w:rsid w:val="00ED61B1"/>
    <w:rsid w:val="00ED6421"/>
    <w:rsid w:val="00ED6532"/>
    <w:rsid w:val="00ED72F3"/>
    <w:rsid w:val="00EE0030"/>
    <w:rsid w:val="00EE08D6"/>
    <w:rsid w:val="00EE0B63"/>
    <w:rsid w:val="00EE0E33"/>
    <w:rsid w:val="00EE33AA"/>
    <w:rsid w:val="00EE40DE"/>
    <w:rsid w:val="00EE4D91"/>
    <w:rsid w:val="00EE5CA1"/>
    <w:rsid w:val="00EE6644"/>
    <w:rsid w:val="00EE6C2C"/>
    <w:rsid w:val="00EE748C"/>
    <w:rsid w:val="00EE76CE"/>
    <w:rsid w:val="00EF0C38"/>
    <w:rsid w:val="00EF2DED"/>
    <w:rsid w:val="00EF433F"/>
    <w:rsid w:val="00EF7C96"/>
    <w:rsid w:val="00F01348"/>
    <w:rsid w:val="00F01CDC"/>
    <w:rsid w:val="00F022AE"/>
    <w:rsid w:val="00F028A9"/>
    <w:rsid w:val="00F038D4"/>
    <w:rsid w:val="00F0413D"/>
    <w:rsid w:val="00F04E2A"/>
    <w:rsid w:val="00F05246"/>
    <w:rsid w:val="00F07154"/>
    <w:rsid w:val="00F07920"/>
    <w:rsid w:val="00F1000F"/>
    <w:rsid w:val="00F114C7"/>
    <w:rsid w:val="00F11946"/>
    <w:rsid w:val="00F11A86"/>
    <w:rsid w:val="00F12AA7"/>
    <w:rsid w:val="00F12CBF"/>
    <w:rsid w:val="00F14A1A"/>
    <w:rsid w:val="00F1790A"/>
    <w:rsid w:val="00F17A74"/>
    <w:rsid w:val="00F21123"/>
    <w:rsid w:val="00F211D3"/>
    <w:rsid w:val="00F217D8"/>
    <w:rsid w:val="00F2194A"/>
    <w:rsid w:val="00F220A7"/>
    <w:rsid w:val="00F2223B"/>
    <w:rsid w:val="00F22864"/>
    <w:rsid w:val="00F2289B"/>
    <w:rsid w:val="00F228CB"/>
    <w:rsid w:val="00F229E0"/>
    <w:rsid w:val="00F2504A"/>
    <w:rsid w:val="00F25072"/>
    <w:rsid w:val="00F255D4"/>
    <w:rsid w:val="00F25CFB"/>
    <w:rsid w:val="00F27113"/>
    <w:rsid w:val="00F27847"/>
    <w:rsid w:val="00F302F6"/>
    <w:rsid w:val="00F318D3"/>
    <w:rsid w:val="00F3228E"/>
    <w:rsid w:val="00F3276A"/>
    <w:rsid w:val="00F32DDF"/>
    <w:rsid w:val="00F34931"/>
    <w:rsid w:val="00F34B7B"/>
    <w:rsid w:val="00F35D79"/>
    <w:rsid w:val="00F367B6"/>
    <w:rsid w:val="00F368DE"/>
    <w:rsid w:val="00F40445"/>
    <w:rsid w:val="00F40C18"/>
    <w:rsid w:val="00F42150"/>
    <w:rsid w:val="00F4271A"/>
    <w:rsid w:val="00F44500"/>
    <w:rsid w:val="00F4513A"/>
    <w:rsid w:val="00F46B76"/>
    <w:rsid w:val="00F46DD5"/>
    <w:rsid w:val="00F50AA0"/>
    <w:rsid w:val="00F529EC"/>
    <w:rsid w:val="00F53F8F"/>
    <w:rsid w:val="00F54D57"/>
    <w:rsid w:val="00F570E2"/>
    <w:rsid w:val="00F57A0B"/>
    <w:rsid w:val="00F6074A"/>
    <w:rsid w:val="00F60DBA"/>
    <w:rsid w:val="00F610F1"/>
    <w:rsid w:val="00F62758"/>
    <w:rsid w:val="00F62FE6"/>
    <w:rsid w:val="00F631F5"/>
    <w:rsid w:val="00F6561E"/>
    <w:rsid w:val="00F6697A"/>
    <w:rsid w:val="00F7034F"/>
    <w:rsid w:val="00F703EF"/>
    <w:rsid w:val="00F723F0"/>
    <w:rsid w:val="00F73432"/>
    <w:rsid w:val="00F73C6A"/>
    <w:rsid w:val="00F7470E"/>
    <w:rsid w:val="00F74DB8"/>
    <w:rsid w:val="00F74F58"/>
    <w:rsid w:val="00F75263"/>
    <w:rsid w:val="00F76B63"/>
    <w:rsid w:val="00F80B24"/>
    <w:rsid w:val="00F82837"/>
    <w:rsid w:val="00F82E54"/>
    <w:rsid w:val="00F8561D"/>
    <w:rsid w:val="00F85C0F"/>
    <w:rsid w:val="00F87304"/>
    <w:rsid w:val="00F87B38"/>
    <w:rsid w:val="00F90061"/>
    <w:rsid w:val="00F9098A"/>
    <w:rsid w:val="00F91459"/>
    <w:rsid w:val="00F93513"/>
    <w:rsid w:val="00F938B0"/>
    <w:rsid w:val="00F94679"/>
    <w:rsid w:val="00F94DBA"/>
    <w:rsid w:val="00F9509E"/>
    <w:rsid w:val="00F950B6"/>
    <w:rsid w:val="00F95439"/>
    <w:rsid w:val="00F97D3D"/>
    <w:rsid w:val="00FA0117"/>
    <w:rsid w:val="00FA0796"/>
    <w:rsid w:val="00FA15C4"/>
    <w:rsid w:val="00FA24D7"/>
    <w:rsid w:val="00FA4421"/>
    <w:rsid w:val="00FA527F"/>
    <w:rsid w:val="00FA56A8"/>
    <w:rsid w:val="00FA6706"/>
    <w:rsid w:val="00FA6ABB"/>
    <w:rsid w:val="00FA6D31"/>
    <w:rsid w:val="00FA7E87"/>
    <w:rsid w:val="00FB0400"/>
    <w:rsid w:val="00FB0AB4"/>
    <w:rsid w:val="00FB0B62"/>
    <w:rsid w:val="00FB0C9E"/>
    <w:rsid w:val="00FB2010"/>
    <w:rsid w:val="00FB2628"/>
    <w:rsid w:val="00FB524B"/>
    <w:rsid w:val="00FB5CCF"/>
    <w:rsid w:val="00FB6735"/>
    <w:rsid w:val="00FB6EE5"/>
    <w:rsid w:val="00FB721D"/>
    <w:rsid w:val="00FB7DD7"/>
    <w:rsid w:val="00FC0BE6"/>
    <w:rsid w:val="00FC16C0"/>
    <w:rsid w:val="00FC2D8B"/>
    <w:rsid w:val="00FC3559"/>
    <w:rsid w:val="00FC4645"/>
    <w:rsid w:val="00FC4B81"/>
    <w:rsid w:val="00FC4C74"/>
    <w:rsid w:val="00FD0829"/>
    <w:rsid w:val="00FD1592"/>
    <w:rsid w:val="00FD16A6"/>
    <w:rsid w:val="00FD1D49"/>
    <w:rsid w:val="00FD2D3A"/>
    <w:rsid w:val="00FD2DB0"/>
    <w:rsid w:val="00FD2ED8"/>
    <w:rsid w:val="00FD3F80"/>
    <w:rsid w:val="00FD4808"/>
    <w:rsid w:val="00FD7300"/>
    <w:rsid w:val="00FD740C"/>
    <w:rsid w:val="00FE03D3"/>
    <w:rsid w:val="00FE1C14"/>
    <w:rsid w:val="00FE4910"/>
    <w:rsid w:val="00FE5214"/>
    <w:rsid w:val="00FE62BC"/>
    <w:rsid w:val="00FF2B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B60B991"/>
  <w15:docId w15:val="{8F0534F4-4F3B-4329-961D-626598EE6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D6B"/>
    <w:rPr>
      <w:sz w:val="24"/>
      <w:szCs w:val="24"/>
    </w:rPr>
  </w:style>
  <w:style w:type="paragraph" w:styleId="Balk1">
    <w:name w:val="heading 1"/>
    <w:basedOn w:val="Normal"/>
    <w:next w:val="Normal"/>
    <w:link w:val="Balk1Char"/>
    <w:qFormat/>
    <w:pPr>
      <w:keepNext/>
      <w:jc w:val="center"/>
      <w:outlineLvl w:val="0"/>
    </w:pPr>
    <w:rPr>
      <w:rFonts w:ascii="Arial" w:hAnsi="Arial" w:cs="Arial"/>
      <w:b/>
      <w:bCs/>
      <w:sz w:val="20"/>
      <w:szCs w:val="20"/>
    </w:rPr>
  </w:style>
  <w:style w:type="paragraph" w:styleId="Balk2">
    <w:name w:val="heading 2"/>
    <w:basedOn w:val="Normal"/>
    <w:next w:val="Normal"/>
    <w:link w:val="Balk2Char"/>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paragraph" w:styleId="Balk3">
    <w:name w:val="heading 3"/>
    <w:basedOn w:val="Normal"/>
    <w:next w:val="Normal"/>
    <w:qFormat/>
    <w:pPr>
      <w:keepNext/>
      <w:jc w:val="both"/>
      <w:outlineLvl w:val="2"/>
    </w:pPr>
    <w:rPr>
      <w:b/>
      <w:bCs/>
      <w:sz w:val="20"/>
    </w:rPr>
  </w:style>
  <w:style w:type="paragraph" w:styleId="Balk4">
    <w:name w:val="heading 4"/>
    <w:basedOn w:val="Normal"/>
    <w:next w:val="Normal"/>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rPr>
  </w:style>
  <w:style w:type="paragraph" w:styleId="Balk6">
    <w:name w:val="heading 6"/>
    <w:basedOn w:val="Normal"/>
    <w:next w:val="Normal"/>
    <w:link w:val="Balk6Char"/>
    <w:qFormat/>
    <w:rsid w:val="00A75A11"/>
    <w:pPr>
      <w:spacing w:before="240" w:after="60"/>
      <w:outlineLvl w:val="5"/>
    </w:pPr>
    <w:rPr>
      <w:b/>
      <w:bCs/>
      <w:sz w:val="22"/>
      <w:szCs w:val="22"/>
    </w:rPr>
  </w:style>
  <w:style w:type="paragraph" w:styleId="Balk7">
    <w:name w:val="heading 7"/>
    <w:basedOn w:val="Normal"/>
    <w:next w:val="Normal"/>
    <w:link w:val="Balk7Char"/>
    <w:qFormat/>
    <w:rsid w:val="00A75A11"/>
    <w:pPr>
      <w:spacing w:before="240" w:after="60"/>
      <w:outlineLvl w:val="6"/>
    </w:pPr>
  </w:style>
  <w:style w:type="paragraph" w:styleId="Balk9">
    <w:name w:val="heading 9"/>
    <w:basedOn w:val="Normal"/>
    <w:next w:val="Normal"/>
    <w:qFormat/>
    <w:rsid w:val="00680A41"/>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Pr>
      <w:color w:val="0000FF"/>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lang w:val="en-US"/>
    </w:rPr>
  </w:style>
  <w:style w:type="character" w:styleId="zlenenKpr">
    <w:name w:val="FollowedHyperlink"/>
    <w:semiHidden/>
    <w:rPr>
      <w:color w:val="800080"/>
      <w:u w:val="single"/>
    </w:rPr>
  </w:style>
  <w:style w:type="paragraph" w:styleId="GvdeMetniGirintisi">
    <w:name w:val="Body Text Indent"/>
    <w:basedOn w:val="Normal"/>
    <w:semiHidden/>
    <w:pPr>
      <w:ind w:left="1800" w:hanging="360"/>
    </w:pPr>
  </w:style>
  <w:style w:type="paragraph" w:styleId="GvdeMetniGirintisi2">
    <w:name w:val="Body Text Indent 2"/>
    <w:basedOn w:val="Normal"/>
    <w:pPr>
      <w:ind w:left="360"/>
      <w:jc w:val="both"/>
    </w:pPr>
  </w:style>
  <w:style w:type="paragraph" w:styleId="GvdeMetniGirintisi3">
    <w:name w:val="Body Text Indent 3"/>
    <w:basedOn w:val="Normal"/>
    <w:semiHidden/>
    <w:pPr>
      <w:ind w:left="360" w:firstLine="360"/>
      <w:jc w:val="both"/>
    </w:p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styleId="GvdeMetni">
    <w:name w:val="Body Text"/>
    <w:basedOn w:val="Normal"/>
    <w:link w:val="GvdeMetniChar"/>
    <w:pPr>
      <w:shd w:val="clear" w:color="auto" w:fill="FFFFFF"/>
      <w:jc w:val="both"/>
    </w:pPr>
    <w:rPr>
      <w:color w:val="FF0000"/>
    </w:rPr>
  </w:style>
  <w:style w:type="paragraph" w:styleId="stBilgi">
    <w:name w:val="header"/>
    <w:basedOn w:val="Normal"/>
    <w:link w:val="stBilgiChar"/>
    <w:uiPriority w:val="99"/>
    <w:pPr>
      <w:tabs>
        <w:tab w:val="center" w:pos="4536"/>
        <w:tab w:val="right" w:pos="9072"/>
      </w:tabs>
    </w:pPr>
    <w:rPr>
      <w:lang w:val="x-none"/>
    </w:r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DipnotMetni">
    <w:name w:val="footnote text"/>
    <w:basedOn w:val="Normal"/>
    <w:link w:val="DipnotMetniChar"/>
    <w:rPr>
      <w:sz w:val="20"/>
      <w:szCs w:val="20"/>
    </w:rPr>
  </w:style>
  <w:style w:type="paragraph" w:customStyle="1" w:styleId="xl22">
    <w:name w:val="xl22"/>
    <w:basedOn w:val="Normal"/>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23">
    <w:name w:val="xl23"/>
    <w:basedOn w:val="Normal"/>
    <w:pPr>
      <w:pBdr>
        <w:bottom w:val="single" w:sz="4" w:space="0" w:color="auto"/>
        <w:right w:val="single" w:sz="4" w:space="0" w:color="auto"/>
      </w:pBdr>
      <w:spacing w:before="100" w:beforeAutospacing="1" w:after="100" w:afterAutospacing="1"/>
      <w:jc w:val="both"/>
    </w:pPr>
    <w:rPr>
      <w:lang w:val="en-US"/>
    </w:rPr>
  </w:style>
  <w:style w:type="paragraph" w:styleId="GvdeMetni2">
    <w:name w:val="Body Text 2"/>
    <w:basedOn w:val="Normal"/>
    <w:link w:val="GvdeMetni2Char"/>
    <w:pPr>
      <w:spacing w:after="120" w:line="480" w:lineRule="auto"/>
    </w:pPr>
    <w:rPr>
      <w:lang w:val="x-none"/>
    </w:rPr>
  </w:style>
  <w:style w:type="paragraph" w:styleId="BalonMetni">
    <w:name w:val="Balloon Text"/>
    <w:basedOn w:val="Normal"/>
    <w:link w:val="BalonMetniChar"/>
    <w:rPr>
      <w:rFonts w:ascii="Tahoma" w:hAnsi="Tahoma" w:cs="Tahoma"/>
      <w:sz w:val="16"/>
      <w:szCs w:val="16"/>
    </w:rPr>
  </w:style>
  <w:style w:type="character" w:customStyle="1" w:styleId="a">
    <w:name w:val="a"/>
    <w:basedOn w:val="VarsaylanParagrafYazTipi"/>
  </w:style>
  <w:style w:type="paragraph" w:styleId="GvdeMetni3">
    <w:name w:val="Body Text 3"/>
    <w:basedOn w:val="Normal"/>
    <w:link w:val="GvdeMetni3Char"/>
    <w:pPr>
      <w:spacing w:after="120"/>
    </w:pPr>
    <w:rPr>
      <w:sz w:val="16"/>
      <w:szCs w:val="16"/>
    </w:rPr>
  </w:style>
  <w:style w:type="character" w:styleId="DipnotBavurusu">
    <w:name w:val="footnote reference"/>
    <w:rPr>
      <w:vertAlign w:val="superscript"/>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style>
  <w:style w:type="paragraph" w:customStyle="1" w:styleId="xl30">
    <w:name w:val="xl30"/>
    <w:basedOn w:val="Normal"/>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style>
  <w:style w:type="paragraph" w:customStyle="1" w:styleId="Default">
    <w:name w:val="Default"/>
    <w:rsid w:val="00D07ADB"/>
    <w:pPr>
      <w:autoSpaceDE w:val="0"/>
      <w:autoSpaceDN w:val="0"/>
      <w:adjustRightInd w:val="0"/>
    </w:pPr>
    <w:rPr>
      <w:color w:val="000000"/>
      <w:sz w:val="24"/>
      <w:szCs w:val="24"/>
    </w:rPr>
  </w:style>
  <w:style w:type="table" w:styleId="TabloKlavuzu">
    <w:name w:val="Table Grid"/>
    <w:basedOn w:val="NormalTablo"/>
    <w:rsid w:val="00AB0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B76BB"/>
    <w:pPr>
      <w:ind w:left="708"/>
    </w:pPr>
  </w:style>
  <w:style w:type="paragraph" w:styleId="KonuBal">
    <w:name w:val="Title"/>
    <w:basedOn w:val="Normal"/>
    <w:link w:val="KonuBalChar"/>
    <w:qFormat/>
    <w:rsid w:val="00866648"/>
    <w:pPr>
      <w:spacing w:line="240" w:lineRule="atLeast"/>
      <w:jc w:val="center"/>
    </w:pPr>
    <w:rPr>
      <w:b/>
      <w:sz w:val="32"/>
      <w:szCs w:val="20"/>
      <w:lang w:val="en-AU" w:eastAsia="x-none"/>
    </w:rPr>
  </w:style>
  <w:style w:type="character" w:customStyle="1" w:styleId="KonuBalChar">
    <w:name w:val="Konu Başlığı Char"/>
    <w:link w:val="KonuBal"/>
    <w:rsid w:val="00866648"/>
    <w:rPr>
      <w:b/>
      <w:sz w:val="32"/>
      <w:lang w:val="en-AU"/>
    </w:rPr>
  </w:style>
  <w:style w:type="character" w:styleId="Gl">
    <w:name w:val="Strong"/>
    <w:qFormat/>
    <w:rsid w:val="00782364"/>
    <w:rPr>
      <w:b/>
      <w:bCs/>
    </w:rPr>
  </w:style>
  <w:style w:type="character" w:styleId="Vurgu">
    <w:name w:val="Emphasis"/>
    <w:qFormat/>
    <w:rsid w:val="00680A41"/>
    <w:rPr>
      <w:b/>
      <w:bCs/>
      <w:i w:val="0"/>
      <w:iCs w:val="0"/>
    </w:rPr>
  </w:style>
  <w:style w:type="character" w:customStyle="1" w:styleId="apple-style-span">
    <w:name w:val="apple-style-span"/>
    <w:rsid w:val="00BB4D1A"/>
    <w:rPr>
      <w:rFonts w:cs="Times New Roman"/>
    </w:rPr>
  </w:style>
  <w:style w:type="character" w:customStyle="1" w:styleId="GvdeMetni2Char">
    <w:name w:val="Gövde Metni 2 Char"/>
    <w:link w:val="GvdeMetni2"/>
    <w:rsid w:val="009615D6"/>
    <w:rPr>
      <w:sz w:val="24"/>
      <w:szCs w:val="24"/>
      <w:lang w:eastAsia="en-US"/>
    </w:rPr>
  </w:style>
  <w:style w:type="character" w:customStyle="1" w:styleId="stBilgiChar">
    <w:name w:val="Üst Bilgi Char"/>
    <w:link w:val="stBilgi"/>
    <w:uiPriority w:val="99"/>
    <w:rsid w:val="001D3669"/>
    <w:rPr>
      <w:sz w:val="24"/>
      <w:szCs w:val="24"/>
      <w:lang w:eastAsia="en-US"/>
    </w:rPr>
  </w:style>
  <w:style w:type="character" w:customStyle="1" w:styleId="Balk6Char">
    <w:name w:val="Başlık 6 Char"/>
    <w:link w:val="Balk6"/>
    <w:rsid w:val="00A75A11"/>
    <w:rPr>
      <w:b/>
      <w:bCs/>
      <w:sz w:val="22"/>
      <w:szCs w:val="22"/>
    </w:rPr>
  </w:style>
  <w:style w:type="character" w:customStyle="1" w:styleId="Balk7Char">
    <w:name w:val="Başlık 7 Char"/>
    <w:link w:val="Balk7"/>
    <w:rsid w:val="00A75A11"/>
    <w:rPr>
      <w:sz w:val="24"/>
      <w:szCs w:val="24"/>
    </w:rPr>
  </w:style>
  <w:style w:type="character" w:customStyle="1" w:styleId="AltBilgiChar">
    <w:name w:val="Alt Bilgi Char"/>
    <w:link w:val="AltBilgi"/>
    <w:uiPriority w:val="99"/>
    <w:rsid w:val="007C1878"/>
    <w:rPr>
      <w:sz w:val="24"/>
      <w:szCs w:val="24"/>
    </w:rPr>
  </w:style>
  <w:style w:type="paragraph" w:styleId="ResimYazs">
    <w:name w:val="caption"/>
    <w:basedOn w:val="Normal"/>
    <w:next w:val="Normal"/>
    <w:uiPriority w:val="35"/>
    <w:unhideWhenUsed/>
    <w:qFormat/>
    <w:rsid w:val="00D56A70"/>
    <w:rPr>
      <w:b/>
      <w:bCs/>
      <w:sz w:val="20"/>
      <w:szCs w:val="20"/>
    </w:rPr>
  </w:style>
  <w:style w:type="character" w:customStyle="1" w:styleId="GvdeMetniChar">
    <w:name w:val="Gövde Metni Char"/>
    <w:basedOn w:val="VarsaylanParagrafYazTipi"/>
    <w:link w:val="GvdeMetni"/>
    <w:rsid w:val="00731D63"/>
    <w:rPr>
      <w:color w:val="FF0000"/>
      <w:sz w:val="24"/>
      <w:szCs w:val="24"/>
      <w:shd w:val="clear" w:color="auto" w:fill="FFFFFF"/>
    </w:rPr>
  </w:style>
  <w:style w:type="character" w:customStyle="1" w:styleId="Balk1Char">
    <w:name w:val="Başlık 1 Char"/>
    <w:basedOn w:val="VarsaylanParagrafYazTipi"/>
    <w:link w:val="Balk1"/>
    <w:rsid w:val="006E084C"/>
    <w:rPr>
      <w:rFonts w:ascii="Arial" w:hAnsi="Arial" w:cs="Arial"/>
      <w:b/>
      <w:bCs/>
    </w:rPr>
  </w:style>
  <w:style w:type="character" w:customStyle="1" w:styleId="Balk2Char">
    <w:name w:val="Başlık 2 Char"/>
    <w:link w:val="Balk2"/>
    <w:rsid w:val="003B426A"/>
    <w:rPr>
      <w:rFonts w:ascii="Garamond" w:hAnsi="Garamond"/>
      <w:b/>
      <w:sz w:val="32"/>
    </w:rPr>
  </w:style>
  <w:style w:type="character" w:customStyle="1" w:styleId="GvdeMetni3Char">
    <w:name w:val="Gövde Metni 3 Char"/>
    <w:link w:val="GvdeMetni3"/>
    <w:rsid w:val="00D60DF8"/>
    <w:rPr>
      <w:sz w:val="16"/>
      <w:szCs w:val="16"/>
    </w:rPr>
  </w:style>
  <w:style w:type="character" w:customStyle="1" w:styleId="DipnotMetniChar">
    <w:name w:val="Dipnot Metni Char"/>
    <w:basedOn w:val="VarsaylanParagrafYazTipi"/>
    <w:link w:val="DipnotMetni"/>
    <w:rsid w:val="00161E7C"/>
  </w:style>
  <w:style w:type="character" w:customStyle="1" w:styleId="BalonMetniChar">
    <w:name w:val="Balon Metni Char"/>
    <w:basedOn w:val="VarsaylanParagrafYazTipi"/>
    <w:link w:val="BalonMetni"/>
    <w:rsid w:val="00161E7C"/>
    <w:rPr>
      <w:rFonts w:ascii="Tahoma" w:hAnsi="Tahoma" w:cs="Tahoma"/>
      <w:sz w:val="16"/>
      <w:szCs w:val="16"/>
    </w:rPr>
  </w:style>
  <w:style w:type="paragraph" w:customStyle="1" w:styleId="default0">
    <w:name w:val="default"/>
    <w:basedOn w:val="Normal"/>
    <w:rsid w:val="00B1186F"/>
    <w:pPr>
      <w:spacing w:before="100" w:beforeAutospacing="1" w:after="100" w:afterAutospacing="1"/>
    </w:pPr>
  </w:style>
  <w:style w:type="character" w:customStyle="1" w:styleId="spelle">
    <w:name w:val="spelle"/>
    <w:basedOn w:val="VarsaylanParagrafYazTipi"/>
    <w:rsid w:val="00B1186F"/>
  </w:style>
  <w:style w:type="paragraph" w:customStyle="1" w:styleId="footnotedescription">
    <w:name w:val="footnote description"/>
    <w:next w:val="Normal"/>
    <w:link w:val="footnotedescriptionChar"/>
    <w:hidden/>
    <w:rsid w:val="00252574"/>
    <w:pPr>
      <w:spacing w:line="261" w:lineRule="auto"/>
      <w:ind w:right="62"/>
      <w:jc w:val="both"/>
    </w:pPr>
    <w:rPr>
      <w:color w:val="000000"/>
      <w:szCs w:val="22"/>
    </w:rPr>
  </w:style>
  <w:style w:type="character" w:customStyle="1" w:styleId="footnotedescriptionChar">
    <w:name w:val="footnote description Char"/>
    <w:link w:val="footnotedescription"/>
    <w:rsid w:val="00252574"/>
    <w:rPr>
      <w:color w:val="000000"/>
      <w:szCs w:val="22"/>
    </w:rPr>
  </w:style>
  <w:style w:type="character" w:customStyle="1" w:styleId="footnotemark">
    <w:name w:val="footnote mark"/>
    <w:hidden/>
    <w:rsid w:val="00252574"/>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2790">
      <w:bodyDiv w:val="1"/>
      <w:marLeft w:val="0"/>
      <w:marRight w:val="0"/>
      <w:marTop w:val="45"/>
      <w:marBottom w:val="45"/>
      <w:divBdr>
        <w:top w:val="none" w:sz="0" w:space="0" w:color="auto"/>
        <w:left w:val="none" w:sz="0" w:space="0" w:color="auto"/>
        <w:bottom w:val="none" w:sz="0" w:space="0" w:color="auto"/>
        <w:right w:val="none" w:sz="0" w:space="0" w:color="auto"/>
      </w:divBdr>
      <w:divsChild>
        <w:div w:id="1942371469">
          <w:marLeft w:val="0"/>
          <w:marRight w:val="0"/>
          <w:marTop w:val="0"/>
          <w:marBottom w:val="0"/>
          <w:divBdr>
            <w:top w:val="none" w:sz="0" w:space="0" w:color="auto"/>
            <w:left w:val="none" w:sz="0" w:space="0" w:color="auto"/>
            <w:bottom w:val="none" w:sz="0" w:space="0" w:color="auto"/>
            <w:right w:val="none" w:sz="0" w:space="0" w:color="auto"/>
          </w:divBdr>
          <w:divsChild>
            <w:div w:id="1605382390">
              <w:marLeft w:val="0"/>
              <w:marRight w:val="0"/>
              <w:marTop w:val="0"/>
              <w:marBottom w:val="0"/>
              <w:divBdr>
                <w:top w:val="none" w:sz="0" w:space="0" w:color="auto"/>
                <w:left w:val="none" w:sz="0" w:space="0" w:color="auto"/>
                <w:bottom w:val="none" w:sz="0" w:space="0" w:color="auto"/>
                <w:right w:val="none" w:sz="0" w:space="0" w:color="auto"/>
              </w:divBdr>
              <w:divsChild>
                <w:div w:id="2039156953">
                  <w:marLeft w:val="2385"/>
                  <w:marRight w:val="3960"/>
                  <w:marTop w:val="0"/>
                  <w:marBottom w:val="0"/>
                  <w:divBdr>
                    <w:top w:val="none" w:sz="0" w:space="0" w:color="auto"/>
                    <w:left w:val="single" w:sz="6" w:space="0" w:color="D3E1F9"/>
                    <w:bottom w:val="none" w:sz="0" w:space="0" w:color="auto"/>
                    <w:right w:val="none" w:sz="0" w:space="0" w:color="auto"/>
                  </w:divBdr>
                  <w:divsChild>
                    <w:div w:id="606038840">
                      <w:marLeft w:val="0"/>
                      <w:marRight w:val="0"/>
                      <w:marTop w:val="0"/>
                      <w:marBottom w:val="0"/>
                      <w:divBdr>
                        <w:top w:val="none" w:sz="0" w:space="0" w:color="auto"/>
                        <w:left w:val="none" w:sz="0" w:space="0" w:color="auto"/>
                        <w:bottom w:val="none" w:sz="0" w:space="0" w:color="auto"/>
                        <w:right w:val="none" w:sz="0" w:space="0" w:color="auto"/>
                      </w:divBdr>
                      <w:divsChild>
                        <w:div w:id="1700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28884">
      <w:bodyDiv w:val="1"/>
      <w:marLeft w:val="0"/>
      <w:marRight w:val="0"/>
      <w:marTop w:val="0"/>
      <w:marBottom w:val="0"/>
      <w:divBdr>
        <w:top w:val="none" w:sz="0" w:space="0" w:color="auto"/>
        <w:left w:val="none" w:sz="0" w:space="0" w:color="auto"/>
        <w:bottom w:val="none" w:sz="0" w:space="0" w:color="auto"/>
        <w:right w:val="none" w:sz="0" w:space="0" w:color="auto"/>
      </w:divBdr>
    </w:div>
    <w:div w:id="34432577">
      <w:bodyDiv w:val="1"/>
      <w:marLeft w:val="0"/>
      <w:marRight w:val="0"/>
      <w:marTop w:val="0"/>
      <w:marBottom w:val="0"/>
      <w:divBdr>
        <w:top w:val="none" w:sz="0" w:space="0" w:color="auto"/>
        <w:left w:val="none" w:sz="0" w:space="0" w:color="auto"/>
        <w:bottom w:val="none" w:sz="0" w:space="0" w:color="auto"/>
        <w:right w:val="none" w:sz="0" w:space="0" w:color="auto"/>
      </w:divBdr>
    </w:div>
    <w:div w:id="43063326">
      <w:bodyDiv w:val="1"/>
      <w:marLeft w:val="0"/>
      <w:marRight w:val="0"/>
      <w:marTop w:val="0"/>
      <w:marBottom w:val="0"/>
      <w:divBdr>
        <w:top w:val="none" w:sz="0" w:space="0" w:color="auto"/>
        <w:left w:val="none" w:sz="0" w:space="0" w:color="auto"/>
        <w:bottom w:val="none" w:sz="0" w:space="0" w:color="auto"/>
        <w:right w:val="none" w:sz="0" w:space="0" w:color="auto"/>
      </w:divBdr>
    </w:div>
    <w:div w:id="55667557">
      <w:bodyDiv w:val="1"/>
      <w:marLeft w:val="0"/>
      <w:marRight w:val="0"/>
      <w:marTop w:val="0"/>
      <w:marBottom w:val="0"/>
      <w:divBdr>
        <w:top w:val="none" w:sz="0" w:space="0" w:color="auto"/>
        <w:left w:val="none" w:sz="0" w:space="0" w:color="auto"/>
        <w:bottom w:val="none" w:sz="0" w:space="0" w:color="auto"/>
        <w:right w:val="none" w:sz="0" w:space="0" w:color="auto"/>
      </w:divBdr>
    </w:div>
    <w:div w:id="74207763">
      <w:bodyDiv w:val="1"/>
      <w:marLeft w:val="0"/>
      <w:marRight w:val="0"/>
      <w:marTop w:val="0"/>
      <w:marBottom w:val="0"/>
      <w:divBdr>
        <w:top w:val="none" w:sz="0" w:space="0" w:color="auto"/>
        <w:left w:val="none" w:sz="0" w:space="0" w:color="auto"/>
        <w:bottom w:val="none" w:sz="0" w:space="0" w:color="auto"/>
        <w:right w:val="none" w:sz="0" w:space="0" w:color="auto"/>
      </w:divBdr>
    </w:div>
    <w:div w:id="152454575">
      <w:bodyDiv w:val="1"/>
      <w:marLeft w:val="0"/>
      <w:marRight w:val="0"/>
      <w:marTop w:val="0"/>
      <w:marBottom w:val="0"/>
      <w:divBdr>
        <w:top w:val="none" w:sz="0" w:space="0" w:color="auto"/>
        <w:left w:val="none" w:sz="0" w:space="0" w:color="auto"/>
        <w:bottom w:val="none" w:sz="0" w:space="0" w:color="auto"/>
        <w:right w:val="none" w:sz="0" w:space="0" w:color="auto"/>
      </w:divBdr>
    </w:div>
    <w:div w:id="177473880">
      <w:bodyDiv w:val="1"/>
      <w:marLeft w:val="0"/>
      <w:marRight w:val="0"/>
      <w:marTop w:val="0"/>
      <w:marBottom w:val="0"/>
      <w:divBdr>
        <w:top w:val="none" w:sz="0" w:space="0" w:color="auto"/>
        <w:left w:val="none" w:sz="0" w:space="0" w:color="auto"/>
        <w:bottom w:val="none" w:sz="0" w:space="0" w:color="auto"/>
        <w:right w:val="none" w:sz="0" w:space="0" w:color="auto"/>
      </w:divBdr>
    </w:div>
    <w:div w:id="188111629">
      <w:bodyDiv w:val="1"/>
      <w:marLeft w:val="0"/>
      <w:marRight w:val="0"/>
      <w:marTop w:val="0"/>
      <w:marBottom w:val="0"/>
      <w:divBdr>
        <w:top w:val="none" w:sz="0" w:space="0" w:color="auto"/>
        <w:left w:val="none" w:sz="0" w:space="0" w:color="auto"/>
        <w:bottom w:val="none" w:sz="0" w:space="0" w:color="auto"/>
        <w:right w:val="none" w:sz="0" w:space="0" w:color="auto"/>
      </w:divBdr>
    </w:div>
    <w:div w:id="219750062">
      <w:bodyDiv w:val="1"/>
      <w:marLeft w:val="0"/>
      <w:marRight w:val="0"/>
      <w:marTop w:val="0"/>
      <w:marBottom w:val="0"/>
      <w:divBdr>
        <w:top w:val="none" w:sz="0" w:space="0" w:color="auto"/>
        <w:left w:val="none" w:sz="0" w:space="0" w:color="auto"/>
        <w:bottom w:val="none" w:sz="0" w:space="0" w:color="auto"/>
        <w:right w:val="none" w:sz="0" w:space="0" w:color="auto"/>
      </w:divBdr>
    </w:div>
    <w:div w:id="223496201">
      <w:bodyDiv w:val="1"/>
      <w:marLeft w:val="0"/>
      <w:marRight w:val="0"/>
      <w:marTop w:val="0"/>
      <w:marBottom w:val="0"/>
      <w:divBdr>
        <w:top w:val="none" w:sz="0" w:space="0" w:color="auto"/>
        <w:left w:val="none" w:sz="0" w:space="0" w:color="auto"/>
        <w:bottom w:val="none" w:sz="0" w:space="0" w:color="auto"/>
        <w:right w:val="none" w:sz="0" w:space="0" w:color="auto"/>
      </w:divBdr>
    </w:div>
    <w:div w:id="230385768">
      <w:bodyDiv w:val="1"/>
      <w:marLeft w:val="0"/>
      <w:marRight w:val="0"/>
      <w:marTop w:val="0"/>
      <w:marBottom w:val="0"/>
      <w:divBdr>
        <w:top w:val="none" w:sz="0" w:space="0" w:color="auto"/>
        <w:left w:val="none" w:sz="0" w:space="0" w:color="auto"/>
        <w:bottom w:val="none" w:sz="0" w:space="0" w:color="auto"/>
        <w:right w:val="none" w:sz="0" w:space="0" w:color="auto"/>
      </w:divBdr>
    </w:div>
    <w:div w:id="240061688">
      <w:bodyDiv w:val="1"/>
      <w:marLeft w:val="0"/>
      <w:marRight w:val="0"/>
      <w:marTop w:val="0"/>
      <w:marBottom w:val="0"/>
      <w:divBdr>
        <w:top w:val="none" w:sz="0" w:space="0" w:color="auto"/>
        <w:left w:val="none" w:sz="0" w:space="0" w:color="auto"/>
        <w:bottom w:val="none" w:sz="0" w:space="0" w:color="auto"/>
        <w:right w:val="none" w:sz="0" w:space="0" w:color="auto"/>
      </w:divBdr>
    </w:div>
    <w:div w:id="284388679">
      <w:bodyDiv w:val="1"/>
      <w:marLeft w:val="0"/>
      <w:marRight w:val="0"/>
      <w:marTop w:val="0"/>
      <w:marBottom w:val="0"/>
      <w:divBdr>
        <w:top w:val="none" w:sz="0" w:space="0" w:color="auto"/>
        <w:left w:val="none" w:sz="0" w:space="0" w:color="auto"/>
        <w:bottom w:val="none" w:sz="0" w:space="0" w:color="auto"/>
        <w:right w:val="none" w:sz="0" w:space="0" w:color="auto"/>
      </w:divBdr>
    </w:div>
    <w:div w:id="290938090">
      <w:bodyDiv w:val="1"/>
      <w:marLeft w:val="0"/>
      <w:marRight w:val="0"/>
      <w:marTop w:val="0"/>
      <w:marBottom w:val="0"/>
      <w:divBdr>
        <w:top w:val="none" w:sz="0" w:space="0" w:color="auto"/>
        <w:left w:val="none" w:sz="0" w:space="0" w:color="auto"/>
        <w:bottom w:val="none" w:sz="0" w:space="0" w:color="auto"/>
        <w:right w:val="none" w:sz="0" w:space="0" w:color="auto"/>
      </w:divBdr>
    </w:div>
    <w:div w:id="301887904">
      <w:bodyDiv w:val="1"/>
      <w:marLeft w:val="0"/>
      <w:marRight w:val="0"/>
      <w:marTop w:val="0"/>
      <w:marBottom w:val="0"/>
      <w:divBdr>
        <w:top w:val="none" w:sz="0" w:space="0" w:color="auto"/>
        <w:left w:val="none" w:sz="0" w:space="0" w:color="auto"/>
        <w:bottom w:val="none" w:sz="0" w:space="0" w:color="auto"/>
        <w:right w:val="none" w:sz="0" w:space="0" w:color="auto"/>
      </w:divBdr>
    </w:div>
    <w:div w:id="331377062">
      <w:bodyDiv w:val="1"/>
      <w:marLeft w:val="0"/>
      <w:marRight w:val="0"/>
      <w:marTop w:val="45"/>
      <w:marBottom w:val="45"/>
      <w:divBdr>
        <w:top w:val="none" w:sz="0" w:space="0" w:color="auto"/>
        <w:left w:val="none" w:sz="0" w:space="0" w:color="auto"/>
        <w:bottom w:val="none" w:sz="0" w:space="0" w:color="auto"/>
        <w:right w:val="none" w:sz="0" w:space="0" w:color="auto"/>
      </w:divBdr>
      <w:divsChild>
        <w:div w:id="1234660427">
          <w:marLeft w:val="0"/>
          <w:marRight w:val="0"/>
          <w:marTop w:val="0"/>
          <w:marBottom w:val="0"/>
          <w:divBdr>
            <w:top w:val="none" w:sz="0" w:space="0" w:color="auto"/>
            <w:left w:val="none" w:sz="0" w:space="0" w:color="auto"/>
            <w:bottom w:val="none" w:sz="0" w:space="0" w:color="auto"/>
            <w:right w:val="none" w:sz="0" w:space="0" w:color="auto"/>
          </w:divBdr>
          <w:divsChild>
            <w:div w:id="1528522421">
              <w:marLeft w:val="0"/>
              <w:marRight w:val="0"/>
              <w:marTop w:val="0"/>
              <w:marBottom w:val="0"/>
              <w:divBdr>
                <w:top w:val="none" w:sz="0" w:space="0" w:color="auto"/>
                <w:left w:val="none" w:sz="0" w:space="0" w:color="auto"/>
                <w:bottom w:val="none" w:sz="0" w:space="0" w:color="auto"/>
                <w:right w:val="none" w:sz="0" w:space="0" w:color="auto"/>
              </w:divBdr>
              <w:divsChild>
                <w:div w:id="1828134586">
                  <w:marLeft w:val="2385"/>
                  <w:marRight w:val="3960"/>
                  <w:marTop w:val="0"/>
                  <w:marBottom w:val="0"/>
                  <w:divBdr>
                    <w:top w:val="none" w:sz="0" w:space="0" w:color="auto"/>
                    <w:left w:val="single" w:sz="6" w:space="0" w:color="D3E1F9"/>
                    <w:bottom w:val="none" w:sz="0" w:space="0" w:color="auto"/>
                    <w:right w:val="none" w:sz="0" w:space="0" w:color="auto"/>
                  </w:divBdr>
                  <w:divsChild>
                    <w:div w:id="71634097">
                      <w:marLeft w:val="0"/>
                      <w:marRight w:val="0"/>
                      <w:marTop w:val="0"/>
                      <w:marBottom w:val="0"/>
                      <w:divBdr>
                        <w:top w:val="none" w:sz="0" w:space="0" w:color="auto"/>
                        <w:left w:val="none" w:sz="0" w:space="0" w:color="auto"/>
                        <w:bottom w:val="none" w:sz="0" w:space="0" w:color="auto"/>
                        <w:right w:val="none" w:sz="0" w:space="0" w:color="auto"/>
                      </w:divBdr>
                      <w:divsChild>
                        <w:div w:id="191608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428669">
      <w:bodyDiv w:val="1"/>
      <w:marLeft w:val="0"/>
      <w:marRight w:val="0"/>
      <w:marTop w:val="0"/>
      <w:marBottom w:val="0"/>
      <w:divBdr>
        <w:top w:val="none" w:sz="0" w:space="0" w:color="auto"/>
        <w:left w:val="none" w:sz="0" w:space="0" w:color="auto"/>
        <w:bottom w:val="none" w:sz="0" w:space="0" w:color="auto"/>
        <w:right w:val="none" w:sz="0" w:space="0" w:color="auto"/>
      </w:divBdr>
    </w:div>
    <w:div w:id="398942959">
      <w:bodyDiv w:val="1"/>
      <w:marLeft w:val="0"/>
      <w:marRight w:val="0"/>
      <w:marTop w:val="0"/>
      <w:marBottom w:val="0"/>
      <w:divBdr>
        <w:top w:val="none" w:sz="0" w:space="0" w:color="auto"/>
        <w:left w:val="none" w:sz="0" w:space="0" w:color="auto"/>
        <w:bottom w:val="none" w:sz="0" w:space="0" w:color="auto"/>
        <w:right w:val="none" w:sz="0" w:space="0" w:color="auto"/>
      </w:divBdr>
    </w:div>
    <w:div w:id="401682824">
      <w:bodyDiv w:val="1"/>
      <w:marLeft w:val="0"/>
      <w:marRight w:val="0"/>
      <w:marTop w:val="0"/>
      <w:marBottom w:val="0"/>
      <w:divBdr>
        <w:top w:val="none" w:sz="0" w:space="0" w:color="auto"/>
        <w:left w:val="none" w:sz="0" w:space="0" w:color="auto"/>
        <w:bottom w:val="none" w:sz="0" w:space="0" w:color="auto"/>
        <w:right w:val="none" w:sz="0" w:space="0" w:color="auto"/>
      </w:divBdr>
    </w:div>
    <w:div w:id="414016794">
      <w:bodyDiv w:val="1"/>
      <w:marLeft w:val="0"/>
      <w:marRight w:val="0"/>
      <w:marTop w:val="0"/>
      <w:marBottom w:val="0"/>
      <w:divBdr>
        <w:top w:val="none" w:sz="0" w:space="0" w:color="auto"/>
        <w:left w:val="none" w:sz="0" w:space="0" w:color="auto"/>
        <w:bottom w:val="none" w:sz="0" w:space="0" w:color="auto"/>
        <w:right w:val="none" w:sz="0" w:space="0" w:color="auto"/>
      </w:divBdr>
      <w:divsChild>
        <w:div w:id="708458187">
          <w:marLeft w:val="0"/>
          <w:marRight w:val="0"/>
          <w:marTop w:val="0"/>
          <w:marBottom w:val="0"/>
          <w:divBdr>
            <w:top w:val="none" w:sz="0" w:space="0" w:color="auto"/>
            <w:left w:val="none" w:sz="0" w:space="0" w:color="auto"/>
            <w:bottom w:val="none" w:sz="0" w:space="0" w:color="auto"/>
            <w:right w:val="none" w:sz="0" w:space="0" w:color="auto"/>
          </w:divBdr>
          <w:divsChild>
            <w:div w:id="800464439">
              <w:marLeft w:val="0"/>
              <w:marRight w:val="0"/>
              <w:marTop w:val="33"/>
              <w:marBottom w:val="0"/>
              <w:divBdr>
                <w:top w:val="single" w:sz="2" w:space="0" w:color="596380"/>
                <w:left w:val="single" w:sz="2" w:space="0" w:color="596380"/>
                <w:bottom w:val="single" w:sz="2" w:space="0" w:color="596380"/>
                <w:right w:val="single" w:sz="2" w:space="0" w:color="596380"/>
              </w:divBdr>
              <w:divsChild>
                <w:div w:id="2014985568">
                  <w:marLeft w:val="0"/>
                  <w:marRight w:val="0"/>
                  <w:marTop w:val="0"/>
                  <w:marBottom w:val="0"/>
                  <w:divBdr>
                    <w:top w:val="none" w:sz="0" w:space="0" w:color="auto"/>
                    <w:left w:val="none" w:sz="0" w:space="0" w:color="auto"/>
                    <w:bottom w:val="none" w:sz="0" w:space="0" w:color="auto"/>
                    <w:right w:val="none" w:sz="0" w:space="0" w:color="auto"/>
                  </w:divBdr>
                  <w:divsChild>
                    <w:div w:id="1719696052">
                      <w:marLeft w:val="0"/>
                      <w:marRight w:val="0"/>
                      <w:marTop w:val="0"/>
                      <w:marBottom w:val="0"/>
                      <w:divBdr>
                        <w:top w:val="none" w:sz="0" w:space="0" w:color="auto"/>
                        <w:left w:val="none" w:sz="0" w:space="0" w:color="auto"/>
                        <w:bottom w:val="none" w:sz="0" w:space="0" w:color="auto"/>
                        <w:right w:val="none" w:sz="0" w:space="0" w:color="auto"/>
                      </w:divBdr>
                      <w:divsChild>
                        <w:div w:id="643193405">
                          <w:marLeft w:val="0"/>
                          <w:marRight w:val="0"/>
                          <w:marTop w:val="0"/>
                          <w:marBottom w:val="0"/>
                          <w:divBdr>
                            <w:top w:val="none" w:sz="0" w:space="0" w:color="auto"/>
                            <w:left w:val="none" w:sz="0" w:space="0" w:color="auto"/>
                            <w:bottom w:val="none" w:sz="0" w:space="0" w:color="auto"/>
                            <w:right w:val="none" w:sz="0" w:space="0" w:color="auto"/>
                          </w:divBdr>
                          <w:divsChild>
                            <w:div w:id="2005743220">
                              <w:marLeft w:val="0"/>
                              <w:marRight w:val="0"/>
                              <w:marTop w:val="0"/>
                              <w:marBottom w:val="0"/>
                              <w:divBdr>
                                <w:top w:val="none" w:sz="0" w:space="0" w:color="auto"/>
                                <w:left w:val="none" w:sz="0" w:space="0" w:color="auto"/>
                                <w:bottom w:val="none" w:sz="0" w:space="0" w:color="auto"/>
                                <w:right w:val="none" w:sz="0" w:space="0" w:color="auto"/>
                              </w:divBdr>
                              <w:divsChild>
                                <w:div w:id="727194786">
                                  <w:marLeft w:val="55"/>
                                  <w:marRight w:val="55"/>
                                  <w:marTop w:val="55"/>
                                  <w:marBottom w:val="55"/>
                                  <w:divBdr>
                                    <w:top w:val="none" w:sz="0" w:space="0" w:color="auto"/>
                                    <w:left w:val="none" w:sz="0" w:space="0" w:color="auto"/>
                                    <w:bottom w:val="none" w:sz="0" w:space="0" w:color="auto"/>
                                    <w:right w:val="none" w:sz="0" w:space="0" w:color="auto"/>
                                  </w:divBdr>
                                  <w:divsChild>
                                    <w:div w:id="48779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697782">
      <w:bodyDiv w:val="1"/>
      <w:marLeft w:val="0"/>
      <w:marRight w:val="0"/>
      <w:marTop w:val="0"/>
      <w:marBottom w:val="0"/>
      <w:divBdr>
        <w:top w:val="none" w:sz="0" w:space="0" w:color="auto"/>
        <w:left w:val="none" w:sz="0" w:space="0" w:color="auto"/>
        <w:bottom w:val="none" w:sz="0" w:space="0" w:color="auto"/>
        <w:right w:val="none" w:sz="0" w:space="0" w:color="auto"/>
      </w:divBdr>
    </w:div>
    <w:div w:id="429934477">
      <w:bodyDiv w:val="1"/>
      <w:marLeft w:val="0"/>
      <w:marRight w:val="0"/>
      <w:marTop w:val="0"/>
      <w:marBottom w:val="0"/>
      <w:divBdr>
        <w:top w:val="none" w:sz="0" w:space="0" w:color="auto"/>
        <w:left w:val="none" w:sz="0" w:space="0" w:color="auto"/>
        <w:bottom w:val="none" w:sz="0" w:space="0" w:color="auto"/>
        <w:right w:val="none" w:sz="0" w:space="0" w:color="auto"/>
      </w:divBdr>
    </w:div>
    <w:div w:id="455761419">
      <w:bodyDiv w:val="1"/>
      <w:marLeft w:val="0"/>
      <w:marRight w:val="0"/>
      <w:marTop w:val="0"/>
      <w:marBottom w:val="0"/>
      <w:divBdr>
        <w:top w:val="none" w:sz="0" w:space="0" w:color="auto"/>
        <w:left w:val="none" w:sz="0" w:space="0" w:color="auto"/>
        <w:bottom w:val="none" w:sz="0" w:space="0" w:color="auto"/>
        <w:right w:val="none" w:sz="0" w:space="0" w:color="auto"/>
      </w:divBdr>
    </w:div>
    <w:div w:id="459081145">
      <w:bodyDiv w:val="1"/>
      <w:marLeft w:val="0"/>
      <w:marRight w:val="0"/>
      <w:marTop w:val="0"/>
      <w:marBottom w:val="0"/>
      <w:divBdr>
        <w:top w:val="none" w:sz="0" w:space="0" w:color="auto"/>
        <w:left w:val="none" w:sz="0" w:space="0" w:color="auto"/>
        <w:bottom w:val="none" w:sz="0" w:space="0" w:color="auto"/>
        <w:right w:val="none" w:sz="0" w:space="0" w:color="auto"/>
      </w:divBdr>
    </w:div>
    <w:div w:id="494341178">
      <w:bodyDiv w:val="1"/>
      <w:marLeft w:val="0"/>
      <w:marRight w:val="0"/>
      <w:marTop w:val="0"/>
      <w:marBottom w:val="0"/>
      <w:divBdr>
        <w:top w:val="none" w:sz="0" w:space="0" w:color="auto"/>
        <w:left w:val="none" w:sz="0" w:space="0" w:color="auto"/>
        <w:bottom w:val="none" w:sz="0" w:space="0" w:color="auto"/>
        <w:right w:val="none" w:sz="0" w:space="0" w:color="auto"/>
      </w:divBdr>
    </w:div>
    <w:div w:id="514031238">
      <w:bodyDiv w:val="1"/>
      <w:marLeft w:val="0"/>
      <w:marRight w:val="0"/>
      <w:marTop w:val="0"/>
      <w:marBottom w:val="0"/>
      <w:divBdr>
        <w:top w:val="none" w:sz="0" w:space="0" w:color="auto"/>
        <w:left w:val="none" w:sz="0" w:space="0" w:color="auto"/>
        <w:bottom w:val="none" w:sz="0" w:space="0" w:color="auto"/>
        <w:right w:val="none" w:sz="0" w:space="0" w:color="auto"/>
      </w:divBdr>
    </w:div>
    <w:div w:id="529614231">
      <w:bodyDiv w:val="1"/>
      <w:marLeft w:val="0"/>
      <w:marRight w:val="0"/>
      <w:marTop w:val="0"/>
      <w:marBottom w:val="0"/>
      <w:divBdr>
        <w:top w:val="none" w:sz="0" w:space="0" w:color="auto"/>
        <w:left w:val="none" w:sz="0" w:space="0" w:color="auto"/>
        <w:bottom w:val="none" w:sz="0" w:space="0" w:color="auto"/>
        <w:right w:val="none" w:sz="0" w:space="0" w:color="auto"/>
      </w:divBdr>
    </w:div>
    <w:div w:id="530267629">
      <w:bodyDiv w:val="1"/>
      <w:marLeft w:val="0"/>
      <w:marRight w:val="0"/>
      <w:marTop w:val="0"/>
      <w:marBottom w:val="0"/>
      <w:divBdr>
        <w:top w:val="none" w:sz="0" w:space="0" w:color="auto"/>
        <w:left w:val="none" w:sz="0" w:space="0" w:color="auto"/>
        <w:bottom w:val="none" w:sz="0" w:space="0" w:color="auto"/>
        <w:right w:val="none" w:sz="0" w:space="0" w:color="auto"/>
      </w:divBdr>
    </w:div>
    <w:div w:id="534660672">
      <w:bodyDiv w:val="1"/>
      <w:marLeft w:val="0"/>
      <w:marRight w:val="0"/>
      <w:marTop w:val="0"/>
      <w:marBottom w:val="0"/>
      <w:divBdr>
        <w:top w:val="none" w:sz="0" w:space="0" w:color="auto"/>
        <w:left w:val="none" w:sz="0" w:space="0" w:color="auto"/>
        <w:bottom w:val="none" w:sz="0" w:space="0" w:color="auto"/>
        <w:right w:val="none" w:sz="0" w:space="0" w:color="auto"/>
      </w:divBdr>
    </w:div>
    <w:div w:id="536938640">
      <w:bodyDiv w:val="1"/>
      <w:marLeft w:val="0"/>
      <w:marRight w:val="0"/>
      <w:marTop w:val="0"/>
      <w:marBottom w:val="0"/>
      <w:divBdr>
        <w:top w:val="none" w:sz="0" w:space="0" w:color="auto"/>
        <w:left w:val="none" w:sz="0" w:space="0" w:color="auto"/>
        <w:bottom w:val="none" w:sz="0" w:space="0" w:color="auto"/>
        <w:right w:val="none" w:sz="0" w:space="0" w:color="auto"/>
      </w:divBdr>
    </w:div>
    <w:div w:id="563374885">
      <w:bodyDiv w:val="1"/>
      <w:marLeft w:val="0"/>
      <w:marRight w:val="0"/>
      <w:marTop w:val="0"/>
      <w:marBottom w:val="0"/>
      <w:divBdr>
        <w:top w:val="none" w:sz="0" w:space="0" w:color="auto"/>
        <w:left w:val="none" w:sz="0" w:space="0" w:color="auto"/>
        <w:bottom w:val="none" w:sz="0" w:space="0" w:color="auto"/>
        <w:right w:val="none" w:sz="0" w:space="0" w:color="auto"/>
      </w:divBdr>
    </w:div>
    <w:div w:id="580331081">
      <w:bodyDiv w:val="1"/>
      <w:marLeft w:val="0"/>
      <w:marRight w:val="0"/>
      <w:marTop w:val="0"/>
      <w:marBottom w:val="0"/>
      <w:divBdr>
        <w:top w:val="none" w:sz="0" w:space="0" w:color="auto"/>
        <w:left w:val="none" w:sz="0" w:space="0" w:color="auto"/>
        <w:bottom w:val="none" w:sz="0" w:space="0" w:color="auto"/>
        <w:right w:val="none" w:sz="0" w:space="0" w:color="auto"/>
      </w:divBdr>
    </w:div>
    <w:div w:id="613053636">
      <w:bodyDiv w:val="1"/>
      <w:marLeft w:val="0"/>
      <w:marRight w:val="0"/>
      <w:marTop w:val="0"/>
      <w:marBottom w:val="0"/>
      <w:divBdr>
        <w:top w:val="none" w:sz="0" w:space="0" w:color="auto"/>
        <w:left w:val="none" w:sz="0" w:space="0" w:color="auto"/>
        <w:bottom w:val="none" w:sz="0" w:space="0" w:color="auto"/>
        <w:right w:val="none" w:sz="0" w:space="0" w:color="auto"/>
      </w:divBdr>
    </w:div>
    <w:div w:id="626737903">
      <w:bodyDiv w:val="1"/>
      <w:marLeft w:val="0"/>
      <w:marRight w:val="0"/>
      <w:marTop w:val="0"/>
      <w:marBottom w:val="0"/>
      <w:divBdr>
        <w:top w:val="none" w:sz="0" w:space="0" w:color="auto"/>
        <w:left w:val="none" w:sz="0" w:space="0" w:color="auto"/>
        <w:bottom w:val="none" w:sz="0" w:space="0" w:color="auto"/>
        <w:right w:val="none" w:sz="0" w:space="0" w:color="auto"/>
      </w:divBdr>
    </w:div>
    <w:div w:id="628171307">
      <w:bodyDiv w:val="1"/>
      <w:marLeft w:val="0"/>
      <w:marRight w:val="0"/>
      <w:marTop w:val="0"/>
      <w:marBottom w:val="0"/>
      <w:divBdr>
        <w:top w:val="none" w:sz="0" w:space="0" w:color="auto"/>
        <w:left w:val="none" w:sz="0" w:space="0" w:color="auto"/>
        <w:bottom w:val="none" w:sz="0" w:space="0" w:color="auto"/>
        <w:right w:val="none" w:sz="0" w:space="0" w:color="auto"/>
      </w:divBdr>
    </w:div>
    <w:div w:id="641614608">
      <w:bodyDiv w:val="1"/>
      <w:marLeft w:val="0"/>
      <w:marRight w:val="0"/>
      <w:marTop w:val="0"/>
      <w:marBottom w:val="0"/>
      <w:divBdr>
        <w:top w:val="none" w:sz="0" w:space="0" w:color="auto"/>
        <w:left w:val="none" w:sz="0" w:space="0" w:color="auto"/>
        <w:bottom w:val="none" w:sz="0" w:space="0" w:color="auto"/>
        <w:right w:val="none" w:sz="0" w:space="0" w:color="auto"/>
      </w:divBdr>
    </w:div>
    <w:div w:id="645477552">
      <w:bodyDiv w:val="1"/>
      <w:marLeft w:val="0"/>
      <w:marRight w:val="0"/>
      <w:marTop w:val="0"/>
      <w:marBottom w:val="0"/>
      <w:divBdr>
        <w:top w:val="none" w:sz="0" w:space="0" w:color="auto"/>
        <w:left w:val="none" w:sz="0" w:space="0" w:color="auto"/>
        <w:bottom w:val="none" w:sz="0" w:space="0" w:color="auto"/>
        <w:right w:val="none" w:sz="0" w:space="0" w:color="auto"/>
      </w:divBdr>
    </w:div>
    <w:div w:id="657268292">
      <w:bodyDiv w:val="1"/>
      <w:marLeft w:val="0"/>
      <w:marRight w:val="0"/>
      <w:marTop w:val="0"/>
      <w:marBottom w:val="0"/>
      <w:divBdr>
        <w:top w:val="none" w:sz="0" w:space="0" w:color="auto"/>
        <w:left w:val="none" w:sz="0" w:space="0" w:color="auto"/>
        <w:bottom w:val="none" w:sz="0" w:space="0" w:color="auto"/>
        <w:right w:val="none" w:sz="0" w:space="0" w:color="auto"/>
      </w:divBdr>
    </w:div>
    <w:div w:id="675691294">
      <w:bodyDiv w:val="1"/>
      <w:marLeft w:val="0"/>
      <w:marRight w:val="0"/>
      <w:marTop w:val="45"/>
      <w:marBottom w:val="45"/>
      <w:divBdr>
        <w:top w:val="none" w:sz="0" w:space="0" w:color="auto"/>
        <w:left w:val="none" w:sz="0" w:space="0" w:color="auto"/>
        <w:bottom w:val="none" w:sz="0" w:space="0" w:color="auto"/>
        <w:right w:val="none" w:sz="0" w:space="0" w:color="auto"/>
      </w:divBdr>
      <w:divsChild>
        <w:div w:id="1347947739">
          <w:marLeft w:val="0"/>
          <w:marRight w:val="0"/>
          <w:marTop w:val="0"/>
          <w:marBottom w:val="0"/>
          <w:divBdr>
            <w:top w:val="none" w:sz="0" w:space="0" w:color="auto"/>
            <w:left w:val="none" w:sz="0" w:space="0" w:color="auto"/>
            <w:bottom w:val="none" w:sz="0" w:space="0" w:color="auto"/>
            <w:right w:val="none" w:sz="0" w:space="0" w:color="auto"/>
          </w:divBdr>
          <w:divsChild>
            <w:div w:id="1979262644">
              <w:marLeft w:val="0"/>
              <w:marRight w:val="0"/>
              <w:marTop w:val="0"/>
              <w:marBottom w:val="0"/>
              <w:divBdr>
                <w:top w:val="none" w:sz="0" w:space="0" w:color="auto"/>
                <w:left w:val="none" w:sz="0" w:space="0" w:color="auto"/>
                <w:bottom w:val="none" w:sz="0" w:space="0" w:color="auto"/>
                <w:right w:val="none" w:sz="0" w:space="0" w:color="auto"/>
              </w:divBdr>
              <w:divsChild>
                <w:div w:id="693504948">
                  <w:marLeft w:val="2385"/>
                  <w:marRight w:val="3960"/>
                  <w:marTop w:val="0"/>
                  <w:marBottom w:val="0"/>
                  <w:divBdr>
                    <w:top w:val="none" w:sz="0" w:space="0" w:color="auto"/>
                    <w:left w:val="single" w:sz="6" w:space="0" w:color="D3E1F9"/>
                    <w:bottom w:val="none" w:sz="0" w:space="0" w:color="auto"/>
                    <w:right w:val="none" w:sz="0" w:space="0" w:color="auto"/>
                  </w:divBdr>
                  <w:divsChild>
                    <w:div w:id="678701220">
                      <w:marLeft w:val="0"/>
                      <w:marRight w:val="0"/>
                      <w:marTop w:val="0"/>
                      <w:marBottom w:val="0"/>
                      <w:divBdr>
                        <w:top w:val="none" w:sz="0" w:space="0" w:color="auto"/>
                        <w:left w:val="none" w:sz="0" w:space="0" w:color="auto"/>
                        <w:bottom w:val="none" w:sz="0" w:space="0" w:color="auto"/>
                        <w:right w:val="none" w:sz="0" w:space="0" w:color="auto"/>
                      </w:divBdr>
                      <w:divsChild>
                        <w:div w:id="152975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557607">
      <w:bodyDiv w:val="1"/>
      <w:marLeft w:val="0"/>
      <w:marRight w:val="0"/>
      <w:marTop w:val="0"/>
      <w:marBottom w:val="0"/>
      <w:divBdr>
        <w:top w:val="none" w:sz="0" w:space="0" w:color="auto"/>
        <w:left w:val="none" w:sz="0" w:space="0" w:color="auto"/>
        <w:bottom w:val="none" w:sz="0" w:space="0" w:color="auto"/>
        <w:right w:val="none" w:sz="0" w:space="0" w:color="auto"/>
      </w:divBdr>
    </w:div>
    <w:div w:id="732316477">
      <w:bodyDiv w:val="1"/>
      <w:marLeft w:val="0"/>
      <w:marRight w:val="0"/>
      <w:marTop w:val="0"/>
      <w:marBottom w:val="0"/>
      <w:divBdr>
        <w:top w:val="none" w:sz="0" w:space="0" w:color="auto"/>
        <w:left w:val="none" w:sz="0" w:space="0" w:color="auto"/>
        <w:bottom w:val="none" w:sz="0" w:space="0" w:color="auto"/>
        <w:right w:val="none" w:sz="0" w:space="0" w:color="auto"/>
      </w:divBdr>
    </w:div>
    <w:div w:id="746462423">
      <w:bodyDiv w:val="1"/>
      <w:marLeft w:val="0"/>
      <w:marRight w:val="0"/>
      <w:marTop w:val="0"/>
      <w:marBottom w:val="0"/>
      <w:divBdr>
        <w:top w:val="none" w:sz="0" w:space="0" w:color="auto"/>
        <w:left w:val="none" w:sz="0" w:space="0" w:color="auto"/>
        <w:bottom w:val="none" w:sz="0" w:space="0" w:color="auto"/>
        <w:right w:val="none" w:sz="0" w:space="0" w:color="auto"/>
      </w:divBdr>
    </w:div>
    <w:div w:id="760446206">
      <w:bodyDiv w:val="1"/>
      <w:marLeft w:val="0"/>
      <w:marRight w:val="0"/>
      <w:marTop w:val="0"/>
      <w:marBottom w:val="0"/>
      <w:divBdr>
        <w:top w:val="none" w:sz="0" w:space="0" w:color="auto"/>
        <w:left w:val="none" w:sz="0" w:space="0" w:color="auto"/>
        <w:bottom w:val="none" w:sz="0" w:space="0" w:color="auto"/>
        <w:right w:val="none" w:sz="0" w:space="0" w:color="auto"/>
      </w:divBdr>
    </w:div>
    <w:div w:id="793865506">
      <w:bodyDiv w:val="1"/>
      <w:marLeft w:val="0"/>
      <w:marRight w:val="0"/>
      <w:marTop w:val="0"/>
      <w:marBottom w:val="0"/>
      <w:divBdr>
        <w:top w:val="none" w:sz="0" w:space="0" w:color="auto"/>
        <w:left w:val="none" w:sz="0" w:space="0" w:color="auto"/>
        <w:bottom w:val="none" w:sz="0" w:space="0" w:color="auto"/>
        <w:right w:val="none" w:sz="0" w:space="0" w:color="auto"/>
      </w:divBdr>
    </w:div>
    <w:div w:id="815536614">
      <w:bodyDiv w:val="1"/>
      <w:marLeft w:val="0"/>
      <w:marRight w:val="0"/>
      <w:marTop w:val="0"/>
      <w:marBottom w:val="0"/>
      <w:divBdr>
        <w:top w:val="none" w:sz="0" w:space="0" w:color="auto"/>
        <w:left w:val="none" w:sz="0" w:space="0" w:color="auto"/>
        <w:bottom w:val="none" w:sz="0" w:space="0" w:color="auto"/>
        <w:right w:val="none" w:sz="0" w:space="0" w:color="auto"/>
      </w:divBdr>
    </w:div>
    <w:div w:id="827750072">
      <w:bodyDiv w:val="1"/>
      <w:marLeft w:val="0"/>
      <w:marRight w:val="0"/>
      <w:marTop w:val="0"/>
      <w:marBottom w:val="0"/>
      <w:divBdr>
        <w:top w:val="none" w:sz="0" w:space="0" w:color="auto"/>
        <w:left w:val="none" w:sz="0" w:space="0" w:color="auto"/>
        <w:bottom w:val="none" w:sz="0" w:space="0" w:color="auto"/>
        <w:right w:val="none" w:sz="0" w:space="0" w:color="auto"/>
      </w:divBdr>
    </w:div>
    <w:div w:id="850995562">
      <w:bodyDiv w:val="1"/>
      <w:marLeft w:val="0"/>
      <w:marRight w:val="0"/>
      <w:marTop w:val="0"/>
      <w:marBottom w:val="0"/>
      <w:divBdr>
        <w:top w:val="none" w:sz="0" w:space="0" w:color="auto"/>
        <w:left w:val="none" w:sz="0" w:space="0" w:color="auto"/>
        <w:bottom w:val="none" w:sz="0" w:space="0" w:color="auto"/>
        <w:right w:val="none" w:sz="0" w:space="0" w:color="auto"/>
      </w:divBdr>
    </w:div>
    <w:div w:id="866721998">
      <w:bodyDiv w:val="1"/>
      <w:marLeft w:val="0"/>
      <w:marRight w:val="0"/>
      <w:marTop w:val="0"/>
      <w:marBottom w:val="0"/>
      <w:divBdr>
        <w:top w:val="none" w:sz="0" w:space="0" w:color="auto"/>
        <w:left w:val="none" w:sz="0" w:space="0" w:color="auto"/>
        <w:bottom w:val="none" w:sz="0" w:space="0" w:color="auto"/>
        <w:right w:val="none" w:sz="0" w:space="0" w:color="auto"/>
      </w:divBdr>
    </w:div>
    <w:div w:id="869269961">
      <w:bodyDiv w:val="1"/>
      <w:marLeft w:val="0"/>
      <w:marRight w:val="0"/>
      <w:marTop w:val="0"/>
      <w:marBottom w:val="0"/>
      <w:divBdr>
        <w:top w:val="none" w:sz="0" w:space="0" w:color="auto"/>
        <w:left w:val="none" w:sz="0" w:space="0" w:color="auto"/>
        <w:bottom w:val="none" w:sz="0" w:space="0" w:color="auto"/>
        <w:right w:val="none" w:sz="0" w:space="0" w:color="auto"/>
      </w:divBdr>
    </w:div>
    <w:div w:id="878130089">
      <w:bodyDiv w:val="1"/>
      <w:marLeft w:val="0"/>
      <w:marRight w:val="0"/>
      <w:marTop w:val="0"/>
      <w:marBottom w:val="0"/>
      <w:divBdr>
        <w:top w:val="none" w:sz="0" w:space="0" w:color="auto"/>
        <w:left w:val="none" w:sz="0" w:space="0" w:color="auto"/>
        <w:bottom w:val="none" w:sz="0" w:space="0" w:color="auto"/>
        <w:right w:val="none" w:sz="0" w:space="0" w:color="auto"/>
      </w:divBdr>
    </w:div>
    <w:div w:id="889463427">
      <w:bodyDiv w:val="1"/>
      <w:marLeft w:val="0"/>
      <w:marRight w:val="0"/>
      <w:marTop w:val="0"/>
      <w:marBottom w:val="0"/>
      <w:divBdr>
        <w:top w:val="none" w:sz="0" w:space="0" w:color="auto"/>
        <w:left w:val="none" w:sz="0" w:space="0" w:color="auto"/>
        <w:bottom w:val="none" w:sz="0" w:space="0" w:color="auto"/>
        <w:right w:val="none" w:sz="0" w:space="0" w:color="auto"/>
      </w:divBdr>
    </w:div>
    <w:div w:id="898633932">
      <w:bodyDiv w:val="1"/>
      <w:marLeft w:val="0"/>
      <w:marRight w:val="0"/>
      <w:marTop w:val="0"/>
      <w:marBottom w:val="0"/>
      <w:divBdr>
        <w:top w:val="none" w:sz="0" w:space="0" w:color="auto"/>
        <w:left w:val="none" w:sz="0" w:space="0" w:color="auto"/>
        <w:bottom w:val="none" w:sz="0" w:space="0" w:color="auto"/>
        <w:right w:val="none" w:sz="0" w:space="0" w:color="auto"/>
      </w:divBdr>
    </w:div>
    <w:div w:id="906692712">
      <w:bodyDiv w:val="1"/>
      <w:marLeft w:val="0"/>
      <w:marRight w:val="0"/>
      <w:marTop w:val="0"/>
      <w:marBottom w:val="0"/>
      <w:divBdr>
        <w:top w:val="none" w:sz="0" w:space="0" w:color="auto"/>
        <w:left w:val="none" w:sz="0" w:space="0" w:color="auto"/>
        <w:bottom w:val="none" w:sz="0" w:space="0" w:color="auto"/>
        <w:right w:val="none" w:sz="0" w:space="0" w:color="auto"/>
      </w:divBdr>
    </w:div>
    <w:div w:id="927275053">
      <w:bodyDiv w:val="1"/>
      <w:marLeft w:val="0"/>
      <w:marRight w:val="0"/>
      <w:marTop w:val="0"/>
      <w:marBottom w:val="0"/>
      <w:divBdr>
        <w:top w:val="none" w:sz="0" w:space="0" w:color="auto"/>
        <w:left w:val="none" w:sz="0" w:space="0" w:color="auto"/>
        <w:bottom w:val="none" w:sz="0" w:space="0" w:color="auto"/>
        <w:right w:val="none" w:sz="0" w:space="0" w:color="auto"/>
      </w:divBdr>
    </w:div>
    <w:div w:id="937757352">
      <w:bodyDiv w:val="1"/>
      <w:marLeft w:val="0"/>
      <w:marRight w:val="0"/>
      <w:marTop w:val="0"/>
      <w:marBottom w:val="0"/>
      <w:divBdr>
        <w:top w:val="none" w:sz="0" w:space="0" w:color="auto"/>
        <w:left w:val="none" w:sz="0" w:space="0" w:color="auto"/>
        <w:bottom w:val="none" w:sz="0" w:space="0" w:color="auto"/>
        <w:right w:val="none" w:sz="0" w:space="0" w:color="auto"/>
      </w:divBdr>
      <w:divsChild>
        <w:div w:id="2089769201">
          <w:marLeft w:val="0"/>
          <w:marRight w:val="0"/>
          <w:marTop w:val="100"/>
          <w:marBottom w:val="100"/>
          <w:divBdr>
            <w:top w:val="none" w:sz="0" w:space="0" w:color="auto"/>
            <w:left w:val="none" w:sz="0" w:space="0" w:color="auto"/>
            <w:bottom w:val="none" w:sz="0" w:space="0" w:color="auto"/>
            <w:right w:val="none" w:sz="0" w:space="0" w:color="auto"/>
          </w:divBdr>
          <w:divsChild>
            <w:div w:id="772214855">
              <w:marLeft w:val="0"/>
              <w:marRight w:val="0"/>
              <w:marTop w:val="0"/>
              <w:marBottom w:val="0"/>
              <w:divBdr>
                <w:top w:val="none" w:sz="0" w:space="0" w:color="auto"/>
                <w:left w:val="none" w:sz="0" w:space="0" w:color="auto"/>
                <w:bottom w:val="none" w:sz="0" w:space="0" w:color="auto"/>
                <w:right w:val="none" w:sz="0" w:space="0" w:color="auto"/>
              </w:divBdr>
              <w:divsChild>
                <w:div w:id="63965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472926">
      <w:bodyDiv w:val="1"/>
      <w:marLeft w:val="0"/>
      <w:marRight w:val="0"/>
      <w:marTop w:val="0"/>
      <w:marBottom w:val="0"/>
      <w:divBdr>
        <w:top w:val="none" w:sz="0" w:space="0" w:color="auto"/>
        <w:left w:val="none" w:sz="0" w:space="0" w:color="auto"/>
        <w:bottom w:val="none" w:sz="0" w:space="0" w:color="auto"/>
        <w:right w:val="none" w:sz="0" w:space="0" w:color="auto"/>
      </w:divBdr>
    </w:div>
    <w:div w:id="997920597">
      <w:bodyDiv w:val="1"/>
      <w:marLeft w:val="0"/>
      <w:marRight w:val="0"/>
      <w:marTop w:val="0"/>
      <w:marBottom w:val="0"/>
      <w:divBdr>
        <w:top w:val="none" w:sz="0" w:space="0" w:color="auto"/>
        <w:left w:val="none" w:sz="0" w:space="0" w:color="auto"/>
        <w:bottom w:val="none" w:sz="0" w:space="0" w:color="auto"/>
        <w:right w:val="none" w:sz="0" w:space="0" w:color="auto"/>
      </w:divBdr>
    </w:div>
    <w:div w:id="998533943">
      <w:bodyDiv w:val="1"/>
      <w:marLeft w:val="0"/>
      <w:marRight w:val="0"/>
      <w:marTop w:val="0"/>
      <w:marBottom w:val="0"/>
      <w:divBdr>
        <w:top w:val="none" w:sz="0" w:space="0" w:color="auto"/>
        <w:left w:val="none" w:sz="0" w:space="0" w:color="auto"/>
        <w:bottom w:val="none" w:sz="0" w:space="0" w:color="auto"/>
        <w:right w:val="none" w:sz="0" w:space="0" w:color="auto"/>
      </w:divBdr>
    </w:div>
    <w:div w:id="1000812390">
      <w:bodyDiv w:val="1"/>
      <w:marLeft w:val="0"/>
      <w:marRight w:val="0"/>
      <w:marTop w:val="0"/>
      <w:marBottom w:val="0"/>
      <w:divBdr>
        <w:top w:val="none" w:sz="0" w:space="0" w:color="auto"/>
        <w:left w:val="none" w:sz="0" w:space="0" w:color="auto"/>
        <w:bottom w:val="none" w:sz="0" w:space="0" w:color="auto"/>
        <w:right w:val="none" w:sz="0" w:space="0" w:color="auto"/>
      </w:divBdr>
    </w:div>
    <w:div w:id="1007244348">
      <w:bodyDiv w:val="1"/>
      <w:marLeft w:val="0"/>
      <w:marRight w:val="0"/>
      <w:marTop w:val="0"/>
      <w:marBottom w:val="0"/>
      <w:divBdr>
        <w:top w:val="none" w:sz="0" w:space="0" w:color="auto"/>
        <w:left w:val="none" w:sz="0" w:space="0" w:color="auto"/>
        <w:bottom w:val="none" w:sz="0" w:space="0" w:color="auto"/>
        <w:right w:val="none" w:sz="0" w:space="0" w:color="auto"/>
      </w:divBdr>
    </w:div>
    <w:div w:id="1071080628">
      <w:bodyDiv w:val="1"/>
      <w:marLeft w:val="0"/>
      <w:marRight w:val="0"/>
      <w:marTop w:val="0"/>
      <w:marBottom w:val="0"/>
      <w:divBdr>
        <w:top w:val="none" w:sz="0" w:space="0" w:color="auto"/>
        <w:left w:val="none" w:sz="0" w:space="0" w:color="auto"/>
        <w:bottom w:val="none" w:sz="0" w:space="0" w:color="auto"/>
        <w:right w:val="none" w:sz="0" w:space="0" w:color="auto"/>
      </w:divBdr>
    </w:div>
    <w:div w:id="1096242730">
      <w:bodyDiv w:val="1"/>
      <w:marLeft w:val="0"/>
      <w:marRight w:val="0"/>
      <w:marTop w:val="0"/>
      <w:marBottom w:val="0"/>
      <w:divBdr>
        <w:top w:val="none" w:sz="0" w:space="0" w:color="auto"/>
        <w:left w:val="none" w:sz="0" w:space="0" w:color="auto"/>
        <w:bottom w:val="none" w:sz="0" w:space="0" w:color="auto"/>
        <w:right w:val="none" w:sz="0" w:space="0" w:color="auto"/>
      </w:divBdr>
    </w:div>
    <w:div w:id="1124468826">
      <w:bodyDiv w:val="1"/>
      <w:marLeft w:val="0"/>
      <w:marRight w:val="0"/>
      <w:marTop w:val="0"/>
      <w:marBottom w:val="0"/>
      <w:divBdr>
        <w:top w:val="none" w:sz="0" w:space="0" w:color="auto"/>
        <w:left w:val="none" w:sz="0" w:space="0" w:color="auto"/>
        <w:bottom w:val="none" w:sz="0" w:space="0" w:color="auto"/>
        <w:right w:val="none" w:sz="0" w:space="0" w:color="auto"/>
      </w:divBdr>
    </w:div>
    <w:div w:id="1158501103">
      <w:bodyDiv w:val="1"/>
      <w:marLeft w:val="0"/>
      <w:marRight w:val="0"/>
      <w:marTop w:val="0"/>
      <w:marBottom w:val="0"/>
      <w:divBdr>
        <w:top w:val="none" w:sz="0" w:space="0" w:color="auto"/>
        <w:left w:val="none" w:sz="0" w:space="0" w:color="auto"/>
        <w:bottom w:val="none" w:sz="0" w:space="0" w:color="auto"/>
        <w:right w:val="none" w:sz="0" w:space="0" w:color="auto"/>
      </w:divBdr>
    </w:div>
    <w:div w:id="1202984063">
      <w:bodyDiv w:val="1"/>
      <w:marLeft w:val="0"/>
      <w:marRight w:val="0"/>
      <w:marTop w:val="0"/>
      <w:marBottom w:val="0"/>
      <w:divBdr>
        <w:top w:val="none" w:sz="0" w:space="0" w:color="auto"/>
        <w:left w:val="none" w:sz="0" w:space="0" w:color="auto"/>
        <w:bottom w:val="none" w:sz="0" w:space="0" w:color="auto"/>
        <w:right w:val="none" w:sz="0" w:space="0" w:color="auto"/>
      </w:divBdr>
    </w:div>
    <w:div w:id="1206139090">
      <w:bodyDiv w:val="1"/>
      <w:marLeft w:val="0"/>
      <w:marRight w:val="0"/>
      <w:marTop w:val="0"/>
      <w:marBottom w:val="0"/>
      <w:divBdr>
        <w:top w:val="none" w:sz="0" w:space="0" w:color="auto"/>
        <w:left w:val="none" w:sz="0" w:space="0" w:color="auto"/>
        <w:bottom w:val="none" w:sz="0" w:space="0" w:color="auto"/>
        <w:right w:val="none" w:sz="0" w:space="0" w:color="auto"/>
      </w:divBdr>
    </w:div>
    <w:div w:id="1221480457">
      <w:bodyDiv w:val="1"/>
      <w:marLeft w:val="0"/>
      <w:marRight w:val="0"/>
      <w:marTop w:val="0"/>
      <w:marBottom w:val="0"/>
      <w:divBdr>
        <w:top w:val="none" w:sz="0" w:space="0" w:color="auto"/>
        <w:left w:val="none" w:sz="0" w:space="0" w:color="auto"/>
        <w:bottom w:val="none" w:sz="0" w:space="0" w:color="auto"/>
        <w:right w:val="none" w:sz="0" w:space="0" w:color="auto"/>
      </w:divBdr>
    </w:div>
    <w:div w:id="1227649669">
      <w:bodyDiv w:val="1"/>
      <w:marLeft w:val="0"/>
      <w:marRight w:val="0"/>
      <w:marTop w:val="0"/>
      <w:marBottom w:val="0"/>
      <w:divBdr>
        <w:top w:val="none" w:sz="0" w:space="0" w:color="auto"/>
        <w:left w:val="none" w:sz="0" w:space="0" w:color="auto"/>
        <w:bottom w:val="none" w:sz="0" w:space="0" w:color="auto"/>
        <w:right w:val="none" w:sz="0" w:space="0" w:color="auto"/>
      </w:divBdr>
    </w:div>
    <w:div w:id="1231380481">
      <w:bodyDiv w:val="1"/>
      <w:marLeft w:val="0"/>
      <w:marRight w:val="0"/>
      <w:marTop w:val="0"/>
      <w:marBottom w:val="0"/>
      <w:divBdr>
        <w:top w:val="none" w:sz="0" w:space="0" w:color="auto"/>
        <w:left w:val="none" w:sz="0" w:space="0" w:color="auto"/>
        <w:bottom w:val="none" w:sz="0" w:space="0" w:color="auto"/>
        <w:right w:val="none" w:sz="0" w:space="0" w:color="auto"/>
      </w:divBdr>
    </w:div>
    <w:div w:id="1237202982">
      <w:bodyDiv w:val="1"/>
      <w:marLeft w:val="0"/>
      <w:marRight w:val="0"/>
      <w:marTop w:val="0"/>
      <w:marBottom w:val="0"/>
      <w:divBdr>
        <w:top w:val="none" w:sz="0" w:space="0" w:color="auto"/>
        <w:left w:val="none" w:sz="0" w:space="0" w:color="auto"/>
        <w:bottom w:val="none" w:sz="0" w:space="0" w:color="auto"/>
        <w:right w:val="none" w:sz="0" w:space="0" w:color="auto"/>
      </w:divBdr>
    </w:div>
    <w:div w:id="1237544802">
      <w:bodyDiv w:val="1"/>
      <w:marLeft w:val="0"/>
      <w:marRight w:val="0"/>
      <w:marTop w:val="0"/>
      <w:marBottom w:val="0"/>
      <w:divBdr>
        <w:top w:val="none" w:sz="0" w:space="0" w:color="auto"/>
        <w:left w:val="none" w:sz="0" w:space="0" w:color="auto"/>
        <w:bottom w:val="none" w:sz="0" w:space="0" w:color="auto"/>
        <w:right w:val="none" w:sz="0" w:space="0" w:color="auto"/>
      </w:divBdr>
    </w:div>
    <w:div w:id="1245341833">
      <w:bodyDiv w:val="1"/>
      <w:marLeft w:val="0"/>
      <w:marRight w:val="0"/>
      <w:marTop w:val="0"/>
      <w:marBottom w:val="0"/>
      <w:divBdr>
        <w:top w:val="none" w:sz="0" w:space="0" w:color="auto"/>
        <w:left w:val="none" w:sz="0" w:space="0" w:color="auto"/>
        <w:bottom w:val="none" w:sz="0" w:space="0" w:color="auto"/>
        <w:right w:val="none" w:sz="0" w:space="0" w:color="auto"/>
      </w:divBdr>
    </w:div>
    <w:div w:id="1249268261">
      <w:bodyDiv w:val="1"/>
      <w:marLeft w:val="0"/>
      <w:marRight w:val="0"/>
      <w:marTop w:val="0"/>
      <w:marBottom w:val="0"/>
      <w:divBdr>
        <w:top w:val="none" w:sz="0" w:space="0" w:color="auto"/>
        <w:left w:val="none" w:sz="0" w:space="0" w:color="auto"/>
        <w:bottom w:val="none" w:sz="0" w:space="0" w:color="auto"/>
        <w:right w:val="none" w:sz="0" w:space="0" w:color="auto"/>
      </w:divBdr>
    </w:div>
    <w:div w:id="1258753217">
      <w:bodyDiv w:val="1"/>
      <w:marLeft w:val="0"/>
      <w:marRight w:val="0"/>
      <w:marTop w:val="0"/>
      <w:marBottom w:val="0"/>
      <w:divBdr>
        <w:top w:val="none" w:sz="0" w:space="0" w:color="auto"/>
        <w:left w:val="none" w:sz="0" w:space="0" w:color="auto"/>
        <w:bottom w:val="none" w:sz="0" w:space="0" w:color="auto"/>
        <w:right w:val="none" w:sz="0" w:space="0" w:color="auto"/>
      </w:divBdr>
    </w:div>
    <w:div w:id="1324889309">
      <w:bodyDiv w:val="1"/>
      <w:marLeft w:val="0"/>
      <w:marRight w:val="0"/>
      <w:marTop w:val="0"/>
      <w:marBottom w:val="0"/>
      <w:divBdr>
        <w:top w:val="none" w:sz="0" w:space="0" w:color="auto"/>
        <w:left w:val="none" w:sz="0" w:space="0" w:color="auto"/>
        <w:bottom w:val="none" w:sz="0" w:space="0" w:color="auto"/>
        <w:right w:val="none" w:sz="0" w:space="0" w:color="auto"/>
      </w:divBdr>
      <w:divsChild>
        <w:div w:id="1024672067">
          <w:marLeft w:val="0"/>
          <w:marRight w:val="0"/>
          <w:marTop w:val="100"/>
          <w:marBottom w:val="100"/>
          <w:divBdr>
            <w:top w:val="none" w:sz="0" w:space="0" w:color="auto"/>
            <w:left w:val="none" w:sz="0" w:space="0" w:color="auto"/>
            <w:bottom w:val="none" w:sz="0" w:space="0" w:color="auto"/>
            <w:right w:val="none" w:sz="0" w:space="0" w:color="auto"/>
          </w:divBdr>
          <w:divsChild>
            <w:div w:id="1521626857">
              <w:marLeft w:val="0"/>
              <w:marRight w:val="0"/>
              <w:marTop w:val="0"/>
              <w:marBottom w:val="0"/>
              <w:divBdr>
                <w:top w:val="none" w:sz="0" w:space="0" w:color="auto"/>
                <w:left w:val="none" w:sz="0" w:space="0" w:color="auto"/>
                <w:bottom w:val="none" w:sz="0" w:space="0" w:color="auto"/>
                <w:right w:val="none" w:sz="0" w:space="0" w:color="auto"/>
              </w:divBdr>
              <w:divsChild>
                <w:div w:id="193871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434775">
      <w:bodyDiv w:val="1"/>
      <w:marLeft w:val="0"/>
      <w:marRight w:val="0"/>
      <w:marTop w:val="0"/>
      <w:marBottom w:val="0"/>
      <w:divBdr>
        <w:top w:val="none" w:sz="0" w:space="0" w:color="auto"/>
        <w:left w:val="none" w:sz="0" w:space="0" w:color="auto"/>
        <w:bottom w:val="none" w:sz="0" w:space="0" w:color="auto"/>
        <w:right w:val="none" w:sz="0" w:space="0" w:color="auto"/>
      </w:divBdr>
    </w:div>
    <w:div w:id="1340042520">
      <w:bodyDiv w:val="1"/>
      <w:marLeft w:val="0"/>
      <w:marRight w:val="0"/>
      <w:marTop w:val="0"/>
      <w:marBottom w:val="0"/>
      <w:divBdr>
        <w:top w:val="none" w:sz="0" w:space="0" w:color="auto"/>
        <w:left w:val="none" w:sz="0" w:space="0" w:color="auto"/>
        <w:bottom w:val="none" w:sz="0" w:space="0" w:color="auto"/>
        <w:right w:val="none" w:sz="0" w:space="0" w:color="auto"/>
      </w:divBdr>
    </w:div>
    <w:div w:id="1341736550">
      <w:bodyDiv w:val="1"/>
      <w:marLeft w:val="0"/>
      <w:marRight w:val="0"/>
      <w:marTop w:val="0"/>
      <w:marBottom w:val="0"/>
      <w:divBdr>
        <w:top w:val="none" w:sz="0" w:space="0" w:color="auto"/>
        <w:left w:val="none" w:sz="0" w:space="0" w:color="auto"/>
        <w:bottom w:val="none" w:sz="0" w:space="0" w:color="auto"/>
        <w:right w:val="none" w:sz="0" w:space="0" w:color="auto"/>
      </w:divBdr>
      <w:divsChild>
        <w:div w:id="766392993">
          <w:marLeft w:val="0"/>
          <w:marRight w:val="0"/>
          <w:marTop w:val="0"/>
          <w:marBottom w:val="0"/>
          <w:divBdr>
            <w:top w:val="none" w:sz="0" w:space="0" w:color="auto"/>
            <w:left w:val="none" w:sz="0" w:space="0" w:color="auto"/>
            <w:bottom w:val="none" w:sz="0" w:space="0" w:color="auto"/>
            <w:right w:val="none" w:sz="0" w:space="0" w:color="auto"/>
          </w:divBdr>
          <w:divsChild>
            <w:div w:id="221715853">
              <w:marLeft w:val="0"/>
              <w:marRight w:val="0"/>
              <w:marTop w:val="33"/>
              <w:marBottom w:val="0"/>
              <w:divBdr>
                <w:top w:val="single" w:sz="2" w:space="0" w:color="596380"/>
                <w:left w:val="single" w:sz="2" w:space="0" w:color="596380"/>
                <w:bottom w:val="single" w:sz="2" w:space="0" w:color="596380"/>
                <w:right w:val="single" w:sz="2" w:space="0" w:color="596380"/>
              </w:divBdr>
              <w:divsChild>
                <w:div w:id="748036035">
                  <w:marLeft w:val="0"/>
                  <w:marRight w:val="0"/>
                  <w:marTop w:val="0"/>
                  <w:marBottom w:val="0"/>
                  <w:divBdr>
                    <w:top w:val="none" w:sz="0" w:space="0" w:color="auto"/>
                    <w:left w:val="none" w:sz="0" w:space="0" w:color="auto"/>
                    <w:bottom w:val="none" w:sz="0" w:space="0" w:color="auto"/>
                    <w:right w:val="none" w:sz="0" w:space="0" w:color="auto"/>
                  </w:divBdr>
                  <w:divsChild>
                    <w:div w:id="258609488">
                      <w:marLeft w:val="0"/>
                      <w:marRight w:val="0"/>
                      <w:marTop w:val="0"/>
                      <w:marBottom w:val="0"/>
                      <w:divBdr>
                        <w:top w:val="none" w:sz="0" w:space="0" w:color="auto"/>
                        <w:left w:val="none" w:sz="0" w:space="0" w:color="auto"/>
                        <w:bottom w:val="none" w:sz="0" w:space="0" w:color="auto"/>
                        <w:right w:val="none" w:sz="0" w:space="0" w:color="auto"/>
                      </w:divBdr>
                      <w:divsChild>
                        <w:div w:id="132139974">
                          <w:marLeft w:val="0"/>
                          <w:marRight w:val="0"/>
                          <w:marTop w:val="0"/>
                          <w:marBottom w:val="0"/>
                          <w:divBdr>
                            <w:top w:val="none" w:sz="0" w:space="0" w:color="auto"/>
                            <w:left w:val="none" w:sz="0" w:space="0" w:color="auto"/>
                            <w:bottom w:val="none" w:sz="0" w:space="0" w:color="auto"/>
                            <w:right w:val="none" w:sz="0" w:space="0" w:color="auto"/>
                          </w:divBdr>
                          <w:divsChild>
                            <w:div w:id="1018893457">
                              <w:marLeft w:val="0"/>
                              <w:marRight w:val="0"/>
                              <w:marTop w:val="0"/>
                              <w:marBottom w:val="0"/>
                              <w:divBdr>
                                <w:top w:val="none" w:sz="0" w:space="0" w:color="auto"/>
                                <w:left w:val="none" w:sz="0" w:space="0" w:color="auto"/>
                                <w:bottom w:val="none" w:sz="0" w:space="0" w:color="auto"/>
                                <w:right w:val="none" w:sz="0" w:space="0" w:color="auto"/>
                              </w:divBdr>
                              <w:divsChild>
                                <w:div w:id="1108699298">
                                  <w:marLeft w:val="55"/>
                                  <w:marRight w:val="55"/>
                                  <w:marTop w:val="55"/>
                                  <w:marBottom w:val="55"/>
                                  <w:divBdr>
                                    <w:top w:val="none" w:sz="0" w:space="0" w:color="auto"/>
                                    <w:left w:val="none" w:sz="0" w:space="0" w:color="auto"/>
                                    <w:bottom w:val="none" w:sz="0" w:space="0" w:color="auto"/>
                                    <w:right w:val="none" w:sz="0" w:space="0" w:color="auto"/>
                                  </w:divBdr>
                                  <w:divsChild>
                                    <w:div w:id="17622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0447452">
      <w:bodyDiv w:val="1"/>
      <w:marLeft w:val="0"/>
      <w:marRight w:val="0"/>
      <w:marTop w:val="0"/>
      <w:marBottom w:val="0"/>
      <w:divBdr>
        <w:top w:val="none" w:sz="0" w:space="0" w:color="auto"/>
        <w:left w:val="none" w:sz="0" w:space="0" w:color="auto"/>
        <w:bottom w:val="none" w:sz="0" w:space="0" w:color="auto"/>
        <w:right w:val="none" w:sz="0" w:space="0" w:color="auto"/>
      </w:divBdr>
    </w:div>
    <w:div w:id="1353801244">
      <w:bodyDiv w:val="1"/>
      <w:marLeft w:val="0"/>
      <w:marRight w:val="0"/>
      <w:marTop w:val="0"/>
      <w:marBottom w:val="0"/>
      <w:divBdr>
        <w:top w:val="none" w:sz="0" w:space="0" w:color="auto"/>
        <w:left w:val="none" w:sz="0" w:space="0" w:color="auto"/>
        <w:bottom w:val="none" w:sz="0" w:space="0" w:color="auto"/>
        <w:right w:val="none" w:sz="0" w:space="0" w:color="auto"/>
      </w:divBdr>
    </w:div>
    <w:div w:id="1365593241">
      <w:bodyDiv w:val="1"/>
      <w:marLeft w:val="0"/>
      <w:marRight w:val="0"/>
      <w:marTop w:val="0"/>
      <w:marBottom w:val="0"/>
      <w:divBdr>
        <w:top w:val="none" w:sz="0" w:space="0" w:color="auto"/>
        <w:left w:val="none" w:sz="0" w:space="0" w:color="auto"/>
        <w:bottom w:val="none" w:sz="0" w:space="0" w:color="auto"/>
        <w:right w:val="none" w:sz="0" w:space="0" w:color="auto"/>
      </w:divBdr>
    </w:div>
    <w:div w:id="1384981871">
      <w:bodyDiv w:val="1"/>
      <w:marLeft w:val="0"/>
      <w:marRight w:val="0"/>
      <w:marTop w:val="0"/>
      <w:marBottom w:val="0"/>
      <w:divBdr>
        <w:top w:val="none" w:sz="0" w:space="0" w:color="auto"/>
        <w:left w:val="none" w:sz="0" w:space="0" w:color="auto"/>
        <w:bottom w:val="none" w:sz="0" w:space="0" w:color="auto"/>
        <w:right w:val="none" w:sz="0" w:space="0" w:color="auto"/>
      </w:divBdr>
    </w:div>
    <w:div w:id="1398090878">
      <w:bodyDiv w:val="1"/>
      <w:marLeft w:val="0"/>
      <w:marRight w:val="0"/>
      <w:marTop w:val="0"/>
      <w:marBottom w:val="0"/>
      <w:divBdr>
        <w:top w:val="none" w:sz="0" w:space="0" w:color="auto"/>
        <w:left w:val="none" w:sz="0" w:space="0" w:color="auto"/>
        <w:bottom w:val="none" w:sz="0" w:space="0" w:color="auto"/>
        <w:right w:val="none" w:sz="0" w:space="0" w:color="auto"/>
      </w:divBdr>
    </w:div>
    <w:div w:id="1410230392">
      <w:bodyDiv w:val="1"/>
      <w:marLeft w:val="0"/>
      <w:marRight w:val="0"/>
      <w:marTop w:val="0"/>
      <w:marBottom w:val="0"/>
      <w:divBdr>
        <w:top w:val="none" w:sz="0" w:space="0" w:color="auto"/>
        <w:left w:val="none" w:sz="0" w:space="0" w:color="auto"/>
        <w:bottom w:val="none" w:sz="0" w:space="0" w:color="auto"/>
        <w:right w:val="none" w:sz="0" w:space="0" w:color="auto"/>
      </w:divBdr>
    </w:div>
    <w:div w:id="1413821722">
      <w:bodyDiv w:val="1"/>
      <w:marLeft w:val="0"/>
      <w:marRight w:val="0"/>
      <w:marTop w:val="0"/>
      <w:marBottom w:val="0"/>
      <w:divBdr>
        <w:top w:val="none" w:sz="0" w:space="0" w:color="auto"/>
        <w:left w:val="none" w:sz="0" w:space="0" w:color="auto"/>
        <w:bottom w:val="none" w:sz="0" w:space="0" w:color="auto"/>
        <w:right w:val="none" w:sz="0" w:space="0" w:color="auto"/>
      </w:divBdr>
    </w:div>
    <w:div w:id="1421439882">
      <w:bodyDiv w:val="1"/>
      <w:marLeft w:val="0"/>
      <w:marRight w:val="0"/>
      <w:marTop w:val="0"/>
      <w:marBottom w:val="0"/>
      <w:divBdr>
        <w:top w:val="none" w:sz="0" w:space="0" w:color="auto"/>
        <w:left w:val="none" w:sz="0" w:space="0" w:color="auto"/>
        <w:bottom w:val="none" w:sz="0" w:space="0" w:color="auto"/>
        <w:right w:val="none" w:sz="0" w:space="0" w:color="auto"/>
      </w:divBdr>
    </w:div>
    <w:div w:id="1424836146">
      <w:bodyDiv w:val="1"/>
      <w:marLeft w:val="0"/>
      <w:marRight w:val="0"/>
      <w:marTop w:val="0"/>
      <w:marBottom w:val="0"/>
      <w:divBdr>
        <w:top w:val="none" w:sz="0" w:space="0" w:color="auto"/>
        <w:left w:val="none" w:sz="0" w:space="0" w:color="auto"/>
        <w:bottom w:val="none" w:sz="0" w:space="0" w:color="auto"/>
        <w:right w:val="none" w:sz="0" w:space="0" w:color="auto"/>
      </w:divBdr>
    </w:div>
    <w:div w:id="1429153648">
      <w:bodyDiv w:val="1"/>
      <w:marLeft w:val="0"/>
      <w:marRight w:val="0"/>
      <w:marTop w:val="0"/>
      <w:marBottom w:val="0"/>
      <w:divBdr>
        <w:top w:val="none" w:sz="0" w:space="0" w:color="auto"/>
        <w:left w:val="none" w:sz="0" w:space="0" w:color="auto"/>
        <w:bottom w:val="none" w:sz="0" w:space="0" w:color="auto"/>
        <w:right w:val="none" w:sz="0" w:space="0" w:color="auto"/>
      </w:divBdr>
    </w:div>
    <w:div w:id="1458721794">
      <w:bodyDiv w:val="1"/>
      <w:marLeft w:val="0"/>
      <w:marRight w:val="0"/>
      <w:marTop w:val="0"/>
      <w:marBottom w:val="0"/>
      <w:divBdr>
        <w:top w:val="none" w:sz="0" w:space="0" w:color="auto"/>
        <w:left w:val="none" w:sz="0" w:space="0" w:color="auto"/>
        <w:bottom w:val="none" w:sz="0" w:space="0" w:color="auto"/>
        <w:right w:val="none" w:sz="0" w:space="0" w:color="auto"/>
      </w:divBdr>
    </w:div>
    <w:div w:id="1472359376">
      <w:bodyDiv w:val="1"/>
      <w:marLeft w:val="0"/>
      <w:marRight w:val="0"/>
      <w:marTop w:val="0"/>
      <w:marBottom w:val="0"/>
      <w:divBdr>
        <w:top w:val="none" w:sz="0" w:space="0" w:color="auto"/>
        <w:left w:val="none" w:sz="0" w:space="0" w:color="auto"/>
        <w:bottom w:val="none" w:sz="0" w:space="0" w:color="auto"/>
        <w:right w:val="none" w:sz="0" w:space="0" w:color="auto"/>
      </w:divBdr>
    </w:div>
    <w:div w:id="1488743183">
      <w:bodyDiv w:val="1"/>
      <w:marLeft w:val="0"/>
      <w:marRight w:val="0"/>
      <w:marTop w:val="45"/>
      <w:marBottom w:val="45"/>
      <w:divBdr>
        <w:top w:val="none" w:sz="0" w:space="0" w:color="auto"/>
        <w:left w:val="none" w:sz="0" w:space="0" w:color="auto"/>
        <w:bottom w:val="none" w:sz="0" w:space="0" w:color="auto"/>
        <w:right w:val="none" w:sz="0" w:space="0" w:color="auto"/>
      </w:divBdr>
      <w:divsChild>
        <w:div w:id="736321548">
          <w:marLeft w:val="0"/>
          <w:marRight w:val="0"/>
          <w:marTop w:val="0"/>
          <w:marBottom w:val="0"/>
          <w:divBdr>
            <w:top w:val="none" w:sz="0" w:space="0" w:color="auto"/>
            <w:left w:val="none" w:sz="0" w:space="0" w:color="auto"/>
            <w:bottom w:val="none" w:sz="0" w:space="0" w:color="auto"/>
            <w:right w:val="none" w:sz="0" w:space="0" w:color="auto"/>
          </w:divBdr>
          <w:divsChild>
            <w:div w:id="1772236447">
              <w:marLeft w:val="0"/>
              <w:marRight w:val="0"/>
              <w:marTop w:val="0"/>
              <w:marBottom w:val="0"/>
              <w:divBdr>
                <w:top w:val="none" w:sz="0" w:space="0" w:color="auto"/>
                <w:left w:val="none" w:sz="0" w:space="0" w:color="auto"/>
                <w:bottom w:val="none" w:sz="0" w:space="0" w:color="auto"/>
                <w:right w:val="none" w:sz="0" w:space="0" w:color="auto"/>
              </w:divBdr>
              <w:divsChild>
                <w:div w:id="472020059">
                  <w:marLeft w:val="2385"/>
                  <w:marRight w:val="3960"/>
                  <w:marTop w:val="0"/>
                  <w:marBottom w:val="0"/>
                  <w:divBdr>
                    <w:top w:val="none" w:sz="0" w:space="0" w:color="auto"/>
                    <w:left w:val="single" w:sz="6" w:space="0" w:color="D3E1F9"/>
                    <w:bottom w:val="none" w:sz="0" w:space="0" w:color="auto"/>
                    <w:right w:val="none" w:sz="0" w:space="0" w:color="auto"/>
                  </w:divBdr>
                  <w:divsChild>
                    <w:div w:id="1213689097">
                      <w:marLeft w:val="0"/>
                      <w:marRight w:val="0"/>
                      <w:marTop w:val="0"/>
                      <w:marBottom w:val="0"/>
                      <w:divBdr>
                        <w:top w:val="none" w:sz="0" w:space="0" w:color="auto"/>
                        <w:left w:val="none" w:sz="0" w:space="0" w:color="auto"/>
                        <w:bottom w:val="none" w:sz="0" w:space="0" w:color="auto"/>
                        <w:right w:val="none" w:sz="0" w:space="0" w:color="auto"/>
                      </w:divBdr>
                      <w:divsChild>
                        <w:div w:id="28693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411397">
      <w:bodyDiv w:val="1"/>
      <w:marLeft w:val="0"/>
      <w:marRight w:val="0"/>
      <w:marTop w:val="0"/>
      <w:marBottom w:val="0"/>
      <w:divBdr>
        <w:top w:val="none" w:sz="0" w:space="0" w:color="auto"/>
        <w:left w:val="none" w:sz="0" w:space="0" w:color="auto"/>
        <w:bottom w:val="none" w:sz="0" w:space="0" w:color="auto"/>
        <w:right w:val="none" w:sz="0" w:space="0" w:color="auto"/>
      </w:divBdr>
    </w:div>
    <w:div w:id="1503663712">
      <w:bodyDiv w:val="1"/>
      <w:marLeft w:val="0"/>
      <w:marRight w:val="0"/>
      <w:marTop w:val="0"/>
      <w:marBottom w:val="0"/>
      <w:divBdr>
        <w:top w:val="none" w:sz="0" w:space="0" w:color="auto"/>
        <w:left w:val="none" w:sz="0" w:space="0" w:color="auto"/>
        <w:bottom w:val="none" w:sz="0" w:space="0" w:color="auto"/>
        <w:right w:val="none" w:sz="0" w:space="0" w:color="auto"/>
      </w:divBdr>
      <w:divsChild>
        <w:div w:id="645163308">
          <w:marLeft w:val="0"/>
          <w:marRight w:val="0"/>
          <w:marTop w:val="100"/>
          <w:marBottom w:val="100"/>
          <w:divBdr>
            <w:top w:val="none" w:sz="0" w:space="0" w:color="auto"/>
            <w:left w:val="none" w:sz="0" w:space="0" w:color="auto"/>
            <w:bottom w:val="none" w:sz="0" w:space="0" w:color="auto"/>
            <w:right w:val="none" w:sz="0" w:space="0" w:color="auto"/>
          </w:divBdr>
          <w:divsChild>
            <w:div w:id="66806168">
              <w:marLeft w:val="0"/>
              <w:marRight w:val="0"/>
              <w:marTop w:val="0"/>
              <w:marBottom w:val="0"/>
              <w:divBdr>
                <w:top w:val="none" w:sz="0" w:space="0" w:color="auto"/>
                <w:left w:val="none" w:sz="0" w:space="0" w:color="auto"/>
                <w:bottom w:val="none" w:sz="0" w:space="0" w:color="auto"/>
                <w:right w:val="none" w:sz="0" w:space="0" w:color="auto"/>
              </w:divBdr>
              <w:divsChild>
                <w:div w:id="380371341">
                  <w:marLeft w:val="0"/>
                  <w:marRight w:val="150"/>
                  <w:marTop w:val="0"/>
                  <w:marBottom w:val="0"/>
                  <w:divBdr>
                    <w:top w:val="none" w:sz="0" w:space="0" w:color="auto"/>
                    <w:left w:val="none" w:sz="0" w:space="0" w:color="auto"/>
                    <w:bottom w:val="none" w:sz="0" w:space="0" w:color="auto"/>
                    <w:right w:val="none" w:sz="0" w:space="0" w:color="auto"/>
                  </w:divBdr>
                  <w:divsChild>
                    <w:div w:id="205726863">
                      <w:marLeft w:val="0"/>
                      <w:marRight w:val="0"/>
                      <w:marTop w:val="0"/>
                      <w:marBottom w:val="75"/>
                      <w:divBdr>
                        <w:top w:val="single" w:sz="6" w:space="0" w:color="B8CDE3"/>
                        <w:left w:val="single" w:sz="6" w:space="0" w:color="B8CDE3"/>
                        <w:bottom w:val="single" w:sz="6" w:space="0" w:color="B8CDE3"/>
                        <w:right w:val="single" w:sz="6" w:space="0" w:color="B8CDE3"/>
                      </w:divBdr>
                      <w:divsChild>
                        <w:div w:id="927077337">
                          <w:marLeft w:val="0"/>
                          <w:marRight w:val="0"/>
                          <w:marTop w:val="75"/>
                          <w:marBottom w:val="75"/>
                          <w:divBdr>
                            <w:top w:val="none" w:sz="0" w:space="0" w:color="auto"/>
                            <w:left w:val="none" w:sz="0" w:space="0" w:color="auto"/>
                            <w:bottom w:val="none" w:sz="0" w:space="0" w:color="auto"/>
                            <w:right w:val="none" w:sz="0" w:space="0" w:color="auto"/>
                          </w:divBdr>
                          <w:divsChild>
                            <w:div w:id="792017746">
                              <w:marLeft w:val="75"/>
                              <w:marRight w:val="75"/>
                              <w:marTop w:val="30"/>
                              <w:marBottom w:val="30"/>
                              <w:divBdr>
                                <w:top w:val="none" w:sz="0" w:space="0" w:color="auto"/>
                                <w:left w:val="none" w:sz="0" w:space="0" w:color="auto"/>
                                <w:bottom w:val="none" w:sz="0" w:space="0" w:color="auto"/>
                                <w:right w:val="none" w:sz="0" w:space="0" w:color="auto"/>
                              </w:divBdr>
                            </w:div>
                            <w:div w:id="1541015217">
                              <w:marLeft w:val="75"/>
                              <w:marRight w:val="75"/>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061747">
      <w:bodyDiv w:val="1"/>
      <w:marLeft w:val="0"/>
      <w:marRight w:val="0"/>
      <w:marTop w:val="0"/>
      <w:marBottom w:val="0"/>
      <w:divBdr>
        <w:top w:val="none" w:sz="0" w:space="0" w:color="auto"/>
        <w:left w:val="none" w:sz="0" w:space="0" w:color="auto"/>
        <w:bottom w:val="none" w:sz="0" w:space="0" w:color="auto"/>
        <w:right w:val="none" w:sz="0" w:space="0" w:color="auto"/>
      </w:divBdr>
    </w:div>
    <w:div w:id="1512064070">
      <w:bodyDiv w:val="1"/>
      <w:marLeft w:val="0"/>
      <w:marRight w:val="0"/>
      <w:marTop w:val="0"/>
      <w:marBottom w:val="0"/>
      <w:divBdr>
        <w:top w:val="none" w:sz="0" w:space="0" w:color="auto"/>
        <w:left w:val="none" w:sz="0" w:space="0" w:color="auto"/>
        <w:bottom w:val="none" w:sz="0" w:space="0" w:color="auto"/>
        <w:right w:val="none" w:sz="0" w:space="0" w:color="auto"/>
      </w:divBdr>
    </w:div>
    <w:div w:id="1530608364">
      <w:bodyDiv w:val="1"/>
      <w:marLeft w:val="0"/>
      <w:marRight w:val="0"/>
      <w:marTop w:val="0"/>
      <w:marBottom w:val="0"/>
      <w:divBdr>
        <w:top w:val="none" w:sz="0" w:space="0" w:color="auto"/>
        <w:left w:val="none" w:sz="0" w:space="0" w:color="auto"/>
        <w:bottom w:val="none" w:sz="0" w:space="0" w:color="auto"/>
        <w:right w:val="none" w:sz="0" w:space="0" w:color="auto"/>
      </w:divBdr>
    </w:div>
    <w:div w:id="1535577854">
      <w:bodyDiv w:val="1"/>
      <w:marLeft w:val="0"/>
      <w:marRight w:val="0"/>
      <w:marTop w:val="0"/>
      <w:marBottom w:val="0"/>
      <w:divBdr>
        <w:top w:val="none" w:sz="0" w:space="0" w:color="auto"/>
        <w:left w:val="none" w:sz="0" w:space="0" w:color="auto"/>
        <w:bottom w:val="none" w:sz="0" w:space="0" w:color="auto"/>
        <w:right w:val="none" w:sz="0" w:space="0" w:color="auto"/>
      </w:divBdr>
    </w:div>
    <w:div w:id="1552231706">
      <w:bodyDiv w:val="1"/>
      <w:marLeft w:val="0"/>
      <w:marRight w:val="0"/>
      <w:marTop w:val="0"/>
      <w:marBottom w:val="0"/>
      <w:divBdr>
        <w:top w:val="none" w:sz="0" w:space="0" w:color="auto"/>
        <w:left w:val="none" w:sz="0" w:space="0" w:color="auto"/>
        <w:bottom w:val="none" w:sz="0" w:space="0" w:color="auto"/>
        <w:right w:val="none" w:sz="0" w:space="0" w:color="auto"/>
      </w:divBdr>
    </w:div>
    <w:div w:id="1570576146">
      <w:bodyDiv w:val="1"/>
      <w:marLeft w:val="0"/>
      <w:marRight w:val="0"/>
      <w:marTop w:val="0"/>
      <w:marBottom w:val="0"/>
      <w:divBdr>
        <w:top w:val="none" w:sz="0" w:space="0" w:color="auto"/>
        <w:left w:val="none" w:sz="0" w:space="0" w:color="auto"/>
        <w:bottom w:val="none" w:sz="0" w:space="0" w:color="auto"/>
        <w:right w:val="none" w:sz="0" w:space="0" w:color="auto"/>
      </w:divBdr>
    </w:div>
    <w:div w:id="1583374366">
      <w:bodyDiv w:val="1"/>
      <w:marLeft w:val="0"/>
      <w:marRight w:val="0"/>
      <w:marTop w:val="0"/>
      <w:marBottom w:val="0"/>
      <w:divBdr>
        <w:top w:val="none" w:sz="0" w:space="0" w:color="auto"/>
        <w:left w:val="none" w:sz="0" w:space="0" w:color="auto"/>
        <w:bottom w:val="none" w:sz="0" w:space="0" w:color="auto"/>
        <w:right w:val="none" w:sz="0" w:space="0" w:color="auto"/>
      </w:divBdr>
    </w:div>
    <w:div w:id="1591890373">
      <w:bodyDiv w:val="1"/>
      <w:marLeft w:val="0"/>
      <w:marRight w:val="0"/>
      <w:marTop w:val="0"/>
      <w:marBottom w:val="0"/>
      <w:divBdr>
        <w:top w:val="none" w:sz="0" w:space="0" w:color="auto"/>
        <w:left w:val="none" w:sz="0" w:space="0" w:color="auto"/>
        <w:bottom w:val="none" w:sz="0" w:space="0" w:color="auto"/>
        <w:right w:val="none" w:sz="0" w:space="0" w:color="auto"/>
      </w:divBdr>
    </w:div>
    <w:div w:id="1609968456">
      <w:bodyDiv w:val="1"/>
      <w:marLeft w:val="0"/>
      <w:marRight w:val="0"/>
      <w:marTop w:val="0"/>
      <w:marBottom w:val="0"/>
      <w:divBdr>
        <w:top w:val="none" w:sz="0" w:space="0" w:color="auto"/>
        <w:left w:val="none" w:sz="0" w:space="0" w:color="auto"/>
        <w:bottom w:val="none" w:sz="0" w:space="0" w:color="auto"/>
        <w:right w:val="none" w:sz="0" w:space="0" w:color="auto"/>
      </w:divBdr>
    </w:div>
    <w:div w:id="1647856395">
      <w:bodyDiv w:val="1"/>
      <w:marLeft w:val="0"/>
      <w:marRight w:val="0"/>
      <w:marTop w:val="0"/>
      <w:marBottom w:val="0"/>
      <w:divBdr>
        <w:top w:val="none" w:sz="0" w:space="0" w:color="auto"/>
        <w:left w:val="none" w:sz="0" w:space="0" w:color="auto"/>
        <w:bottom w:val="none" w:sz="0" w:space="0" w:color="auto"/>
        <w:right w:val="none" w:sz="0" w:space="0" w:color="auto"/>
      </w:divBdr>
    </w:div>
    <w:div w:id="1649356451">
      <w:bodyDiv w:val="1"/>
      <w:marLeft w:val="0"/>
      <w:marRight w:val="0"/>
      <w:marTop w:val="0"/>
      <w:marBottom w:val="0"/>
      <w:divBdr>
        <w:top w:val="none" w:sz="0" w:space="0" w:color="auto"/>
        <w:left w:val="none" w:sz="0" w:space="0" w:color="auto"/>
        <w:bottom w:val="none" w:sz="0" w:space="0" w:color="auto"/>
        <w:right w:val="none" w:sz="0" w:space="0" w:color="auto"/>
      </w:divBdr>
    </w:div>
    <w:div w:id="1656102664">
      <w:bodyDiv w:val="1"/>
      <w:marLeft w:val="0"/>
      <w:marRight w:val="0"/>
      <w:marTop w:val="0"/>
      <w:marBottom w:val="0"/>
      <w:divBdr>
        <w:top w:val="none" w:sz="0" w:space="0" w:color="auto"/>
        <w:left w:val="none" w:sz="0" w:space="0" w:color="auto"/>
        <w:bottom w:val="none" w:sz="0" w:space="0" w:color="auto"/>
        <w:right w:val="none" w:sz="0" w:space="0" w:color="auto"/>
      </w:divBdr>
    </w:div>
    <w:div w:id="1681005967">
      <w:bodyDiv w:val="1"/>
      <w:marLeft w:val="0"/>
      <w:marRight w:val="0"/>
      <w:marTop w:val="0"/>
      <w:marBottom w:val="0"/>
      <w:divBdr>
        <w:top w:val="none" w:sz="0" w:space="0" w:color="auto"/>
        <w:left w:val="none" w:sz="0" w:space="0" w:color="auto"/>
        <w:bottom w:val="none" w:sz="0" w:space="0" w:color="auto"/>
        <w:right w:val="none" w:sz="0" w:space="0" w:color="auto"/>
      </w:divBdr>
    </w:div>
    <w:div w:id="1705135524">
      <w:bodyDiv w:val="1"/>
      <w:marLeft w:val="0"/>
      <w:marRight w:val="0"/>
      <w:marTop w:val="0"/>
      <w:marBottom w:val="0"/>
      <w:divBdr>
        <w:top w:val="none" w:sz="0" w:space="0" w:color="auto"/>
        <w:left w:val="none" w:sz="0" w:space="0" w:color="auto"/>
        <w:bottom w:val="none" w:sz="0" w:space="0" w:color="auto"/>
        <w:right w:val="none" w:sz="0" w:space="0" w:color="auto"/>
      </w:divBdr>
    </w:div>
    <w:div w:id="1737125493">
      <w:bodyDiv w:val="1"/>
      <w:marLeft w:val="0"/>
      <w:marRight w:val="0"/>
      <w:marTop w:val="0"/>
      <w:marBottom w:val="0"/>
      <w:divBdr>
        <w:top w:val="none" w:sz="0" w:space="0" w:color="auto"/>
        <w:left w:val="none" w:sz="0" w:space="0" w:color="auto"/>
        <w:bottom w:val="none" w:sz="0" w:space="0" w:color="auto"/>
        <w:right w:val="none" w:sz="0" w:space="0" w:color="auto"/>
      </w:divBdr>
    </w:div>
    <w:div w:id="1740401578">
      <w:bodyDiv w:val="1"/>
      <w:marLeft w:val="0"/>
      <w:marRight w:val="0"/>
      <w:marTop w:val="0"/>
      <w:marBottom w:val="0"/>
      <w:divBdr>
        <w:top w:val="none" w:sz="0" w:space="0" w:color="auto"/>
        <w:left w:val="none" w:sz="0" w:space="0" w:color="auto"/>
        <w:bottom w:val="none" w:sz="0" w:space="0" w:color="auto"/>
        <w:right w:val="none" w:sz="0" w:space="0" w:color="auto"/>
      </w:divBdr>
    </w:div>
    <w:div w:id="1755475304">
      <w:bodyDiv w:val="1"/>
      <w:marLeft w:val="0"/>
      <w:marRight w:val="0"/>
      <w:marTop w:val="0"/>
      <w:marBottom w:val="0"/>
      <w:divBdr>
        <w:top w:val="none" w:sz="0" w:space="0" w:color="auto"/>
        <w:left w:val="none" w:sz="0" w:space="0" w:color="auto"/>
        <w:bottom w:val="none" w:sz="0" w:space="0" w:color="auto"/>
        <w:right w:val="none" w:sz="0" w:space="0" w:color="auto"/>
      </w:divBdr>
    </w:div>
    <w:div w:id="1759059028">
      <w:bodyDiv w:val="1"/>
      <w:marLeft w:val="0"/>
      <w:marRight w:val="0"/>
      <w:marTop w:val="0"/>
      <w:marBottom w:val="0"/>
      <w:divBdr>
        <w:top w:val="none" w:sz="0" w:space="0" w:color="auto"/>
        <w:left w:val="none" w:sz="0" w:space="0" w:color="auto"/>
        <w:bottom w:val="none" w:sz="0" w:space="0" w:color="auto"/>
        <w:right w:val="none" w:sz="0" w:space="0" w:color="auto"/>
      </w:divBdr>
    </w:div>
    <w:div w:id="1766027475">
      <w:bodyDiv w:val="1"/>
      <w:marLeft w:val="0"/>
      <w:marRight w:val="0"/>
      <w:marTop w:val="0"/>
      <w:marBottom w:val="0"/>
      <w:divBdr>
        <w:top w:val="none" w:sz="0" w:space="0" w:color="auto"/>
        <w:left w:val="none" w:sz="0" w:space="0" w:color="auto"/>
        <w:bottom w:val="none" w:sz="0" w:space="0" w:color="auto"/>
        <w:right w:val="none" w:sz="0" w:space="0" w:color="auto"/>
      </w:divBdr>
      <w:divsChild>
        <w:div w:id="873079076">
          <w:marLeft w:val="0"/>
          <w:marRight w:val="0"/>
          <w:marTop w:val="0"/>
          <w:marBottom w:val="0"/>
          <w:divBdr>
            <w:top w:val="none" w:sz="0" w:space="0" w:color="auto"/>
            <w:left w:val="none" w:sz="0" w:space="0" w:color="auto"/>
            <w:bottom w:val="none" w:sz="0" w:space="0" w:color="auto"/>
            <w:right w:val="none" w:sz="0" w:space="0" w:color="auto"/>
          </w:divBdr>
          <w:divsChild>
            <w:div w:id="1195654953">
              <w:marLeft w:val="0"/>
              <w:marRight w:val="0"/>
              <w:marTop w:val="33"/>
              <w:marBottom w:val="0"/>
              <w:divBdr>
                <w:top w:val="single" w:sz="2" w:space="0" w:color="596380"/>
                <w:left w:val="single" w:sz="2" w:space="0" w:color="596380"/>
                <w:bottom w:val="single" w:sz="2" w:space="0" w:color="596380"/>
                <w:right w:val="single" w:sz="2" w:space="0" w:color="596380"/>
              </w:divBdr>
              <w:divsChild>
                <w:div w:id="40983991">
                  <w:marLeft w:val="0"/>
                  <w:marRight w:val="0"/>
                  <w:marTop w:val="0"/>
                  <w:marBottom w:val="0"/>
                  <w:divBdr>
                    <w:top w:val="none" w:sz="0" w:space="0" w:color="auto"/>
                    <w:left w:val="none" w:sz="0" w:space="0" w:color="auto"/>
                    <w:bottom w:val="none" w:sz="0" w:space="0" w:color="auto"/>
                    <w:right w:val="none" w:sz="0" w:space="0" w:color="auto"/>
                  </w:divBdr>
                  <w:divsChild>
                    <w:div w:id="739444026">
                      <w:marLeft w:val="0"/>
                      <w:marRight w:val="0"/>
                      <w:marTop w:val="0"/>
                      <w:marBottom w:val="0"/>
                      <w:divBdr>
                        <w:top w:val="none" w:sz="0" w:space="0" w:color="auto"/>
                        <w:left w:val="none" w:sz="0" w:space="0" w:color="auto"/>
                        <w:bottom w:val="none" w:sz="0" w:space="0" w:color="auto"/>
                        <w:right w:val="none" w:sz="0" w:space="0" w:color="auto"/>
                      </w:divBdr>
                      <w:divsChild>
                        <w:div w:id="1848903762">
                          <w:marLeft w:val="0"/>
                          <w:marRight w:val="0"/>
                          <w:marTop w:val="0"/>
                          <w:marBottom w:val="0"/>
                          <w:divBdr>
                            <w:top w:val="none" w:sz="0" w:space="0" w:color="auto"/>
                            <w:left w:val="none" w:sz="0" w:space="0" w:color="auto"/>
                            <w:bottom w:val="none" w:sz="0" w:space="0" w:color="auto"/>
                            <w:right w:val="none" w:sz="0" w:space="0" w:color="auto"/>
                          </w:divBdr>
                          <w:divsChild>
                            <w:div w:id="328170874">
                              <w:marLeft w:val="0"/>
                              <w:marRight w:val="0"/>
                              <w:marTop w:val="0"/>
                              <w:marBottom w:val="0"/>
                              <w:divBdr>
                                <w:top w:val="none" w:sz="0" w:space="0" w:color="auto"/>
                                <w:left w:val="none" w:sz="0" w:space="0" w:color="auto"/>
                                <w:bottom w:val="none" w:sz="0" w:space="0" w:color="auto"/>
                                <w:right w:val="none" w:sz="0" w:space="0" w:color="auto"/>
                              </w:divBdr>
                              <w:divsChild>
                                <w:div w:id="683827167">
                                  <w:marLeft w:val="55"/>
                                  <w:marRight w:val="55"/>
                                  <w:marTop w:val="55"/>
                                  <w:marBottom w:val="55"/>
                                  <w:divBdr>
                                    <w:top w:val="none" w:sz="0" w:space="0" w:color="auto"/>
                                    <w:left w:val="none" w:sz="0" w:space="0" w:color="auto"/>
                                    <w:bottom w:val="none" w:sz="0" w:space="0" w:color="auto"/>
                                    <w:right w:val="none" w:sz="0" w:space="0" w:color="auto"/>
                                  </w:divBdr>
                                  <w:divsChild>
                                    <w:div w:id="64416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0588062">
      <w:bodyDiv w:val="1"/>
      <w:marLeft w:val="0"/>
      <w:marRight w:val="0"/>
      <w:marTop w:val="0"/>
      <w:marBottom w:val="0"/>
      <w:divBdr>
        <w:top w:val="none" w:sz="0" w:space="0" w:color="auto"/>
        <w:left w:val="none" w:sz="0" w:space="0" w:color="auto"/>
        <w:bottom w:val="none" w:sz="0" w:space="0" w:color="auto"/>
        <w:right w:val="none" w:sz="0" w:space="0" w:color="auto"/>
      </w:divBdr>
    </w:div>
    <w:div w:id="1815172868">
      <w:bodyDiv w:val="1"/>
      <w:marLeft w:val="0"/>
      <w:marRight w:val="0"/>
      <w:marTop w:val="0"/>
      <w:marBottom w:val="0"/>
      <w:divBdr>
        <w:top w:val="none" w:sz="0" w:space="0" w:color="auto"/>
        <w:left w:val="none" w:sz="0" w:space="0" w:color="auto"/>
        <w:bottom w:val="none" w:sz="0" w:space="0" w:color="auto"/>
        <w:right w:val="none" w:sz="0" w:space="0" w:color="auto"/>
      </w:divBdr>
    </w:div>
    <w:div w:id="1837846343">
      <w:bodyDiv w:val="1"/>
      <w:marLeft w:val="0"/>
      <w:marRight w:val="0"/>
      <w:marTop w:val="0"/>
      <w:marBottom w:val="0"/>
      <w:divBdr>
        <w:top w:val="none" w:sz="0" w:space="0" w:color="auto"/>
        <w:left w:val="none" w:sz="0" w:space="0" w:color="auto"/>
        <w:bottom w:val="none" w:sz="0" w:space="0" w:color="auto"/>
        <w:right w:val="none" w:sz="0" w:space="0" w:color="auto"/>
      </w:divBdr>
    </w:div>
    <w:div w:id="1857428725">
      <w:bodyDiv w:val="1"/>
      <w:marLeft w:val="0"/>
      <w:marRight w:val="0"/>
      <w:marTop w:val="0"/>
      <w:marBottom w:val="0"/>
      <w:divBdr>
        <w:top w:val="none" w:sz="0" w:space="0" w:color="auto"/>
        <w:left w:val="none" w:sz="0" w:space="0" w:color="auto"/>
        <w:bottom w:val="none" w:sz="0" w:space="0" w:color="auto"/>
        <w:right w:val="none" w:sz="0" w:space="0" w:color="auto"/>
      </w:divBdr>
    </w:div>
    <w:div w:id="1863588342">
      <w:bodyDiv w:val="1"/>
      <w:marLeft w:val="0"/>
      <w:marRight w:val="0"/>
      <w:marTop w:val="0"/>
      <w:marBottom w:val="0"/>
      <w:divBdr>
        <w:top w:val="none" w:sz="0" w:space="0" w:color="auto"/>
        <w:left w:val="none" w:sz="0" w:space="0" w:color="auto"/>
        <w:bottom w:val="none" w:sz="0" w:space="0" w:color="auto"/>
        <w:right w:val="none" w:sz="0" w:space="0" w:color="auto"/>
      </w:divBdr>
    </w:div>
    <w:div w:id="1865753050">
      <w:bodyDiv w:val="1"/>
      <w:marLeft w:val="0"/>
      <w:marRight w:val="0"/>
      <w:marTop w:val="0"/>
      <w:marBottom w:val="0"/>
      <w:divBdr>
        <w:top w:val="none" w:sz="0" w:space="0" w:color="auto"/>
        <w:left w:val="none" w:sz="0" w:space="0" w:color="auto"/>
        <w:bottom w:val="none" w:sz="0" w:space="0" w:color="auto"/>
        <w:right w:val="none" w:sz="0" w:space="0" w:color="auto"/>
      </w:divBdr>
    </w:div>
    <w:div w:id="1887177925">
      <w:bodyDiv w:val="1"/>
      <w:marLeft w:val="0"/>
      <w:marRight w:val="0"/>
      <w:marTop w:val="0"/>
      <w:marBottom w:val="0"/>
      <w:divBdr>
        <w:top w:val="none" w:sz="0" w:space="0" w:color="auto"/>
        <w:left w:val="none" w:sz="0" w:space="0" w:color="auto"/>
        <w:bottom w:val="none" w:sz="0" w:space="0" w:color="auto"/>
        <w:right w:val="none" w:sz="0" w:space="0" w:color="auto"/>
      </w:divBdr>
    </w:div>
    <w:div w:id="1894345890">
      <w:bodyDiv w:val="1"/>
      <w:marLeft w:val="0"/>
      <w:marRight w:val="0"/>
      <w:marTop w:val="0"/>
      <w:marBottom w:val="0"/>
      <w:divBdr>
        <w:top w:val="none" w:sz="0" w:space="0" w:color="auto"/>
        <w:left w:val="none" w:sz="0" w:space="0" w:color="auto"/>
        <w:bottom w:val="none" w:sz="0" w:space="0" w:color="auto"/>
        <w:right w:val="none" w:sz="0" w:space="0" w:color="auto"/>
      </w:divBdr>
    </w:div>
    <w:div w:id="1930573628">
      <w:bodyDiv w:val="1"/>
      <w:marLeft w:val="0"/>
      <w:marRight w:val="0"/>
      <w:marTop w:val="0"/>
      <w:marBottom w:val="0"/>
      <w:divBdr>
        <w:top w:val="none" w:sz="0" w:space="0" w:color="auto"/>
        <w:left w:val="none" w:sz="0" w:space="0" w:color="auto"/>
        <w:bottom w:val="none" w:sz="0" w:space="0" w:color="auto"/>
        <w:right w:val="none" w:sz="0" w:space="0" w:color="auto"/>
      </w:divBdr>
    </w:div>
    <w:div w:id="1930888112">
      <w:bodyDiv w:val="1"/>
      <w:marLeft w:val="0"/>
      <w:marRight w:val="0"/>
      <w:marTop w:val="0"/>
      <w:marBottom w:val="0"/>
      <w:divBdr>
        <w:top w:val="none" w:sz="0" w:space="0" w:color="auto"/>
        <w:left w:val="none" w:sz="0" w:space="0" w:color="auto"/>
        <w:bottom w:val="none" w:sz="0" w:space="0" w:color="auto"/>
        <w:right w:val="none" w:sz="0" w:space="0" w:color="auto"/>
      </w:divBdr>
    </w:div>
    <w:div w:id="1944652084">
      <w:bodyDiv w:val="1"/>
      <w:marLeft w:val="0"/>
      <w:marRight w:val="0"/>
      <w:marTop w:val="45"/>
      <w:marBottom w:val="45"/>
      <w:divBdr>
        <w:top w:val="none" w:sz="0" w:space="0" w:color="auto"/>
        <w:left w:val="none" w:sz="0" w:space="0" w:color="auto"/>
        <w:bottom w:val="none" w:sz="0" w:space="0" w:color="auto"/>
        <w:right w:val="none" w:sz="0" w:space="0" w:color="auto"/>
      </w:divBdr>
      <w:divsChild>
        <w:div w:id="229930545">
          <w:marLeft w:val="0"/>
          <w:marRight w:val="0"/>
          <w:marTop w:val="0"/>
          <w:marBottom w:val="0"/>
          <w:divBdr>
            <w:top w:val="none" w:sz="0" w:space="0" w:color="auto"/>
            <w:left w:val="none" w:sz="0" w:space="0" w:color="auto"/>
            <w:bottom w:val="none" w:sz="0" w:space="0" w:color="auto"/>
            <w:right w:val="none" w:sz="0" w:space="0" w:color="auto"/>
          </w:divBdr>
          <w:divsChild>
            <w:div w:id="1798525287">
              <w:marLeft w:val="0"/>
              <w:marRight w:val="0"/>
              <w:marTop w:val="0"/>
              <w:marBottom w:val="0"/>
              <w:divBdr>
                <w:top w:val="none" w:sz="0" w:space="0" w:color="auto"/>
                <w:left w:val="none" w:sz="0" w:space="0" w:color="auto"/>
                <w:bottom w:val="none" w:sz="0" w:space="0" w:color="auto"/>
                <w:right w:val="none" w:sz="0" w:space="0" w:color="auto"/>
              </w:divBdr>
              <w:divsChild>
                <w:div w:id="45952800">
                  <w:marLeft w:val="2385"/>
                  <w:marRight w:val="3960"/>
                  <w:marTop w:val="0"/>
                  <w:marBottom w:val="0"/>
                  <w:divBdr>
                    <w:top w:val="none" w:sz="0" w:space="0" w:color="auto"/>
                    <w:left w:val="single" w:sz="6" w:space="0" w:color="D3E1F9"/>
                    <w:bottom w:val="none" w:sz="0" w:space="0" w:color="auto"/>
                    <w:right w:val="none" w:sz="0" w:space="0" w:color="auto"/>
                  </w:divBdr>
                  <w:divsChild>
                    <w:div w:id="98183481">
                      <w:marLeft w:val="0"/>
                      <w:marRight w:val="0"/>
                      <w:marTop w:val="0"/>
                      <w:marBottom w:val="0"/>
                      <w:divBdr>
                        <w:top w:val="none" w:sz="0" w:space="0" w:color="auto"/>
                        <w:left w:val="none" w:sz="0" w:space="0" w:color="auto"/>
                        <w:bottom w:val="none" w:sz="0" w:space="0" w:color="auto"/>
                        <w:right w:val="none" w:sz="0" w:space="0" w:color="auto"/>
                      </w:divBdr>
                      <w:divsChild>
                        <w:div w:id="17434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80085">
      <w:bodyDiv w:val="1"/>
      <w:marLeft w:val="0"/>
      <w:marRight w:val="0"/>
      <w:marTop w:val="0"/>
      <w:marBottom w:val="0"/>
      <w:divBdr>
        <w:top w:val="none" w:sz="0" w:space="0" w:color="auto"/>
        <w:left w:val="none" w:sz="0" w:space="0" w:color="auto"/>
        <w:bottom w:val="none" w:sz="0" w:space="0" w:color="auto"/>
        <w:right w:val="none" w:sz="0" w:space="0" w:color="auto"/>
      </w:divBdr>
    </w:div>
    <w:div w:id="1962957532">
      <w:bodyDiv w:val="1"/>
      <w:marLeft w:val="0"/>
      <w:marRight w:val="0"/>
      <w:marTop w:val="0"/>
      <w:marBottom w:val="0"/>
      <w:divBdr>
        <w:top w:val="none" w:sz="0" w:space="0" w:color="auto"/>
        <w:left w:val="none" w:sz="0" w:space="0" w:color="auto"/>
        <w:bottom w:val="none" w:sz="0" w:space="0" w:color="auto"/>
        <w:right w:val="none" w:sz="0" w:space="0" w:color="auto"/>
      </w:divBdr>
    </w:div>
    <w:div w:id="1975063946">
      <w:bodyDiv w:val="1"/>
      <w:marLeft w:val="0"/>
      <w:marRight w:val="0"/>
      <w:marTop w:val="0"/>
      <w:marBottom w:val="0"/>
      <w:divBdr>
        <w:top w:val="none" w:sz="0" w:space="0" w:color="auto"/>
        <w:left w:val="none" w:sz="0" w:space="0" w:color="auto"/>
        <w:bottom w:val="none" w:sz="0" w:space="0" w:color="auto"/>
        <w:right w:val="none" w:sz="0" w:space="0" w:color="auto"/>
      </w:divBdr>
      <w:divsChild>
        <w:div w:id="1020199993">
          <w:marLeft w:val="0"/>
          <w:marRight w:val="0"/>
          <w:marTop w:val="100"/>
          <w:marBottom w:val="100"/>
          <w:divBdr>
            <w:top w:val="none" w:sz="0" w:space="0" w:color="auto"/>
            <w:left w:val="none" w:sz="0" w:space="0" w:color="auto"/>
            <w:bottom w:val="none" w:sz="0" w:space="0" w:color="auto"/>
            <w:right w:val="none" w:sz="0" w:space="0" w:color="auto"/>
          </w:divBdr>
          <w:divsChild>
            <w:div w:id="1600529769">
              <w:marLeft w:val="0"/>
              <w:marRight w:val="0"/>
              <w:marTop w:val="0"/>
              <w:marBottom w:val="0"/>
              <w:divBdr>
                <w:top w:val="none" w:sz="0" w:space="0" w:color="auto"/>
                <w:left w:val="none" w:sz="0" w:space="0" w:color="auto"/>
                <w:bottom w:val="none" w:sz="0" w:space="0" w:color="auto"/>
                <w:right w:val="none" w:sz="0" w:space="0" w:color="auto"/>
              </w:divBdr>
              <w:divsChild>
                <w:div w:id="2040859765">
                  <w:marLeft w:val="0"/>
                  <w:marRight w:val="150"/>
                  <w:marTop w:val="0"/>
                  <w:marBottom w:val="0"/>
                  <w:divBdr>
                    <w:top w:val="none" w:sz="0" w:space="0" w:color="auto"/>
                    <w:left w:val="none" w:sz="0" w:space="0" w:color="auto"/>
                    <w:bottom w:val="none" w:sz="0" w:space="0" w:color="auto"/>
                    <w:right w:val="none" w:sz="0" w:space="0" w:color="auto"/>
                  </w:divBdr>
                  <w:divsChild>
                    <w:div w:id="1308778259">
                      <w:marLeft w:val="0"/>
                      <w:marRight w:val="0"/>
                      <w:marTop w:val="0"/>
                      <w:marBottom w:val="75"/>
                      <w:divBdr>
                        <w:top w:val="single" w:sz="6" w:space="0" w:color="B8CDE3"/>
                        <w:left w:val="single" w:sz="6" w:space="0" w:color="B8CDE3"/>
                        <w:bottom w:val="single" w:sz="6" w:space="0" w:color="B8CDE3"/>
                        <w:right w:val="single" w:sz="6" w:space="0" w:color="B8CDE3"/>
                      </w:divBdr>
                      <w:divsChild>
                        <w:div w:id="1861624266">
                          <w:marLeft w:val="0"/>
                          <w:marRight w:val="0"/>
                          <w:marTop w:val="75"/>
                          <w:marBottom w:val="75"/>
                          <w:divBdr>
                            <w:top w:val="none" w:sz="0" w:space="0" w:color="auto"/>
                            <w:left w:val="none" w:sz="0" w:space="0" w:color="auto"/>
                            <w:bottom w:val="none" w:sz="0" w:space="0" w:color="auto"/>
                            <w:right w:val="none" w:sz="0" w:space="0" w:color="auto"/>
                          </w:divBdr>
                          <w:divsChild>
                            <w:div w:id="580069178">
                              <w:marLeft w:val="75"/>
                              <w:marRight w:val="75"/>
                              <w:marTop w:val="30"/>
                              <w:marBottom w:val="30"/>
                              <w:divBdr>
                                <w:top w:val="none" w:sz="0" w:space="0" w:color="auto"/>
                                <w:left w:val="none" w:sz="0" w:space="0" w:color="auto"/>
                                <w:bottom w:val="none" w:sz="0" w:space="0" w:color="auto"/>
                                <w:right w:val="none" w:sz="0" w:space="0" w:color="auto"/>
                              </w:divBdr>
                            </w:div>
                            <w:div w:id="1679692331">
                              <w:marLeft w:val="75"/>
                              <w:marRight w:val="75"/>
                              <w:marTop w:val="30"/>
                              <w:marBottom w:val="30"/>
                              <w:divBdr>
                                <w:top w:val="none" w:sz="0" w:space="0" w:color="auto"/>
                                <w:left w:val="none" w:sz="0" w:space="0" w:color="auto"/>
                                <w:bottom w:val="none" w:sz="0" w:space="0" w:color="auto"/>
                                <w:right w:val="none" w:sz="0" w:space="0" w:color="auto"/>
                              </w:divBdr>
                            </w:div>
                            <w:div w:id="2013335709">
                              <w:marLeft w:val="75"/>
                              <w:marRight w:val="75"/>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781854">
      <w:bodyDiv w:val="1"/>
      <w:marLeft w:val="0"/>
      <w:marRight w:val="0"/>
      <w:marTop w:val="0"/>
      <w:marBottom w:val="0"/>
      <w:divBdr>
        <w:top w:val="none" w:sz="0" w:space="0" w:color="auto"/>
        <w:left w:val="none" w:sz="0" w:space="0" w:color="auto"/>
        <w:bottom w:val="none" w:sz="0" w:space="0" w:color="auto"/>
        <w:right w:val="none" w:sz="0" w:space="0" w:color="auto"/>
      </w:divBdr>
    </w:div>
    <w:div w:id="2049404230">
      <w:bodyDiv w:val="1"/>
      <w:marLeft w:val="0"/>
      <w:marRight w:val="0"/>
      <w:marTop w:val="0"/>
      <w:marBottom w:val="0"/>
      <w:divBdr>
        <w:top w:val="none" w:sz="0" w:space="0" w:color="auto"/>
        <w:left w:val="none" w:sz="0" w:space="0" w:color="auto"/>
        <w:bottom w:val="none" w:sz="0" w:space="0" w:color="auto"/>
        <w:right w:val="none" w:sz="0" w:space="0" w:color="auto"/>
      </w:divBdr>
    </w:div>
    <w:div w:id="212626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i-tip.wto.org/goods/Forms/TableView.asp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52A2E-96B7-4220-9470-B1DD6B58B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11</Pages>
  <Words>3906</Words>
  <Characters>25623</Characters>
  <Application>Microsoft Office Word</Application>
  <DocSecurity>0</DocSecurity>
  <Lines>213</Lines>
  <Paragraphs>58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1</vt:lpstr>
      <vt:lpstr>1</vt:lpstr>
    </vt:vector>
  </TitlesOfParts>
  <Company>DTM</Company>
  <LinksUpToDate>false</LinksUpToDate>
  <CharactersWithSpaces>29471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ozdoganas</dc:creator>
  <cp:lastModifiedBy>Serkan ULUYOL</cp:lastModifiedBy>
  <cp:revision>278</cp:revision>
  <cp:lastPrinted>2018-04-16T11:29:00Z</cp:lastPrinted>
  <dcterms:created xsi:type="dcterms:W3CDTF">2017-05-22T08:50:00Z</dcterms:created>
  <dcterms:modified xsi:type="dcterms:W3CDTF">2018-05-14T08:54:00Z</dcterms:modified>
</cp:coreProperties>
</file>