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1EB0" w:rsidRDefault="001C1EB0" w:rsidP="001C1EB0">
      <w:pPr>
        <w:rPr>
          <w:b/>
          <w:caps/>
        </w:rPr>
      </w:pPr>
      <w:r>
        <w:rPr>
          <w:b/>
          <w:caps/>
        </w:rPr>
        <w:t>EK</w:t>
      </w:r>
    </w:p>
    <w:p w:rsidR="001C1EB0" w:rsidRDefault="001C1EB0" w:rsidP="00914096">
      <w:pPr>
        <w:jc w:val="center"/>
        <w:rPr>
          <w:b/>
          <w:caps/>
        </w:rPr>
      </w:pPr>
    </w:p>
    <w:p w:rsidR="00914096" w:rsidRPr="00006558" w:rsidRDefault="00914096" w:rsidP="00914096">
      <w:pPr>
        <w:jc w:val="center"/>
        <w:rPr>
          <w:b/>
          <w:caps/>
        </w:rPr>
      </w:pPr>
      <w:r w:rsidRPr="00006558">
        <w:rPr>
          <w:b/>
          <w:caps/>
        </w:rPr>
        <w:t>BİLGİLENDİRME RAPORU</w:t>
      </w:r>
    </w:p>
    <w:p w:rsidR="00914096" w:rsidRPr="00006558" w:rsidRDefault="00914096" w:rsidP="00164FF4">
      <w:pPr>
        <w:jc w:val="both"/>
        <w:rPr>
          <w:b/>
          <w:caps/>
        </w:rPr>
      </w:pPr>
    </w:p>
    <w:p w:rsidR="00914096" w:rsidRPr="00006558" w:rsidRDefault="00914096" w:rsidP="00164FF4">
      <w:pPr>
        <w:jc w:val="both"/>
        <w:rPr>
          <w:b/>
          <w:caps/>
        </w:rPr>
      </w:pPr>
    </w:p>
    <w:p w:rsidR="00164FF4" w:rsidRPr="00006558" w:rsidRDefault="00164FF4" w:rsidP="00164FF4">
      <w:pPr>
        <w:jc w:val="both"/>
        <w:rPr>
          <w:b/>
          <w:caps/>
        </w:rPr>
      </w:pPr>
      <w:r w:rsidRPr="00006558">
        <w:rPr>
          <w:b/>
          <w:caps/>
        </w:rPr>
        <w:t>1. soruşturmaya ilişkin GEnel BİLgi ve işlemler</w:t>
      </w:r>
    </w:p>
    <w:p w:rsidR="00164FF4" w:rsidRPr="00006558" w:rsidRDefault="00164FF4" w:rsidP="00164FF4">
      <w:pPr>
        <w:jc w:val="both"/>
        <w:rPr>
          <w:b/>
          <w:caps/>
        </w:rPr>
      </w:pPr>
    </w:p>
    <w:p w:rsidR="00164FF4" w:rsidRPr="00006558" w:rsidRDefault="00164FF4" w:rsidP="00164FF4">
      <w:pPr>
        <w:contextualSpacing/>
        <w:jc w:val="both"/>
        <w:rPr>
          <w:b/>
          <w:caps/>
        </w:rPr>
      </w:pPr>
      <w:r w:rsidRPr="00006558">
        <w:rPr>
          <w:b/>
          <w:caps/>
        </w:rPr>
        <w:t xml:space="preserve">1.1 </w:t>
      </w:r>
      <w:r w:rsidR="00731D63" w:rsidRPr="00006558">
        <w:rPr>
          <w:b/>
        </w:rPr>
        <w:t>Mevcut önlem</w:t>
      </w:r>
      <w:r w:rsidR="008C7F8B" w:rsidRPr="00006558">
        <w:rPr>
          <w:b/>
        </w:rPr>
        <w:t xml:space="preserve"> ve </w:t>
      </w:r>
      <w:r w:rsidR="00F85C0F">
        <w:rPr>
          <w:b/>
        </w:rPr>
        <w:t>s</w:t>
      </w:r>
      <w:r w:rsidR="008C7F8B" w:rsidRPr="00006558">
        <w:rPr>
          <w:b/>
        </w:rPr>
        <w:t xml:space="preserve">oruşturma </w:t>
      </w:r>
      <w:r w:rsidR="00731D63" w:rsidRPr="00006558">
        <w:rPr>
          <w:b/>
          <w:caps/>
        </w:rPr>
        <w:t xml:space="preserve"> </w:t>
      </w:r>
    </w:p>
    <w:p w:rsidR="002E33A8" w:rsidRPr="00006558" w:rsidRDefault="000A45DA" w:rsidP="002E33A8">
      <w:pPr>
        <w:jc w:val="both"/>
        <w:rPr>
          <w:b/>
        </w:rPr>
      </w:pPr>
      <w:r w:rsidRPr="00006558">
        <w:rPr>
          <w:noProof/>
        </w:rPr>
        <w:t xml:space="preserve">(1) </w:t>
      </w:r>
      <w:r w:rsidR="002E33A8" w:rsidRPr="00006558">
        <w:t xml:space="preserve">Brezilya Federatif Cumhuriyeti (Brezilya) ve Çin Halk Cumhuriyeti (ÇHC) menşeli </w:t>
      </w:r>
      <w:r w:rsidR="006D1387" w:rsidRPr="00006558">
        <w:t xml:space="preserve">soruşturma </w:t>
      </w:r>
      <w:r w:rsidR="002E33A8" w:rsidRPr="00006558">
        <w:t xml:space="preserve">konusu ürün ithalatına karşı </w:t>
      </w:r>
      <w:proofErr w:type="gramStart"/>
      <w:r w:rsidR="002E33A8" w:rsidRPr="00006558">
        <w:t>dampinge</w:t>
      </w:r>
      <w:proofErr w:type="gramEnd"/>
      <w:r w:rsidR="002E33A8" w:rsidRPr="00006558">
        <w:t xml:space="preserve"> karşı önlem 27/4/2000 tarihli ve 24032 sayılı Resmi </w:t>
      </w:r>
      <w:proofErr w:type="spellStart"/>
      <w:r w:rsidR="002E33A8" w:rsidRPr="00006558">
        <w:t>Gazete’de</w:t>
      </w:r>
      <w:proofErr w:type="spellEnd"/>
      <w:r w:rsidR="002E33A8" w:rsidRPr="00006558">
        <w:t xml:space="preserve"> yayımlanan İthalatta Haksız Rekabetin Önlenmesine İlişkin Tebliğ (Tebliğ No: 2000/3) ile yürürlüğe konulmuştur. Bahse konu ülkelere yönelik ilk </w:t>
      </w:r>
      <w:r w:rsidR="006D1387" w:rsidRPr="00006558">
        <w:t>nihai gözden geçirme soruşturması (</w:t>
      </w:r>
      <w:r w:rsidR="002E33A8" w:rsidRPr="00006558">
        <w:t>NGGS</w:t>
      </w:r>
      <w:r w:rsidR="006D1387" w:rsidRPr="00006558">
        <w:t>)</w:t>
      </w:r>
      <w:r w:rsidR="002E33A8" w:rsidRPr="00006558">
        <w:t xml:space="preserve"> 2005 yılında başlatılmış olup, 7/9/2006 tarihli ve 26282 sayılı Resmi </w:t>
      </w:r>
      <w:proofErr w:type="spellStart"/>
      <w:r w:rsidR="002E33A8" w:rsidRPr="00006558">
        <w:t>Gazete’de</w:t>
      </w:r>
      <w:proofErr w:type="spellEnd"/>
      <w:r w:rsidR="002E33A8" w:rsidRPr="00006558">
        <w:t xml:space="preserve"> yayımlanan İthalatta Haksız Rekabetin Önlenmesine İlişkin Tebliğ (Tebliğ No: 2006/23) çerçevesinde önlemin değiştirilerek uygulanmasına devam edilmiştir.</w:t>
      </w:r>
    </w:p>
    <w:p w:rsidR="002E33A8" w:rsidRPr="00006558" w:rsidRDefault="002E33A8" w:rsidP="002E33A8">
      <w:pPr>
        <w:pStyle w:val="Default"/>
        <w:ind w:firstLine="284"/>
        <w:jc w:val="both"/>
        <w:rPr>
          <w:noProof/>
          <w:color w:val="auto"/>
        </w:rPr>
      </w:pPr>
    </w:p>
    <w:p w:rsidR="002E33A8" w:rsidRPr="00006558" w:rsidRDefault="002E33A8" w:rsidP="002E33A8">
      <w:pPr>
        <w:pStyle w:val="GvdeMetni"/>
        <w:shd w:val="clear" w:color="auto" w:fill="auto"/>
        <w:tabs>
          <w:tab w:val="left" w:pos="360"/>
        </w:tabs>
        <w:rPr>
          <w:color w:val="auto"/>
        </w:rPr>
      </w:pPr>
      <w:r w:rsidRPr="00006558">
        <w:rPr>
          <w:color w:val="auto"/>
        </w:rPr>
        <w:t xml:space="preserve">(2) Bulgaristan Cumhuriyeti (Bulgaristan), Endonezya Cumhuriyeti (Endonezya), Hindistan Cumhuriyeti (Hindistan), Sırbistan-Karadağ Cumhuriyeti ve Tayland Krallığı (Tayland) menşeli boru bağlantı parçaları ithalinde </w:t>
      </w:r>
      <w:proofErr w:type="gramStart"/>
      <w:r w:rsidRPr="00006558">
        <w:rPr>
          <w:color w:val="auto"/>
        </w:rPr>
        <w:t>dampinge</w:t>
      </w:r>
      <w:proofErr w:type="gramEnd"/>
      <w:r w:rsidRPr="00006558">
        <w:rPr>
          <w:color w:val="auto"/>
        </w:rPr>
        <w:t xml:space="preserve"> karşı önlem 7/9/2006 tarihli ve 26282 sayılı Resmi </w:t>
      </w:r>
      <w:proofErr w:type="spellStart"/>
      <w:r w:rsidRPr="00006558">
        <w:rPr>
          <w:color w:val="auto"/>
        </w:rPr>
        <w:t>Gazete’de</w:t>
      </w:r>
      <w:proofErr w:type="spellEnd"/>
      <w:r w:rsidRPr="00006558">
        <w:rPr>
          <w:color w:val="auto"/>
        </w:rPr>
        <w:t> yayımlanan  İthalatta Haksız Rekabetin Önlenmesine İlişkin Tebliğ (Tebliğ No: 2006/24) ile yürürlüğe konulmuştur.</w:t>
      </w:r>
    </w:p>
    <w:p w:rsidR="002E33A8" w:rsidRPr="00006558" w:rsidRDefault="002E33A8" w:rsidP="002E33A8">
      <w:pPr>
        <w:pStyle w:val="GvdeMetni"/>
        <w:shd w:val="clear" w:color="auto" w:fill="auto"/>
        <w:tabs>
          <w:tab w:val="left" w:pos="360"/>
        </w:tabs>
        <w:rPr>
          <w:color w:val="auto"/>
        </w:rPr>
      </w:pPr>
    </w:p>
    <w:p w:rsidR="002E33A8" w:rsidRPr="00006558" w:rsidRDefault="002E33A8" w:rsidP="002E33A8">
      <w:pPr>
        <w:pStyle w:val="GvdeMetni"/>
        <w:shd w:val="clear" w:color="auto" w:fill="auto"/>
        <w:tabs>
          <w:tab w:val="left" w:pos="360"/>
        </w:tabs>
        <w:rPr>
          <w:color w:val="auto"/>
        </w:rPr>
      </w:pPr>
      <w:r w:rsidRPr="00006558">
        <w:rPr>
          <w:color w:val="auto"/>
        </w:rPr>
        <w:t xml:space="preserve">(3) Brezilya ve </w:t>
      </w:r>
      <w:proofErr w:type="spellStart"/>
      <w:r w:rsidRPr="00006558">
        <w:rPr>
          <w:color w:val="auto"/>
        </w:rPr>
        <w:t>ÇHC’ye</w:t>
      </w:r>
      <w:proofErr w:type="spellEnd"/>
      <w:r w:rsidRPr="00006558">
        <w:rPr>
          <w:color w:val="auto"/>
        </w:rPr>
        <w:t xml:space="preserve"> yönelik olarak ikinci; Bulgaristan, Endonezya, Hindistan ve Tayland’a yönelik olarak birinci NGGS 2011 yılında başlatılmış olup, 22/5/2012 tarihli ve 28300 sayılı Resmi </w:t>
      </w:r>
      <w:proofErr w:type="spellStart"/>
      <w:r w:rsidRPr="00006558">
        <w:rPr>
          <w:color w:val="auto"/>
        </w:rPr>
        <w:t>Gazete’de</w:t>
      </w:r>
      <w:proofErr w:type="spellEnd"/>
      <w:r w:rsidRPr="00006558">
        <w:rPr>
          <w:color w:val="auto"/>
        </w:rPr>
        <w:t xml:space="preserve"> yayımlanan İthalatta Haksız Rekabetin Önlenmesine İlişkin Tebliğ (Tebliğ No: 2012/10) çerçevesinde önlemin yürürlük süresi uzatılmıştır.</w:t>
      </w:r>
    </w:p>
    <w:p w:rsidR="002E33A8" w:rsidRPr="00006558" w:rsidRDefault="002E33A8" w:rsidP="002E33A8">
      <w:pPr>
        <w:pStyle w:val="GvdeMetni"/>
        <w:shd w:val="clear" w:color="auto" w:fill="auto"/>
        <w:tabs>
          <w:tab w:val="left" w:pos="360"/>
        </w:tabs>
        <w:rPr>
          <w:color w:val="auto"/>
        </w:rPr>
      </w:pPr>
    </w:p>
    <w:p w:rsidR="008C7F8B" w:rsidRPr="00006558" w:rsidRDefault="002E33A8" w:rsidP="002E33A8">
      <w:pPr>
        <w:jc w:val="both"/>
        <w:rPr>
          <w:noProof/>
        </w:rPr>
      </w:pPr>
      <w:r w:rsidRPr="00006558">
        <w:t xml:space="preserve">(4) Bahse konu önlemin yürürlükten kalkması halinde önleme konu Brezilya, Bulgaristan, ÇHC, Endonezya, Hindistan ve Tayland menşeli üründe </w:t>
      </w:r>
      <w:proofErr w:type="gramStart"/>
      <w:r w:rsidRPr="00006558">
        <w:t>dampingin</w:t>
      </w:r>
      <w:proofErr w:type="gramEnd"/>
      <w:r w:rsidRPr="00006558">
        <w:t xml:space="preserve"> ve zararın devam etmesinin veya yeniden meydana gelebilmesinin muhtemel olduğu iddiasıyla Trakya Döküm Sanayi ve Ticaret A.Ş. (Trakya Döküm) tarafından gerçekleştirilen ve Konak Rakor Sıhhi Tesisat Mal. İnş. Tur. Gıda San. </w:t>
      </w:r>
      <w:proofErr w:type="gramStart"/>
      <w:r w:rsidRPr="00006558">
        <w:t>ve</w:t>
      </w:r>
      <w:proofErr w:type="gramEnd"/>
      <w:r w:rsidRPr="00006558">
        <w:t xml:space="preserve"> Tic. Ltd. Şti. firması tarafından desteklenen başvurunun değerlendirilmesi neticesinde, 12/5/2017 tarihli ve 30064 sayılı Resmi </w:t>
      </w:r>
      <w:proofErr w:type="spellStart"/>
      <w:r w:rsidRPr="00006558">
        <w:t>Gazete’de</w:t>
      </w:r>
      <w:proofErr w:type="spellEnd"/>
      <w:r w:rsidRPr="00006558">
        <w:t xml:space="preserve"> yayımlanan İthalatta Haksız Rekabetin Önlenmesine İlişkin Tebliğ (Tebliğ No: 2017/13) ile başlatılan </w:t>
      </w:r>
      <w:r w:rsidR="0091013A" w:rsidRPr="00006558">
        <w:t xml:space="preserve">NGGS </w:t>
      </w:r>
      <w:r w:rsidR="000A45DA" w:rsidRPr="00006558">
        <w:t xml:space="preserve">kapsamında </w:t>
      </w:r>
      <w:r w:rsidR="008C7F8B" w:rsidRPr="00006558">
        <w:t xml:space="preserve">“nihai bildirim” raporu ilgili taraflarla paylaşılmış ve ulaşılan tespitlere yönelik ilgili tarafların nesnel, kanıtlanabilir ve makul itiraz ve görüşleri değerlendirilmiştir. </w:t>
      </w:r>
    </w:p>
    <w:p w:rsidR="00DF4E77" w:rsidRPr="00006558" w:rsidRDefault="00DF4E77" w:rsidP="008C7F8B">
      <w:pPr>
        <w:jc w:val="both"/>
      </w:pPr>
    </w:p>
    <w:p w:rsidR="00164FF4" w:rsidRPr="00006558" w:rsidRDefault="00164FF4" w:rsidP="006D669C">
      <w:pPr>
        <w:pStyle w:val="GvdeMetni"/>
        <w:numPr>
          <w:ilvl w:val="1"/>
          <w:numId w:val="1"/>
        </w:numPr>
        <w:rPr>
          <w:b/>
          <w:caps/>
          <w:color w:val="auto"/>
        </w:rPr>
      </w:pPr>
      <w:r w:rsidRPr="00006558">
        <w:rPr>
          <w:b/>
          <w:color w:val="auto"/>
        </w:rPr>
        <w:t>Yerli üretim dalının temsil niteliği</w:t>
      </w:r>
    </w:p>
    <w:p w:rsidR="008C7F8B" w:rsidRPr="00006558" w:rsidRDefault="00B21136" w:rsidP="006D669C">
      <w:pPr>
        <w:pStyle w:val="ListeParagraf"/>
        <w:numPr>
          <w:ilvl w:val="0"/>
          <w:numId w:val="2"/>
        </w:numPr>
        <w:spacing w:line="240" w:lineRule="atLeast"/>
        <w:ind w:left="0" w:firstLine="0"/>
        <w:jc w:val="both"/>
      </w:pPr>
      <w:r w:rsidRPr="00006558">
        <w:t xml:space="preserve">Yönetmelik’in 18 </w:t>
      </w:r>
      <w:r w:rsidR="008C7F8B" w:rsidRPr="00006558">
        <w:t xml:space="preserve">inci maddesinin birinci fıkrası çerçevesinde yerli üretici </w:t>
      </w:r>
      <w:r w:rsidR="00CB26BF" w:rsidRPr="00006558">
        <w:t>Trakya Döküm Sanayi ve Ticaret A.Ş. (Trakya Döküm)’</w:t>
      </w:r>
      <w:proofErr w:type="spellStart"/>
      <w:r w:rsidR="00CB26BF" w:rsidRPr="00006558">
        <w:t>nin</w:t>
      </w:r>
      <w:proofErr w:type="spellEnd"/>
      <w:r w:rsidR="00CB26BF" w:rsidRPr="00006558">
        <w:t xml:space="preserve"> </w:t>
      </w:r>
      <w:r w:rsidR="008C7F8B" w:rsidRPr="00006558">
        <w:t xml:space="preserve">yerli üretim dalını temsil niteliği değerlendirilmiş ve firmanın anılan yasal hükümler çerçevesinde yerli üretim dalını temsili haiz olduğuna kanaat getirilmiştir. Bu raporun ilerleyen bölümlerinde </w:t>
      </w:r>
      <w:r w:rsidR="00CB26BF" w:rsidRPr="00006558">
        <w:t>Trakya Döküm firması</w:t>
      </w:r>
      <w:r w:rsidR="000A45DA" w:rsidRPr="00006558">
        <w:t xml:space="preserve"> </w:t>
      </w:r>
      <w:r w:rsidR="008C7F8B" w:rsidRPr="00006558">
        <w:t xml:space="preserve">“yerli üretim dalı” olarak anılacaktır. </w:t>
      </w:r>
    </w:p>
    <w:p w:rsidR="00164FF4" w:rsidRPr="00006558" w:rsidRDefault="00164FF4" w:rsidP="008C7F8B">
      <w:pPr>
        <w:jc w:val="both"/>
      </w:pPr>
    </w:p>
    <w:p w:rsidR="00164FF4" w:rsidRPr="00006558" w:rsidRDefault="00164FF4" w:rsidP="00164FF4">
      <w:pPr>
        <w:spacing w:line="240" w:lineRule="atLeast"/>
        <w:jc w:val="both"/>
        <w:rPr>
          <w:b/>
        </w:rPr>
      </w:pPr>
      <w:r w:rsidRPr="00006558">
        <w:rPr>
          <w:b/>
          <w:caps/>
        </w:rPr>
        <w:t>1.3</w:t>
      </w:r>
      <w:r w:rsidRPr="00006558">
        <w:rPr>
          <w:caps/>
        </w:rPr>
        <w:t xml:space="preserve"> </w:t>
      </w:r>
      <w:r w:rsidRPr="00006558">
        <w:rPr>
          <w:b/>
        </w:rPr>
        <w:t>İlgili tarafların bilgilendirilmesi, dinlenmesi ve bilgilerin değerlendirilmesi</w:t>
      </w:r>
    </w:p>
    <w:p w:rsidR="00D67735" w:rsidRPr="00006558" w:rsidRDefault="009D662D" w:rsidP="00D67735">
      <w:pPr>
        <w:jc w:val="both"/>
        <w:rPr>
          <w:szCs w:val="20"/>
        </w:rPr>
      </w:pPr>
      <w:r w:rsidRPr="00006558">
        <w:t xml:space="preserve">(1) </w:t>
      </w:r>
      <w:r w:rsidR="00D67735" w:rsidRPr="00006558">
        <w:t xml:space="preserve">Soruşturma açılmasını müteakip, soruşturma konusu ürünün Bakanlık tarafından tespit edilen Brezilya, Bulgaristan, ÇHC, Endonezya, Hindistan ve Tayland’da mukim </w:t>
      </w:r>
      <w:r w:rsidR="00D67735" w:rsidRPr="00006558">
        <w:rPr>
          <w:szCs w:val="20"/>
        </w:rPr>
        <w:t xml:space="preserve">üreticilerine/ihracatçılarına, Türkiye’de yerleşik ithalatçılarına ve ayrıca </w:t>
      </w:r>
      <w:r w:rsidR="00D67735" w:rsidRPr="00006558">
        <w:t xml:space="preserve">Brezilya, Bulgaristan, ÇHC, Endonezya, Hindistan ve Tayland’da </w:t>
      </w:r>
      <w:r w:rsidR="00D67735" w:rsidRPr="00006558">
        <w:rPr>
          <w:szCs w:val="20"/>
        </w:rPr>
        <w:t xml:space="preserve">yerleşik diğer üreticilere/ ihracatçılara iletilebilmesini </w:t>
      </w:r>
      <w:proofErr w:type="spellStart"/>
      <w:r w:rsidR="00D67735" w:rsidRPr="00006558">
        <w:rPr>
          <w:szCs w:val="20"/>
        </w:rPr>
        <w:t>teminen</w:t>
      </w:r>
      <w:proofErr w:type="spellEnd"/>
      <w:r w:rsidR="00D67735" w:rsidRPr="00006558">
        <w:rPr>
          <w:szCs w:val="20"/>
        </w:rPr>
        <w:t xml:space="preserve"> anılan ülkelerin Ankara’daki Büyükelçiliklerine soruşturmanın açılışına ilişkin bildirimde bulunulmuştur.</w:t>
      </w:r>
    </w:p>
    <w:p w:rsidR="00D67735" w:rsidRPr="00006558" w:rsidRDefault="00D67735" w:rsidP="00D67735">
      <w:pPr>
        <w:spacing w:after="240"/>
        <w:jc w:val="both"/>
      </w:pPr>
      <w:r w:rsidRPr="00006558">
        <w:rPr>
          <w:szCs w:val="20"/>
        </w:rPr>
        <w:lastRenderedPageBreak/>
        <w:t>(2) Bildirimde, soruşturma açılış Tebliğine, başvurunun gizli olmayan metnine ve soru formlarına nereden erişileceği hususunda bilgi verilmiştir.</w:t>
      </w:r>
    </w:p>
    <w:p w:rsidR="00D67735" w:rsidRPr="00006558" w:rsidRDefault="00D67735" w:rsidP="00D67735">
      <w:pPr>
        <w:jc w:val="both"/>
        <w:rPr>
          <w:szCs w:val="20"/>
        </w:rPr>
      </w:pPr>
      <w:r w:rsidRPr="00006558">
        <w:rPr>
          <w:szCs w:val="20"/>
        </w:rPr>
        <w:t xml:space="preserve">(3) Taraflara soru formunu yanıtlamaları için posta süresi dâhil 37 gün süre tanınmıştır. Ayrıca ilgili tarafların süre uzatımı yönündeki </w:t>
      </w:r>
      <w:proofErr w:type="spellStart"/>
      <w:r w:rsidRPr="00006558">
        <w:rPr>
          <w:szCs w:val="20"/>
        </w:rPr>
        <w:t>m</w:t>
      </w:r>
      <w:r w:rsidRPr="00006558">
        <w:t>â</w:t>
      </w:r>
      <w:r w:rsidRPr="00006558">
        <w:rPr>
          <w:szCs w:val="20"/>
        </w:rPr>
        <w:t>kul</w:t>
      </w:r>
      <w:proofErr w:type="spellEnd"/>
      <w:r w:rsidRPr="00006558">
        <w:rPr>
          <w:szCs w:val="20"/>
        </w:rPr>
        <w:t xml:space="preserve"> talepleri karşılanmıştır.</w:t>
      </w:r>
    </w:p>
    <w:p w:rsidR="00BF3C12" w:rsidRDefault="00BF3C12" w:rsidP="00006D5A">
      <w:pPr>
        <w:jc w:val="both"/>
        <w:rPr>
          <w:szCs w:val="20"/>
        </w:rPr>
      </w:pPr>
    </w:p>
    <w:p w:rsidR="00D67735" w:rsidRPr="00006558" w:rsidRDefault="00D67735" w:rsidP="00006D5A">
      <w:pPr>
        <w:jc w:val="both"/>
        <w:rPr>
          <w:szCs w:val="20"/>
        </w:rPr>
      </w:pPr>
      <w:r w:rsidRPr="00006558">
        <w:rPr>
          <w:szCs w:val="20"/>
        </w:rPr>
        <w:t xml:space="preserve">(4) Yerli üretim dalı, soruşturma süresi boyunca Bakanlık ile işbirliği içinde olmuş ve gerektiğinde talep edilen ilave bilgileri temin etmiştir. </w:t>
      </w:r>
    </w:p>
    <w:p w:rsidR="00D67735" w:rsidRPr="00006558" w:rsidRDefault="00D67735" w:rsidP="00D67735">
      <w:pPr>
        <w:ind w:firstLine="567"/>
        <w:jc w:val="both"/>
        <w:rPr>
          <w:szCs w:val="20"/>
        </w:rPr>
      </w:pPr>
    </w:p>
    <w:p w:rsidR="00D67735" w:rsidRPr="00006558" w:rsidRDefault="00D67735" w:rsidP="00D67735">
      <w:pPr>
        <w:jc w:val="both"/>
      </w:pPr>
      <w:r w:rsidRPr="00006558">
        <w:rPr>
          <w:szCs w:val="20"/>
        </w:rPr>
        <w:t xml:space="preserve">(5)  Soruşturma </w:t>
      </w:r>
      <w:r w:rsidRPr="00006558">
        <w:t>döneminde ithalat gerçekleştirdiği tespit edilen ve soru formu gönderilen ithalatçılardan dokuz ithalatçı firma soru formunu öngörülen sürede yanıtlamıştır. Üretici/ihracatçı soru formuna ise üç ihracatçı firmadan yanıt alınmıştır.</w:t>
      </w:r>
    </w:p>
    <w:p w:rsidR="00D67735" w:rsidRPr="00006558" w:rsidRDefault="00D67735" w:rsidP="00D67735">
      <w:pPr>
        <w:ind w:firstLine="567"/>
        <w:jc w:val="both"/>
      </w:pPr>
    </w:p>
    <w:p w:rsidR="00D67735" w:rsidRPr="00006558" w:rsidRDefault="00D67735" w:rsidP="00D67735">
      <w:pPr>
        <w:jc w:val="both"/>
        <w:rPr>
          <w:szCs w:val="20"/>
        </w:rPr>
      </w:pPr>
      <w:r w:rsidRPr="00006558">
        <w:rPr>
          <w:szCs w:val="20"/>
        </w:rPr>
        <w:t>(6) Soruşturmaya ilişkin bilgi ve bulguların tamamlanması akabinde, soruşturma sonucunda alınacak karara esas teşkil edecek bilgi, bulgu, tespit ve değerlendirmeleri içeren “Nihai Bildirim Raporu” 19/2/2018 tarihinde ilgili tarafların bilgisine sunulmuştur. Söz konusu bildirim, soruşturma konusu ülkelerin Ankara Büyükelçilikleri, Avrupa Birliği (AB)’</w:t>
      </w:r>
      <w:proofErr w:type="spellStart"/>
      <w:r w:rsidRPr="00006558">
        <w:rPr>
          <w:szCs w:val="20"/>
        </w:rPr>
        <w:t>nin</w:t>
      </w:r>
      <w:proofErr w:type="spellEnd"/>
      <w:r w:rsidRPr="00006558">
        <w:rPr>
          <w:szCs w:val="20"/>
        </w:rPr>
        <w:t xml:space="preserve"> Türkiye Delegasyonu ile soruşturma sırasında görüş bildiren ithalatçı ve ihracatçı firmalar ile yerli üretim dalına iletilmiştir.</w:t>
      </w:r>
    </w:p>
    <w:p w:rsidR="00D67735" w:rsidRPr="00006558" w:rsidRDefault="00D67735" w:rsidP="00D67735">
      <w:pPr>
        <w:ind w:firstLine="567"/>
        <w:jc w:val="both"/>
        <w:rPr>
          <w:szCs w:val="20"/>
        </w:rPr>
      </w:pPr>
    </w:p>
    <w:p w:rsidR="00D67735" w:rsidRPr="00006558" w:rsidRDefault="00D67735" w:rsidP="00D67735">
      <w:pPr>
        <w:jc w:val="both"/>
        <w:rPr>
          <w:szCs w:val="20"/>
        </w:rPr>
      </w:pPr>
      <w:r w:rsidRPr="00006558">
        <w:rPr>
          <w:szCs w:val="20"/>
        </w:rPr>
        <w:t>(7</w:t>
      </w:r>
      <w:r w:rsidR="002B22B0" w:rsidRPr="00006558">
        <w:rPr>
          <w:szCs w:val="20"/>
        </w:rPr>
        <w:t xml:space="preserve">) </w:t>
      </w:r>
      <w:r w:rsidRPr="00006558">
        <w:rPr>
          <w:szCs w:val="20"/>
        </w:rPr>
        <w:t>Nihai Bildirim Raporu’na ilişkin yerli üretici, ithalatçı ve ihracatçı firmalar ile Endonezya’nın Ankara Büyükelçiliğinden görüş alınmıştır.</w:t>
      </w:r>
    </w:p>
    <w:p w:rsidR="00D67735" w:rsidRPr="00006558" w:rsidRDefault="00D67735" w:rsidP="00D67735">
      <w:pPr>
        <w:ind w:firstLine="567"/>
        <w:jc w:val="both"/>
        <w:rPr>
          <w:szCs w:val="20"/>
        </w:rPr>
      </w:pPr>
    </w:p>
    <w:p w:rsidR="00D67735" w:rsidRPr="00006558" w:rsidRDefault="00D67735" w:rsidP="00D67735">
      <w:pPr>
        <w:jc w:val="both"/>
        <w:rPr>
          <w:szCs w:val="20"/>
        </w:rPr>
      </w:pPr>
      <w:r w:rsidRPr="00006558">
        <w:rPr>
          <w:szCs w:val="20"/>
        </w:rPr>
        <w:t xml:space="preserve">(8)  Nihai bildirim sonrasında, </w:t>
      </w:r>
      <w:r w:rsidRPr="00006558">
        <w:t xml:space="preserve">ilgili tarafların katılımı ile 2/3/2018 tarihinde kamu dinleme toplantısı düzenlenmiştir. </w:t>
      </w:r>
      <w:r w:rsidRPr="00006558">
        <w:rPr>
          <w:szCs w:val="20"/>
        </w:rPr>
        <w:t>Yerli üretici Trakya Döküm firması, bazı ithalatçı ve ihracatçı firmalar ile AB’nin Türkiye Delegasyonu kamu dinleme toplantısına yönelik görüşlerini yazılı olarak da Genel Müdürlüğe iletmiştir.</w:t>
      </w:r>
    </w:p>
    <w:p w:rsidR="00D67735" w:rsidRPr="00006558" w:rsidRDefault="00D67735" w:rsidP="00D67735">
      <w:pPr>
        <w:ind w:firstLine="567"/>
        <w:jc w:val="both"/>
        <w:rPr>
          <w:szCs w:val="20"/>
        </w:rPr>
      </w:pPr>
    </w:p>
    <w:p w:rsidR="00DA029A" w:rsidRPr="00006558" w:rsidRDefault="00F94DBA" w:rsidP="00DA029A">
      <w:pPr>
        <w:spacing w:line="240" w:lineRule="atLeast"/>
        <w:jc w:val="both"/>
      </w:pPr>
      <w:r w:rsidRPr="00006558">
        <w:t>(9</w:t>
      </w:r>
      <w:r w:rsidR="00DA029A" w:rsidRPr="00006558">
        <w:t>) İlgili taraflardan alınan yanıtlardaki nesnel görüşler, bu raporun ilgili kısımlarında değerlendirilmiştir.</w:t>
      </w:r>
    </w:p>
    <w:p w:rsidR="00164FF4" w:rsidRPr="00006558" w:rsidRDefault="00164FF4" w:rsidP="003C6689">
      <w:pPr>
        <w:contextualSpacing/>
        <w:jc w:val="both"/>
      </w:pPr>
    </w:p>
    <w:p w:rsidR="0054491B" w:rsidRPr="00006558" w:rsidRDefault="00EC3FF1" w:rsidP="005056F1">
      <w:pPr>
        <w:keepNext/>
        <w:contextualSpacing/>
        <w:outlineLvl w:val="1"/>
        <w:rPr>
          <w:b/>
        </w:rPr>
      </w:pPr>
      <w:r w:rsidRPr="00006558">
        <w:rPr>
          <w:b/>
        </w:rPr>
        <w:t>1.</w:t>
      </w:r>
      <w:r w:rsidR="00DA029A" w:rsidRPr="00006558">
        <w:rPr>
          <w:b/>
        </w:rPr>
        <w:t>4</w:t>
      </w:r>
      <w:r w:rsidRPr="00006558">
        <w:rPr>
          <w:b/>
        </w:rPr>
        <w:t xml:space="preserve"> </w:t>
      </w:r>
      <w:r w:rsidR="00164FF4" w:rsidRPr="00006558">
        <w:rPr>
          <w:b/>
        </w:rPr>
        <w:t xml:space="preserve">Gözden geçirme dönemi </w:t>
      </w:r>
    </w:p>
    <w:p w:rsidR="00DA029A" w:rsidRPr="00006558" w:rsidRDefault="00164FF4" w:rsidP="00DA029A">
      <w:pPr>
        <w:jc w:val="both"/>
      </w:pPr>
      <w:r w:rsidRPr="00006558">
        <w:t xml:space="preserve">(1) </w:t>
      </w:r>
      <w:r w:rsidR="00DA029A" w:rsidRPr="00006558">
        <w:t>Gözde</w:t>
      </w:r>
      <w:r w:rsidR="00F94DBA" w:rsidRPr="00006558">
        <w:t>n geçirme dönemi olarak 1/1/2014</w:t>
      </w:r>
      <w:r w:rsidR="00DA029A" w:rsidRPr="00006558">
        <w:t>-31/12/201</w:t>
      </w:r>
      <w:r w:rsidR="00F94DBA" w:rsidRPr="00006558">
        <w:t>6</w:t>
      </w:r>
      <w:r w:rsidR="00DA029A" w:rsidRPr="00006558">
        <w:t xml:space="preserve"> arasındaki dönem esas alınmıştır.</w:t>
      </w:r>
    </w:p>
    <w:p w:rsidR="00164FF4" w:rsidRPr="00006558" w:rsidRDefault="00164FF4" w:rsidP="00DA029A">
      <w:pPr>
        <w:spacing w:line="240" w:lineRule="atLeast"/>
        <w:contextualSpacing/>
        <w:jc w:val="both"/>
        <w:rPr>
          <w:rFonts w:eastAsia="MS Mincho"/>
          <w:b/>
          <w:bCs/>
          <w:lang w:eastAsia="ja-JP"/>
        </w:rPr>
      </w:pPr>
    </w:p>
    <w:p w:rsidR="008E4B08" w:rsidRPr="00006558" w:rsidRDefault="00EC3FF1" w:rsidP="00164FF4">
      <w:pPr>
        <w:jc w:val="both"/>
        <w:rPr>
          <w:rFonts w:eastAsia="MS Mincho"/>
          <w:b/>
          <w:bCs/>
          <w:caps/>
          <w:lang w:eastAsia="ja-JP"/>
        </w:rPr>
      </w:pPr>
      <w:r w:rsidRPr="00006558">
        <w:rPr>
          <w:rFonts w:eastAsia="MS Mincho"/>
          <w:b/>
          <w:bCs/>
          <w:caps/>
          <w:lang w:eastAsia="ja-JP"/>
        </w:rPr>
        <w:t xml:space="preserve">2. </w:t>
      </w:r>
      <w:r w:rsidR="00164FF4" w:rsidRPr="00006558">
        <w:rPr>
          <w:rFonts w:eastAsia="MS Mincho"/>
          <w:b/>
          <w:bCs/>
          <w:caps/>
          <w:lang w:eastAsia="ja-JP"/>
        </w:rPr>
        <w:t>Soruşturma konusu ürün ve benzer ürün</w:t>
      </w:r>
    </w:p>
    <w:p w:rsidR="00F94DBA" w:rsidRPr="00006558" w:rsidRDefault="00B367A9" w:rsidP="00F94DBA">
      <w:pPr>
        <w:jc w:val="both"/>
      </w:pPr>
      <w:r w:rsidRPr="00006558">
        <w:t>(1)</w:t>
      </w:r>
      <w:r w:rsidR="009D662D" w:rsidRPr="00006558">
        <w:t xml:space="preserve"> </w:t>
      </w:r>
      <w:r w:rsidR="001B7396" w:rsidRPr="00006558">
        <w:t xml:space="preserve">Soruşturma konusu olan önleme tabi ürün; </w:t>
      </w:r>
      <w:r w:rsidR="00F94DBA" w:rsidRPr="00006558">
        <w:t xml:space="preserve">7307.19 </w:t>
      </w:r>
      <w:proofErr w:type="spellStart"/>
      <w:r w:rsidR="00F94DBA" w:rsidRPr="00006558">
        <w:t>GTP’de</w:t>
      </w:r>
      <w:proofErr w:type="spellEnd"/>
      <w:r w:rsidR="00F94DBA" w:rsidRPr="00006558">
        <w:t xml:space="preserve"> yer alan ve “Diğerleri” altında sınıflandır</w:t>
      </w:r>
      <w:r w:rsidR="000379D3" w:rsidRPr="00006558">
        <w:t>ılan boru bağlantı parçaları olup; soruşturmaya konu ürünün 3,5 ABD Doları/Kg CIF kıymetin altında olanlarının ithalatı ülke ayrımı yapılmaksızın gözetim uygulamasına tabidir.</w:t>
      </w:r>
    </w:p>
    <w:p w:rsidR="00F94DBA" w:rsidRPr="00006558" w:rsidRDefault="00F94DBA" w:rsidP="00F94DBA">
      <w:pPr>
        <w:pStyle w:val="GvdeMetni"/>
        <w:ind w:firstLine="357"/>
        <w:rPr>
          <w:noProof/>
          <w:color w:val="auto"/>
        </w:rPr>
      </w:pPr>
    </w:p>
    <w:p w:rsidR="00D67735" w:rsidRPr="00006558" w:rsidRDefault="00D67735" w:rsidP="00D67735">
      <w:pPr>
        <w:jc w:val="both"/>
      </w:pPr>
      <w:r w:rsidRPr="00006558">
        <w:rPr>
          <w:noProof/>
        </w:rPr>
        <w:t xml:space="preserve">(2) </w:t>
      </w:r>
      <w:r w:rsidRPr="00006558">
        <w:t xml:space="preserve">Soruşturma konusu ürün “dövülebilen dökme demirden olanlar” ile “diğerleri” altında yer alan boru bağlantı parçalarını ihtiva etmekte olup döküm teknolojisiyle üretilmektedir. Ürün ergitme, maça, kalıplama, </w:t>
      </w:r>
      <w:proofErr w:type="spellStart"/>
      <w:r w:rsidRPr="00006558">
        <w:t>temperleme</w:t>
      </w:r>
      <w:proofErr w:type="spellEnd"/>
      <w:r w:rsidRPr="00006558">
        <w:t xml:space="preserve"> ve diş açma gibi muhtelif üretim süreçlerinden geçmektedir. Bu çerçevede, endüksiyon ocakları kullanılarak hammadde ergitilip sıvı metal haline getirildikten sonra kum ve katkılarından maça yapılır. Kalıplama teknolojisi kullanılarak kalıplanan ürün kum ve diğer yüzey kirliliğinden temizlendikten sonra </w:t>
      </w:r>
      <w:proofErr w:type="spellStart"/>
      <w:r w:rsidRPr="00006558">
        <w:t>temperlenir</w:t>
      </w:r>
      <w:proofErr w:type="spellEnd"/>
      <w:r w:rsidRPr="00006558">
        <w:t>. Kalıplamadan kaynaklanan köşe ve çıkıntıların taşlanması işlemini müteakiben bağlantı parçalarına diş açılmaktadır.</w:t>
      </w:r>
    </w:p>
    <w:p w:rsidR="00D67735" w:rsidRPr="00006558" w:rsidRDefault="00D67735" w:rsidP="00D67735">
      <w:pPr>
        <w:pStyle w:val="GvdeMetni"/>
        <w:ind w:firstLine="357"/>
        <w:rPr>
          <w:color w:val="auto"/>
        </w:rPr>
      </w:pPr>
    </w:p>
    <w:p w:rsidR="00D67735" w:rsidRPr="00006558" w:rsidRDefault="00D67735" w:rsidP="00D67735">
      <w:pPr>
        <w:pStyle w:val="GvdeMetni"/>
        <w:rPr>
          <w:color w:val="auto"/>
        </w:rPr>
      </w:pPr>
      <w:r w:rsidRPr="00006558">
        <w:rPr>
          <w:color w:val="auto"/>
        </w:rPr>
        <w:t xml:space="preserve">(3) Önleme tabi soruşturma konusu ürün,  inşaat, makine, doğalgaz, altyapı ve her türlü tesisatta kullanılan sıvı veya gaz akışının yönünü değiştiren, boruları birbirine ya da başka parçalara bağlayan veya borunun ucunu kapatan, dişi açılmış dirsek, kuyruklu dirsek, te, rakor, nipel, </w:t>
      </w:r>
      <w:r w:rsidRPr="00006558">
        <w:rPr>
          <w:color w:val="auto"/>
        </w:rPr>
        <w:lastRenderedPageBreak/>
        <w:t xml:space="preserve">manşon, </w:t>
      </w:r>
      <w:proofErr w:type="spellStart"/>
      <w:r w:rsidRPr="00006558">
        <w:rPr>
          <w:color w:val="auto"/>
        </w:rPr>
        <w:t>kuruva</w:t>
      </w:r>
      <w:proofErr w:type="spellEnd"/>
      <w:r w:rsidRPr="00006558">
        <w:rPr>
          <w:color w:val="auto"/>
        </w:rPr>
        <w:t xml:space="preserve"> gibi bağlantı elemanlarını içermektedir. Boru bağlantı parçaları, ürünün üst yüzeyinin kaplanıp kaplanmamasına göre siyah ve galvanizli olarak ayrılabilmektedir.</w:t>
      </w:r>
    </w:p>
    <w:p w:rsidR="00D67735" w:rsidRPr="00006558" w:rsidRDefault="00D67735" w:rsidP="00D67735">
      <w:pPr>
        <w:pStyle w:val="GvdeMetni"/>
        <w:ind w:firstLine="567"/>
        <w:rPr>
          <w:color w:val="auto"/>
        </w:rPr>
      </w:pPr>
    </w:p>
    <w:p w:rsidR="00D67735" w:rsidRPr="00006558" w:rsidRDefault="00D67735" w:rsidP="00D67735">
      <w:pPr>
        <w:pStyle w:val="GvdeMetni"/>
        <w:rPr>
          <w:color w:val="auto"/>
        </w:rPr>
      </w:pPr>
      <w:r w:rsidRPr="00006558">
        <w:rPr>
          <w:color w:val="auto"/>
        </w:rPr>
        <w:t xml:space="preserve">(4) Bazı ithalatçı firmalar soru formuna verdikleri cevaplarda yerli üretim dalının soruşturma konusu ürünün bazı tiplerini üretmediğini, ayrıca yerli üreticinin yeterince ürün çeşitliliği sağlayamadığını ve “yivli </w:t>
      </w:r>
      <w:proofErr w:type="spellStart"/>
      <w:r w:rsidRPr="00006558">
        <w:rPr>
          <w:color w:val="auto"/>
        </w:rPr>
        <w:t>kaplin</w:t>
      </w:r>
      <w:proofErr w:type="spellEnd"/>
      <w:r w:rsidRPr="00006558">
        <w:rPr>
          <w:color w:val="auto"/>
        </w:rPr>
        <w:t xml:space="preserve"> ve yivli boru bağlantı parçaları” üretiminin bulunmadığını ifade etmişlerdir. Yerli üretici firma ile yapılan yazışmalar ve yerinde doğrulama sırasında ulaşılan tespitler neticesinde, üretilmediği iddia edilen ürün tipleri için yerli üreticinin üretme kabiliyetinin bulunduğu; ayrıca, birçok kullanım yeri açısından söz konusu ürünlerin yerli ürünün ikamesi konumunda bulunduğu belirtilmiştir. Öte taraftan, yerli üreticinin geniş bir ürün gamına sahip bulunduğu tespit edilmiştir.</w:t>
      </w:r>
    </w:p>
    <w:p w:rsidR="00D67735" w:rsidRPr="00006558" w:rsidRDefault="00D67735" w:rsidP="00D67735">
      <w:pPr>
        <w:pStyle w:val="GvdeMetni"/>
        <w:ind w:firstLine="567"/>
        <w:rPr>
          <w:color w:val="auto"/>
          <w:highlight w:val="yellow"/>
        </w:rPr>
      </w:pPr>
    </w:p>
    <w:p w:rsidR="00D67735" w:rsidRPr="00006558" w:rsidRDefault="00D67735" w:rsidP="00D67735">
      <w:pPr>
        <w:pStyle w:val="GvdeMetni"/>
        <w:rPr>
          <w:color w:val="auto"/>
        </w:rPr>
      </w:pPr>
      <w:r w:rsidRPr="00006558">
        <w:rPr>
          <w:color w:val="auto"/>
        </w:rPr>
        <w:t>(5) Çoğu ithalatçı firma ithal edilen ürünün tercih sebepleri arasında ilk olarak fiyatı göstermektedir. Ayrıca, ithal ürün kalitesinin soruşturma konusu yerli ürüne göre daha iyi olduğuna yönelik iddialar yerli üretim dalının gerekli kalite yönetim sistemi belgelerine sahip olması nedeniyle yerinde bulunmamıştır.</w:t>
      </w:r>
    </w:p>
    <w:p w:rsidR="00D67735" w:rsidRPr="00006558" w:rsidRDefault="00D67735" w:rsidP="00D67735">
      <w:pPr>
        <w:pStyle w:val="GvdeMetni"/>
        <w:ind w:firstLine="567"/>
        <w:rPr>
          <w:color w:val="auto"/>
        </w:rPr>
      </w:pPr>
    </w:p>
    <w:p w:rsidR="00D67735" w:rsidRPr="00006558" w:rsidRDefault="00D67735" w:rsidP="00D67735">
      <w:pPr>
        <w:pStyle w:val="GvdeMetni"/>
        <w:rPr>
          <w:color w:val="auto"/>
        </w:rPr>
      </w:pPr>
      <w:r w:rsidRPr="00006558">
        <w:rPr>
          <w:color w:val="auto"/>
        </w:rPr>
        <w:t xml:space="preserve">(6) Soruşturma süresince bazı ithalatçı firmalar tarafından önlem kapsamı eşya tanımının değiştirilmesi gerektiğine yönelik iddialar alınmış olup söz konusu iddiaların “benzer ürün” tanımına halel getirmediği anlaşılmıştır. Bu çerçevede, 7307.19 </w:t>
      </w:r>
      <w:proofErr w:type="spellStart"/>
      <w:r w:rsidRPr="00006558">
        <w:rPr>
          <w:color w:val="auto"/>
        </w:rPr>
        <w:t>GTP’si</w:t>
      </w:r>
      <w:proofErr w:type="spellEnd"/>
      <w:r w:rsidRPr="00006558">
        <w:rPr>
          <w:color w:val="auto"/>
        </w:rPr>
        <w:t xml:space="preserve"> altında yer alan ürünler, üretim tekniklerine, fiziksel özelliklerine ve teknik standartlarına göre ayrım olmaksızın </w:t>
      </w:r>
      <w:proofErr w:type="gramStart"/>
      <w:r w:rsidRPr="00006558">
        <w:rPr>
          <w:color w:val="auto"/>
        </w:rPr>
        <w:t>dampinge</w:t>
      </w:r>
      <w:proofErr w:type="gramEnd"/>
      <w:r w:rsidRPr="00006558">
        <w:rPr>
          <w:color w:val="auto"/>
        </w:rPr>
        <w:t xml:space="preserve"> karşı önlem kapsamında yer almaktadır.</w:t>
      </w:r>
    </w:p>
    <w:p w:rsidR="00D67735" w:rsidRPr="00006558" w:rsidRDefault="00D67735" w:rsidP="00D67735">
      <w:pPr>
        <w:pStyle w:val="GvdeMetni"/>
        <w:ind w:firstLine="567"/>
        <w:rPr>
          <w:color w:val="auto"/>
        </w:rPr>
      </w:pPr>
    </w:p>
    <w:p w:rsidR="00D67735" w:rsidRPr="00006558" w:rsidRDefault="00D67735" w:rsidP="00D67735">
      <w:pPr>
        <w:pStyle w:val="GvdeMetni"/>
        <w:rPr>
          <w:color w:val="auto"/>
        </w:rPr>
      </w:pPr>
      <w:r w:rsidRPr="00006558">
        <w:rPr>
          <w:color w:val="auto"/>
        </w:rPr>
        <w:t xml:space="preserve">(7) Soruşturma ile ilgili olarak bazı ithalatçı firmalar “paslanmaz çelik” ürünlerinin üretiminin bulunmadığını ifade etmişlerdir. Ancak, söz konusu “paslanmaz çelik” ürünleri, önleme tabi soruşturma konusu ürün olan 7307.19 </w:t>
      </w:r>
      <w:proofErr w:type="spellStart"/>
      <w:r w:rsidRPr="00006558">
        <w:rPr>
          <w:color w:val="auto"/>
        </w:rPr>
        <w:t>GTP’si</w:t>
      </w:r>
      <w:proofErr w:type="spellEnd"/>
      <w:r w:rsidRPr="00006558">
        <w:rPr>
          <w:color w:val="auto"/>
        </w:rPr>
        <w:t xml:space="preserve"> altında sınıflandırılmamakta olup bu soruşturma kapsamında yer almamaktadır.</w:t>
      </w:r>
    </w:p>
    <w:p w:rsidR="00D67735" w:rsidRPr="00006558" w:rsidRDefault="00D67735" w:rsidP="00D67735">
      <w:pPr>
        <w:pStyle w:val="GvdeMetni"/>
        <w:ind w:firstLine="357"/>
        <w:rPr>
          <w:color w:val="auto"/>
        </w:rPr>
      </w:pPr>
    </w:p>
    <w:p w:rsidR="00D67735" w:rsidRPr="00006558" w:rsidRDefault="00D67735" w:rsidP="00D67735">
      <w:pPr>
        <w:jc w:val="both"/>
      </w:pPr>
      <w:r w:rsidRPr="00006558">
        <w:t>(8) 2000/3, 2006/23, 2006/24 ve 2012/10 sayılı Tebliğler ile sonuçlandırılan soruşturmalarda yerli üretici tarafından üretilen ürün ile önleme konu ülkeler menşeli ürün arasında fiziksel özellikler, ürün çeşitliliği ve kullanım alanları olarak “benzer ürün” tanımı açısından ayrım yaratan herhangi bir farklılık bulunmadığı tespit edilmiştir. Bu defa soruşturma kapsamında yapılan değerlendirmede, İthalatta Haksız Rekabetin Önlenmesi Hakkında Yönetmeliğin 4 üncü maddesi çerçevesinde benzer ürüne yönelik tespiti değiştirecek herhangi bir bulguya rastlanılmamıştır.</w:t>
      </w:r>
    </w:p>
    <w:p w:rsidR="00D67735" w:rsidRPr="00006558" w:rsidRDefault="00D67735" w:rsidP="00D67735">
      <w:pPr>
        <w:pStyle w:val="GvdeMetni"/>
        <w:ind w:firstLine="567"/>
        <w:rPr>
          <w:color w:val="auto"/>
        </w:rPr>
      </w:pPr>
    </w:p>
    <w:p w:rsidR="00D67735" w:rsidRPr="00006558" w:rsidRDefault="00D67735" w:rsidP="00D67735">
      <w:pPr>
        <w:pStyle w:val="GvdeMetni"/>
        <w:rPr>
          <w:noProof/>
          <w:color w:val="auto"/>
        </w:rPr>
      </w:pPr>
      <w:r w:rsidRPr="00006558">
        <w:rPr>
          <w:color w:val="auto"/>
        </w:rPr>
        <w:t>(9) Soruşturma konusu ürün ve benzer ürün ile ilgili açıklamalar bağlayıcı nitelikte olmayıp genel içerikli ve bilgi amaçlıdır.</w:t>
      </w:r>
      <w:r w:rsidRPr="00006558">
        <w:rPr>
          <w:noProof/>
          <w:color w:val="auto"/>
        </w:rPr>
        <w:t xml:space="preserve"> </w:t>
      </w:r>
    </w:p>
    <w:p w:rsidR="00D67735" w:rsidRPr="00006558" w:rsidRDefault="00D67735" w:rsidP="00D67735">
      <w:pPr>
        <w:jc w:val="both"/>
        <w:rPr>
          <w:noProof/>
        </w:rPr>
      </w:pPr>
    </w:p>
    <w:p w:rsidR="00164FF4" w:rsidRPr="00006558" w:rsidRDefault="008E4B08" w:rsidP="002861CC">
      <w:pPr>
        <w:jc w:val="both"/>
        <w:rPr>
          <w:b/>
          <w:caps/>
        </w:rPr>
      </w:pPr>
      <w:r w:rsidRPr="00006558">
        <w:rPr>
          <w:b/>
          <w:caps/>
        </w:rPr>
        <w:t xml:space="preserve">3. Dampinge İlişkin Belirlemeler- </w:t>
      </w:r>
      <w:r w:rsidR="00164FF4" w:rsidRPr="00006558">
        <w:rPr>
          <w:b/>
          <w:caps/>
        </w:rPr>
        <w:t>Dampingin Devamı ve</w:t>
      </w:r>
      <w:r w:rsidR="002861CC" w:rsidRPr="00006558">
        <w:rPr>
          <w:b/>
          <w:caps/>
        </w:rPr>
        <w:t>YA</w:t>
      </w:r>
      <w:r w:rsidR="00164FF4" w:rsidRPr="00006558">
        <w:rPr>
          <w:b/>
          <w:caps/>
        </w:rPr>
        <w:t xml:space="preserve"> Yeniden Meydana Gelme İhtimali</w:t>
      </w:r>
    </w:p>
    <w:p w:rsidR="00164FF4" w:rsidRPr="00006558" w:rsidRDefault="00164FF4" w:rsidP="00164FF4">
      <w:pPr>
        <w:jc w:val="both"/>
      </w:pPr>
    </w:p>
    <w:p w:rsidR="008E4B08" w:rsidRPr="00006558" w:rsidRDefault="008E4B08" w:rsidP="005056F1">
      <w:pPr>
        <w:jc w:val="both"/>
        <w:rPr>
          <w:b/>
        </w:rPr>
      </w:pPr>
      <w:r w:rsidRPr="00006558">
        <w:rPr>
          <w:b/>
        </w:rPr>
        <w:t xml:space="preserve">3.1 </w:t>
      </w:r>
      <w:r w:rsidR="00164FF4" w:rsidRPr="00006558">
        <w:rPr>
          <w:b/>
        </w:rPr>
        <w:t xml:space="preserve">Genel açıklamalar </w:t>
      </w:r>
    </w:p>
    <w:p w:rsidR="009E797B" w:rsidRDefault="00B367A9" w:rsidP="009E797B">
      <w:pPr>
        <w:jc w:val="both"/>
      </w:pPr>
      <w:r w:rsidRPr="00006558">
        <w:t xml:space="preserve">(1) Yönetmelik’in </w:t>
      </w:r>
      <w:r w:rsidR="00A90138" w:rsidRPr="00006558">
        <w:t xml:space="preserve">40 </w:t>
      </w:r>
      <w:proofErr w:type="spellStart"/>
      <w:r w:rsidR="00F7470E" w:rsidRPr="00006558">
        <w:t>ıncı</w:t>
      </w:r>
      <w:proofErr w:type="spellEnd"/>
      <w:r w:rsidR="00F7470E" w:rsidRPr="00006558">
        <w:t xml:space="preserve"> ve </w:t>
      </w:r>
      <w:r w:rsidR="00A90138" w:rsidRPr="00006558">
        <w:t xml:space="preserve">41 </w:t>
      </w:r>
      <w:r w:rsidRPr="00006558">
        <w:t>inci madde</w:t>
      </w:r>
      <w:r w:rsidR="00F7470E" w:rsidRPr="00006558">
        <w:t>ler</w:t>
      </w:r>
      <w:r w:rsidRPr="00006558">
        <w:t xml:space="preserve">i çerçevesinde soruşturma kapsamında </w:t>
      </w:r>
      <w:r w:rsidR="000C262C" w:rsidRPr="00006558">
        <w:t xml:space="preserve">yeniden </w:t>
      </w:r>
      <w:proofErr w:type="gramStart"/>
      <w:r w:rsidRPr="00006558">
        <w:t>damping</w:t>
      </w:r>
      <w:proofErr w:type="gramEnd"/>
      <w:r w:rsidRPr="00006558">
        <w:t xml:space="preserve"> marjı hesaplanmamıştır. Öte yanda</w:t>
      </w:r>
      <w:r w:rsidR="00343DBB" w:rsidRPr="00006558">
        <w:t xml:space="preserve">n Yönetmelik’in 35 </w:t>
      </w:r>
      <w:r w:rsidR="009E797B" w:rsidRPr="00006558">
        <w:t xml:space="preserve">inci maddesi çerçevesinde, gözden geçirme döneminde yerli üretim dalının ekonomik göstergeleri ve önlemin yürürlükten kalkması halinde zararın devam etmesinin veya tekrar etmesinin muhtemel olup olmadığına ilişkin olarak </w:t>
      </w:r>
      <w:r w:rsidR="00375AAE" w:rsidRPr="00006558">
        <w:t>esas</w:t>
      </w:r>
      <w:r w:rsidR="009E797B" w:rsidRPr="00006558">
        <w:t xml:space="preserve"> soruşturmada tespit edilen </w:t>
      </w:r>
      <w:proofErr w:type="gramStart"/>
      <w:r w:rsidR="009E797B" w:rsidRPr="00006558">
        <w:t>damping</w:t>
      </w:r>
      <w:proofErr w:type="gramEnd"/>
      <w:r w:rsidR="009E797B" w:rsidRPr="00006558">
        <w:t xml:space="preserve"> marj</w:t>
      </w:r>
      <w:r w:rsidR="00375AAE" w:rsidRPr="00006558">
        <w:t>lar</w:t>
      </w:r>
      <w:r w:rsidR="009E797B" w:rsidRPr="00006558">
        <w:t>ı, soruşturma ko</w:t>
      </w:r>
      <w:r w:rsidR="003A449C" w:rsidRPr="00006558">
        <w:t>nusu ülkenin ihracat kapasitesi ve</w:t>
      </w:r>
      <w:r w:rsidR="009E797B" w:rsidRPr="00006558">
        <w:t xml:space="preserve"> </w:t>
      </w:r>
      <w:r w:rsidR="00CF1A36" w:rsidRPr="00006558">
        <w:t xml:space="preserve">küresel ihracat fiyatları </w:t>
      </w:r>
      <w:r w:rsidR="009E797B" w:rsidRPr="00006558">
        <w:t>incelenmiştir.</w:t>
      </w:r>
    </w:p>
    <w:p w:rsidR="001C1EB0" w:rsidRDefault="001C1EB0" w:rsidP="009E797B">
      <w:pPr>
        <w:jc w:val="both"/>
      </w:pPr>
    </w:p>
    <w:p w:rsidR="009D52FF" w:rsidRDefault="009D52FF" w:rsidP="00164FF4">
      <w:pPr>
        <w:jc w:val="both"/>
        <w:rPr>
          <w:b/>
        </w:rPr>
      </w:pPr>
    </w:p>
    <w:p w:rsidR="009D52FF" w:rsidRDefault="009D52FF" w:rsidP="00164FF4">
      <w:pPr>
        <w:jc w:val="both"/>
        <w:rPr>
          <w:b/>
        </w:rPr>
      </w:pPr>
    </w:p>
    <w:p w:rsidR="00D22EAC" w:rsidRPr="00006558" w:rsidRDefault="008E4B08" w:rsidP="00164FF4">
      <w:pPr>
        <w:jc w:val="both"/>
        <w:rPr>
          <w:b/>
        </w:rPr>
      </w:pPr>
      <w:r w:rsidRPr="00006558">
        <w:rPr>
          <w:b/>
        </w:rPr>
        <w:lastRenderedPageBreak/>
        <w:t xml:space="preserve">3.2 </w:t>
      </w:r>
      <w:r w:rsidR="00B367A9" w:rsidRPr="00006558">
        <w:rPr>
          <w:b/>
        </w:rPr>
        <w:t>Damping</w:t>
      </w:r>
      <w:r w:rsidR="002861CC" w:rsidRPr="00006558">
        <w:rPr>
          <w:b/>
        </w:rPr>
        <w:t>in</w:t>
      </w:r>
      <w:r w:rsidR="00B367A9" w:rsidRPr="00006558">
        <w:rPr>
          <w:b/>
        </w:rPr>
        <w:t xml:space="preserve"> </w:t>
      </w:r>
      <w:r w:rsidR="00F85C0F">
        <w:rPr>
          <w:b/>
        </w:rPr>
        <w:t>devamı veya y</w:t>
      </w:r>
      <w:r w:rsidR="00B367A9" w:rsidRPr="00006558">
        <w:rPr>
          <w:b/>
        </w:rPr>
        <w:t xml:space="preserve">eniden </w:t>
      </w:r>
      <w:r w:rsidR="00F85C0F">
        <w:rPr>
          <w:b/>
        </w:rPr>
        <w:t>m</w:t>
      </w:r>
      <w:r w:rsidR="00B367A9" w:rsidRPr="00006558">
        <w:rPr>
          <w:b/>
        </w:rPr>
        <w:t xml:space="preserve">eydana </w:t>
      </w:r>
      <w:r w:rsidR="00F85C0F">
        <w:rPr>
          <w:b/>
        </w:rPr>
        <w:t>gelme ihtimaline ilişkin d</w:t>
      </w:r>
      <w:r w:rsidR="00B367A9" w:rsidRPr="00006558">
        <w:rPr>
          <w:b/>
        </w:rPr>
        <w:t>eğerlendirme</w:t>
      </w:r>
    </w:p>
    <w:p w:rsidR="00B367A9" w:rsidRPr="00006558" w:rsidRDefault="00B367A9" w:rsidP="00B367A9">
      <w:pPr>
        <w:jc w:val="both"/>
        <w:rPr>
          <w:bCs/>
        </w:rPr>
      </w:pPr>
      <w:r w:rsidRPr="00006558">
        <w:t xml:space="preserve">(1) Meri önlemin yürürlükten kaldırılması halinde dampingin devam edip etmeyeceğini veya yeniden meydana gelip gelmeyeceğini incelemek amacıyla </w:t>
      </w:r>
      <w:r w:rsidR="006C1B3C" w:rsidRPr="00006558">
        <w:t>ilk</w:t>
      </w:r>
      <w:r w:rsidRPr="00006558">
        <w:t xml:space="preserve"> soruşturmada </w:t>
      </w:r>
      <w:r w:rsidR="006C1B3C" w:rsidRPr="00006558">
        <w:t xml:space="preserve">tespit edilen </w:t>
      </w:r>
      <w:proofErr w:type="gramStart"/>
      <w:r w:rsidR="006C1B3C" w:rsidRPr="00006558">
        <w:t>damping</w:t>
      </w:r>
      <w:proofErr w:type="gramEnd"/>
      <w:r w:rsidR="006C1B3C" w:rsidRPr="00006558">
        <w:t xml:space="preserve"> marj</w:t>
      </w:r>
      <w:r w:rsidR="00AD75A0" w:rsidRPr="00006558">
        <w:t>lar</w:t>
      </w:r>
      <w:r w:rsidRPr="00006558">
        <w:t>ı değerlendirilmiştir. Bu kapsamda ilk soruşturmad</w:t>
      </w:r>
      <w:r w:rsidR="00AD75A0" w:rsidRPr="00006558">
        <w:t xml:space="preserve">a tespit edilen </w:t>
      </w:r>
      <w:proofErr w:type="gramStart"/>
      <w:r w:rsidR="00AD75A0" w:rsidRPr="00006558">
        <w:t>damping</w:t>
      </w:r>
      <w:proofErr w:type="gramEnd"/>
      <w:r w:rsidR="00AD75A0" w:rsidRPr="00006558">
        <w:t xml:space="preserve"> marjlarının; CIF değerin,</w:t>
      </w:r>
      <w:r w:rsidR="006C1B3C" w:rsidRPr="00006558">
        <w:t xml:space="preserve"> </w:t>
      </w:r>
      <w:r w:rsidR="00000FA3" w:rsidRPr="00006558">
        <w:t xml:space="preserve">Brezilya için </w:t>
      </w:r>
      <w:r w:rsidR="00AD75A0" w:rsidRPr="00006558">
        <w:rPr>
          <w:bCs/>
        </w:rPr>
        <w:t>%57,4’ü (</w:t>
      </w:r>
      <w:proofErr w:type="spellStart"/>
      <w:r w:rsidR="00AD75A0" w:rsidRPr="00006558">
        <w:rPr>
          <w:bCs/>
        </w:rPr>
        <w:t>Tupy</w:t>
      </w:r>
      <w:proofErr w:type="spellEnd"/>
      <w:r w:rsidR="00AD75A0" w:rsidRPr="00006558">
        <w:rPr>
          <w:bCs/>
        </w:rPr>
        <w:t>), Bulgaristan için %95,91’i</w:t>
      </w:r>
      <w:r w:rsidR="00EA3997" w:rsidRPr="00006558">
        <w:rPr>
          <w:bCs/>
        </w:rPr>
        <w:t>, ÇHC için %158’i (</w:t>
      </w:r>
      <w:proofErr w:type="spellStart"/>
      <w:r w:rsidR="00EA3997" w:rsidRPr="00006558">
        <w:rPr>
          <w:bCs/>
        </w:rPr>
        <w:t>Jinan</w:t>
      </w:r>
      <w:proofErr w:type="spellEnd"/>
      <w:r w:rsidR="00EA3997" w:rsidRPr="00006558">
        <w:rPr>
          <w:bCs/>
        </w:rPr>
        <w:t xml:space="preserve">) ve %192’si (diğerleri), Endonezya için %25,08’i (PT. TRI Sinar </w:t>
      </w:r>
      <w:proofErr w:type="spellStart"/>
      <w:r w:rsidR="00EA3997" w:rsidRPr="00006558">
        <w:rPr>
          <w:bCs/>
        </w:rPr>
        <w:t>Purnama</w:t>
      </w:r>
      <w:proofErr w:type="spellEnd"/>
      <w:r w:rsidR="00EA3997" w:rsidRPr="00006558">
        <w:rPr>
          <w:bCs/>
        </w:rPr>
        <w:t xml:space="preserve"> </w:t>
      </w:r>
      <w:proofErr w:type="spellStart"/>
      <w:r w:rsidR="00EA3997" w:rsidRPr="00006558">
        <w:rPr>
          <w:bCs/>
        </w:rPr>
        <w:t>Foundry</w:t>
      </w:r>
      <w:proofErr w:type="spellEnd"/>
      <w:r w:rsidR="00EA3997" w:rsidRPr="00006558">
        <w:rPr>
          <w:bCs/>
        </w:rPr>
        <w:t>) ve %156’sı (diğerleri), Hindistan için %22,93’ü (</w:t>
      </w:r>
      <w:proofErr w:type="spellStart"/>
      <w:r w:rsidR="00EA3997" w:rsidRPr="00006558">
        <w:rPr>
          <w:bCs/>
        </w:rPr>
        <w:t>Jainsons</w:t>
      </w:r>
      <w:proofErr w:type="spellEnd"/>
      <w:r w:rsidR="00EA3997" w:rsidRPr="00006558">
        <w:rPr>
          <w:bCs/>
        </w:rPr>
        <w:t xml:space="preserve"> </w:t>
      </w:r>
      <w:proofErr w:type="spellStart"/>
      <w:r w:rsidR="00EA3997" w:rsidRPr="00006558">
        <w:rPr>
          <w:bCs/>
        </w:rPr>
        <w:t>Industries</w:t>
      </w:r>
      <w:proofErr w:type="spellEnd"/>
      <w:r w:rsidR="00EA3997" w:rsidRPr="00006558">
        <w:rPr>
          <w:bCs/>
        </w:rPr>
        <w:t xml:space="preserve"> </w:t>
      </w:r>
      <w:proofErr w:type="spellStart"/>
      <w:r w:rsidR="00EA3997" w:rsidRPr="00006558">
        <w:rPr>
          <w:bCs/>
        </w:rPr>
        <w:t>Regd</w:t>
      </w:r>
      <w:proofErr w:type="spellEnd"/>
      <w:r w:rsidR="00EA3997" w:rsidRPr="00006558">
        <w:rPr>
          <w:bCs/>
        </w:rPr>
        <w:t xml:space="preserve">.) ve %183’ü (diğerleri) ve Tayland için %10,21’i (BIS </w:t>
      </w:r>
      <w:proofErr w:type="spellStart"/>
      <w:r w:rsidR="00EA3997" w:rsidRPr="00006558">
        <w:rPr>
          <w:bCs/>
        </w:rPr>
        <w:t>Pipe</w:t>
      </w:r>
      <w:proofErr w:type="spellEnd"/>
      <w:r w:rsidR="00EA3997" w:rsidRPr="00006558">
        <w:rPr>
          <w:bCs/>
        </w:rPr>
        <w:t xml:space="preserve"> </w:t>
      </w:r>
      <w:proofErr w:type="spellStart"/>
      <w:r w:rsidR="00EA3997" w:rsidRPr="00006558">
        <w:rPr>
          <w:bCs/>
        </w:rPr>
        <w:t>Fitting</w:t>
      </w:r>
      <w:proofErr w:type="spellEnd"/>
      <w:r w:rsidR="00EA3997" w:rsidRPr="00006558">
        <w:rPr>
          <w:bCs/>
        </w:rPr>
        <w:t xml:space="preserve"> </w:t>
      </w:r>
      <w:proofErr w:type="spellStart"/>
      <w:r w:rsidR="00EA3997" w:rsidRPr="00006558">
        <w:rPr>
          <w:bCs/>
        </w:rPr>
        <w:t>Industry</w:t>
      </w:r>
      <w:proofErr w:type="spellEnd"/>
      <w:r w:rsidR="00EA3997" w:rsidRPr="00006558">
        <w:rPr>
          <w:bCs/>
        </w:rPr>
        <w:t xml:space="preserve"> </w:t>
      </w:r>
      <w:proofErr w:type="spellStart"/>
      <w:r w:rsidR="00EA3997" w:rsidRPr="00006558">
        <w:rPr>
          <w:bCs/>
        </w:rPr>
        <w:t>Company</w:t>
      </w:r>
      <w:proofErr w:type="spellEnd"/>
      <w:r w:rsidR="00EA3997" w:rsidRPr="00006558">
        <w:rPr>
          <w:bCs/>
        </w:rPr>
        <w:t xml:space="preserve"> Ltd.) ve %110’u </w:t>
      </w:r>
      <w:r w:rsidR="00000FA3" w:rsidRPr="00006558">
        <w:t xml:space="preserve">(diğerleri) </w:t>
      </w:r>
      <w:r w:rsidR="00EA3997" w:rsidRPr="00006558">
        <w:t>oranında</w:t>
      </w:r>
      <w:r w:rsidR="00EA2EB6" w:rsidRPr="00006558">
        <w:t xml:space="preserve"> olduğu </w:t>
      </w:r>
      <w:r w:rsidRPr="00006558">
        <w:t>göz önünde bulundurulduğunda s</w:t>
      </w:r>
      <w:r w:rsidR="00000FA3" w:rsidRPr="00006558">
        <w:t xml:space="preserve">öz konusu </w:t>
      </w:r>
      <w:proofErr w:type="gramStart"/>
      <w:r w:rsidR="00000FA3" w:rsidRPr="00006558">
        <w:t>damping</w:t>
      </w:r>
      <w:proofErr w:type="gramEnd"/>
      <w:r w:rsidR="00000FA3" w:rsidRPr="00006558">
        <w:t xml:space="preserve"> marjı seviyeleri</w:t>
      </w:r>
      <w:r w:rsidRPr="00006558">
        <w:t>nin meri önlemin mevcut olmadığı piyasa koşullarında üretici/ihracatçı firmaların dampinge konu fiyatlarla soruşturma konusu ürünü Türkiye</w:t>
      </w:r>
      <w:r w:rsidR="002861CC" w:rsidRPr="00006558">
        <w:t>’ye</w:t>
      </w:r>
      <w:r w:rsidRPr="00006558">
        <w:t xml:space="preserve"> ihraç etme eğilimini göstermesi bakımından önem arz ettiği düşünülmektedir. </w:t>
      </w:r>
    </w:p>
    <w:p w:rsidR="00B367A9" w:rsidRPr="00006558" w:rsidRDefault="00B367A9" w:rsidP="00B367A9">
      <w:pPr>
        <w:ind w:firstLine="708"/>
        <w:jc w:val="both"/>
      </w:pPr>
    </w:p>
    <w:p w:rsidR="00450BC6" w:rsidRPr="00006558" w:rsidRDefault="00B367A9" w:rsidP="006D669C">
      <w:pPr>
        <w:pStyle w:val="ListeParagraf"/>
        <w:numPr>
          <w:ilvl w:val="0"/>
          <w:numId w:val="2"/>
        </w:numPr>
        <w:ind w:left="0" w:firstLine="0"/>
        <w:jc w:val="both"/>
      </w:pPr>
      <w:r w:rsidRPr="00006558">
        <w:t xml:space="preserve">Değerlendirme kapsamında, </w:t>
      </w:r>
      <w:r w:rsidR="00000FA3" w:rsidRPr="00006558">
        <w:t>önleme tabi ülkelerin</w:t>
      </w:r>
      <w:r w:rsidRPr="00006558">
        <w:t xml:space="preserve"> soruşturma k</w:t>
      </w:r>
      <w:bookmarkStart w:id="0" w:name="_GoBack"/>
      <w:bookmarkEnd w:id="0"/>
      <w:r w:rsidRPr="00006558">
        <w:t xml:space="preserve">onusu üründe ihracat kabiliyeti değerlendirilmiştir. Bu amaca yönelik olarak Uluslararası Ticaret Merkezi </w:t>
      </w:r>
      <w:r w:rsidR="00B33D6D" w:rsidRPr="00006558">
        <w:t xml:space="preserve">(ITC) </w:t>
      </w:r>
      <w:r w:rsidRPr="00006558">
        <w:t xml:space="preserve">verileri dikkate alınmıştır. </w:t>
      </w:r>
      <w:r w:rsidR="00BA17B4" w:rsidRPr="00006558">
        <w:t xml:space="preserve">Önlem konusu ürünün dünya ihracat pazarının, </w:t>
      </w:r>
      <w:r w:rsidR="00450BC6" w:rsidRPr="00006558">
        <w:t xml:space="preserve">2014 yılında 2,1 milyar ABD Doları, 2015 yılında ise 2 milyar ABD Doları seviyesinde gerçekleştiği kaydedilmiştir. 2016 yılı dünya ihracat pazar değeri ise 1,8 milyar ABD Doları’dır. Dünya ihracat pazarından ülkelerin aldıkları paylar incelendiğinde, </w:t>
      </w:r>
      <w:proofErr w:type="spellStart"/>
      <w:r w:rsidR="00450BC6" w:rsidRPr="00006558">
        <w:t>ÇHC’nin</w:t>
      </w:r>
      <w:proofErr w:type="spellEnd"/>
      <w:r w:rsidR="00450BC6" w:rsidRPr="00006558">
        <w:t xml:space="preserve"> dünya ihracat pazarından en fazla payı aldığı görülmektedir. Bu kapsamda, </w:t>
      </w:r>
      <w:proofErr w:type="spellStart"/>
      <w:r w:rsidR="00450BC6" w:rsidRPr="00006558">
        <w:t>ÇHC’nin</w:t>
      </w:r>
      <w:proofErr w:type="spellEnd"/>
      <w:r w:rsidR="00450BC6" w:rsidRPr="00006558">
        <w:t xml:space="preserve"> önlem konusu üründe 2014 yılında yaklaşık 627 milyon ABD Doları olan ihracatının 2015 yılında 596 milyon ABD Doları olarak gerçekleştiği tespit edilmiştir. 2014 yılında %29 olan </w:t>
      </w:r>
      <w:proofErr w:type="spellStart"/>
      <w:r w:rsidR="00450BC6" w:rsidRPr="00006558">
        <w:t>ÇHC’nin</w:t>
      </w:r>
      <w:proofErr w:type="spellEnd"/>
      <w:r w:rsidR="00450BC6" w:rsidRPr="00006558">
        <w:t xml:space="preserve"> payının 2015 yılında %31’e yükseldiği kaydedilmiştir.2015 yılı istatistiklerine göre, </w:t>
      </w:r>
      <w:proofErr w:type="spellStart"/>
      <w:r w:rsidR="00450BC6" w:rsidRPr="00006558">
        <w:t>ÇHC’den</w:t>
      </w:r>
      <w:proofErr w:type="spellEnd"/>
      <w:r w:rsidR="00450BC6" w:rsidRPr="00006558">
        <w:t xml:space="preserve"> sonra dünya ihracatından en fazla pay alan diğer 3 ülke ise ABD, Almanya ve İtalya’dır. Türkiye ise önlem konusu üründe 2014-2016 döneminde sırasıyla gerçekleştirdiği yaklaşık 20 milyon ABD Doları, 14,3 milyon ABD Doları ve 10,5 milyon ABD Doları ihracat ile dünya ihracat sıralamasında 27 </w:t>
      </w:r>
      <w:proofErr w:type="spellStart"/>
      <w:r w:rsidR="00450BC6" w:rsidRPr="00006558">
        <w:t>nci</w:t>
      </w:r>
      <w:proofErr w:type="spellEnd"/>
      <w:r w:rsidR="00450BC6" w:rsidRPr="00006558">
        <w:t xml:space="preserve"> sırada yer almaktadır.</w:t>
      </w:r>
    </w:p>
    <w:p w:rsidR="00BA17B4" w:rsidRPr="00006558" w:rsidRDefault="00BA17B4" w:rsidP="00450BC6">
      <w:pPr>
        <w:pStyle w:val="GvdeMetniGirintisi3"/>
        <w:ind w:left="0" w:firstLine="0"/>
      </w:pPr>
    </w:p>
    <w:p w:rsidR="00450BC6" w:rsidRPr="00006558" w:rsidRDefault="00450BC6" w:rsidP="006D669C">
      <w:pPr>
        <w:pStyle w:val="GvdeMetniGirintisi3"/>
        <w:numPr>
          <w:ilvl w:val="0"/>
          <w:numId w:val="2"/>
        </w:numPr>
        <w:ind w:left="0" w:firstLine="0"/>
      </w:pPr>
      <w:r w:rsidRPr="00006558">
        <w:t xml:space="preserve">ITC istatistiklerinde ülkelerin 2014-2016 dönemi ihracat miktarları incelendiğinde, </w:t>
      </w:r>
      <w:proofErr w:type="spellStart"/>
      <w:r w:rsidRPr="00006558">
        <w:t>ÇHC’nin</w:t>
      </w:r>
      <w:proofErr w:type="spellEnd"/>
      <w:r w:rsidRPr="00006558">
        <w:t xml:space="preserve"> ihracat miktarlarının bu piyasada yer alan diğer tüm önemli ihracatçı ülkelerin ihracat miktarlarının oldukça üzerinde seyrettiği görülmektedir. Buna göre, </w:t>
      </w:r>
      <w:proofErr w:type="spellStart"/>
      <w:r w:rsidRPr="00006558">
        <w:t>ÇHC’nin</w:t>
      </w:r>
      <w:proofErr w:type="spellEnd"/>
      <w:r w:rsidRPr="00006558">
        <w:t xml:space="preserve"> 2014 yılındaki ihracat miktarı 268.929 Ton iken ABD, Almanya ve İtalya’nın ihracat miktarları sırasıyla 30.763 Ton, 19.532 Ton ve 10.803 Ton olarak tespit edilmiştir. 2016 yılında ise </w:t>
      </w:r>
      <w:proofErr w:type="spellStart"/>
      <w:r w:rsidRPr="00006558">
        <w:t>ÇHC’nin</w:t>
      </w:r>
      <w:proofErr w:type="spellEnd"/>
      <w:r w:rsidRPr="00006558">
        <w:t xml:space="preserve"> ihracat miktarı 267.168 Ton iken ABD, Almanya ve İtalya’nın ihracat miktarları sırasıyla 26.352 Ton, 19.314 Ton ve 11.949 Ton olarak gerçekleşmiştir.</w:t>
      </w:r>
    </w:p>
    <w:p w:rsidR="00450BC6" w:rsidRPr="00006558" w:rsidRDefault="00450BC6" w:rsidP="00450BC6">
      <w:pPr>
        <w:pStyle w:val="GvdeMetniGirintisi3"/>
        <w:ind w:left="0" w:firstLine="0"/>
      </w:pPr>
    </w:p>
    <w:p w:rsidR="00450BC6" w:rsidRPr="00006558" w:rsidRDefault="00450BC6" w:rsidP="006D669C">
      <w:pPr>
        <w:pStyle w:val="GvdeMetniGirintisi3"/>
        <w:numPr>
          <w:ilvl w:val="0"/>
          <w:numId w:val="2"/>
        </w:numPr>
        <w:ind w:left="0" w:firstLine="0"/>
      </w:pPr>
      <w:r w:rsidRPr="00006558">
        <w:t>ITC verilerine göre 2014 ve 2015 yıllarında soruşturma konusu ülkelerin önlem konusu üründe dünya ihracat pazarından aldıkları toplam pay %40 olarak gerçekleşmiştir. Buna göre, soruşturma konusu ülkelerin 2014 yılında yaklaşık 880 milyon ABD Doları olan toplam ihracatları, 2015 yılında 771 milyon ABD Doları olarak gerçekleşmiştir. İhracat miktar verileri incelendiğinde ise, soruşturma konusu ülkelerden gerçekleşen toplam ihracat miktarı 2014 yılında 317.465 Ton iken, 2015 yılında 308.575 Ton olarak gerçekleşmiştir. 2016 yılında ise soruşturma konusu ülkelerin önlem konusu üründe dünya ihracat pazarından aldıkları toplam pay %40 olarak gerçekleşmiştir. Buna göre, soruşturma konusu ülkelerin toplam ihracatları 2016 yılında 718 milyon ABD Doları ve 316.673 Ton olarak gerçekleşmiştir.</w:t>
      </w:r>
    </w:p>
    <w:p w:rsidR="00450BC6" w:rsidRPr="00006558" w:rsidRDefault="00450BC6" w:rsidP="00450BC6">
      <w:pPr>
        <w:pStyle w:val="GvdeMetniGirintisi3"/>
        <w:ind w:left="720" w:firstLine="0"/>
      </w:pPr>
    </w:p>
    <w:p w:rsidR="00450BC6" w:rsidRPr="00006558" w:rsidRDefault="00450BC6" w:rsidP="00450BC6">
      <w:pPr>
        <w:pStyle w:val="GvdeMetniGirintisi3"/>
        <w:ind w:left="0" w:firstLine="0"/>
      </w:pPr>
      <w:r w:rsidRPr="00006558">
        <w:t xml:space="preserve">(5) ITC istatistiklerine göre, soruşturma konusu ülkelerden gerçekleşen ihracat verileri incelendiğinde, 2014-2016 döneminde söz konusu toplam altı ülkeden gerçekleşen ihracat FOB birim fiyatının dünya ortalama FOB ihraç birim fiyatının altında seyrettiği kaydedilmiştir. 2014 yılında dünya ortalama ihracat fiyatı 4.117 ABD Doları/Ton iken, bu ülkelerden </w:t>
      </w:r>
      <w:proofErr w:type="gramStart"/>
      <w:r w:rsidRPr="00006558">
        <w:t>gerçekleşen  ortalama</w:t>
      </w:r>
      <w:proofErr w:type="gramEnd"/>
      <w:r w:rsidRPr="00006558">
        <w:t xml:space="preserve"> FOB ihraç birim fiyatı 2.769 ABD Doları/Ton olarak kaydedilmiştir. 2016 yılında ise</w:t>
      </w:r>
    </w:p>
    <w:p w:rsidR="00450BC6" w:rsidRPr="00006558" w:rsidRDefault="00450BC6" w:rsidP="00450BC6">
      <w:pPr>
        <w:pStyle w:val="GvdeMetniGirintisi3"/>
        <w:ind w:left="0" w:firstLine="0"/>
      </w:pPr>
      <w:proofErr w:type="gramStart"/>
      <w:r w:rsidRPr="00006558">
        <w:lastRenderedPageBreak/>
        <w:t>dünya</w:t>
      </w:r>
      <w:proofErr w:type="gramEnd"/>
      <w:r w:rsidRPr="00006558">
        <w:t xml:space="preserve"> ortalama ihracat fiyatı 3.510 ABD Doları/Ton iken, soruşturma konusu toplam altı ülkeden gerçekleşen ortalama FOB ihraç birim fiyatı 2.268 ABD Doları/Ton olarak gerçekleşmiştir. Bu ülkelerden 2014-2016 döneminde Türkiye’ye gerçekleşen toplam ihracatın ortalama birim fiyatının, söz konusu ülkelerden dünyaya gerçekleştirilen ihracat birim fiyatından daha düşük olduğu gözlenmiştir. Buna göre, 2014 yılında soruşturma konusu ülkelerin dünyaya gerçekleştirdiği ortalama ihraç birim fiyatı 2.769 ABD Doları/Ton iken Türkiye’ye ihracatın birim fiyatı 2.042 ABD Doları/Ton olarak tespit edilmiştir. 2016 yılında ise soruşturma konusu ülkelerin dünyaya gerçekleştirdiği toplam ihracatın birim fiyatı 2.268 ABD Doları/Ton iken Türkiye’ye ihracatın birim fiyatı 1.814 ABD Doları/Ton olarak gerçekleşmiştir.</w:t>
      </w:r>
    </w:p>
    <w:p w:rsidR="00450BC6" w:rsidRPr="00006558" w:rsidRDefault="00450BC6" w:rsidP="00450BC6">
      <w:pPr>
        <w:pStyle w:val="GvdeMetniGirintisi3"/>
        <w:ind w:left="720" w:firstLine="0"/>
      </w:pPr>
    </w:p>
    <w:p w:rsidR="00450BC6" w:rsidRPr="00006558" w:rsidRDefault="00450BC6" w:rsidP="00450BC6">
      <w:pPr>
        <w:pStyle w:val="GvdeMetniGirintisi3"/>
        <w:ind w:left="0" w:firstLine="0"/>
      </w:pPr>
      <w:r w:rsidRPr="00006558">
        <w:t>(6) Bazı ihracatçı firmalar, söz konusu ITC istatistiklerinde soruşturma konusu üründe dünyadaki önemli ihracatçı ülkeler arasında yer aldığı görülen Avusturya ve İtalya’da soruşturma konusu ürün imalatının bulunmadığını; bu kapsamda ITC verilerinin soruşturma konusu ürün gerçekleriyle örtüşmediğini ifade etmiştir. Önlem konusu ülkeler arasında Avusturya ve İtalya yer almamakta olup; söz konusu hususun ITC verilerinin ihracat temelli olmasından kaynaklandığı değerlendirilmiştir. Bu çerçevede, herhangi bir uyumsuzluk bulunmamaktadır.</w:t>
      </w:r>
    </w:p>
    <w:p w:rsidR="00450BC6" w:rsidRPr="00006558" w:rsidRDefault="00450BC6" w:rsidP="00B367A9">
      <w:pPr>
        <w:jc w:val="both"/>
      </w:pPr>
    </w:p>
    <w:p w:rsidR="00B367A9" w:rsidRPr="00006558" w:rsidRDefault="00B367A9" w:rsidP="00B367A9">
      <w:pPr>
        <w:jc w:val="both"/>
      </w:pPr>
      <w:r w:rsidRPr="00006558">
        <w:t>(</w:t>
      </w:r>
      <w:r w:rsidR="00450BC6" w:rsidRPr="00006558">
        <w:t>7</w:t>
      </w:r>
      <w:r w:rsidRPr="00006558">
        <w:t xml:space="preserve">) Söz konusu bilgi ve tespitler birlikte değerlendirildiğinde meri önlemin yürürlükten kaldırılması halinde </w:t>
      </w:r>
      <w:proofErr w:type="gramStart"/>
      <w:r w:rsidRPr="00006558">
        <w:t>dampingli</w:t>
      </w:r>
      <w:proofErr w:type="gramEnd"/>
      <w:r w:rsidRPr="00006558">
        <w:t xml:space="preserve"> ithalatın devam etmesinin veya yeniden ortaya çıkmasının muhtemel olduğuna kanaat getirilmesine yetecek nesnel ve kanıtlanabilir verilerin mev</w:t>
      </w:r>
      <w:r w:rsidR="00361FF5" w:rsidRPr="00006558">
        <w:t>cut olduğu değerlendirilmiştir.</w:t>
      </w:r>
    </w:p>
    <w:p w:rsidR="00B20C66" w:rsidRPr="00006558" w:rsidRDefault="00B20C66" w:rsidP="00B367A9">
      <w:pPr>
        <w:jc w:val="both"/>
      </w:pPr>
    </w:p>
    <w:p w:rsidR="008E4B08" w:rsidRPr="00006558" w:rsidRDefault="009A1355" w:rsidP="00361FF5">
      <w:pPr>
        <w:jc w:val="both"/>
        <w:rPr>
          <w:b/>
          <w:caps/>
        </w:rPr>
      </w:pPr>
      <w:r w:rsidRPr="00006558">
        <w:rPr>
          <w:b/>
          <w:caps/>
        </w:rPr>
        <w:t>4</w:t>
      </w:r>
      <w:r w:rsidR="008E4B08" w:rsidRPr="00006558">
        <w:rPr>
          <w:b/>
          <w:caps/>
        </w:rPr>
        <w:t>. ZAR</w:t>
      </w:r>
      <w:r w:rsidR="000D216F" w:rsidRPr="00006558">
        <w:rPr>
          <w:b/>
          <w:caps/>
        </w:rPr>
        <w:t>ARA İlişkin Belirlemeler- ZARARIN</w:t>
      </w:r>
      <w:r w:rsidR="008E4B08" w:rsidRPr="00006558">
        <w:rPr>
          <w:b/>
          <w:caps/>
        </w:rPr>
        <w:t xml:space="preserve"> Devamı ve Yeniden Meydana Gelmesi İhtimali</w:t>
      </w:r>
    </w:p>
    <w:p w:rsidR="00164FF4" w:rsidRPr="00006558" w:rsidRDefault="00164FF4" w:rsidP="00164FF4">
      <w:pPr>
        <w:jc w:val="both"/>
      </w:pPr>
    </w:p>
    <w:p w:rsidR="008E4B08" w:rsidRPr="00006558" w:rsidRDefault="009A1355" w:rsidP="005056F1">
      <w:pPr>
        <w:jc w:val="both"/>
        <w:rPr>
          <w:b/>
        </w:rPr>
      </w:pPr>
      <w:r w:rsidRPr="00006558">
        <w:rPr>
          <w:b/>
        </w:rPr>
        <w:t>4</w:t>
      </w:r>
      <w:r w:rsidR="008E4B08" w:rsidRPr="00006558">
        <w:rPr>
          <w:b/>
        </w:rPr>
        <w:t xml:space="preserve">.1 </w:t>
      </w:r>
      <w:r w:rsidR="00B367A9" w:rsidRPr="00006558">
        <w:rPr>
          <w:b/>
        </w:rPr>
        <w:t xml:space="preserve">İthalatın hacmi ve gelişimi </w:t>
      </w:r>
    </w:p>
    <w:p w:rsidR="00B367A9" w:rsidRPr="00006558" w:rsidRDefault="00164FF4" w:rsidP="00B367A9">
      <w:pPr>
        <w:jc w:val="both"/>
      </w:pPr>
      <w:r w:rsidRPr="00006558">
        <w:t>(1)</w:t>
      </w:r>
      <w:r w:rsidR="003F4461" w:rsidRPr="00006558">
        <w:t xml:space="preserve"> Yönetmelik’in 17 </w:t>
      </w:r>
      <w:proofErr w:type="spellStart"/>
      <w:r w:rsidR="00B367A9" w:rsidRPr="00006558">
        <w:t>nci</w:t>
      </w:r>
      <w:proofErr w:type="spellEnd"/>
      <w:r w:rsidR="00B367A9" w:rsidRPr="00006558">
        <w:t xml:space="preserve"> maddesi çerçe</w:t>
      </w:r>
      <w:r w:rsidR="002861CC" w:rsidRPr="00006558">
        <w:t>vesinde, soruşturma konusu ülke</w:t>
      </w:r>
      <w:r w:rsidR="006679CB" w:rsidRPr="00006558">
        <w:t>ler</w:t>
      </w:r>
      <w:r w:rsidR="00B367A9" w:rsidRPr="00006558">
        <w:t xml:space="preserve"> menşeli ithalatın hacminde mutlak anlamda ya da Türkiye tüketimine oranla önemli ölçüde artış olup olmadığı incelenmiştir. Zarar in</w:t>
      </w:r>
      <w:r w:rsidR="002526F8" w:rsidRPr="00006558">
        <w:t>celemesine esas dönem 1/</w:t>
      </w:r>
      <w:r w:rsidR="00FB0B62" w:rsidRPr="00006558">
        <w:t>1/2014</w:t>
      </w:r>
      <w:r w:rsidR="00B367A9" w:rsidRPr="00006558">
        <w:t>-31/12/201</w:t>
      </w:r>
      <w:r w:rsidR="00FB0B62" w:rsidRPr="00006558">
        <w:t>6</w:t>
      </w:r>
      <w:r w:rsidR="00EA2EB6" w:rsidRPr="00006558">
        <w:t xml:space="preserve"> </w:t>
      </w:r>
      <w:r w:rsidR="00B367A9" w:rsidRPr="00006558">
        <w:t xml:space="preserve">dönemi olarak belirlenmiştir. </w:t>
      </w:r>
      <w:r w:rsidR="006C06A6" w:rsidRPr="00006558">
        <w:t xml:space="preserve">Soruşturma konusu ürünün genel ithalatı ve soruşturmaya konu ülkelerden yapılan ithalatın incelemesinde Türkiye İstatistik Kurumu (TÜİK) verileri kullanılmıştır. </w:t>
      </w:r>
    </w:p>
    <w:p w:rsidR="008E4B08" w:rsidRPr="00006558" w:rsidRDefault="008E4B08" w:rsidP="008E4B08">
      <w:pPr>
        <w:jc w:val="both"/>
        <w:rPr>
          <w:b/>
        </w:rPr>
      </w:pPr>
    </w:p>
    <w:p w:rsidR="00944349" w:rsidRPr="00006558" w:rsidRDefault="009A1355" w:rsidP="00944349">
      <w:pPr>
        <w:jc w:val="both"/>
        <w:rPr>
          <w:b/>
        </w:rPr>
      </w:pPr>
      <w:r w:rsidRPr="00006558">
        <w:rPr>
          <w:b/>
        </w:rPr>
        <w:t>4</w:t>
      </w:r>
      <w:r w:rsidR="008E4B08" w:rsidRPr="00006558">
        <w:rPr>
          <w:b/>
        </w:rPr>
        <w:t xml:space="preserve">.2 </w:t>
      </w:r>
      <w:r w:rsidR="00164FF4" w:rsidRPr="00006558">
        <w:rPr>
          <w:b/>
        </w:rPr>
        <w:t>Ürünün genel ithalatı ve ithalatın fiyatları</w:t>
      </w:r>
    </w:p>
    <w:p w:rsidR="00E05BBC" w:rsidRPr="00006558" w:rsidRDefault="00164FF4" w:rsidP="008E4B08">
      <w:pPr>
        <w:jc w:val="both"/>
      </w:pPr>
      <w:r w:rsidRPr="00006558">
        <w:t xml:space="preserve">(1) </w:t>
      </w:r>
      <w:r w:rsidR="00E05BBC" w:rsidRPr="00006558">
        <w:rPr>
          <w:bCs/>
          <w:noProof/>
        </w:rPr>
        <w:t>Önlem konusu ürünün 2014-2016 döneminde tüm ülkelerden gerçekleşen ithalat rakamları incelendiğinde 2014 yılında 8.505 Ton olan ithalatın, 2015 yılında yükselerek 10.185 Ton seviyesine geldiği, 2016 yılında ise 10.532 Ton olarak gerçekleştiği görülmektedir.</w:t>
      </w:r>
      <w:r w:rsidR="00DE4EB6" w:rsidRPr="00006558">
        <w:rPr>
          <w:bCs/>
          <w:noProof/>
        </w:rPr>
        <w:t xml:space="preserve"> Genel ithalatın birim fiyatı</w:t>
      </w:r>
      <w:r w:rsidR="00E05BBC" w:rsidRPr="00006558">
        <w:rPr>
          <w:bCs/>
          <w:noProof/>
        </w:rPr>
        <w:t xml:space="preserve"> ise 2014-2016 döneminde sırasıyla </w:t>
      </w:r>
      <w:r w:rsidR="00051791" w:rsidRPr="0069086D">
        <w:rPr>
          <w:bCs/>
          <w:noProof/>
        </w:rPr>
        <w:t>4.248 ABD Doları/Ton, 4.217 ABD Doları/Ton ve 4.125 ABD Doları/Ton</w:t>
      </w:r>
      <w:r w:rsidR="00E05BBC" w:rsidRPr="00006558">
        <w:rPr>
          <w:bCs/>
          <w:noProof/>
        </w:rPr>
        <w:t xml:space="preserve"> olmuştur.</w:t>
      </w:r>
    </w:p>
    <w:p w:rsidR="00E05BBC" w:rsidRPr="00006558" w:rsidRDefault="00E05BBC" w:rsidP="008E4B08">
      <w:pPr>
        <w:jc w:val="both"/>
      </w:pPr>
    </w:p>
    <w:p w:rsidR="008E4B08" w:rsidRPr="00006558" w:rsidRDefault="009A1355" w:rsidP="003C6689">
      <w:pPr>
        <w:jc w:val="both"/>
        <w:rPr>
          <w:b/>
        </w:rPr>
      </w:pPr>
      <w:r w:rsidRPr="00006558">
        <w:rPr>
          <w:b/>
        </w:rPr>
        <w:t>4.</w:t>
      </w:r>
      <w:r w:rsidR="008E4B08" w:rsidRPr="00006558">
        <w:rPr>
          <w:b/>
        </w:rPr>
        <w:t xml:space="preserve">3 </w:t>
      </w:r>
      <w:r w:rsidR="00164FF4" w:rsidRPr="00006558">
        <w:rPr>
          <w:b/>
        </w:rPr>
        <w:t>Ürünün önlem konusu ülke</w:t>
      </w:r>
      <w:r w:rsidR="00D70AE3" w:rsidRPr="00006558">
        <w:rPr>
          <w:b/>
        </w:rPr>
        <w:t>ler</w:t>
      </w:r>
      <w:r w:rsidR="00164FF4" w:rsidRPr="00006558">
        <w:rPr>
          <w:b/>
        </w:rPr>
        <w:t>den ithalatı ve ithalatın fiyatları</w:t>
      </w:r>
    </w:p>
    <w:p w:rsidR="00143B15" w:rsidRPr="00006558" w:rsidRDefault="00164FF4" w:rsidP="00143B15">
      <w:pPr>
        <w:jc w:val="both"/>
        <w:rPr>
          <w:bCs/>
          <w:noProof/>
        </w:rPr>
      </w:pPr>
      <w:r w:rsidRPr="00006558">
        <w:t xml:space="preserve">(1) </w:t>
      </w:r>
      <w:r w:rsidR="00143B15" w:rsidRPr="00006558">
        <w:rPr>
          <w:bCs/>
          <w:noProof/>
        </w:rPr>
        <w:t>Önlem konusu ürünün 2014-2016 döneminde Brezilya’dan gerçekleşen ithalat rakamları incelendiğinde 2014 yılında 0.02 Ton olan ithalatın, 2015 yılında 0.01 Ton seviyesine gerilediği, 2016 yılında ise 0.81 Ton olarak gerçekleştiği görülmektedir. Brezil</w:t>
      </w:r>
      <w:r w:rsidR="00AF00DD" w:rsidRPr="00006558">
        <w:rPr>
          <w:bCs/>
          <w:noProof/>
        </w:rPr>
        <w:t>ya’dan ithalatın birim fiyatı</w:t>
      </w:r>
      <w:r w:rsidR="00143B15" w:rsidRPr="00006558">
        <w:rPr>
          <w:bCs/>
          <w:noProof/>
        </w:rPr>
        <w:t xml:space="preserve"> ise 2014-2016 döneminde sırasıyla </w:t>
      </w:r>
      <w:r w:rsidR="00CC2DB3" w:rsidRPr="0069086D">
        <w:rPr>
          <w:bCs/>
          <w:noProof/>
        </w:rPr>
        <w:t>38.294 ABD Doları/Ton, 46.454 ABD Doları/Ton ve 6.444 ABD Doları/Ton</w:t>
      </w:r>
      <w:r w:rsidR="00143B15" w:rsidRPr="00006558">
        <w:rPr>
          <w:bCs/>
          <w:noProof/>
        </w:rPr>
        <w:t xml:space="preserve"> olarak </w:t>
      </w:r>
      <w:r w:rsidR="00AF00DD" w:rsidRPr="00006558">
        <w:rPr>
          <w:bCs/>
          <w:noProof/>
        </w:rPr>
        <w:t>gerçekleşmiştir.</w:t>
      </w:r>
    </w:p>
    <w:p w:rsidR="00143B15" w:rsidRPr="00006558" w:rsidRDefault="00143B15" w:rsidP="00143B15">
      <w:pPr>
        <w:ind w:firstLine="567"/>
        <w:jc w:val="both"/>
        <w:rPr>
          <w:bCs/>
          <w:noProof/>
        </w:rPr>
      </w:pPr>
      <w:r w:rsidRPr="00006558">
        <w:rPr>
          <w:bCs/>
          <w:noProof/>
        </w:rPr>
        <w:t xml:space="preserve"> </w:t>
      </w:r>
    </w:p>
    <w:p w:rsidR="00AF00DD" w:rsidRPr="00006558" w:rsidRDefault="00143B15" w:rsidP="00AF00DD">
      <w:pPr>
        <w:spacing w:after="240"/>
        <w:jc w:val="both"/>
        <w:rPr>
          <w:bCs/>
          <w:noProof/>
        </w:rPr>
      </w:pPr>
      <w:r w:rsidRPr="00006558">
        <w:rPr>
          <w:bCs/>
          <w:noProof/>
        </w:rPr>
        <w:t xml:space="preserve">(2) Önlem konusu ürünün 2014-2016 döneminde Bulgaristan’dan gerçekleşen ithalat rakamları incelendiğinde 2014 yılında 441 Ton olan ithalatın, 2015 yılında 317 Ton seviyesine gerilediği, 2016 yılında ise 298 Ton olarak gerçekleştiği görülmektedir. Bulgaristan’dan ithalatın birim </w:t>
      </w:r>
      <w:r w:rsidR="00AF00DD" w:rsidRPr="00006558">
        <w:rPr>
          <w:bCs/>
          <w:noProof/>
        </w:rPr>
        <w:lastRenderedPageBreak/>
        <w:t>fiyatı</w:t>
      </w:r>
      <w:r w:rsidRPr="00006558">
        <w:rPr>
          <w:bCs/>
          <w:noProof/>
        </w:rPr>
        <w:t xml:space="preserve"> ise 2014-2016 döneminde sırasıyla </w:t>
      </w:r>
      <w:r w:rsidR="0025723E" w:rsidRPr="0069086D">
        <w:rPr>
          <w:bCs/>
          <w:noProof/>
        </w:rPr>
        <w:t>3.686 ABD Doları/Ton, 3.668 ABD Doları/Ton ve 3.673 ABD Doları/Ton</w:t>
      </w:r>
      <w:r w:rsidRPr="00006558">
        <w:rPr>
          <w:bCs/>
          <w:noProof/>
        </w:rPr>
        <w:t xml:space="preserve"> olarak </w:t>
      </w:r>
      <w:r w:rsidR="00AF00DD" w:rsidRPr="00006558">
        <w:t>gerçekleşmiştir.</w:t>
      </w:r>
    </w:p>
    <w:p w:rsidR="00143B15" w:rsidRPr="00006558" w:rsidRDefault="00143B15" w:rsidP="00AF00DD">
      <w:pPr>
        <w:spacing w:after="240"/>
        <w:jc w:val="both"/>
        <w:rPr>
          <w:bCs/>
          <w:noProof/>
        </w:rPr>
      </w:pPr>
      <w:r w:rsidRPr="00006558">
        <w:t xml:space="preserve">(3) Önlem konusu ürünün 2014-2016 döneminde </w:t>
      </w:r>
      <w:proofErr w:type="spellStart"/>
      <w:r w:rsidRPr="00006558">
        <w:t>ÇHC’den</w:t>
      </w:r>
      <w:proofErr w:type="spellEnd"/>
      <w:r w:rsidRPr="00006558">
        <w:t xml:space="preserve"> gerçekleşen ithalat rakamları incelendiğinde 2014 yılında 3.756 Ton olan ithalatın, 2015 yılında 4.609 Ton seviyesine geldiği, 2016 yılında ise 4.036 Ton olarak gerçekleştiği görülmektedir. </w:t>
      </w:r>
      <w:proofErr w:type="spellStart"/>
      <w:r w:rsidRPr="00006558">
        <w:t>Ç</w:t>
      </w:r>
      <w:r w:rsidR="00AF00DD" w:rsidRPr="00006558">
        <w:t>HC’den</w:t>
      </w:r>
      <w:proofErr w:type="spellEnd"/>
      <w:r w:rsidR="00AF00DD" w:rsidRPr="00006558">
        <w:t xml:space="preserve"> ithalatın birim fiyatı</w:t>
      </w:r>
      <w:r w:rsidRPr="00006558">
        <w:t xml:space="preserve"> ise 2014-2016 döneminde sırasıyla </w:t>
      </w:r>
      <w:r w:rsidR="0047764E" w:rsidRPr="0069086D">
        <w:t>4.185 ABD Doları/Ton, 4.165 ABD Doları/Ton ve 4.195 ABD Doları/Ton</w:t>
      </w:r>
      <w:r w:rsidR="0047764E" w:rsidRPr="00006558">
        <w:t xml:space="preserve"> </w:t>
      </w:r>
      <w:r w:rsidRPr="00006558">
        <w:t xml:space="preserve">olarak </w:t>
      </w:r>
      <w:r w:rsidR="00AF00DD" w:rsidRPr="00006558">
        <w:t>gerçekleşmiştir.</w:t>
      </w:r>
    </w:p>
    <w:p w:rsidR="00143B15" w:rsidRPr="00006558" w:rsidRDefault="00143B15" w:rsidP="00143B15">
      <w:pPr>
        <w:jc w:val="both"/>
      </w:pPr>
      <w:r w:rsidRPr="00006558">
        <w:t>(4) Önlem konusu ürünün 2014-2016 döneminde Endonezya’dan gerçekleşen ithalat rakamları incelendiğinde 2014 yılında 511 Ton olan ithalatın, 2015 yılında 305 Ton seviyesine gerilediği, 2016 yılında ise 502 Ton olarak gerçekleştiği görülmektedir. Endone</w:t>
      </w:r>
      <w:r w:rsidR="00AF00DD" w:rsidRPr="00006558">
        <w:t>zya’dan ithalatın birim fiyatı</w:t>
      </w:r>
      <w:r w:rsidRPr="00006558">
        <w:t xml:space="preserve"> ise 2014-2016 döneminde sırasıyla </w:t>
      </w:r>
      <w:r w:rsidR="00B44821" w:rsidRPr="0069086D">
        <w:t>3.766 ABD Doları/Ton, 3.809 ABD Doları/Ton ve 3.680 ABD Doları/Ton</w:t>
      </w:r>
      <w:r w:rsidRPr="00006558">
        <w:t xml:space="preserve"> olarak </w:t>
      </w:r>
      <w:r w:rsidR="00AF00DD" w:rsidRPr="00006558">
        <w:t>gerçekleşmiştir.</w:t>
      </w:r>
    </w:p>
    <w:p w:rsidR="00143B15" w:rsidRPr="00006558" w:rsidRDefault="00143B15" w:rsidP="00143B15"/>
    <w:p w:rsidR="00143B15" w:rsidRPr="00006558" w:rsidRDefault="00143B15" w:rsidP="00143B15">
      <w:pPr>
        <w:jc w:val="both"/>
      </w:pPr>
      <w:r w:rsidRPr="00006558">
        <w:t>(5) Önlem konusu ürünün 2014-2016 döneminde Hindistan’dan gerçekleşen ithalat rakamları incelendiğinde 2014 yılında 428 Ton olan ithalatın, 2015 yılında 529 Ton seviyesine geldiği, 2016 yılında ise 297 Ton olarak gerçekleştiği görülmektedir. Hindist</w:t>
      </w:r>
      <w:r w:rsidR="00AF00DD" w:rsidRPr="00006558">
        <w:t>an’dan ithalatın birim fiyatı</w:t>
      </w:r>
      <w:r w:rsidRPr="00006558">
        <w:t xml:space="preserve"> ise 2014-2016 döneminde sırasıyla </w:t>
      </w:r>
      <w:r w:rsidR="005652E8" w:rsidRPr="0069086D">
        <w:t>4.043 ABD Doları/Ton, 3.941 ABD Doları/Ton ve 4.019 ABD Doları/Ton</w:t>
      </w:r>
      <w:r w:rsidR="005652E8" w:rsidRPr="00006558">
        <w:t xml:space="preserve"> </w:t>
      </w:r>
      <w:r w:rsidRPr="00006558">
        <w:t xml:space="preserve">olarak </w:t>
      </w:r>
      <w:r w:rsidR="00AF00DD" w:rsidRPr="00006558">
        <w:t>gerçekleşmiştir.</w:t>
      </w:r>
    </w:p>
    <w:p w:rsidR="00143B15" w:rsidRPr="00006558" w:rsidRDefault="00143B15" w:rsidP="00143B15">
      <w:pPr>
        <w:ind w:firstLine="567"/>
        <w:jc w:val="both"/>
      </w:pPr>
    </w:p>
    <w:p w:rsidR="00143B15" w:rsidRPr="00006558" w:rsidRDefault="00143B15" w:rsidP="00143B15">
      <w:pPr>
        <w:jc w:val="both"/>
      </w:pPr>
      <w:r w:rsidRPr="00006558">
        <w:t>(6) Önlem konusu ürünün 2014-2016 döneminde Tayland’dan gerçekleşen ithalat rakamları incelendiğinde 2014 yılında 64 Ton olan ithalatın, 2015 yılında 310 Ton seviyesine yükseldiği, 2016 yılında ise 374 Ton olarak gerçekleştiği görülmektedir. Tayl</w:t>
      </w:r>
      <w:r w:rsidR="00AF00DD" w:rsidRPr="00006558">
        <w:t>and’dan ithalatın birim fiyatı</w:t>
      </w:r>
      <w:r w:rsidRPr="00006558">
        <w:t xml:space="preserve"> ise 2014-2016 döneminde sırasıyla </w:t>
      </w:r>
      <w:r w:rsidR="00A15701" w:rsidRPr="0069086D">
        <w:t>3.806 ABD Doları/Ton, 3.639 ABD Doları/Ton ve 3.636 ABD Doları/Ton</w:t>
      </w:r>
      <w:r w:rsidRPr="00006558">
        <w:t xml:space="preserve"> olarak </w:t>
      </w:r>
      <w:r w:rsidR="00AF00DD" w:rsidRPr="00006558">
        <w:t>gerçekleşmiştir.</w:t>
      </w:r>
    </w:p>
    <w:p w:rsidR="00143B15" w:rsidRPr="00006558" w:rsidRDefault="00143B15" w:rsidP="00143B15">
      <w:pPr>
        <w:ind w:firstLine="567"/>
        <w:jc w:val="both"/>
      </w:pPr>
    </w:p>
    <w:p w:rsidR="00143B15" w:rsidRPr="00006558" w:rsidRDefault="00143B15" w:rsidP="00143B15">
      <w:pPr>
        <w:jc w:val="both"/>
      </w:pPr>
      <w:r w:rsidRPr="00006558">
        <w:t>(7) 2014-2016 döneminde tüm önlem konusu ülkelerden gerçekleşen ithalat rakamları incelendiğinde 2014 yılında 5.200 Ton olan ithalatın, 2015 yılında yükselerek 6.071 Ton seviyesine geldiği, 2016 yılında ise 5.508 Ton olarak gerçekleştiği görülmektedir. Önleme tabi ülkelerden toplam ithalatın bir</w:t>
      </w:r>
      <w:r w:rsidR="00AF00DD" w:rsidRPr="00006558">
        <w:t>im fiyatı</w:t>
      </w:r>
      <w:r w:rsidRPr="00006558">
        <w:t xml:space="preserve"> ise 2014-2016 döneminde sırasıyla </w:t>
      </w:r>
      <w:r w:rsidR="00A15701" w:rsidRPr="0069086D">
        <w:t>4.086 ABD Doları/Ton, 4.075 ABD Doları/Ton ve 4.072 ABD Doları/Ton</w:t>
      </w:r>
      <w:r w:rsidR="00A15701" w:rsidRPr="00006558">
        <w:t xml:space="preserve"> </w:t>
      </w:r>
      <w:r w:rsidRPr="00006558">
        <w:t xml:space="preserve">olarak </w:t>
      </w:r>
      <w:r w:rsidR="00AF00DD" w:rsidRPr="00006558">
        <w:t>gerçekleşmiştir.</w:t>
      </w:r>
    </w:p>
    <w:p w:rsidR="00B20C66" w:rsidRPr="00006558" w:rsidRDefault="00B20C66" w:rsidP="008E4B08">
      <w:pPr>
        <w:jc w:val="both"/>
        <w:rPr>
          <w:b/>
        </w:rPr>
      </w:pPr>
    </w:p>
    <w:p w:rsidR="00164FF4" w:rsidRPr="00006558" w:rsidRDefault="009A1355" w:rsidP="008E4B08">
      <w:pPr>
        <w:jc w:val="both"/>
        <w:rPr>
          <w:b/>
        </w:rPr>
      </w:pPr>
      <w:r w:rsidRPr="00006558">
        <w:rPr>
          <w:b/>
        </w:rPr>
        <w:t>4</w:t>
      </w:r>
      <w:r w:rsidR="008E4B08" w:rsidRPr="00006558">
        <w:rPr>
          <w:b/>
        </w:rPr>
        <w:t xml:space="preserve">.4 </w:t>
      </w:r>
      <w:r w:rsidR="00164FF4" w:rsidRPr="00006558">
        <w:rPr>
          <w:b/>
        </w:rPr>
        <w:t>Ürünün üçüncü ülkelerden ithalatı ve ithalatın fiyatları</w:t>
      </w:r>
    </w:p>
    <w:p w:rsidR="001126BA" w:rsidRPr="00006558" w:rsidRDefault="00FB2010" w:rsidP="001126BA">
      <w:pPr>
        <w:spacing w:after="240"/>
        <w:jc w:val="both"/>
        <w:rPr>
          <w:bCs/>
          <w:noProof/>
        </w:rPr>
      </w:pPr>
      <w:r w:rsidRPr="00006558">
        <w:t xml:space="preserve">(1) </w:t>
      </w:r>
      <w:r w:rsidR="001126BA" w:rsidRPr="00006558">
        <w:rPr>
          <w:bCs/>
          <w:noProof/>
        </w:rPr>
        <w:t xml:space="preserve">Önlem konusu ürünün 2014-2016 döneminde üçüncü ülkelerden gerçekleşen ithalat rakamları incelendiğinde 2014 yılında 3.305 Ton olan ithalatın, 2015 yılında yükselerek 4.114 Ton seviyesine geldiği, 2016 yılında ise 5.024 Ton olarak gerçekleştiği görülmektedir. Üçüncü ülkelerden toplam ithalatın birim fiyatı ise 2014-2016 döneminde sırasıyla </w:t>
      </w:r>
      <w:r w:rsidR="00D658B0" w:rsidRPr="0069086D">
        <w:rPr>
          <w:noProof/>
          <w:lang w:val="nb-NO"/>
        </w:rPr>
        <w:t>4.503 ABD Doları/Ton, 4.427 ABD Doları/Ton ve 4.182 ABD Doları/Ton</w:t>
      </w:r>
      <w:r w:rsidR="001126BA" w:rsidRPr="00006558">
        <w:rPr>
          <w:bCs/>
          <w:noProof/>
        </w:rPr>
        <w:t xml:space="preserve"> olarak gerçekleşmiştir.</w:t>
      </w:r>
    </w:p>
    <w:p w:rsidR="001126BA" w:rsidRPr="00006558" w:rsidRDefault="001126BA" w:rsidP="001126BA">
      <w:pPr>
        <w:spacing w:after="240"/>
        <w:jc w:val="both"/>
      </w:pPr>
      <w:r w:rsidRPr="00006558">
        <w:rPr>
          <w:bCs/>
          <w:noProof/>
        </w:rPr>
        <w:t xml:space="preserve">(2) </w:t>
      </w:r>
      <w:r w:rsidRPr="00006558">
        <w:rPr>
          <w:noProof/>
          <w:lang w:val="nb-NO"/>
        </w:rPr>
        <w:t>Bazı firmalar tarafından; yerli üretim dalının, soruşturma konusu ülkelerden gerçekleştirilen ithalata yönelik olarak dampinge karşı önlem alınmasını yerli üretim dalını tekel konumuna getirmek için istedikleri; ayrıca, yerli üreticinin önlem konusu üründe Türkiye pazarındaki talebi tam olarak karşılayamaması nedeniyle ithalatın zorunlu olarak gerçekleştirildiği ifade edilmiştir. Ancak, dampinge karşı önlemin ithalat yasağı niteliği taşımaması, ayrıca halihazırda ürünün üçüncü ülkeler de dahil olmak üzere ithalatının yapıldığı ve yapılabileceği pek çok ülkenin bulunması bu iddiaları mesnetsiz bırakmaktadır.</w:t>
      </w:r>
    </w:p>
    <w:p w:rsidR="00A76298" w:rsidRPr="00006558" w:rsidRDefault="009A1355" w:rsidP="00A76298">
      <w:pPr>
        <w:jc w:val="both"/>
        <w:rPr>
          <w:b/>
        </w:rPr>
      </w:pPr>
      <w:r w:rsidRPr="00006558">
        <w:rPr>
          <w:b/>
        </w:rPr>
        <w:t>4</w:t>
      </w:r>
      <w:r w:rsidR="008E4B08" w:rsidRPr="00006558">
        <w:rPr>
          <w:b/>
        </w:rPr>
        <w:t xml:space="preserve">.5 </w:t>
      </w:r>
      <w:r w:rsidR="00164FF4" w:rsidRPr="00006558">
        <w:rPr>
          <w:b/>
        </w:rPr>
        <w:t>Türkiye toplam benzer mal tüketimi ve pazar payları</w:t>
      </w:r>
    </w:p>
    <w:p w:rsidR="009A1355" w:rsidRPr="00006558" w:rsidRDefault="009A1355" w:rsidP="00A76298">
      <w:pPr>
        <w:jc w:val="both"/>
        <w:rPr>
          <w:b/>
        </w:rPr>
      </w:pPr>
      <w:r w:rsidRPr="00006558">
        <w:t xml:space="preserve">(1) </w:t>
      </w:r>
      <w:r w:rsidRPr="00006558">
        <w:rPr>
          <w:bCs/>
        </w:rPr>
        <w:t xml:space="preserve">Türkiye toplam benzer mal tüketiminin hesaplanmasında </w:t>
      </w:r>
      <w:r w:rsidR="003516B3" w:rsidRPr="00006558">
        <w:rPr>
          <w:bCs/>
        </w:rPr>
        <w:t>başvuru sahibi yerli üreticinin</w:t>
      </w:r>
      <w:r w:rsidRPr="00006558">
        <w:rPr>
          <w:bCs/>
        </w:rPr>
        <w:t xml:space="preserve"> yurt içi satışları genel ithalat miktarı ile toplanmıştır. Yerli üretim dalının yurtiçi satışlarının ve soruşturma konus</w:t>
      </w:r>
      <w:r w:rsidR="003516B3" w:rsidRPr="00006558">
        <w:rPr>
          <w:bCs/>
        </w:rPr>
        <w:t>u ülke</w:t>
      </w:r>
      <w:r w:rsidRPr="00006558">
        <w:rPr>
          <w:bCs/>
        </w:rPr>
        <w:t>den gerçekleştirilen ithalatın toplam tüketime oranlanmasıyla pazar payları hesaplanmıştır.</w:t>
      </w:r>
    </w:p>
    <w:p w:rsidR="008E3E75" w:rsidRPr="00006558" w:rsidRDefault="008E3E75" w:rsidP="003C6689">
      <w:pPr>
        <w:jc w:val="both"/>
        <w:rPr>
          <w:b/>
        </w:rPr>
      </w:pPr>
    </w:p>
    <w:p w:rsidR="00CD04CF" w:rsidRPr="00006558" w:rsidRDefault="009A1355" w:rsidP="009A1355">
      <w:pPr>
        <w:pStyle w:val="GvdeMetni2"/>
        <w:spacing w:line="240" w:lineRule="auto"/>
        <w:jc w:val="both"/>
        <w:rPr>
          <w:bCs/>
          <w:lang w:val="tr-TR"/>
        </w:rPr>
      </w:pPr>
      <w:r w:rsidRPr="00006558">
        <w:rPr>
          <w:bCs/>
        </w:rPr>
        <w:t>(2) Bu çerçevede</w:t>
      </w:r>
      <w:r w:rsidR="006D7400" w:rsidRPr="00006558">
        <w:rPr>
          <w:bCs/>
        </w:rPr>
        <w:t xml:space="preserve">, </w:t>
      </w:r>
      <w:r w:rsidRPr="00006558">
        <w:rPr>
          <w:bCs/>
        </w:rPr>
        <w:t>Türkiye toplam tüketiminin 201</w:t>
      </w:r>
      <w:r w:rsidR="00CD04CF" w:rsidRPr="00006558">
        <w:rPr>
          <w:bCs/>
          <w:lang w:val="tr-TR"/>
        </w:rPr>
        <w:t>4</w:t>
      </w:r>
      <w:r w:rsidRPr="00006558">
        <w:rPr>
          <w:bCs/>
        </w:rPr>
        <w:t xml:space="preserve"> yılında 100 iken</w:t>
      </w:r>
      <w:r w:rsidRPr="00006558">
        <w:rPr>
          <w:bCs/>
          <w:lang w:val="tr-TR"/>
        </w:rPr>
        <w:t xml:space="preserve">, </w:t>
      </w:r>
      <w:r w:rsidR="00E30C99" w:rsidRPr="00006558">
        <w:rPr>
          <w:bCs/>
          <w:lang w:val="tr-TR"/>
        </w:rPr>
        <w:t>201</w:t>
      </w:r>
      <w:r w:rsidR="00CD04CF" w:rsidRPr="00006558">
        <w:rPr>
          <w:bCs/>
          <w:lang w:val="tr-TR"/>
        </w:rPr>
        <w:t>5</w:t>
      </w:r>
      <w:r w:rsidR="00E30C99" w:rsidRPr="00006558">
        <w:rPr>
          <w:bCs/>
          <w:lang w:val="tr-TR"/>
        </w:rPr>
        <w:t xml:space="preserve"> yılında </w:t>
      </w:r>
      <w:r w:rsidR="00C13745" w:rsidRPr="00006558">
        <w:rPr>
          <w:bCs/>
          <w:lang w:val="tr-TR"/>
        </w:rPr>
        <w:t>126</w:t>
      </w:r>
      <w:r w:rsidR="00E30C99" w:rsidRPr="00006558">
        <w:rPr>
          <w:bCs/>
          <w:lang w:val="tr-TR"/>
        </w:rPr>
        <w:t xml:space="preserve">, </w:t>
      </w:r>
      <w:r w:rsidR="00CD04CF" w:rsidRPr="00006558">
        <w:rPr>
          <w:bCs/>
        </w:rPr>
        <w:t>2016</w:t>
      </w:r>
      <w:r w:rsidRPr="00006558">
        <w:rPr>
          <w:bCs/>
        </w:rPr>
        <w:t xml:space="preserve"> yılında </w:t>
      </w:r>
      <w:r w:rsidR="00C13745" w:rsidRPr="00006558">
        <w:rPr>
          <w:bCs/>
          <w:lang w:val="tr-TR"/>
        </w:rPr>
        <w:t>131</w:t>
      </w:r>
      <w:r w:rsidR="00E30C99" w:rsidRPr="00006558">
        <w:rPr>
          <w:bCs/>
          <w:lang w:val="tr-TR"/>
        </w:rPr>
        <w:t xml:space="preserve"> </w:t>
      </w:r>
      <w:r w:rsidRPr="00006558">
        <w:rPr>
          <w:bCs/>
        </w:rPr>
        <w:t xml:space="preserve">seviyesine ulaştığı tespit edilmiştir. </w:t>
      </w:r>
      <w:r w:rsidR="00E30C99" w:rsidRPr="00006558">
        <w:rPr>
          <w:bCs/>
          <w:lang w:val="tr-TR"/>
        </w:rPr>
        <w:t xml:space="preserve">Yürürlükteki önlemin de etkisiyle; </w:t>
      </w:r>
      <w:r w:rsidR="00E30C99" w:rsidRPr="00006558">
        <w:rPr>
          <w:bCs/>
        </w:rPr>
        <w:t>y</w:t>
      </w:r>
      <w:r w:rsidRPr="00006558">
        <w:rPr>
          <w:bCs/>
        </w:rPr>
        <w:t xml:space="preserve">erli üretim dalının </w:t>
      </w:r>
      <w:r w:rsidR="00E30C99" w:rsidRPr="00006558">
        <w:rPr>
          <w:bCs/>
          <w:lang w:val="tr-TR"/>
        </w:rPr>
        <w:t>201</w:t>
      </w:r>
      <w:r w:rsidR="00CD04CF" w:rsidRPr="00006558">
        <w:rPr>
          <w:bCs/>
          <w:lang w:val="tr-TR"/>
        </w:rPr>
        <w:t>4</w:t>
      </w:r>
      <w:r w:rsidR="00E30C99" w:rsidRPr="00006558">
        <w:rPr>
          <w:bCs/>
          <w:lang w:val="tr-TR"/>
        </w:rPr>
        <w:t xml:space="preserve"> yılında 1</w:t>
      </w:r>
      <w:r w:rsidR="00CD04CF" w:rsidRPr="00006558">
        <w:rPr>
          <w:bCs/>
          <w:lang w:val="tr-TR"/>
        </w:rPr>
        <w:t xml:space="preserve">00 birim olan pazar payını 2015 </w:t>
      </w:r>
      <w:r w:rsidR="00E30C99" w:rsidRPr="00006558">
        <w:rPr>
          <w:bCs/>
          <w:lang w:val="tr-TR"/>
        </w:rPr>
        <w:t>ve 201</w:t>
      </w:r>
      <w:r w:rsidR="00CD04CF" w:rsidRPr="00006558">
        <w:rPr>
          <w:bCs/>
          <w:lang w:val="tr-TR"/>
        </w:rPr>
        <w:t>6</w:t>
      </w:r>
      <w:r w:rsidR="00E30C99" w:rsidRPr="00006558">
        <w:rPr>
          <w:bCs/>
          <w:lang w:val="tr-TR"/>
        </w:rPr>
        <w:t xml:space="preserve"> yıllarında sırasıyla </w:t>
      </w:r>
      <w:r w:rsidR="00C13745" w:rsidRPr="00006558">
        <w:rPr>
          <w:bCs/>
          <w:lang w:val="tr-TR"/>
        </w:rPr>
        <w:t>107</w:t>
      </w:r>
      <w:r w:rsidR="00E30C99" w:rsidRPr="00006558">
        <w:rPr>
          <w:bCs/>
          <w:lang w:val="tr-TR"/>
        </w:rPr>
        <w:t xml:space="preserve"> ve </w:t>
      </w:r>
      <w:r w:rsidR="00C13745" w:rsidRPr="00006558">
        <w:rPr>
          <w:bCs/>
          <w:lang w:val="tr-TR"/>
        </w:rPr>
        <w:t>108</w:t>
      </w:r>
      <w:r w:rsidR="00E30C99" w:rsidRPr="00006558">
        <w:rPr>
          <w:bCs/>
          <w:lang w:val="tr-TR"/>
        </w:rPr>
        <w:t xml:space="preserve"> birim seviyesine yükselttiği görülmüştür. </w:t>
      </w:r>
    </w:p>
    <w:p w:rsidR="00CD04CF" w:rsidRPr="00006558" w:rsidRDefault="00784CA0" w:rsidP="00784CA0">
      <w:pPr>
        <w:spacing w:after="240"/>
        <w:jc w:val="both"/>
        <w:rPr>
          <w:noProof/>
        </w:rPr>
      </w:pPr>
      <w:r w:rsidRPr="00006558">
        <w:rPr>
          <w:noProof/>
        </w:rPr>
        <w:t xml:space="preserve">(3) </w:t>
      </w:r>
      <w:r w:rsidR="00CD04CF" w:rsidRPr="00006558">
        <w:rPr>
          <w:noProof/>
        </w:rPr>
        <w:t xml:space="preserve">Brezilya’nın 2014 yılında 100 olan pazar payı endeksi, 2015 ve 2016 yıllarında sırasıyla </w:t>
      </w:r>
      <w:r w:rsidR="00C13745" w:rsidRPr="00006558">
        <w:rPr>
          <w:noProof/>
        </w:rPr>
        <w:t xml:space="preserve">51 </w:t>
      </w:r>
      <w:r w:rsidRPr="00006558">
        <w:rPr>
          <w:noProof/>
        </w:rPr>
        <w:t xml:space="preserve">ve </w:t>
      </w:r>
      <w:r w:rsidR="00C13745" w:rsidRPr="00006558">
        <w:rPr>
          <w:noProof/>
        </w:rPr>
        <w:t>3.621</w:t>
      </w:r>
      <w:r w:rsidRPr="00006558">
        <w:rPr>
          <w:noProof/>
        </w:rPr>
        <w:t xml:space="preserve"> </w:t>
      </w:r>
      <w:r w:rsidR="00CD04CF" w:rsidRPr="00006558">
        <w:rPr>
          <w:noProof/>
        </w:rPr>
        <w:t>olarak gerçekleşmiştir.</w:t>
      </w:r>
    </w:p>
    <w:p w:rsidR="00CD04CF" w:rsidRPr="00006558" w:rsidRDefault="00CD04CF" w:rsidP="00784CA0">
      <w:pPr>
        <w:spacing w:after="240"/>
        <w:jc w:val="both"/>
        <w:rPr>
          <w:noProof/>
        </w:rPr>
      </w:pPr>
      <w:r w:rsidRPr="00006558">
        <w:rPr>
          <w:noProof/>
        </w:rPr>
        <w:t xml:space="preserve">(4) Bulgaristan’ın 2014 yılında 100 olan pazar payı endeksi, 2015 ve 2016 yıllarında sırasıyla </w:t>
      </w:r>
      <w:r w:rsidR="00C13745" w:rsidRPr="00006558">
        <w:rPr>
          <w:noProof/>
        </w:rPr>
        <w:t xml:space="preserve">57 </w:t>
      </w:r>
      <w:r w:rsidRPr="00006558">
        <w:rPr>
          <w:noProof/>
        </w:rPr>
        <w:t xml:space="preserve">ve </w:t>
      </w:r>
      <w:r w:rsidR="00C13745" w:rsidRPr="00006558">
        <w:rPr>
          <w:noProof/>
        </w:rPr>
        <w:t>51</w:t>
      </w:r>
      <w:r w:rsidRPr="00006558">
        <w:rPr>
          <w:noProof/>
        </w:rPr>
        <w:t xml:space="preserve"> olarak gerçekleşmiştir.</w:t>
      </w:r>
    </w:p>
    <w:p w:rsidR="00CD04CF" w:rsidRPr="00006558" w:rsidRDefault="00CD04CF" w:rsidP="00784CA0">
      <w:pPr>
        <w:spacing w:after="240"/>
        <w:jc w:val="both"/>
        <w:rPr>
          <w:noProof/>
        </w:rPr>
      </w:pPr>
      <w:r w:rsidRPr="00006558">
        <w:rPr>
          <w:noProof/>
        </w:rPr>
        <w:t xml:space="preserve">(5) ÇHC’nin 2014 yılında 100 olan pazar payı endeksi, 2015 ve 2016 yıllarında sırasıyla </w:t>
      </w:r>
      <w:r w:rsidR="00C13745" w:rsidRPr="00006558">
        <w:rPr>
          <w:noProof/>
        </w:rPr>
        <w:t xml:space="preserve">97 </w:t>
      </w:r>
      <w:r w:rsidRPr="00006558">
        <w:rPr>
          <w:noProof/>
        </w:rPr>
        <w:t xml:space="preserve">ve </w:t>
      </w:r>
      <w:r w:rsidR="00C13745" w:rsidRPr="00006558">
        <w:rPr>
          <w:noProof/>
        </w:rPr>
        <w:t>82</w:t>
      </w:r>
      <w:r w:rsidRPr="00006558">
        <w:rPr>
          <w:noProof/>
        </w:rPr>
        <w:t xml:space="preserve"> olarak gerçekleşmiştir.</w:t>
      </w:r>
    </w:p>
    <w:p w:rsidR="00CD04CF" w:rsidRPr="00006558" w:rsidRDefault="00CD04CF" w:rsidP="00784CA0">
      <w:pPr>
        <w:spacing w:after="240"/>
        <w:jc w:val="both"/>
        <w:rPr>
          <w:noProof/>
        </w:rPr>
      </w:pPr>
      <w:r w:rsidRPr="00006558">
        <w:rPr>
          <w:noProof/>
        </w:rPr>
        <w:t xml:space="preserve">(6) Endonezya’nın pazar payı endeksi ise 2014 yılı 100 olarak kabul edildiğinde, 2015 yılında </w:t>
      </w:r>
      <w:r w:rsidR="00C13745" w:rsidRPr="00006558">
        <w:rPr>
          <w:noProof/>
        </w:rPr>
        <w:t>47</w:t>
      </w:r>
      <w:r w:rsidRPr="00006558">
        <w:rPr>
          <w:noProof/>
        </w:rPr>
        <w:t xml:space="preserve"> ve 2016 yılında </w:t>
      </w:r>
      <w:r w:rsidR="00C13745" w:rsidRPr="00006558">
        <w:rPr>
          <w:noProof/>
        </w:rPr>
        <w:t>75</w:t>
      </w:r>
      <w:r w:rsidRPr="00006558">
        <w:rPr>
          <w:noProof/>
        </w:rPr>
        <w:t xml:space="preserve"> olarak gerçekleşmiştir.</w:t>
      </w:r>
    </w:p>
    <w:p w:rsidR="00CD04CF" w:rsidRPr="00006558" w:rsidRDefault="00CD04CF" w:rsidP="00784CA0">
      <w:pPr>
        <w:spacing w:after="240"/>
        <w:jc w:val="both"/>
        <w:rPr>
          <w:noProof/>
        </w:rPr>
      </w:pPr>
      <w:r w:rsidRPr="00006558">
        <w:rPr>
          <w:noProof/>
        </w:rPr>
        <w:t xml:space="preserve">(7) Hindistan’ın pazar payı endeksi ise 2014 yılı 100 olarak kabul edildiğinde, 2015 yılında </w:t>
      </w:r>
      <w:r w:rsidR="00C13745" w:rsidRPr="00006558">
        <w:rPr>
          <w:noProof/>
        </w:rPr>
        <w:t xml:space="preserve">98 </w:t>
      </w:r>
      <w:r w:rsidRPr="00006558">
        <w:rPr>
          <w:noProof/>
        </w:rPr>
        <w:t xml:space="preserve">ve 2016 yılında </w:t>
      </w:r>
      <w:r w:rsidR="00C13745" w:rsidRPr="00006558">
        <w:rPr>
          <w:noProof/>
        </w:rPr>
        <w:t>53</w:t>
      </w:r>
      <w:r w:rsidRPr="00006558">
        <w:rPr>
          <w:noProof/>
        </w:rPr>
        <w:t xml:space="preserve"> olarak gerçekleşmiştir.</w:t>
      </w:r>
    </w:p>
    <w:p w:rsidR="00CD04CF" w:rsidRPr="00006558" w:rsidRDefault="00CD04CF" w:rsidP="00784CA0">
      <w:pPr>
        <w:spacing w:after="240"/>
        <w:jc w:val="both"/>
        <w:rPr>
          <w:noProof/>
        </w:rPr>
      </w:pPr>
      <w:r w:rsidRPr="00006558">
        <w:rPr>
          <w:noProof/>
        </w:rPr>
        <w:t xml:space="preserve">(8) Tayland’ın pazar payı endeksi ise 2014 yılı 100 olarak kabul edildiğinde 2015 ve 2016 yıllarında sırasıyla </w:t>
      </w:r>
      <w:r w:rsidR="00C13745" w:rsidRPr="00006558">
        <w:rPr>
          <w:noProof/>
        </w:rPr>
        <w:t>385</w:t>
      </w:r>
      <w:r w:rsidRPr="00006558">
        <w:rPr>
          <w:noProof/>
        </w:rPr>
        <w:t xml:space="preserve"> ve </w:t>
      </w:r>
      <w:r w:rsidR="00C13745" w:rsidRPr="00006558">
        <w:rPr>
          <w:noProof/>
        </w:rPr>
        <w:t>446</w:t>
      </w:r>
      <w:r w:rsidRPr="00006558">
        <w:rPr>
          <w:noProof/>
        </w:rPr>
        <w:t xml:space="preserve"> olarak gerçekleşmiştir.</w:t>
      </w:r>
    </w:p>
    <w:p w:rsidR="005E18A0" w:rsidRPr="00006558" w:rsidRDefault="009A1355" w:rsidP="008E4B08">
      <w:pPr>
        <w:jc w:val="both"/>
        <w:rPr>
          <w:b/>
        </w:rPr>
      </w:pPr>
      <w:r w:rsidRPr="00006558">
        <w:rPr>
          <w:b/>
        </w:rPr>
        <w:t>4</w:t>
      </w:r>
      <w:r w:rsidR="00E30C99" w:rsidRPr="00006558">
        <w:rPr>
          <w:b/>
        </w:rPr>
        <w:t>.6</w:t>
      </w:r>
      <w:r w:rsidR="008E4B08" w:rsidRPr="00006558">
        <w:rPr>
          <w:b/>
        </w:rPr>
        <w:t xml:space="preserve"> </w:t>
      </w:r>
      <w:r w:rsidR="005E18A0" w:rsidRPr="00006558">
        <w:rPr>
          <w:b/>
        </w:rPr>
        <w:t xml:space="preserve">Fiyat kırılması </w:t>
      </w:r>
    </w:p>
    <w:p w:rsidR="008B5D66" w:rsidRPr="00006558" w:rsidRDefault="005E18A0" w:rsidP="008B5D66">
      <w:pPr>
        <w:jc w:val="both"/>
      </w:pPr>
      <w:r w:rsidRPr="00006558">
        <w:t xml:space="preserve">(1) </w:t>
      </w:r>
      <w:r w:rsidR="008B5D66" w:rsidRPr="00006558">
        <w:t>Fiyat kırılması, soruşturma konusu ürünün Türkiye piyasasında oluşan fiyatlarının yerli üretim dalının yurtiçi satış fiyatlarının ne kadar altında kaldığını göstermektedir. Bu kapsamda, soruşturma konusu ülkelerden gerçekleştirilen ithalatın yerli üretim dalının fiyatlarını ne ölçüde kırdığı incelenmiştir.</w:t>
      </w:r>
    </w:p>
    <w:p w:rsidR="008B5D66" w:rsidRPr="00006558" w:rsidRDefault="008B5D66" w:rsidP="008B5D66">
      <w:pPr>
        <w:jc w:val="both"/>
      </w:pPr>
    </w:p>
    <w:p w:rsidR="008B5D66" w:rsidRPr="00006558" w:rsidRDefault="008B5D66" w:rsidP="008B5D66">
      <w:pPr>
        <w:jc w:val="both"/>
      </w:pPr>
      <w:r w:rsidRPr="00006558">
        <w:t xml:space="preserve">(2) Fiyat kırılması hesaplanırken; CIF ithal fiyatın üzerine, Brezilya, ÇHC, Hindistan ve </w:t>
      </w:r>
      <w:proofErr w:type="gramStart"/>
      <w:r w:rsidRPr="00006558">
        <w:t>Tayland’dan  gerçekleştirilen</w:t>
      </w:r>
      <w:proofErr w:type="gramEnd"/>
      <w:r w:rsidRPr="00006558">
        <w:t xml:space="preserve"> ithalat için %3,7 ve diğer soruşturma konusu iki ülke için %0 gümrük vergisi ile tüm soruşturma konusu ülkeler için makul sayılabilecek bir oran olarak CIF kıymetin %4’ü tutarındaki diğer ithal masrafları eklenerek ürünün Türkiye piyasasına giriş fiyatı bulunmuştur. Dampinge karşı önlemin söz konusu olmadığı bir ortamda fiyatların hangi düzeyde oluşacağına ilişkin değerlendirmeyi mümkün kılmak amacıyla anılan fiyatlara </w:t>
      </w:r>
      <w:proofErr w:type="gramStart"/>
      <w:r w:rsidRPr="00006558">
        <w:t>dampinge</w:t>
      </w:r>
      <w:proofErr w:type="gramEnd"/>
      <w:r w:rsidRPr="00006558">
        <w:t xml:space="preserve"> karşı önlem eklenmemiştir. Bulunan değerler ile başvuru sahibi yerli üreticinin yurtiçi satış fiyatları karşılaştırılmıştır.</w:t>
      </w:r>
    </w:p>
    <w:p w:rsidR="008B5D66" w:rsidRPr="00006558" w:rsidRDefault="008B5D66" w:rsidP="008B5D66">
      <w:pPr>
        <w:ind w:firstLine="567"/>
        <w:jc w:val="both"/>
      </w:pPr>
    </w:p>
    <w:p w:rsidR="008B5D66" w:rsidRPr="00006558" w:rsidRDefault="008B5D66" w:rsidP="008B5D66">
      <w:pPr>
        <w:jc w:val="both"/>
      </w:pPr>
      <w:r w:rsidRPr="00006558">
        <w:t>(3) Fiyat kırılması hesaplanırken, soruşturma konusu ülkeler menşeli ithalatın Türkiye pazarına giriş fiyatları yerli üretim dalının iç piyasa satış fiyatlarıyla karşılaştırılmıştır. Hesaplamalar 2016 yılı için yapılmıştır.</w:t>
      </w:r>
    </w:p>
    <w:p w:rsidR="008B5D66" w:rsidRPr="00006558" w:rsidRDefault="008B5D66" w:rsidP="008B5D66">
      <w:pPr>
        <w:ind w:firstLine="567"/>
        <w:jc w:val="both"/>
      </w:pPr>
    </w:p>
    <w:p w:rsidR="008B5D66" w:rsidRDefault="008B5D66" w:rsidP="008B5D66">
      <w:pPr>
        <w:jc w:val="both"/>
      </w:pPr>
      <w:r w:rsidRPr="00006558">
        <w:t>(4) Bu kapsamda, Brezilya dışındaki soruşturma konusu ülkeler menşeli ithalatın yerli üretim dalının iç piyasa fiyatlarını CIF değerin %X ila %</w:t>
      </w:r>
      <w:proofErr w:type="spellStart"/>
      <w:r w:rsidRPr="00006558">
        <w:t>XX’ına</w:t>
      </w:r>
      <w:proofErr w:type="spellEnd"/>
      <w:r w:rsidRPr="00006558">
        <w:t xml:space="preserve"> tekabül eden değer aralığında kırdığı görülmüştür.</w:t>
      </w:r>
    </w:p>
    <w:p w:rsidR="00DD4946" w:rsidRDefault="00DD4946" w:rsidP="008B5D66">
      <w:pPr>
        <w:jc w:val="both"/>
      </w:pPr>
    </w:p>
    <w:p w:rsidR="00DD4946" w:rsidRPr="00404B65" w:rsidRDefault="00DD4946" w:rsidP="006D669C">
      <w:pPr>
        <w:pStyle w:val="ListeParagraf"/>
        <w:numPr>
          <w:ilvl w:val="0"/>
          <w:numId w:val="2"/>
        </w:numPr>
        <w:ind w:left="0" w:firstLine="0"/>
        <w:jc w:val="both"/>
      </w:pPr>
      <w:r w:rsidRPr="00404B65">
        <w:t>Bazı ihracatçılar tarafından, Nihai Bildirim Raporunda fiyat kırılması hesabının nasıl yapıldığı hususunun açık bir şekilde belirtilmediğinden bahisle fiyat kırılması oranlarının olduğundan yüksek düzeyde gözüktüğü; ayrıca zarar incelemesinde fiyat kırılmasının yanı sıra fiyat baskısı analizinin de yapılmasının gerekli olduğu belirtilmiştir. Nihai Bildirim Raporunda, fiyat kırılması oranlarına ülke bazında ayrı ayrı yer verilmemiş olmakla birlikte; fiyat kırılması hesabında dikkate alınan hususlar belirtilm</w:t>
      </w:r>
      <w:r w:rsidR="00E76DA2">
        <w:t xml:space="preserve">iştir. Bu kapsamda,  </w:t>
      </w:r>
      <w:r w:rsidRPr="00404B65">
        <w:t xml:space="preserve">soruşturma konusu ülkeler menşeli ithalatın yerli üretim dalının iç piyasa fiyatlarını kırıp kırmadığı, kırdığı durumda ise </w:t>
      </w:r>
      <w:r w:rsidRPr="00404B65">
        <w:lastRenderedPageBreak/>
        <w:t xml:space="preserve">hangi değer aralığında kırdığı hususları ifade edilmiştir. Öte taraftan, </w:t>
      </w:r>
      <w:proofErr w:type="spellStart"/>
      <w:r w:rsidRPr="00404B65">
        <w:t>Antidamping</w:t>
      </w:r>
      <w:proofErr w:type="spellEnd"/>
      <w:r w:rsidRPr="00404B65">
        <w:t xml:space="preserve"> Anlaşması ve İthalatta Haksız Rekabetin Önlenmesi Hakkında Yönetmelik hükümleri uyarınca; yürütülen bir nihai gözden geçirme soruşturmasında fiyat kırılması analizine ilave olarak fiyat baskısı analizinin de yapılması zorunluluğu bulunmamaktadır.</w:t>
      </w:r>
    </w:p>
    <w:p w:rsidR="00DD4946" w:rsidRDefault="00DD4946" w:rsidP="00DD4946">
      <w:pPr>
        <w:pStyle w:val="ListeParagraf"/>
        <w:ind w:left="0"/>
        <w:jc w:val="both"/>
      </w:pPr>
    </w:p>
    <w:p w:rsidR="00DD4946" w:rsidRPr="00404B65" w:rsidRDefault="00DD4946" w:rsidP="00DD4946">
      <w:pPr>
        <w:pStyle w:val="ListeParagraf"/>
        <w:ind w:left="0"/>
        <w:jc w:val="both"/>
      </w:pPr>
      <w:r w:rsidRPr="00404B65">
        <w:t xml:space="preserve">(6) Bazı firmalar tarafından fiyat kırılması hesabında, soruşturma konusu ülkeler için </w:t>
      </w:r>
      <w:proofErr w:type="gramStart"/>
      <w:r w:rsidRPr="00404B65">
        <w:t>halihazırda</w:t>
      </w:r>
      <w:proofErr w:type="gramEnd"/>
      <w:r w:rsidRPr="00404B65">
        <w:t xml:space="preserve"> geçerli olan güncel gümrük vergisi oranlarının dikkate alınması gerektiği ifade edilmiştir. Söz</w:t>
      </w:r>
      <w:r>
        <w:t xml:space="preserve"> konusu fiyat kırılması analizinde</w:t>
      </w:r>
      <w:r w:rsidRPr="00404B65">
        <w:t xml:space="preserve">; hesaplamalar soruşturma dönemi olan 2016 yılı için </w:t>
      </w:r>
      <w:r>
        <w:t>yapıldığından, o yılda geçerli gümrük vergisi oranları dikkate alınmıştır.</w:t>
      </w:r>
    </w:p>
    <w:p w:rsidR="00DD4946" w:rsidRPr="00006558" w:rsidRDefault="00DD4946" w:rsidP="00DD4946">
      <w:pPr>
        <w:pStyle w:val="ListeParagraf"/>
        <w:ind w:left="0"/>
        <w:jc w:val="both"/>
      </w:pPr>
    </w:p>
    <w:p w:rsidR="0025290B" w:rsidRPr="00006558" w:rsidRDefault="005E18A0" w:rsidP="008E4B08">
      <w:pPr>
        <w:jc w:val="both"/>
        <w:rPr>
          <w:b/>
        </w:rPr>
      </w:pPr>
      <w:r w:rsidRPr="00006558">
        <w:rPr>
          <w:b/>
        </w:rPr>
        <w:t xml:space="preserve">4.7 </w:t>
      </w:r>
      <w:r w:rsidR="00164FF4" w:rsidRPr="00006558">
        <w:rPr>
          <w:b/>
        </w:rPr>
        <w:t xml:space="preserve">Yerli üretim dalının ekonomik göstergeleri </w:t>
      </w:r>
    </w:p>
    <w:p w:rsidR="00BD3213" w:rsidRPr="00006558" w:rsidRDefault="0025290B" w:rsidP="00BD3213">
      <w:pPr>
        <w:jc w:val="both"/>
        <w:rPr>
          <w:bCs/>
        </w:rPr>
      </w:pPr>
      <w:r w:rsidRPr="00006558">
        <w:t xml:space="preserve">(1) </w:t>
      </w:r>
      <w:r w:rsidR="00DB72BC" w:rsidRPr="00006558">
        <w:rPr>
          <w:bCs/>
        </w:rPr>
        <w:t xml:space="preserve">Yerli üretim dalının ekonomik göstergelerinin değerlendirilmesinde </w:t>
      </w:r>
      <w:r w:rsidR="001305C0" w:rsidRPr="00006558">
        <w:rPr>
          <w:bCs/>
        </w:rPr>
        <w:t>yerli üretim dalı niteliğini haiz</w:t>
      </w:r>
      <w:r w:rsidR="00DB72BC" w:rsidRPr="00006558">
        <w:rPr>
          <w:bCs/>
        </w:rPr>
        <w:t xml:space="preserve"> </w:t>
      </w:r>
      <w:r w:rsidR="004F2FA0" w:rsidRPr="00006558">
        <w:rPr>
          <w:noProof/>
        </w:rPr>
        <w:t>Trakya Döküm</w:t>
      </w:r>
      <w:r w:rsidR="00DB72BC" w:rsidRPr="00006558">
        <w:rPr>
          <w:noProof/>
        </w:rPr>
        <w:t xml:space="preserve"> firmasının</w:t>
      </w:r>
      <w:r w:rsidR="004F2FA0" w:rsidRPr="00006558">
        <w:rPr>
          <w:bCs/>
        </w:rPr>
        <w:t xml:space="preserve"> 2014-2016</w:t>
      </w:r>
      <w:r w:rsidR="00DB72BC" w:rsidRPr="00006558">
        <w:rPr>
          <w:bCs/>
        </w:rPr>
        <w:t xml:space="preserve"> yılları arasındaki verileri </w:t>
      </w:r>
      <w:r w:rsidR="00BD3213" w:rsidRPr="00006558">
        <w:rPr>
          <w:bCs/>
        </w:rPr>
        <w:t xml:space="preserve">esas alınmıştır. </w:t>
      </w:r>
      <w:r w:rsidR="00174CD8" w:rsidRPr="00006558">
        <w:t xml:space="preserve">Yönetmelik’in 17 </w:t>
      </w:r>
      <w:proofErr w:type="spellStart"/>
      <w:r w:rsidR="00BD3213" w:rsidRPr="00006558">
        <w:t>nci</w:t>
      </w:r>
      <w:proofErr w:type="spellEnd"/>
      <w:r w:rsidR="00BD3213" w:rsidRPr="00006558">
        <w:t xml:space="preserve"> maddesi hükümleri çerçevesinde, </w:t>
      </w:r>
      <w:r w:rsidR="00DB72BC" w:rsidRPr="00006558">
        <w:t>soruşturma konusu</w:t>
      </w:r>
      <w:r w:rsidR="00BD3213" w:rsidRPr="00006558">
        <w:t xml:space="preserve"> ithalatın yerli üretim dalının ekonomik göstergeleri üzerindeki etkisinin tespiti amacıyla, zarar dönemi içerisinde yerli üretim dalının üretim, satış, pazar payı, yurtiçi fiyatlar, kapasite, kapasite kullanımı, maliyetler, stoklar, istihdam, verimlilik, nakit akışı, kârlılık, net dönem kârı/zararı </w:t>
      </w:r>
      <w:r w:rsidR="008E3E75" w:rsidRPr="00006558">
        <w:t xml:space="preserve">gibi </w:t>
      </w:r>
      <w:r w:rsidR="00BD3213" w:rsidRPr="00006558">
        <w:t xml:space="preserve">göstergeleri analiz edilmiştir. </w:t>
      </w:r>
    </w:p>
    <w:p w:rsidR="00BD3213" w:rsidRPr="00006558" w:rsidRDefault="00BD3213" w:rsidP="00BD3213">
      <w:pPr>
        <w:jc w:val="both"/>
        <w:outlineLvl w:val="0"/>
      </w:pPr>
    </w:p>
    <w:p w:rsidR="00BD3213" w:rsidRPr="00006558" w:rsidRDefault="00BD3213" w:rsidP="00BD3213">
      <w:pPr>
        <w:jc w:val="both"/>
        <w:outlineLvl w:val="0"/>
      </w:pPr>
      <w:r w:rsidRPr="00006558">
        <w:t xml:space="preserve">(2) Söz konusu dönem için yapılan zarar analizinde eğilimi görebilmek amacıyla TL bazındaki veriler </w:t>
      </w:r>
      <w:r w:rsidR="001D108C" w:rsidRPr="00006558">
        <w:t xml:space="preserve">Türkiye İstatistik Kurumu (TÜİK) </w:t>
      </w:r>
      <w:r w:rsidRPr="00006558">
        <w:t>tarafından hesaplanan yıllık ortalama üretici fiyatları endeksi kullanılarak enflasyondan arındırılm</w:t>
      </w:r>
      <w:r w:rsidR="008E3E75" w:rsidRPr="00006558">
        <w:t>ış, reel hale getirilmiş ve 201</w:t>
      </w:r>
      <w:r w:rsidR="004F2FA0" w:rsidRPr="00006558">
        <w:t>4</w:t>
      </w:r>
      <w:r w:rsidRPr="00006558">
        <w:t xml:space="preserve"> yılı </w:t>
      </w:r>
      <w:proofErr w:type="gramStart"/>
      <w:r w:rsidR="0061586A" w:rsidRPr="00006558">
        <w:t>baz</w:t>
      </w:r>
      <w:proofErr w:type="gramEnd"/>
      <w:r w:rsidRPr="00006558">
        <w:t xml:space="preserve"> alınarak endekslenmiştir.</w:t>
      </w:r>
    </w:p>
    <w:p w:rsidR="009243D3" w:rsidRPr="00006558" w:rsidRDefault="009243D3" w:rsidP="009243D3"/>
    <w:p w:rsidR="004F2FA0" w:rsidRPr="00006558" w:rsidRDefault="004F2FA0" w:rsidP="004F2FA0">
      <w:pPr>
        <w:jc w:val="both"/>
        <w:rPr>
          <w:b/>
        </w:rPr>
      </w:pPr>
      <w:r w:rsidRPr="00006558">
        <w:rPr>
          <w:b/>
        </w:rPr>
        <w:t>a) Üretim, kapasite ve kapasite kullanım oranı (KKO)</w:t>
      </w:r>
    </w:p>
    <w:p w:rsidR="004F2FA0" w:rsidRPr="00006558" w:rsidRDefault="004F2FA0" w:rsidP="004F2FA0">
      <w:pPr>
        <w:spacing w:after="240"/>
        <w:jc w:val="both"/>
      </w:pPr>
      <w:r w:rsidRPr="00006558">
        <w:t xml:space="preserve">(1) Yerli üretim dalının </w:t>
      </w:r>
      <w:r w:rsidR="001C07EE" w:rsidRPr="00006558">
        <w:t>benzer</w:t>
      </w:r>
      <w:r w:rsidRPr="00006558">
        <w:t xml:space="preserve"> üründe 2014 yılında 100 olan üretim miktar endeksi, 2015 yılında </w:t>
      </w:r>
      <w:r w:rsidR="00031B8C" w:rsidRPr="00006558">
        <w:t>102</w:t>
      </w:r>
      <w:r w:rsidRPr="00006558">
        <w:t xml:space="preserve">, 2016 yılında ise </w:t>
      </w:r>
      <w:r w:rsidR="00031B8C" w:rsidRPr="00006558">
        <w:t>112</w:t>
      </w:r>
      <w:r w:rsidRPr="00006558">
        <w:t xml:space="preserve"> olmuştur. </w:t>
      </w:r>
    </w:p>
    <w:p w:rsidR="004F2FA0" w:rsidRPr="00006558" w:rsidRDefault="004F2FA0" w:rsidP="004F2FA0">
      <w:pPr>
        <w:spacing w:after="240"/>
        <w:jc w:val="both"/>
      </w:pPr>
      <w:r w:rsidRPr="00006558">
        <w:t xml:space="preserve">(2) Yerli üretim dalının soruşturma konusu üründe kurulu kapasitesi 2014-2016 döneminde sabit kalırken; KKO endeksi bahse konu dönemde sırasıyla 100, </w:t>
      </w:r>
      <w:r w:rsidR="00031B8C" w:rsidRPr="00006558">
        <w:t>102</w:t>
      </w:r>
      <w:r w:rsidRPr="00006558">
        <w:t xml:space="preserve"> ve </w:t>
      </w:r>
      <w:r w:rsidR="00031B8C" w:rsidRPr="00006558">
        <w:t>112</w:t>
      </w:r>
      <w:r w:rsidRPr="00006558">
        <w:t xml:space="preserve"> olarak tespit edilmiştir.</w:t>
      </w:r>
    </w:p>
    <w:p w:rsidR="004F2FA0" w:rsidRPr="00006558" w:rsidRDefault="004F2FA0" w:rsidP="004F2FA0">
      <w:pPr>
        <w:jc w:val="both"/>
        <w:rPr>
          <w:b/>
        </w:rPr>
      </w:pPr>
      <w:r w:rsidRPr="00006558">
        <w:rPr>
          <w:b/>
        </w:rPr>
        <w:t xml:space="preserve">b) Yurt içi ve yurtdışı satışlar </w:t>
      </w:r>
    </w:p>
    <w:p w:rsidR="004F2FA0" w:rsidRPr="00006558" w:rsidRDefault="004F2FA0" w:rsidP="004F2FA0">
      <w:pPr>
        <w:spacing w:after="240"/>
        <w:jc w:val="both"/>
        <w:rPr>
          <w:b/>
        </w:rPr>
      </w:pPr>
      <w:r w:rsidRPr="00006558">
        <w:t xml:space="preserve">(1) Yerli üretim dalının soruşturma konusu üründe 2014 yılında 100 olan yurt içi satış miktar endeksi, 2015 yılında </w:t>
      </w:r>
      <w:r w:rsidR="006D6FF3" w:rsidRPr="00006558">
        <w:t>136</w:t>
      </w:r>
      <w:r w:rsidRPr="00006558">
        <w:t xml:space="preserve">, 2016 yılında ise </w:t>
      </w:r>
      <w:r w:rsidR="006D6FF3" w:rsidRPr="00006558">
        <w:t>142</w:t>
      </w:r>
      <w:r w:rsidRPr="00006558">
        <w:t xml:space="preserve"> olarak gerçekleşmiştir.</w:t>
      </w:r>
    </w:p>
    <w:p w:rsidR="004F2FA0" w:rsidRPr="00006558" w:rsidRDefault="004F2FA0" w:rsidP="004F2FA0">
      <w:pPr>
        <w:spacing w:after="240"/>
        <w:jc w:val="both"/>
      </w:pPr>
      <w:r w:rsidRPr="00006558">
        <w:t xml:space="preserve">(2) Aynı dönemde, soruşturma konusu ürünün yurt içi satışlarının değeri reel olarak incelendiğinde 2014 yılında 100 olan yurtiçi satış değerinin 2015 yılında </w:t>
      </w:r>
      <w:r w:rsidR="006D6FF3" w:rsidRPr="00006558">
        <w:t>154</w:t>
      </w:r>
      <w:r w:rsidRPr="00006558">
        <w:t xml:space="preserve"> ve 2016 yılında </w:t>
      </w:r>
      <w:r w:rsidR="006D6FF3" w:rsidRPr="00006558">
        <w:t>179</w:t>
      </w:r>
      <w:r w:rsidRPr="00006558">
        <w:t xml:space="preserve"> olarak gerçekleştiği görülmüştür.</w:t>
      </w:r>
    </w:p>
    <w:p w:rsidR="004F2FA0" w:rsidRPr="00006558" w:rsidRDefault="004F2FA0" w:rsidP="004F2FA0">
      <w:pPr>
        <w:spacing w:after="240"/>
        <w:jc w:val="both"/>
      </w:pPr>
      <w:r w:rsidRPr="00006558">
        <w:t xml:space="preserve">(3) Yerli üretim dalının soruşturma konusu üründe yurt dışı satışları ise miktar bazında 2014 yılı 100 olmak üzere 2015 yılında </w:t>
      </w:r>
      <w:r w:rsidR="006D6FF3" w:rsidRPr="00006558">
        <w:t>62</w:t>
      </w:r>
      <w:r w:rsidRPr="00006558">
        <w:t xml:space="preserve">; 2016 yılında ise </w:t>
      </w:r>
      <w:r w:rsidR="006D6FF3" w:rsidRPr="00006558">
        <w:t>0,13</w:t>
      </w:r>
      <w:r w:rsidRPr="00006558">
        <w:t xml:space="preserve"> olarak gerçekleşmiştir. </w:t>
      </w:r>
    </w:p>
    <w:p w:rsidR="004F2FA0" w:rsidRPr="00006558" w:rsidRDefault="004F2FA0" w:rsidP="004F2FA0">
      <w:pPr>
        <w:spacing w:after="240"/>
        <w:jc w:val="both"/>
      </w:pPr>
      <w:r w:rsidRPr="00006558">
        <w:t xml:space="preserve">(4) Soruşturma konusu üründe yurtdışı satışların değer bazında gelişimi incelendiğinde ise 2014 yılında 100 olan değer endeksinin 2015 yılında </w:t>
      </w:r>
      <w:r w:rsidR="006D6FF3" w:rsidRPr="00006558">
        <w:t>60</w:t>
      </w:r>
      <w:r w:rsidRPr="00006558">
        <w:t xml:space="preserve">; 2016 yılında ise </w:t>
      </w:r>
      <w:r w:rsidR="006D6FF3" w:rsidRPr="00006558">
        <w:t>0,15</w:t>
      </w:r>
      <w:r w:rsidRPr="00006558">
        <w:t xml:space="preserve"> seviyesinde gerçekleştiği görülmüştür.</w:t>
      </w:r>
    </w:p>
    <w:p w:rsidR="004F2FA0" w:rsidRDefault="004F2FA0" w:rsidP="004F2FA0">
      <w:pPr>
        <w:spacing w:after="240"/>
        <w:jc w:val="both"/>
      </w:pPr>
      <w:r w:rsidRPr="00006558">
        <w:t xml:space="preserve">(5) Yerli üretim dalının yurt içi birim satış fiyat endeksi </w:t>
      </w:r>
      <w:proofErr w:type="gramStart"/>
      <w:r w:rsidRPr="00006558">
        <w:t>baz</w:t>
      </w:r>
      <w:proofErr w:type="gramEnd"/>
      <w:r w:rsidRPr="00006558">
        <w:t xml:space="preserve"> yılda 100 iken 2015 yılında </w:t>
      </w:r>
      <w:r w:rsidR="006D6FF3" w:rsidRPr="00006558">
        <w:t>114</w:t>
      </w:r>
      <w:r w:rsidRPr="00006558">
        <w:t xml:space="preserve">, 2016 yılında ise </w:t>
      </w:r>
      <w:r w:rsidR="006D6FF3" w:rsidRPr="00006558">
        <w:t>126</w:t>
      </w:r>
      <w:r w:rsidRPr="00006558">
        <w:t xml:space="preserve"> seviyesinde gerçekleşmiştir.</w:t>
      </w:r>
    </w:p>
    <w:p w:rsidR="004F2FA0" w:rsidRPr="00006558" w:rsidRDefault="004F2FA0" w:rsidP="004F2FA0">
      <w:pPr>
        <w:jc w:val="both"/>
        <w:rPr>
          <w:b/>
        </w:rPr>
      </w:pPr>
      <w:r w:rsidRPr="00006558">
        <w:rPr>
          <w:b/>
        </w:rPr>
        <w:t>c) Pazar payı</w:t>
      </w:r>
    </w:p>
    <w:p w:rsidR="004F2FA0" w:rsidRDefault="004F2FA0" w:rsidP="004F2FA0">
      <w:pPr>
        <w:spacing w:after="240"/>
        <w:jc w:val="both"/>
      </w:pPr>
      <w:r w:rsidRPr="00006558">
        <w:t xml:space="preserve">(1) Soruşturma konusu üründe yerli üretim dalının pazar payı endeksi 2014-2016 döneminde sırasıyla 100, </w:t>
      </w:r>
      <w:r w:rsidR="006D6FF3" w:rsidRPr="00006558">
        <w:t>107</w:t>
      </w:r>
      <w:r w:rsidRPr="00006558">
        <w:t xml:space="preserve"> ve </w:t>
      </w:r>
      <w:r w:rsidR="006D6FF3" w:rsidRPr="00006558">
        <w:t xml:space="preserve">108 </w:t>
      </w:r>
      <w:r w:rsidRPr="00006558">
        <w:t>düzeyindedir.</w:t>
      </w:r>
    </w:p>
    <w:p w:rsidR="004F2FA0" w:rsidRPr="00006558" w:rsidRDefault="004F2FA0" w:rsidP="004F2FA0">
      <w:pPr>
        <w:jc w:val="both"/>
        <w:rPr>
          <w:b/>
        </w:rPr>
      </w:pPr>
      <w:r w:rsidRPr="00006558">
        <w:rPr>
          <w:b/>
        </w:rPr>
        <w:lastRenderedPageBreak/>
        <w:t>ç) Stoklar</w:t>
      </w:r>
    </w:p>
    <w:p w:rsidR="004F2FA0" w:rsidRPr="00006558" w:rsidRDefault="004F2FA0" w:rsidP="004F2FA0">
      <w:pPr>
        <w:spacing w:after="240"/>
        <w:jc w:val="both"/>
      </w:pPr>
      <w:r w:rsidRPr="00006558">
        <w:t xml:space="preserve">(1) Yerli üretim dalının </w:t>
      </w:r>
      <w:r w:rsidR="001A7F5C" w:rsidRPr="00006558">
        <w:t>benzer</w:t>
      </w:r>
      <w:r w:rsidRPr="00006558">
        <w:t xml:space="preserve"> üründeki stok verileri incelendiğinde, miktar bazında 2014 yılında 100, 2015 yılında </w:t>
      </w:r>
      <w:r w:rsidR="006D6FF3" w:rsidRPr="00006558">
        <w:t xml:space="preserve">40 </w:t>
      </w:r>
      <w:r w:rsidRPr="00006558">
        <w:t xml:space="preserve">olan stok endeksinin, 2016 yılında </w:t>
      </w:r>
      <w:r w:rsidR="006D6FF3" w:rsidRPr="00006558">
        <w:t xml:space="preserve">70 </w:t>
      </w:r>
      <w:r w:rsidRPr="00006558">
        <w:t>seviyesinde gerçekleştiği görülmektedir.</w:t>
      </w:r>
    </w:p>
    <w:p w:rsidR="004F2FA0" w:rsidRPr="00006558" w:rsidRDefault="004F2FA0" w:rsidP="004F2FA0">
      <w:pPr>
        <w:spacing w:after="240"/>
        <w:jc w:val="both"/>
      </w:pPr>
      <w:r w:rsidRPr="00006558">
        <w:t xml:space="preserve">(2) 2014-2016 döneminde stok çevrim hızları ise sırasıyla 100, </w:t>
      </w:r>
      <w:r w:rsidR="006D6FF3" w:rsidRPr="00006558">
        <w:t>315</w:t>
      </w:r>
      <w:r w:rsidRPr="00006558">
        <w:t xml:space="preserve"> ve </w:t>
      </w:r>
      <w:r w:rsidR="006D6FF3" w:rsidRPr="00006558">
        <w:t xml:space="preserve">174 </w:t>
      </w:r>
      <w:r w:rsidRPr="00006558">
        <w:t>olarak gerçekleşmiştir.</w:t>
      </w:r>
    </w:p>
    <w:p w:rsidR="004F2FA0" w:rsidRPr="00006558" w:rsidRDefault="004F2FA0" w:rsidP="004F2FA0">
      <w:pPr>
        <w:jc w:val="both"/>
        <w:rPr>
          <w:b/>
          <w:bCs/>
        </w:rPr>
      </w:pPr>
      <w:r w:rsidRPr="00006558">
        <w:rPr>
          <w:b/>
          <w:bCs/>
        </w:rPr>
        <w:t>d) İstihdam</w:t>
      </w:r>
    </w:p>
    <w:p w:rsidR="004F2FA0" w:rsidRPr="00006558" w:rsidRDefault="004F2FA0" w:rsidP="004F2FA0">
      <w:pPr>
        <w:spacing w:after="240"/>
        <w:jc w:val="both"/>
      </w:pPr>
      <w:r w:rsidRPr="00006558">
        <w:t xml:space="preserve">(1) Yerli üretim dalının doğrudan işçi sayısı endeksi 2014 yılında 100, 2015 yılında </w:t>
      </w:r>
      <w:r w:rsidR="00E174F9" w:rsidRPr="00006558">
        <w:t>98</w:t>
      </w:r>
      <w:r w:rsidRPr="00006558">
        <w:t xml:space="preserve"> ve 2016 yılında </w:t>
      </w:r>
      <w:r w:rsidR="00E174F9" w:rsidRPr="00006558">
        <w:t>97</w:t>
      </w:r>
      <w:r w:rsidRPr="00006558">
        <w:t xml:space="preserve"> olarak tespit edilmiştir. </w:t>
      </w:r>
    </w:p>
    <w:p w:rsidR="004F2FA0" w:rsidRPr="00006558" w:rsidRDefault="004F2FA0" w:rsidP="004F2FA0">
      <w:pPr>
        <w:jc w:val="both"/>
        <w:rPr>
          <w:b/>
        </w:rPr>
      </w:pPr>
      <w:r w:rsidRPr="00006558">
        <w:rPr>
          <w:b/>
        </w:rPr>
        <w:t>e) Ücretler</w:t>
      </w:r>
    </w:p>
    <w:p w:rsidR="004F2FA0" w:rsidRPr="00006558" w:rsidRDefault="004F2FA0" w:rsidP="004F2FA0">
      <w:pPr>
        <w:pStyle w:val="GvdeMetni2"/>
        <w:spacing w:after="240" w:line="240" w:lineRule="auto"/>
        <w:jc w:val="both"/>
        <w:rPr>
          <w:lang w:val="tr-TR"/>
        </w:rPr>
      </w:pPr>
      <w:r w:rsidRPr="00006558">
        <w:rPr>
          <w:lang w:val="tr-TR"/>
        </w:rPr>
        <w:t xml:space="preserve">(1) Yerli üretim dalının aylık brüt işçi ücret endeksi 2014 yılı 100 olmak üzere 2015 yılında </w:t>
      </w:r>
      <w:r w:rsidR="00166EBF" w:rsidRPr="00006558">
        <w:rPr>
          <w:lang w:val="tr-TR"/>
        </w:rPr>
        <w:t>112</w:t>
      </w:r>
      <w:r w:rsidRPr="00006558">
        <w:rPr>
          <w:lang w:val="tr-TR"/>
        </w:rPr>
        <w:t xml:space="preserve">, 2016 yılında ise </w:t>
      </w:r>
      <w:r w:rsidR="00166EBF" w:rsidRPr="00006558">
        <w:rPr>
          <w:lang w:val="tr-TR"/>
        </w:rPr>
        <w:t>118</w:t>
      </w:r>
      <w:r w:rsidRPr="00006558">
        <w:rPr>
          <w:lang w:val="tr-TR"/>
        </w:rPr>
        <w:t xml:space="preserve"> düzeyinde gerçekleşmiştir. </w:t>
      </w:r>
    </w:p>
    <w:p w:rsidR="004F2FA0" w:rsidRPr="00006558" w:rsidRDefault="004F2FA0" w:rsidP="004F2FA0">
      <w:pPr>
        <w:jc w:val="both"/>
        <w:rPr>
          <w:b/>
          <w:bCs/>
        </w:rPr>
      </w:pPr>
      <w:r w:rsidRPr="00006558">
        <w:rPr>
          <w:b/>
          <w:bCs/>
        </w:rPr>
        <w:t>f) Verimlilik</w:t>
      </w:r>
    </w:p>
    <w:p w:rsidR="004F2FA0" w:rsidRPr="00006558" w:rsidRDefault="004F2FA0" w:rsidP="004F2FA0">
      <w:pPr>
        <w:spacing w:after="240"/>
        <w:jc w:val="both"/>
      </w:pPr>
      <w:r w:rsidRPr="00006558">
        <w:t xml:space="preserve">(1) Yerli üretim dalının </w:t>
      </w:r>
      <w:r w:rsidR="001A7F5C" w:rsidRPr="00006558">
        <w:t>benzer</w:t>
      </w:r>
      <w:r w:rsidRPr="00006558">
        <w:t xml:space="preserve"> ürün üretiminde işçi başına düşen üretim rakamını yansıtan verimlilik endeksi 2014-2016 döneminde sırasıyla 100, </w:t>
      </w:r>
      <w:r w:rsidR="00166EBF" w:rsidRPr="00006558">
        <w:t>104</w:t>
      </w:r>
      <w:r w:rsidRPr="00006558">
        <w:t xml:space="preserve"> ve </w:t>
      </w:r>
      <w:r w:rsidR="00166EBF" w:rsidRPr="00006558">
        <w:t>116</w:t>
      </w:r>
      <w:r w:rsidRPr="00006558">
        <w:t xml:space="preserve"> olmuştur.</w:t>
      </w:r>
    </w:p>
    <w:p w:rsidR="004F2FA0" w:rsidRPr="00006558" w:rsidRDefault="004F2FA0" w:rsidP="004F2FA0">
      <w:pPr>
        <w:jc w:val="both"/>
        <w:rPr>
          <w:b/>
          <w:bCs/>
        </w:rPr>
      </w:pPr>
      <w:r w:rsidRPr="00006558">
        <w:rPr>
          <w:b/>
          <w:bCs/>
        </w:rPr>
        <w:t>g)  Maliyetler ve kârlılık</w:t>
      </w:r>
    </w:p>
    <w:p w:rsidR="004F2FA0" w:rsidRPr="00006558" w:rsidRDefault="004F2FA0" w:rsidP="004F2FA0">
      <w:pPr>
        <w:spacing w:after="240"/>
        <w:jc w:val="both"/>
      </w:pPr>
      <w:r w:rsidRPr="00006558">
        <w:t xml:space="preserve">(1) Yerli üretim dalının </w:t>
      </w:r>
      <w:r w:rsidR="001A7F5C" w:rsidRPr="00006558">
        <w:t>benzer</w:t>
      </w:r>
      <w:r w:rsidRPr="00006558">
        <w:t xml:space="preserve"> üründe ortalama birim ticari maliyet endeksi 2014 yılı 100 olmak üzere 2015 yılında </w:t>
      </w:r>
      <w:r w:rsidR="00166EBF" w:rsidRPr="00006558">
        <w:t>109</w:t>
      </w:r>
      <w:r w:rsidRPr="00006558">
        <w:t xml:space="preserve">, 2016 yılında ise </w:t>
      </w:r>
      <w:r w:rsidR="00166EBF" w:rsidRPr="00006558">
        <w:t xml:space="preserve">115 </w:t>
      </w:r>
      <w:r w:rsidRPr="00006558">
        <w:t>olmuştur.</w:t>
      </w:r>
    </w:p>
    <w:p w:rsidR="004F2FA0" w:rsidRPr="00006558" w:rsidRDefault="004F2FA0" w:rsidP="004F2FA0">
      <w:pPr>
        <w:spacing w:after="240"/>
        <w:jc w:val="both"/>
      </w:pPr>
      <w:r w:rsidRPr="00006558">
        <w:t xml:space="preserve">(2) Yerli üretim dalının soruşturma konusu üründe ticari maliyetleri ve ortalama yurt içi satış fiyatları dikkate alınarak hesaplanan yurt içi ürün birim kârlılık endeksi 2014 yılı 100 olmak üzere 2015 yılında </w:t>
      </w:r>
      <w:r w:rsidR="00166EBF" w:rsidRPr="00006558">
        <w:t>138</w:t>
      </w:r>
      <w:r w:rsidRPr="00006558">
        <w:t xml:space="preserve">, 2016 yılında ise </w:t>
      </w:r>
      <w:r w:rsidR="00166EBF" w:rsidRPr="00006558">
        <w:t>184</w:t>
      </w:r>
      <w:r w:rsidRPr="00006558">
        <w:t xml:space="preserve"> düzeyinde gerçekleşmiştir.</w:t>
      </w:r>
    </w:p>
    <w:p w:rsidR="004F2FA0" w:rsidRPr="00006558" w:rsidRDefault="004F2FA0" w:rsidP="004F2FA0">
      <w:pPr>
        <w:spacing w:after="240"/>
        <w:jc w:val="both"/>
      </w:pPr>
      <w:r w:rsidRPr="00006558">
        <w:t xml:space="preserve">(3)  Yerli üretim dalının soruşturma konusu üründe toplam birim kârlılığı 2014 yılı 100 olmak üzere 2015 ve 2016 yılında sırasıyla </w:t>
      </w:r>
      <w:r w:rsidR="00166EBF" w:rsidRPr="00006558">
        <w:t>120</w:t>
      </w:r>
      <w:r w:rsidRPr="00006558">
        <w:t xml:space="preserve"> ve </w:t>
      </w:r>
      <w:r w:rsidR="00166EBF" w:rsidRPr="00006558">
        <w:t>161</w:t>
      </w:r>
      <w:r w:rsidRPr="00006558">
        <w:t xml:space="preserve"> olarak gerçekleşmiştir.</w:t>
      </w:r>
    </w:p>
    <w:p w:rsidR="004F2FA0" w:rsidRPr="00006558" w:rsidRDefault="004F2FA0" w:rsidP="004F2FA0">
      <w:pPr>
        <w:jc w:val="both"/>
        <w:rPr>
          <w:b/>
          <w:bCs/>
        </w:rPr>
      </w:pPr>
      <w:r w:rsidRPr="00006558">
        <w:rPr>
          <w:b/>
          <w:bCs/>
        </w:rPr>
        <w:t>ğ) Nakit akışı</w:t>
      </w:r>
    </w:p>
    <w:p w:rsidR="004F2FA0" w:rsidRPr="00006558" w:rsidRDefault="004F2FA0" w:rsidP="004F2FA0">
      <w:pPr>
        <w:spacing w:after="240"/>
        <w:jc w:val="both"/>
      </w:pPr>
      <w:r w:rsidRPr="00006558">
        <w:t xml:space="preserve">(1) Yerli üretim dalının soruşturma konusu ürün satışlarından elde ettiği nakit akışı endeksi 2014 yılı 100 olarak alındığında 2015 yılında </w:t>
      </w:r>
      <w:r w:rsidR="00570602" w:rsidRPr="00006558">
        <w:t>145</w:t>
      </w:r>
      <w:r w:rsidRPr="00006558">
        <w:t xml:space="preserve">, 2016 yılında ise </w:t>
      </w:r>
      <w:r w:rsidR="00570602" w:rsidRPr="00006558">
        <w:t>185</w:t>
      </w:r>
      <w:r w:rsidRPr="00006558">
        <w:t xml:space="preserve"> olarak tespit edilmiştir. </w:t>
      </w:r>
    </w:p>
    <w:p w:rsidR="004F2FA0" w:rsidRPr="00006558" w:rsidRDefault="004F2FA0" w:rsidP="004F2FA0">
      <w:pPr>
        <w:jc w:val="both"/>
        <w:rPr>
          <w:b/>
          <w:bCs/>
        </w:rPr>
      </w:pPr>
      <w:r w:rsidRPr="00006558">
        <w:rPr>
          <w:b/>
          <w:bCs/>
        </w:rPr>
        <w:t>h) Büyüme</w:t>
      </w:r>
    </w:p>
    <w:p w:rsidR="004F2FA0" w:rsidRPr="00006558" w:rsidRDefault="004F2FA0" w:rsidP="004F2FA0">
      <w:pPr>
        <w:spacing w:after="240"/>
        <w:jc w:val="both"/>
      </w:pPr>
      <w:r w:rsidRPr="00006558">
        <w:t xml:space="preserve">(1) Yerli üretim dalının bütün faaliyetleri ile ilgili olarak, bilançosunda yer alan aktif büyüklüğü reel </w:t>
      </w:r>
      <w:proofErr w:type="gramStart"/>
      <w:r w:rsidRPr="00006558">
        <w:t>olarak  2014</w:t>
      </w:r>
      <w:proofErr w:type="gramEnd"/>
      <w:r w:rsidRPr="00006558">
        <w:t xml:space="preserve">-2016 döneminde sırasıyla 100, </w:t>
      </w:r>
      <w:r w:rsidR="00570602" w:rsidRPr="00006558">
        <w:t>101</w:t>
      </w:r>
      <w:r w:rsidRPr="00006558">
        <w:t xml:space="preserve"> ve </w:t>
      </w:r>
      <w:r w:rsidR="00570602" w:rsidRPr="00006558">
        <w:t xml:space="preserve">126 </w:t>
      </w:r>
      <w:r w:rsidRPr="00006558">
        <w:t>olarak gerçekleşmiştir.</w:t>
      </w:r>
    </w:p>
    <w:p w:rsidR="004F2FA0" w:rsidRPr="00006558" w:rsidRDefault="004F2FA0" w:rsidP="004F2FA0">
      <w:pPr>
        <w:jc w:val="both"/>
        <w:rPr>
          <w:b/>
        </w:rPr>
      </w:pPr>
      <w:r w:rsidRPr="00006558">
        <w:rPr>
          <w:b/>
        </w:rPr>
        <w:t>ı) Net dönem kârı/zararı</w:t>
      </w:r>
    </w:p>
    <w:p w:rsidR="004F2FA0" w:rsidRPr="00006558" w:rsidRDefault="004F2FA0" w:rsidP="004F2FA0">
      <w:pPr>
        <w:shd w:val="clear" w:color="auto" w:fill="FFFFFF"/>
        <w:jc w:val="both"/>
      </w:pPr>
      <w:r w:rsidRPr="00006558">
        <w:t xml:space="preserve">(1) Yerli üretim dalının bütün faaliyetleri ile ilgili olarak 2014 yılında 100 olan net dönem kâr/zararı, takip eden yıllarda sırasıyla </w:t>
      </w:r>
      <w:r w:rsidR="00570602" w:rsidRPr="00006558">
        <w:t>84</w:t>
      </w:r>
      <w:r w:rsidRPr="00006558">
        <w:t xml:space="preserve"> ve </w:t>
      </w:r>
      <w:r w:rsidR="00570602" w:rsidRPr="00006558">
        <w:t>65</w:t>
      </w:r>
      <w:r w:rsidRPr="00006558">
        <w:t xml:space="preserve"> olarak gerçekleşmiştir.</w:t>
      </w:r>
    </w:p>
    <w:p w:rsidR="004F2FA0" w:rsidRPr="00006558" w:rsidRDefault="004F2FA0" w:rsidP="004F2FA0">
      <w:pPr>
        <w:jc w:val="both"/>
        <w:rPr>
          <w:b/>
        </w:rPr>
      </w:pPr>
    </w:p>
    <w:p w:rsidR="004F2FA0" w:rsidRPr="00006558" w:rsidRDefault="004F2FA0" w:rsidP="004F2FA0">
      <w:pPr>
        <w:jc w:val="both"/>
        <w:rPr>
          <w:b/>
        </w:rPr>
      </w:pPr>
      <w:r w:rsidRPr="00006558">
        <w:rPr>
          <w:b/>
        </w:rPr>
        <w:t>i) Sermaye artışı</w:t>
      </w:r>
    </w:p>
    <w:p w:rsidR="004F2FA0" w:rsidRPr="00006558" w:rsidRDefault="004F2FA0" w:rsidP="004F2FA0">
      <w:pPr>
        <w:shd w:val="clear" w:color="auto" w:fill="FFFFFF"/>
        <w:jc w:val="both"/>
        <w:rPr>
          <w:szCs w:val="20"/>
          <w:lang w:eastAsia="en-US"/>
        </w:rPr>
      </w:pPr>
      <w:r w:rsidRPr="00006558">
        <w:rPr>
          <w:rFonts w:eastAsia="MS Mincho"/>
          <w:lang w:eastAsia="ja-JP"/>
        </w:rPr>
        <w:t xml:space="preserve">(1) </w:t>
      </w:r>
      <w:r w:rsidRPr="00006558">
        <w:t>Yerli üretim dalının</w:t>
      </w:r>
      <w:r w:rsidRPr="00006558">
        <w:rPr>
          <w:rFonts w:eastAsia="MS Mincho"/>
          <w:lang w:eastAsia="ja-JP"/>
        </w:rPr>
        <w:t xml:space="preserve"> bütün faaliyetleri ile ilgili olarak, 2014 yılında 100 olan öz sermaye büyüklük endeksi takip eden yıllarda sırasıyla </w:t>
      </w:r>
      <w:r w:rsidR="00570602" w:rsidRPr="00006558">
        <w:rPr>
          <w:rFonts w:eastAsia="MS Mincho"/>
          <w:lang w:eastAsia="ja-JP"/>
        </w:rPr>
        <w:t xml:space="preserve">108 </w:t>
      </w:r>
      <w:r w:rsidRPr="00006558">
        <w:rPr>
          <w:rFonts w:eastAsia="MS Mincho"/>
          <w:lang w:eastAsia="ja-JP"/>
        </w:rPr>
        <w:t xml:space="preserve">ve </w:t>
      </w:r>
      <w:r w:rsidR="00570602" w:rsidRPr="00006558">
        <w:rPr>
          <w:rFonts w:eastAsia="MS Mincho"/>
          <w:lang w:eastAsia="ja-JP"/>
        </w:rPr>
        <w:t>85</w:t>
      </w:r>
      <w:r w:rsidRPr="00006558">
        <w:rPr>
          <w:rFonts w:eastAsia="MS Mincho"/>
          <w:lang w:eastAsia="ja-JP"/>
        </w:rPr>
        <w:t xml:space="preserve"> olarak gerçekleşmiştir.</w:t>
      </w:r>
    </w:p>
    <w:p w:rsidR="004F2FA0" w:rsidRDefault="004F2FA0" w:rsidP="004F2FA0">
      <w:pPr>
        <w:jc w:val="both"/>
      </w:pPr>
    </w:p>
    <w:p w:rsidR="004F2FA0" w:rsidRPr="00006558" w:rsidRDefault="004F2FA0" w:rsidP="004F2FA0">
      <w:pPr>
        <w:jc w:val="both"/>
        <w:rPr>
          <w:b/>
          <w:lang w:val="x-none"/>
        </w:rPr>
      </w:pPr>
      <w:r w:rsidRPr="00006558">
        <w:rPr>
          <w:b/>
        </w:rPr>
        <w:t>j</w:t>
      </w:r>
      <w:r w:rsidRPr="00006558">
        <w:rPr>
          <w:b/>
          <w:lang w:val="x-none"/>
        </w:rPr>
        <w:t>) Yatırımların seyri</w:t>
      </w:r>
    </w:p>
    <w:p w:rsidR="00570602" w:rsidRDefault="004F2FA0" w:rsidP="00570602">
      <w:pPr>
        <w:jc w:val="both"/>
      </w:pPr>
      <w:r w:rsidRPr="00006558">
        <w:t xml:space="preserve">(1) </w:t>
      </w:r>
      <w:r w:rsidR="00570602" w:rsidRPr="00006558">
        <w:t xml:space="preserve">Yerli üretim dalının bütün faaliyetlerine ilişkin olarak 2014-2016 döneminde tevsi yatırımı gerçekleşmemiştir. 2014 yılında 100 olan yenileme yatırım endeksi ise </w:t>
      </w:r>
      <w:r w:rsidR="00570602" w:rsidRPr="00006558">
        <w:rPr>
          <w:rFonts w:eastAsia="MS Mincho"/>
          <w:lang w:eastAsia="ja-JP"/>
        </w:rPr>
        <w:t xml:space="preserve">takip eden yıllarda sırasıyla 52 ve 68 </w:t>
      </w:r>
      <w:r w:rsidR="00570602" w:rsidRPr="00006558">
        <w:t>olmuştur.</w:t>
      </w:r>
    </w:p>
    <w:p w:rsidR="00B50332" w:rsidRDefault="00B50332" w:rsidP="00570602">
      <w:pPr>
        <w:jc w:val="both"/>
      </w:pPr>
    </w:p>
    <w:p w:rsidR="00D658B0" w:rsidRDefault="00D658B0" w:rsidP="00DF4E77">
      <w:pPr>
        <w:jc w:val="both"/>
        <w:rPr>
          <w:b/>
        </w:rPr>
      </w:pPr>
    </w:p>
    <w:p w:rsidR="00D658B0" w:rsidRDefault="00D658B0" w:rsidP="00DF4E77">
      <w:pPr>
        <w:jc w:val="both"/>
        <w:rPr>
          <w:b/>
        </w:rPr>
      </w:pPr>
    </w:p>
    <w:p w:rsidR="008E4B08" w:rsidRPr="00006558" w:rsidRDefault="009A1355" w:rsidP="00DF4E77">
      <w:pPr>
        <w:jc w:val="both"/>
      </w:pPr>
      <w:r w:rsidRPr="00006558">
        <w:rPr>
          <w:b/>
        </w:rPr>
        <w:lastRenderedPageBreak/>
        <w:t>4</w:t>
      </w:r>
      <w:r w:rsidR="008E4B08" w:rsidRPr="00006558">
        <w:rPr>
          <w:b/>
        </w:rPr>
        <w:t xml:space="preserve">.8 </w:t>
      </w:r>
      <w:r w:rsidR="00164FF4" w:rsidRPr="00006558">
        <w:rPr>
          <w:b/>
        </w:rPr>
        <w:t>Yerli üretim dalının ekonomik göstergelerinin değerlendirilmesi</w:t>
      </w:r>
    </w:p>
    <w:p w:rsidR="00AD3C96" w:rsidRPr="00006558" w:rsidRDefault="0025290B" w:rsidP="00AD3C96">
      <w:pPr>
        <w:spacing w:after="240"/>
        <w:jc w:val="both"/>
      </w:pPr>
      <w:proofErr w:type="gramStart"/>
      <w:r w:rsidRPr="00006558">
        <w:t>(1)</w:t>
      </w:r>
      <w:r w:rsidR="003C6689" w:rsidRPr="00006558">
        <w:t xml:space="preserve"> </w:t>
      </w:r>
      <w:r w:rsidR="00AD3C96" w:rsidRPr="00006558">
        <w:t>Gözden geçirme döneminde yerli üretim dalının ekonomik göstergeleri bir bütün olarak değerlendirildiğinde; soruşturma konusu üründe yürürlükteki önlemin de etkisiyle üretim ve yurtiçi satışlar ile birim kârlılık ve ürün nakit akışının arttığı; firma geneli göstergeler olarak adlandırılan firmanın net satışlarının toplam değeri ve firma bilanço aktif büyüklüğü gibi göstergelerinin olumlu seyir izlediği tespit edilmiştir.</w:t>
      </w:r>
      <w:proofErr w:type="gramEnd"/>
    </w:p>
    <w:p w:rsidR="00AD3C96" w:rsidRDefault="00AD3C96" w:rsidP="00AD3C96">
      <w:pPr>
        <w:spacing w:after="240"/>
        <w:jc w:val="both"/>
      </w:pPr>
      <w:r w:rsidRPr="00006558">
        <w:t xml:space="preserve">(2) </w:t>
      </w:r>
      <w:proofErr w:type="gramStart"/>
      <w:r w:rsidRPr="00006558">
        <w:t>Öte  taraftan</w:t>
      </w:r>
      <w:proofErr w:type="gramEnd"/>
      <w:r w:rsidRPr="00006558">
        <w:t xml:space="preserve">, gözden geçirme döneminde soruşturma konusu üründe yurtiçi satış miktarı artış hızının düştüğü, birim ticari maliyetin arttığı, yurtdışı satış miktarı ve ürün istihdamı gibi bazı ekonomik göstergelerin olumsuz seyir izlediği; firma geneli göstergeler olarak adlandırılan firma net satışlarının toplam değerinin artış hızında, firma net kârında ve firma </w:t>
      </w:r>
      <w:proofErr w:type="spellStart"/>
      <w:r w:rsidRPr="00006558">
        <w:t>özsermayesi</w:t>
      </w:r>
      <w:proofErr w:type="spellEnd"/>
      <w:r w:rsidRPr="00006558">
        <w:t xml:space="preserve"> gibi göstergelerde bozulmalar yaşandığı tespit edilmiştir.</w:t>
      </w:r>
    </w:p>
    <w:p w:rsidR="00E235EF" w:rsidRPr="0016642E" w:rsidRDefault="00E235EF" w:rsidP="00E235EF">
      <w:pPr>
        <w:spacing w:after="240"/>
        <w:jc w:val="both"/>
      </w:pPr>
      <w:r w:rsidRPr="0016642E">
        <w:t xml:space="preserve">(3) Bazı ihracatçı firmalar ile Bulgaristan Ekonomi Bakan Yardımcılığı ve Avrupa Birliği Türkiye </w:t>
      </w:r>
      <w:proofErr w:type="spellStart"/>
      <w:r w:rsidRPr="0016642E">
        <w:t>Delagasyonu</w:t>
      </w:r>
      <w:proofErr w:type="spellEnd"/>
      <w:r w:rsidRPr="0016642E">
        <w:t xml:space="preserve"> yerli üreticinin genel ekonomik göstergelerinde olumlu bir seyrin söz konusu olduğunu belirtmişlerdir. Ancak gözden geçirme döneminde soruşturma konusu üründe birim ticari maliyetin arttığı, yurtdışı satış miktarı ve ürün istihdamı gibi bazı ekonomik göstergelerinin olumsuz seyir izlediği; 2016 yılında, 2014 yılına göre firma geneli göstergeler olarak adlandırılan firma yenileme yatırımları ve firma </w:t>
      </w:r>
      <w:proofErr w:type="spellStart"/>
      <w:r w:rsidRPr="0016642E">
        <w:t>özsermayesi</w:t>
      </w:r>
      <w:proofErr w:type="spellEnd"/>
      <w:r w:rsidRPr="0016642E">
        <w:t xml:space="preserve"> gibi göstergelerde bozulmalar yaşandığı tespit edilmiştir.</w:t>
      </w:r>
    </w:p>
    <w:p w:rsidR="00E235EF" w:rsidRDefault="00E235EF" w:rsidP="00E235EF">
      <w:pPr>
        <w:spacing w:after="240"/>
        <w:jc w:val="both"/>
      </w:pPr>
      <w:r w:rsidRPr="0016642E">
        <w:t xml:space="preserve">(4) Avrupa Birliği Türkiye Delegasyonu tarafından yerli üreticinin kapasite kullanım oranının %100’ün üzerinde olduğu, bu durumun ithalata ihtiyaç duyulabileceğine ilişkin bir gösterge olduğu belirtilmiştir. </w:t>
      </w:r>
      <w:proofErr w:type="gramStart"/>
      <w:r w:rsidRPr="0016642E">
        <w:t>Halihazırda</w:t>
      </w:r>
      <w:proofErr w:type="gramEnd"/>
      <w:r w:rsidRPr="0016642E">
        <w:t xml:space="preserve">, ürünün ithalatının yapıldığı ve yapılabileceği pek çok ülke bulunmakta olup; yerli </w:t>
      </w:r>
      <w:r>
        <w:t>üretim dalının</w:t>
      </w:r>
      <w:r w:rsidRPr="0016642E">
        <w:t xml:space="preserve"> kapasite kullanım oranı</w:t>
      </w:r>
      <w:r>
        <w:t>, değerlendirmede dikkate alınan unsurlardan sadece bir tanesidir. Bu çerçevede, kapasite kullanım oranı seviyesinin, tek başına zarar değerlendirmesinde olumlu veya olumsuz bir sonuca ulaşmak için yeterli olmadığı değerlendirilmiştir.</w:t>
      </w:r>
    </w:p>
    <w:p w:rsidR="00E235EF" w:rsidRPr="0016642E" w:rsidRDefault="00E235EF" w:rsidP="00E235EF">
      <w:pPr>
        <w:spacing w:after="240"/>
        <w:jc w:val="both"/>
      </w:pPr>
      <w:r w:rsidRPr="0016642E">
        <w:t>(5) Bazı ithalatçı firmalar tarafından yerli üreticinin dış pazarda, iç pazara verdiği fiyatlardan daha düşük fiyat politikası izlediği iddia edilmiştir. Ancak, yerli üreticinin gözden geçirme döneminde ortalama yurtdışı birim fiyatının, ortalama yurtiçi birim fiyatından daha yüksek olduğu tespit edilmiştir.</w:t>
      </w:r>
    </w:p>
    <w:p w:rsidR="00E235EF" w:rsidRPr="0016642E" w:rsidRDefault="00E235EF" w:rsidP="00E235EF">
      <w:pPr>
        <w:spacing w:after="240"/>
        <w:jc w:val="both"/>
      </w:pPr>
      <w:r w:rsidRPr="0016642E">
        <w:t>(6) Endonezya Ticaret Bakanlığı Dış Ticaret Genel Müdürlüğü ve Avrupa Birliği Türkiye Delegasyonunca, yerli üreticinin ekonomik göstergelerinde oluşan zararın esasen yerli üreticinin etkin çalışmamasından kaynaklandığı belirtilmiştir. Ancak, yerli üretici firmanın gözden geçirme döneminde verimliliğinin arttığı, bu çerçevede; yerli üretim dalında meydana gelen zararın iç dinamiklerden kaynaklanmadığı belirlenmiştir.</w:t>
      </w:r>
    </w:p>
    <w:p w:rsidR="00164FF4" w:rsidRPr="00006558" w:rsidRDefault="00DF4E77" w:rsidP="008E4B08">
      <w:pPr>
        <w:tabs>
          <w:tab w:val="left" w:pos="709"/>
        </w:tabs>
        <w:rPr>
          <w:b/>
          <w:bCs/>
          <w:caps/>
        </w:rPr>
      </w:pPr>
      <w:r w:rsidRPr="00006558">
        <w:rPr>
          <w:b/>
          <w:bCs/>
          <w:caps/>
        </w:rPr>
        <w:t>5</w:t>
      </w:r>
      <w:r w:rsidR="008E4B08" w:rsidRPr="00006558">
        <w:rPr>
          <w:b/>
          <w:bCs/>
          <w:caps/>
        </w:rPr>
        <w:t xml:space="preserve">. </w:t>
      </w:r>
      <w:r w:rsidR="00164FF4" w:rsidRPr="00006558">
        <w:rPr>
          <w:b/>
          <w:bCs/>
          <w:caps/>
        </w:rPr>
        <w:t>Dampingin ve Zararın Devamı veya Yeniden Meydana Gelmesi İhtimalinin Değerlendirilmesi</w:t>
      </w:r>
    </w:p>
    <w:p w:rsidR="00164FF4" w:rsidRPr="00006558" w:rsidRDefault="00164FF4" w:rsidP="00164FF4">
      <w:pPr>
        <w:tabs>
          <w:tab w:val="left" w:pos="709"/>
        </w:tabs>
        <w:ind w:firstLine="567"/>
        <w:rPr>
          <w:b/>
          <w:bCs/>
        </w:rPr>
      </w:pPr>
    </w:p>
    <w:p w:rsidR="00164FF4" w:rsidRPr="00006558" w:rsidRDefault="00DF4E77" w:rsidP="008E4B08">
      <w:pPr>
        <w:tabs>
          <w:tab w:val="left" w:pos="709"/>
        </w:tabs>
        <w:rPr>
          <w:b/>
          <w:bCs/>
        </w:rPr>
      </w:pPr>
      <w:r w:rsidRPr="00006558">
        <w:rPr>
          <w:b/>
          <w:bCs/>
        </w:rPr>
        <w:t>5</w:t>
      </w:r>
      <w:r w:rsidR="008E4B08" w:rsidRPr="00006558">
        <w:rPr>
          <w:b/>
          <w:bCs/>
        </w:rPr>
        <w:t xml:space="preserve">.1 </w:t>
      </w:r>
      <w:r w:rsidR="00164FF4" w:rsidRPr="00006558">
        <w:rPr>
          <w:b/>
          <w:bCs/>
        </w:rPr>
        <w:t>Genel açıklamalar</w:t>
      </w:r>
    </w:p>
    <w:p w:rsidR="00602476" w:rsidRDefault="00164FF4" w:rsidP="00602476">
      <w:pPr>
        <w:pStyle w:val="GvdeMetniGirintisi3"/>
        <w:ind w:left="0" w:firstLine="0"/>
        <w:rPr>
          <w:bCs/>
        </w:rPr>
      </w:pPr>
      <w:r w:rsidRPr="00006558">
        <w:t>(1)</w:t>
      </w:r>
      <w:r w:rsidRPr="00006558">
        <w:rPr>
          <w:b/>
          <w:bCs/>
        </w:rPr>
        <w:t xml:space="preserve"> </w:t>
      </w:r>
      <w:r w:rsidR="007B1ADE" w:rsidRPr="00006558">
        <w:t>Yönetmelik’in</w:t>
      </w:r>
      <w:r w:rsidR="00BC461F" w:rsidRPr="00006558">
        <w:rPr>
          <w:bCs/>
        </w:rPr>
        <w:t xml:space="preserve"> 35 inci maddesi hükümleri gereğince, önlemin yürürlükten kalkması halinde </w:t>
      </w:r>
      <w:proofErr w:type="gramStart"/>
      <w:r w:rsidR="00BC461F" w:rsidRPr="00006558">
        <w:rPr>
          <w:bCs/>
        </w:rPr>
        <w:t>dampingin</w:t>
      </w:r>
      <w:proofErr w:type="gramEnd"/>
      <w:r w:rsidR="00BC461F" w:rsidRPr="00006558">
        <w:rPr>
          <w:bCs/>
        </w:rPr>
        <w:t xml:space="preserve"> ve zararın devam etmesinin veya yeniden meydana gelmesinin muhtemel olup olmadığı değerlendirilmiştir.</w:t>
      </w:r>
      <w:r w:rsidR="00BC461F" w:rsidRPr="00006558">
        <w:t xml:space="preserve"> </w:t>
      </w:r>
      <w:r w:rsidR="00BC461F" w:rsidRPr="00006558">
        <w:rPr>
          <w:bCs/>
        </w:rPr>
        <w:t>Bu çerçevede, önleme tabi ülke</w:t>
      </w:r>
      <w:r w:rsidR="00A84324" w:rsidRPr="00006558">
        <w:rPr>
          <w:bCs/>
        </w:rPr>
        <w:t>ler</w:t>
      </w:r>
      <w:r w:rsidR="00BC461F" w:rsidRPr="00006558">
        <w:rPr>
          <w:bCs/>
        </w:rPr>
        <w:t xml:space="preserve">deki kapasite ve ihracat potansiyeli ile talebi etkileyen unsurlar incelenmiştir. </w:t>
      </w:r>
      <w:r w:rsidR="00BC461F" w:rsidRPr="00006558">
        <w:t xml:space="preserve">Önleme tabi </w:t>
      </w:r>
      <w:r w:rsidR="00602476" w:rsidRPr="00006558">
        <w:t xml:space="preserve">ülkelerin ihracat kabiliyeti, Uluslararası Ticaret Merkezi (International </w:t>
      </w:r>
      <w:proofErr w:type="spellStart"/>
      <w:r w:rsidR="00602476" w:rsidRPr="00006558">
        <w:t>Trade</w:t>
      </w:r>
      <w:proofErr w:type="spellEnd"/>
      <w:r w:rsidR="00602476" w:rsidRPr="00006558">
        <w:t xml:space="preserve"> Center - ITC) verileri </w:t>
      </w:r>
      <w:r w:rsidR="00602476" w:rsidRPr="00006558">
        <w:rPr>
          <w:bCs/>
        </w:rPr>
        <w:t>ile Türkiye Müteahhitler Birliği’nin İnşaat Sektörü Raporu ve Çelik Boru İmalatçıları Derneği (ÇEBİD)’</w:t>
      </w:r>
      <w:proofErr w:type="spellStart"/>
      <w:r w:rsidR="00602476" w:rsidRPr="00006558">
        <w:rPr>
          <w:bCs/>
        </w:rPr>
        <w:t>nin</w:t>
      </w:r>
      <w:proofErr w:type="spellEnd"/>
      <w:r w:rsidR="00602476" w:rsidRPr="00006558">
        <w:rPr>
          <w:bCs/>
        </w:rPr>
        <w:t xml:space="preserve"> Boru Sektörü Raporlarından faydalanılarak incelenmiştir.</w:t>
      </w:r>
    </w:p>
    <w:p w:rsidR="005E13FD" w:rsidRPr="00006558" w:rsidRDefault="005E13FD" w:rsidP="00602476">
      <w:pPr>
        <w:pStyle w:val="GvdeMetniGirintisi3"/>
        <w:ind w:left="0" w:firstLine="0"/>
        <w:rPr>
          <w:bCs/>
        </w:rPr>
      </w:pPr>
    </w:p>
    <w:p w:rsidR="00D658B0" w:rsidRDefault="00D658B0" w:rsidP="00BC461F">
      <w:pPr>
        <w:pStyle w:val="GvdeMetniGirintisi3"/>
        <w:ind w:left="0" w:firstLine="0"/>
        <w:rPr>
          <w:b/>
        </w:rPr>
      </w:pPr>
    </w:p>
    <w:p w:rsidR="009D662D" w:rsidRPr="00006558" w:rsidRDefault="00DF4E77" w:rsidP="00BC461F">
      <w:pPr>
        <w:pStyle w:val="GvdeMetniGirintisi3"/>
        <w:ind w:left="0" w:firstLine="0"/>
        <w:rPr>
          <w:b/>
        </w:rPr>
      </w:pPr>
      <w:r w:rsidRPr="00006558">
        <w:rPr>
          <w:b/>
        </w:rPr>
        <w:lastRenderedPageBreak/>
        <w:t>5</w:t>
      </w:r>
      <w:r w:rsidR="009D662D" w:rsidRPr="00006558">
        <w:rPr>
          <w:b/>
        </w:rPr>
        <w:t>.2 Damping</w:t>
      </w:r>
      <w:r w:rsidR="00A97583" w:rsidRPr="00006558">
        <w:rPr>
          <w:b/>
        </w:rPr>
        <w:t>in</w:t>
      </w:r>
      <w:r w:rsidR="009D662D" w:rsidRPr="00006558">
        <w:rPr>
          <w:b/>
        </w:rPr>
        <w:t xml:space="preserve"> devamına veya yeniden meydana </w:t>
      </w:r>
      <w:r w:rsidR="00B63F74" w:rsidRPr="00006558">
        <w:rPr>
          <w:b/>
        </w:rPr>
        <w:t>gelme</w:t>
      </w:r>
      <w:r w:rsidR="009D662D" w:rsidRPr="00006558">
        <w:rPr>
          <w:b/>
        </w:rPr>
        <w:t xml:space="preserve"> ihtimaline ilişkin belirlemeler</w:t>
      </w:r>
    </w:p>
    <w:p w:rsidR="009D662D" w:rsidRPr="00006558" w:rsidRDefault="009D662D" w:rsidP="009D662D">
      <w:pPr>
        <w:jc w:val="both"/>
      </w:pPr>
      <w:r w:rsidRPr="00006558">
        <w:t xml:space="preserve">(1) Bu raporun üçüncü bölümündeki değerlendirme çerçevesinde mevcut önlemin yürürlükten kaldırılması halinde </w:t>
      </w:r>
      <w:proofErr w:type="gramStart"/>
      <w:r w:rsidRPr="00006558">
        <w:t>dampinge</w:t>
      </w:r>
      <w:proofErr w:type="gramEnd"/>
      <w:r w:rsidRPr="00006558">
        <w:t xml:space="preserve"> konu olan soruşturma konusu ithalatın </w:t>
      </w:r>
      <w:r w:rsidR="00006960" w:rsidRPr="00006558">
        <w:t>yeniden ortaya çıkmasının muhtemel olduğu</w:t>
      </w:r>
      <w:r w:rsidR="00805A07" w:rsidRPr="00006558">
        <w:t>na kanaat getirilmiştir.</w:t>
      </w:r>
    </w:p>
    <w:p w:rsidR="009D662D" w:rsidRPr="00006558" w:rsidRDefault="009D662D" w:rsidP="009D662D">
      <w:pPr>
        <w:ind w:firstLine="708"/>
        <w:jc w:val="both"/>
      </w:pPr>
    </w:p>
    <w:p w:rsidR="008E3E75" w:rsidRPr="00006558" w:rsidRDefault="009D662D" w:rsidP="009D662D">
      <w:pPr>
        <w:jc w:val="both"/>
      </w:pPr>
      <w:r w:rsidRPr="00006558">
        <w:t xml:space="preserve">(2) Değerlendirmelerde bütünlük sağlamak amacıyla, meri önlemin yürürlükten kaldırılması halinde </w:t>
      </w:r>
      <w:r w:rsidR="00BC461F" w:rsidRPr="00006558">
        <w:t>önlem konusu ülkeler</w:t>
      </w:r>
      <w:r w:rsidRPr="00006558">
        <w:t xml:space="preserve"> menşeli ihracat kapasitesinin Türkiye piyasasına yönelme ihtimali incelenmiştir. </w:t>
      </w:r>
    </w:p>
    <w:p w:rsidR="008E3E75" w:rsidRPr="00006558" w:rsidRDefault="008E3E75" w:rsidP="009D662D">
      <w:pPr>
        <w:jc w:val="both"/>
      </w:pPr>
    </w:p>
    <w:p w:rsidR="00A0476B" w:rsidRPr="00006558" w:rsidRDefault="008E3E75" w:rsidP="00A0476B">
      <w:pPr>
        <w:jc w:val="both"/>
      </w:pPr>
      <w:r w:rsidRPr="00006558">
        <w:t xml:space="preserve">(3) </w:t>
      </w:r>
      <w:r w:rsidR="00BC461F" w:rsidRPr="00006558">
        <w:t>İlk soruşturmad</w:t>
      </w:r>
      <w:r w:rsidR="00B35105" w:rsidRPr="00006558">
        <w:t xml:space="preserve">a tespit edilen </w:t>
      </w:r>
      <w:proofErr w:type="gramStart"/>
      <w:r w:rsidR="00A0476B" w:rsidRPr="00006558">
        <w:t>damping</w:t>
      </w:r>
      <w:proofErr w:type="gramEnd"/>
      <w:r w:rsidR="00A0476B" w:rsidRPr="00006558">
        <w:t xml:space="preserve"> marjlarının; CIF değerin, Brezilya için </w:t>
      </w:r>
      <w:r w:rsidR="00A0476B" w:rsidRPr="00006558">
        <w:rPr>
          <w:bCs/>
        </w:rPr>
        <w:t>%57,4’ü (</w:t>
      </w:r>
      <w:proofErr w:type="spellStart"/>
      <w:r w:rsidR="00A0476B" w:rsidRPr="00006558">
        <w:rPr>
          <w:bCs/>
        </w:rPr>
        <w:t>Tupy</w:t>
      </w:r>
      <w:proofErr w:type="spellEnd"/>
      <w:r w:rsidR="00A0476B" w:rsidRPr="00006558">
        <w:rPr>
          <w:bCs/>
        </w:rPr>
        <w:t>), Bulgaristan için %95,91’i, ÇHC için %158’i (</w:t>
      </w:r>
      <w:proofErr w:type="spellStart"/>
      <w:r w:rsidR="00A0476B" w:rsidRPr="00006558">
        <w:rPr>
          <w:bCs/>
        </w:rPr>
        <w:t>Jinan</w:t>
      </w:r>
      <w:proofErr w:type="spellEnd"/>
      <w:r w:rsidR="00A0476B" w:rsidRPr="00006558">
        <w:rPr>
          <w:bCs/>
        </w:rPr>
        <w:t xml:space="preserve">) ve %192’si (diğerleri), Endonezya için %25,08’i (PT. TRI Sinar </w:t>
      </w:r>
      <w:proofErr w:type="spellStart"/>
      <w:r w:rsidR="00A0476B" w:rsidRPr="00006558">
        <w:rPr>
          <w:bCs/>
        </w:rPr>
        <w:t>Purnama</w:t>
      </w:r>
      <w:proofErr w:type="spellEnd"/>
      <w:r w:rsidR="00A0476B" w:rsidRPr="00006558">
        <w:rPr>
          <w:bCs/>
        </w:rPr>
        <w:t xml:space="preserve"> </w:t>
      </w:r>
      <w:proofErr w:type="spellStart"/>
      <w:r w:rsidR="00A0476B" w:rsidRPr="00006558">
        <w:rPr>
          <w:bCs/>
        </w:rPr>
        <w:t>Foundry</w:t>
      </w:r>
      <w:proofErr w:type="spellEnd"/>
      <w:r w:rsidR="00A0476B" w:rsidRPr="00006558">
        <w:rPr>
          <w:bCs/>
        </w:rPr>
        <w:t>) ve %156’sı (diğerleri), Hindistan için %22,93’ü (</w:t>
      </w:r>
      <w:proofErr w:type="spellStart"/>
      <w:r w:rsidR="00A0476B" w:rsidRPr="00006558">
        <w:rPr>
          <w:bCs/>
        </w:rPr>
        <w:t>Jainsons</w:t>
      </w:r>
      <w:proofErr w:type="spellEnd"/>
      <w:r w:rsidR="00A0476B" w:rsidRPr="00006558">
        <w:rPr>
          <w:bCs/>
        </w:rPr>
        <w:t xml:space="preserve"> </w:t>
      </w:r>
      <w:proofErr w:type="spellStart"/>
      <w:r w:rsidR="00A0476B" w:rsidRPr="00006558">
        <w:rPr>
          <w:bCs/>
        </w:rPr>
        <w:t>Industries</w:t>
      </w:r>
      <w:proofErr w:type="spellEnd"/>
      <w:r w:rsidR="00A0476B" w:rsidRPr="00006558">
        <w:rPr>
          <w:bCs/>
        </w:rPr>
        <w:t xml:space="preserve"> </w:t>
      </w:r>
      <w:proofErr w:type="spellStart"/>
      <w:r w:rsidR="00A0476B" w:rsidRPr="00006558">
        <w:rPr>
          <w:bCs/>
        </w:rPr>
        <w:t>Regd</w:t>
      </w:r>
      <w:proofErr w:type="spellEnd"/>
      <w:r w:rsidR="00A0476B" w:rsidRPr="00006558">
        <w:rPr>
          <w:bCs/>
        </w:rPr>
        <w:t xml:space="preserve">.) ve %183’ü (diğerleri) ve Tayland için %10,21’i (BIS </w:t>
      </w:r>
      <w:proofErr w:type="spellStart"/>
      <w:r w:rsidR="00A0476B" w:rsidRPr="00006558">
        <w:rPr>
          <w:bCs/>
        </w:rPr>
        <w:t>Pipe</w:t>
      </w:r>
      <w:proofErr w:type="spellEnd"/>
      <w:r w:rsidR="00A0476B" w:rsidRPr="00006558">
        <w:rPr>
          <w:bCs/>
        </w:rPr>
        <w:t xml:space="preserve"> </w:t>
      </w:r>
      <w:proofErr w:type="spellStart"/>
      <w:r w:rsidR="00A0476B" w:rsidRPr="00006558">
        <w:rPr>
          <w:bCs/>
        </w:rPr>
        <w:t>Fitting</w:t>
      </w:r>
      <w:proofErr w:type="spellEnd"/>
      <w:r w:rsidR="00A0476B" w:rsidRPr="00006558">
        <w:rPr>
          <w:bCs/>
        </w:rPr>
        <w:t xml:space="preserve"> </w:t>
      </w:r>
      <w:proofErr w:type="spellStart"/>
      <w:r w:rsidR="00A0476B" w:rsidRPr="00006558">
        <w:rPr>
          <w:bCs/>
        </w:rPr>
        <w:t>Industry</w:t>
      </w:r>
      <w:proofErr w:type="spellEnd"/>
      <w:r w:rsidR="00A0476B" w:rsidRPr="00006558">
        <w:rPr>
          <w:bCs/>
        </w:rPr>
        <w:t xml:space="preserve"> </w:t>
      </w:r>
      <w:proofErr w:type="spellStart"/>
      <w:r w:rsidR="00A0476B" w:rsidRPr="00006558">
        <w:rPr>
          <w:bCs/>
        </w:rPr>
        <w:t>Company</w:t>
      </w:r>
      <w:proofErr w:type="spellEnd"/>
      <w:r w:rsidR="00A0476B" w:rsidRPr="00006558">
        <w:rPr>
          <w:bCs/>
        </w:rPr>
        <w:t xml:space="preserve"> Ltd.) ve %110’u </w:t>
      </w:r>
      <w:r w:rsidR="00A0476B" w:rsidRPr="00006558">
        <w:t xml:space="preserve">(diğerleri) oranında olduğu göz önünde bulundurulduğunda söz konusu </w:t>
      </w:r>
      <w:proofErr w:type="gramStart"/>
      <w:r w:rsidR="00A0476B" w:rsidRPr="00006558">
        <w:t>damping</w:t>
      </w:r>
      <w:proofErr w:type="gramEnd"/>
      <w:r w:rsidR="00A0476B" w:rsidRPr="00006558">
        <w:t xml:space="preserve"> marjı seviyelerinin meri önlemin mevcut olmadığı piyasa koşullarında üretici/ihracatçı firmaların dampinge konu fiyatlarla soruşturma konusu ürünü Türkiye’ye ihraç etme eğilimini göstermesi bakımından önem arz ettiği düşünülmektedir. </w:t>
      </w:r>
    </w:p>
    <w:p w:rsidR="00B35105" w:rsidRPr="00006558" w:rsidRDefault="00B35105" w:rsidP="00922B44">
      <w:pPr>
        <w:jc w:val="both"/>
      </w:pPr>
    </w:p>
    <w:p w:rsidR="008E3E75" w:rsidRPr="00006558" w:rsidRDefault="00CE6996" w:rsidP="00BC461F">
      <w:pPr>
        <w:jc w:val="both"/>
      </w:pPr>
      <w:r w:rsidRPr="00006558">
        <w:t xml:space="preserve">(4) </w:t>
      </w:r>
      <w:r w:rsidR="00355886" w:rsidRPr="00006558">
        <w:t xml:space="preserve">Soruşturma konusu ürünün dünya ihracat pazarının, 2014 yılında 2,1 milyar ABD Doları, 2015 yılında ise 2 milyar ABD Doları seviyesinde gerçekleştiği kaydedilmiştir. 2016 yılı dünya ihracat pazar değeri ise 1,8 milyar ABD Doları’dır. </w:t>
      </w:r>
      <w:r w:rsidR="00BC461F" w:rsidRPr="00006558">
        <w:t xml:space="preserve">Dünya ihracat pazarından ülkelerin aldıkları paylar incelendiğinde, önlem konusu ülkelerden </w:t>
      </w:r>
      <w:proofErr w:type="spellStart"/>
      <w:r w:rsidR="00BC461F" w:rsidRPr="00006558">
        <w:t>ÇHC’nin</w:t>
      </w:r>
      <w:proofErr w:type="spellEnd"/>
      <w:r w:rsidR="00BC461F" w:rsidRPr="00006558">
        <w:t xml:space="preserve"> dünya ihracat pazarından en fazla payı aldığı görülmektedir.</w:t>
      </w:r>
    </w:p>
    <w:p w:rsidR="00BC461F" w:rsidRPr="00006558" w:rsidRDefault="00BC461F" w:rsidP="00BC461F">
      <w:pPr>
        <w:jc w:val="both"/>
      </w:pPr>
    </w:p>
    <w:p w:rsidR="00971732" w:rsidRPr="00006558" w:rsidRDefault="00971732" w:rsidP="006D669C">
      <w:pPr>
        <w:pStyle w:val="ListeParagraf"/>
        <w:numPr>
          <w:ilvl w:val="0"/>
          <w:numId w:val="3"/>
        </w:numPr>
        <w:ind w:left="0" w:firstLine="0"/>
        <w:jc w:val="both"/>
      </w:pPr>
      <w:r w:rsidRPr="00006558">
        <w:t xml:space="preserve">ITC istatistiklerine göre, soruşturma konusu ülkelerden gerçekleşen ihracat verileri incelendiğinde, 2014-2016 döneminde söz konusu toplam altı ülkeden gerçekleşen ihracat FOB birim fiyatının dünya ortalama FOB ihraç birim fiyatının altında seyrettiği kaydedilmiştir. 2014 yılında dünya ortalama ihracat fiyatı 4.117 ABD Doları/Ton iken, bu ülkelerden </w:t>
      </w:r>
      <w:proofErr w:type="gramStart"/>
      <w:r w:rsidRPr="00006558">
        <w:t>gerçekleşen  ortalama</w:t>
      </w:r>
      <w:proofErr w:type="gramEnd"/>
      <w:r w:rsidRPr="00006558">
        <w:t xml:space="preserve"> FOB ihraç birim fiyatı 2.769 ABD Doları/Ton olarak kaydedilmiştir. 2016 yılında ise</w:t>
      </w:r>
    </w:p>
    <w:p w:rsidR="00971732" w:rsidRPr="00006558" w:rsidRDefault="00971732" w:rsidP="005E13FD">
      <w:pPr>
        <w:jc w:val="both"/>
      </w:pPr>
      <w:proofErr w:type="gramStart"/>
      <w:r w:rsidRPr="00006558">
        <w:t>dünya</w:t>
      </w:r>
      <w:proofErr w:type="gramEnd"/>
      <w:r w:rsidRPr="00006558">
        <w:t xml:space="preserve"> ortalama ihracat fiyatı 3.510 ABD Doları/Ton iken, soruşturma konusu toplam altı ülkeden gerçekleşen ortalama FOB ihraç birim fiyatı 2.268 ABD Doları/Ton olarak gerçekleşmiştir. Bu ülkelerden 2014-2016 döneminde Türkiye’ye gerçekleşen toplam ihracatın ortalama birim fiyatının, söz konusu ülkelerden dünyaya gerçekleştirilen ihracat birim fiyatından daha düşük olduğu gözlenmiştir. Buna göre, 2014 yılında soruşturma konusu ülkelerin dünyaya gerçekleştirdiği ortalama ihraç birim fiyatı 2.769 ABD Doları/Ton iken Türkiye’ye ihracatın birim fiyatı 2.042 ABD Doları/Ton olarak tespit edilmiştir. 2016 yılında ise soruşturma konusu ülkelerin dünyaya gerçekleştirdiği toplam ihracatın birim fiyatı 2.268 ABD Doları/Ton iken Türkiye’ye ihracatın birim fiyatı 1.814 ABD Doları/Ton olarak gerçekleşmiştir.</w:t>
      </w:r>
    </w:p>
    <w:p w:rsidR="00BC461F" w:rsidRPr="00006558" w:rsidRDefault="00BC461F" w:rsidP="00373F29">
      <w:pPr>
        <w:pStyle w:val="GvdeMetniGirintisi3"/>
      </w:pPr>
    </w:p>
    <w:p w:rsidR="00373F29" w:rsidRPr="00006558" w:rsidRDefault="00526EEC" w:rsidP="006D669C">
      <w:pPr>
        <w:pStyle w:val="GvdeMetniGirintisi3"/>
        <w:numPr>
          <w:ilvl w:val="0"/>
          <w:numId w:val="3"/>
        </w:numPr>
        <w:ind w:left="0" w:firstLine="0"/>
      </w:pPr>
      <w:proofErr w:type="gramStart"/>
      <w:r w:rsidRPr="00006558">
        <w:t xml:space="preserve">Bu raporun 3 </w:t>
      </w:r>
      <w:r w:rsidR="00C13F22" w:rsidRPr="00006558">
        <w:t xml:space="preserve">üncü </w:t>
      </w:r>
      <w:r w:rsidRPr="00006558">
        <w:t>bölümündeki</w:t>
      </w:r>
      <w:r w:rsidR="00C13F22" w:rsidRPr="00006558">
        <w:t xml:space="preserve"> tespitler ile birlikte değerlendirildiğinde </w:t>
      </w:r>
      <w:r w:rsidR="00BC461F" w:rsidRPr="00006558">
        <w:t xml:space="preserve">önlem konusu ülkelerdeki </w:t>
      </w:r>
      <w:r w:rsidR="00C13F22" w:rsidRPr="00006558">
        <w:t xml:space="preserve">üretici/ihracatçıların Türkiye pazarında yerleşik </w:t>
      </w:r>
      <w:r w:rsidR="00373F29" w:rsidRPr="00006558">
        <w:t>dağıtım ağına sahip oldukları bilinmekte olup boru bağlantı parçalarının temel kullanım alanları arasında inşaat sektörünün başı çektiği de dikkate alındığında, bu işkolunun faaliyetlerinden dolayı önlem konusu ürüne yönelik oluşan talep artışının soruşturma konusu ülkelerde yerleşik üretici ve ihracatçılar için cazip koşullar sunduğu değerlendirilmektedir.</w:t>
      </w:r>
      <w:proofErr w:type="gramEnd"/>
    </w:p>
    <w:p w:rsidR="002B22B0" w:rsidRPr="00006558" w:rsidRDefault="002B22B0" w:rsidP="00D44318">
      <w:pPr>
        <w:pStyle w:val="GvdeMetniGirintisi3"/>
        <w:ind w:left="0" w:firstLine="0"/>
      </w:pPr>
    </w:p>
    <w:p w:rsidR="001A76DD" w:rsidRPr="00006558" w:rsidRDefault="00805A07" w:rsidP="006D669C">
      <w:pPr>
        <w:pStyle w:val="GvdeMetniGirintisi3"/>
        <w:numPr>
          <w:ilvl w:val="0"/>
          <w:numId w:val="3"/>
        </w:numPr>
        <w:ind w:left="0" w:firstLine="0"/>
      </w:pPr>
      <w:r w:rsidRPr="00006558">
        <w:t>Ö</w:t>
      </w:r>
      <w:r w:rsidR="001A76DD" w:rsidRPr="00006558">
        <w:t xml:space="preserve">nlem konusu ürünün fiyata duyarlı olduğu </w:t>
      </w:r>
      <w:r w:rsidRPr="00006558">
        <w:t xml:space="preserve">dikkate alındığında, esas </w:t>
      </w:r>
      <w:r w:rsidR="001A76DD" w:rsidRPr="00006558">
        <w:t xml:space="preserve">soruşturmada ithalatçı firmaların </w:t>
      </w:r>
      <w:proofErr w:type="gramStart"/>
      <w:r w:rsidR="001A76DD" w:rsidRPr="00006558">
        <w:t>dampingli</w:t>
      </w:r>
      <w:proofErr w:type="gramEnd"/>
      <w:r w:rsidR="001A76DD" w:rsidRPr="00006558">
        <w:t xml:space="preserve"> ithalatı tercih etmelerindeki en önemli faktörlerden birinin kendileri için rekabet avantajı sağlayan düşük fiyat olduğu tespit edilmiştir. Yapılan bu tespit geçerliliğini sürdürmektedir.</w:t>
      </w:r>
    </w:p>
    <w:p w:rsidR="002B22B0" w:rsidRPr="00006558" w:rsidRDefault="002B22B0" w:rsidP="002B22B0">
      <w:pPr>
        <w:pStyle w:val="ListeParagraf"/>
      </w:pPr>
    </w:p>
    <w:p w:rsidR="00373F29" w:rsidRPr="00006558" w:rsidRDefault="005E13FD" w:rsidP="001A76DD">
      <w:pPr>
        <w:pStyle w:val="GvdeMetniGirintisi3"/>
        <w:spacing w:after="240"/>
        <w:ind w:left="0" w:firstLine="0"/>
      </w:pPr>
      <w:r>
        <w:lastRenderedPageBreak/>
        <w:t>(</w:t>
      </w:r>
      <w:r w:rsidR="00D44318">
        <w:t>8</w:t>
      </w:r>
      <w:r w:rsidR="00BC461F" w:rsidRPr="00006558">
        <w:t xml:space="preserve">) </w:t>
      </w:r>
      <w:r w:rsidR="00373F29" w:rsidRPr="00006558">
        <w:t xml:space="preserve">Çelik Boru İmalatçıları Derneği’nin Boru Sektörü Raporuna göre, </w:t>
      </w:r>
      <w:r w:rsidR="00AA3819" w:rsidRPr="00006558">
        <w:t>s</w:t>
      </w:r>
      <w:r w:rsidR="00373F29" w:rsidRPr="00006558">
        <w:t>oruşturma konusu ürüne yönelik talebin, boru imalatı ve yurtiçi satışlardaki artıştan etkilendiği de dikkate alındığında, 2014-2016 döneminde %24 oranında artan Türkiye çelik boru üretiminin boru bağlantı parçalarına olan talepte de artışa yol açtığı değerlendirilmiştir.</w:t>
      </w:r>
    </w:p>
    <w:p w:rsidR="009D662D" w:rsidRPr="00006558" w:rsidRDefault="00DF4E77" w:rsidP="00F217D8">
      <w:pPr>
        <w:jc w:val="both"/>
        <w:rPr>
          <w:b/>
        </w:rPr>
      </w:pPr>
      <w:r w:rsidRPr="00006558">
        <w:rPr>
          <w:b/>
        </w:rPr>
        <w:t>5</w:t>
      </w:r>
      <w:r w:rsidR="009D662D" w:rsidRPr="00006558">
        <w:rPr>
          <w:b/>
        </w:rPr>
        <w:t xml:space="preserve">.3 Zararın devamı veya yeniden meydana gelebilme ihtimaline ilişkin belirlemeler </w:t>
      </w:r>
    </w:p>
    <w:p w:rsidR="002B22B0" w:rsidRPr="00006558" w:rsidRDefault="009D662D" w:rsidP="002B22B0">
      <w:pPr>
        <w:pStyle w:val="GvdeMetniGirintisi3"/>
        <w:spacing w:after="240"/>
        <w:ind w:left="0" w:firstLine="0"/>
      </w:pPr>
      <w:proofErr w:type="gramStart"/>
      <w:r w:rsidRPr="00006558">
        <w:t>(</w:t>
      </w:r>
      <w:r w:rsidR="00D41ECC">
        <w:t>1</w:t>
      </w:r>
      <w:r w:rsidRPr="00006558">
        <w:t xml:space="preserve">) Bu </w:t>
      </w:r>
      <w:r w:rsidR="00400290" w:rsidRPr="00006558">
        <w:t>raporun</w:t>
      </w:r>
      <w:r w:rsidRPr="00006558">
        <w:t xml:space="preserve"> </w:t>
      </w:r>
      <w:r w:rsidR="000F798A" w:rsidRPr="00006558">
        <w:t xml:space="preserve">4.7 </w:t>
      </w:r>
      <w:r w:rsidR="00400290" w:rsidRPr="00006558">
        <w:t>ve 4.8</w:t>
      </w:r>
      <w:r w:rsidR="000F798A" w:rsidRPr="00006558">
        <w:t xml:space="preserve"> </w:t>
      </w:r>
      <w:r w:rsidR="00400290" w:rsidRPr="00006558">
        <w:t xml:space="preserve">inci </w:t>
      </w:r>
      <w:r w:rsidR="000F798A" w:rsidRPr="00006558">
        <w:t>alt başlıklarında da değerlendirildiği üzere,</w:t>
      </w:r>
      <w:r w:rsidRPr="00006558">
        <w:t xml:space="preserve"> yerli üretim dalının </w:t>
      </w:r>
      <w:r w:rsidR="006763CD" w:rsidRPr="00006558">
        <w:t xml:space="preserve">gözden geçirme döneminde soruşturma konusu üründe </w:t>
      </w:r>
      <w:r w:rsidR="002B22B0" w:rsidRPr="00006558">
        <w:t xml:space="preserve">yurtiçi satış miktarı artış hızının düştüğü, birim ticari maliyetin arttığı, yurtdışı satış miktarı ve ürün istihdamı gibi bazı ekonomik göstergelerin olumsuz seyir izlediği; firma geneli göstergeler olarak adlandırılan firma net satış değeri artış hızı, firma net kârı ve firma </w:t>
      </w:r>
      <w:proofErr w:type="spellStart"/>
      <w:r w:rsidR="002B22B0" w:rsidRPr="00006558">
        <w:t>özsermayesi</w:t>
      </w:r>
      <w:proofErr w:type="spellEnd"/>
      <w:r w:rsidR="002B22B0" w:rsidRPr="00006558">
        <w:t xml:space="preserve"> gibi göstergelerde bozulmalar yaşandığı tespit edilmiştir. </w:t>
      </w:r>
      <w:proofErr w:type="gramEnd"/>
    </w:p>
    <w:p w:rsidR="00D44950" w:rsidRDefault="00D41ECC" w:rsidP="00BC461F">
      <w:pPr>
        <w:pStyle w:val="GvdeMetniGirintisi3"/>
        <w:spacing w:after="240"/>
        <w:ind w:left="0" w:firstLine="0"/>
      </w:pPr>
      <w:r>
        <w:t>(2</w:t>
      </w:r>
      <w:r w:rsidR="00BC461F" w:rsidRPr="00006558">
        <w:t xml:space="preserve">) Yerli üretim dalının ekonomik göstergelerinin bütüncül olarak değerlendirilmesi neticesinde, firmanın </w:t>
      </w:r>
      <w:r w:rsidR="002B22B0" w:rsidRPr="00006558">
        <w:t xml:space="preserve">net satış değeri artış hızı, firma net kârı ve firma </w:t>
      </w:r>
      <w:proofErr w:type="spellStart"/>
      <w:r w:rsidR="002B22B0" w:rsidRPr="00006558">
        <w:t>özsermayesi</w:t>
      </w:r>
      <w:proofErr w:type="spellEnd"/>
      <w:r w:rsidR="002B22B0" w:rsidRPr="00006558">
        <w:t xml:space="preserve"> gibi göstergelerde bozulmalar yaşandığı; firmanın net satışlarının toplam değeri ve firma bilanço aktif büyüklüğü gibi göstergelerinin ise </w:t>
      </w:r>
      <w:r w:rsidR="00BC461F" w:rsidRPr="00006558">
        <w:t xml:space="preserve">olumlu bir seyir izlediği saptanmıştır. Söz konusu olumlu seyrin ortaya çıkmasında, meri önlemin etkili olduğu düşünülmektedir. </w:t>
      </w:r>
    </w:p>
    <w:p w:rsidR="00BC461F" w:rsidRDefault="00D41ECC" w:rsidP="00D44950">
      <w:pPr>
        <w:pStyle w:val="GvdeMetniGirintisi3"/>
        <w:ind w:left="0" w:firstLine="0"/>
      </w:pPr>
      <w:r>
        <w:t>(3</w:t>
      </w:r>
      <w:r w:rsidR="00D44950">
        <w:t xml:space="preserve">) </w:t>
      </w:r>
      <w:r w:rsidR="00D44950" w:rsidRPr="00765B7C">
        <w:t xml:space="preserve">Diğer taraftan, reel verilerle yerli üretim dalının yurtiçi satış miktarını 2014 yılından 2015 yılına geçişte %36 arttırırken; 2015 yılından 2016 yılına geçişte %4,4 arttırabildiği gözlemlenmiştir. Gözden geçirme döneminde yurtdışı satış miktarında ise önemli bir gerileme mevcuttur. Yerli üretim dalının soruşturma konusu üründeki kârlılığı, gözden geçirme döneminde olumlu bir seyir izlemiş olsa dahi; firmanın net kârında 2014-2016 döneminin tamamında görülen gerileme, yerli üretim dalının söz konusu gösterge ve bu gösterge ile bağlantılı diğer finansal unsurlar bakımından kırılgan bir yapı sergilediğini göstermektedir. </w:t>
      </w:r>
      <w:proofErr w:type="gramStart"/>
      <w:r w:rsidR="00D44950" w:rsidRPr="00765B7C">
        <w:t xml:space="preserve">Firma </w:t>
      </w:r>
      <w:proofErr w:type="spellStart"/>
      <w:r w:rsidR="00D44950" w:rsidRPr="00765B7C">
        <w:t>özsermayesinde</w:t>
      </w:r>
      <w:proofErr w:type="spellEnd"/>
      <w:r w:rsidR="00D44950" w:rsidRPr="00765B7C">
        <w:t xml:space="preserve"> yaşanan gerileme ile birlikte değerlendirildiğinde; mevcut önlemin yürürlükten kalkması halinde yurtiçi satış miktarının artış hızında yaşanan gerilemenin daha da belirgin hale geleceği ve firmanın mevcut satış seviyesini korumak için maliyet altı satışlara ağırlık vereceği; söz konusu durumun kârlılık ile bağlantılı diğer ekonomik göstergelerin de bozulmasına yol açacağı değerlendirilmiştir.</w:t>
      </w:r>
      <w:r w:rsidR="00D44950">
        <w:t xml:space="preserve"> </w:t>
      </w:r>
      <w:proofErr w:type="gramEnd"/>
      <w:r w:rsidR="00BC461F" w:rsidRPr="00006558">
        <w:t xml:space="preserve">Bu çerçevede, firmanın </w:t>
      </w:r>
      <w:r w:rsidR="002B22B0" w:rsidRPr="00006558">
        <w:t xml:space="preserve">söz konusu göstergelerinin, </w:t>
      </w:r>
      <w:r w:rsidR="00BC461F" w:rsidRPr="00006558">
        <w:t>meri önlemin yürürlükten kalkması halinde yerli üretim dalı üzerinde zararın yeniden oluşma haline iş</w:t>
      </w:r>
      <w:r w:rsidR="00D44950">
        <w:t>aret ettiği değerlendirilmiştir.</w:t>
      </w:r>
    </w:p>
    <w:p w:rsidR="00D41ECC" w:rsidRDefault="00D41ECC" w:rsidP="00D44950">
      <w:pPr>
        <w:pStyle w:val="GvdeMetniGirintisi3"/>
        <w:ind w:left="0" w:firstLine="0"/>
      </w:pPr>
    </w:p>
    <w:p w:rsidR="00D41ECC" w:rsidRPr="00714BAC" w:rsidRDefault="00D41ECC" w:rsidP="00D41ECC">
      <w:pPr>
        <w:pStyle w:val="GvdeMetniGirintisi3"/>
        <w:spacing w:after="240"/>
        <w:ind w:left="0" w:firstLine="0"/>
        <w:rPr>
          <w:szCs w:val="20"/>
        </w:rPr>
      </w:pPr>
      <w:r w:rsidRPr="00714BAC">
        <w:t xml:space="preserve">(4) Öte yandan mevcut duruma etki edebilecek “diğer etkenler” incelendiğinde, </w:t>
      </w:r>
      <w:r w:rsidRPr="00714BAC">
        <w:rPr>
          <w:szCs w:val="20"/>
        </w:rPr>
        <w:t xml:space="preserve">söz konusu ekonomik göstergelerdeki bozulmanın yurt içinde diğer üreticilerle olabilecek rekabet şartlarından kaynaklanmadığı; benzer ürünün imalat ve/veya tüketim biçiminde farklılığın yaşanmadığı ve diğer tüm etkenler dikkate alındığında; söz konusu etkenlerin, mevcut önlemin yürürlükten kalkması halinde </w:t>
      </w:r>
      <w:proofErr w:type="gramStart"/>
      <w:r w:rsidRPr="00714BAC">
        <w:rPr>
          <w:szCs w:val="20"/>
        </w:rPr>
        <w:t>dampingin</w:t>
      </w:r>
      <w:proofErr w:type="gramEnd"/>
      <w:r w:rsidRPr="00714BAC">
        <w:rPr>
          <w:szCs w:val="20"/>
        </w:rPr>
        <w:t xml:space="preserve"> ve zararın devam etmesi veya yeniden tekrarlaması ihtimaline ilişkin değerlendirmeyi zayıflatmadığı veya tümüyle geçersiz kılmadığı saptanmıştır.</w:t>
      </w:r>
    </w:p>
    <w:p w:rsidR="00164FF4" w:rsidRPr="00006558" w:rsidRDefault="00DF4E77" w:rsidP="008E4B08">
      <w:pPr>
        <w:jc w:val="both"/>
        <w:rPr>
          <w:b/>
          <w:caps/>
        </w:rPr>
      </w:pPr>
      <w:r w:rsidRPr="00006558">
        <w:rPr>
          <w:b/>
          <w:caps/>
        </w:rPr>
        <w:t>6</w:t>
      </w:r>
      <w:r w:rsidR="008E4B08" w:rsidRPr="00006558">
        <w:rPr>
          <w:b/>
          <w:caps/>
        </w:rPr>
        <w:t xml:space="preserve">. Genel </w:t>
      </w:r>
      <w:r w:rsidR="00164FF4" w:rsidRPr="00006558">
        <w:rPr>
          <w:b/>
          <w:caps/>
        </w:rPr>
        <w:t>Değerlendirme</w:t>
      </w:r>
      <w:r w:rsidR="008E4B08" w:rsidRPr="00006558">
        <w:rPr>
          <w:b/>
          <w:caps/>
        </w:rPr>
        <w:t xml:space="preserve"> ve Sonuç</w:t>
      </w:r>
    </w:p>
    <w:p w:rsidR="009D52FF" w:rsidRPr="00A25D8F" w:rsidRDefault="00164FF4" w:rsidP="009D52FF">
      <w:pPr>
        <w:tabs>
          <w:tab w:val="left" w:pos="566"/>
        </w:tabs>
        <w:spacing w:line="240" w:lineRule="exact"/>
        <w:jc w:val="both"/>
      </w:pPr>
      <w:r w:rsidRPr="00006558">
        <w:t xml:space="preserve">(1) </w:t>
      </w:r>
      <w:r w:rsidR="009D52FF" w:rsidRPr="00A25D8F">
        <w:t>Bu çerçevede, soruşturma neticesinde ulaşılan tespitleri değerlendiren Kurul’un</w:t>
      </w:r>
      <w:r w:rsidR="009D52FF" w:rsidRPr="00A25D8F">
        <w:rPr>
          <w:b/>
          <w:color w:val="0070C0"/>
        </w:rPr>
        <w:t xml:space="preserve"> </w:t>
      </w:r>
      <w:r w:rsidR="009D52FF" w:rsidRPr="00A25D8F">
        <w:t xml:space="preserve">kararı ve Ekonomi Bakanının onayı ile 22/5/2012 tarihli ve 28300 sayılı Resmi </w:t>
      </w:r>
      <w:proofErr w:type="spellStart"/>
      <w:r w:rsidR="009D52FF" w:rsidRPr="00A25D8F">
        <w:t>Gazete’de</w:t>
      </w:r>
      <w:proofErr w:type="spellEnd"/>
      <w:r w:rsidR="009D52FF" w:rsidRPr="00A25D8F">
        <w:t xml:space="preserve"> yayımlanan İthalatta Haksız Rekabetin Önlenmesine İlişkin Tebliğ (Tebliğ No: 2012/10) kapsamında </w:t>
      </w:r>
      <w:r w:rsidR="009D52FF">
        <w:t>uygulanan</w:t>
      </w:r>
      <w:r w:rsidR="009D52FF" w:rsidRPr="00A25D8F">
        <w:t xml:space="preserve"> önlemin mevcut haliyle uygulanmaya devam edilmesine karar verilmiştir. </w:t>
      </w:r>
    </w:p>
    <w:p w:rsidR="00F217D8" w:rsidRPr="00006558" w:rsidRDefault="00F217D8" w:rsidP="00F217D8">
      <w:pPr>
        <w:tabs>
          <w:tab w:val="left" w:pos="566"/>
        </w:tabs>
        <w:spacing w:line="240" w:lineRule="exact"/>
        <w:jc w:val="both"/>
      </w:pPr>
    </w:p>
    <w:p w:rsidR="002B22B0" w:rsidRDefault="002B22B0" w:rsidP="00F217D8">
      <w:pPr>
        <w:tabs>
          <w:tab w:val="left" w:pos="566"/>
        </w:tabs>
        <w:spacing w:line="240" w:lineRule="exact"/>
        <w:jc w:val="both"/>
      </w:pPr>
    </w:p>
    <w:p w:rsidR="003A59EB" w:rsidRDefault="003A59EB" w:rsidP="00F217D8">
      <w:pPr>
        <w:tabs>
          <w:tab w:val="left" w:pos="566"/>
        </w:tabs>
        <w:spacing w:line="240" w:lineRule="exact"/>
        <w:jc w:val="both"/>
      </w:pPr>
    </w:p>
    <w:p w:rsidR="00D658B0" w:rsidRDefault="00D658B0" w:rsidP="00F217D8">
      <w:pPr>
        <w:tabs>
          <w:tab w:val="left" w:pos="566"/>
        </w:tabs>
        <w:spacing w:line="240" w:lineRule="exact"/>
        <w:jc w:val="both"/>
      </w:pPr>
    </w:p>
    <w:p w:rsidR="00D658B0" w:rsidRDefault="00D658B0" w:rsidP="00F217D8">
      <w:pPr>
        <w:tabs>
          <w:tab w:val="left" w:pos="566"/>
        </w:tabs>
        <w:spacing w:line="240" w:lineRule="exact"/>
        <w:jc w:val="both"/>
      </w:pPr>
    </w:p>
    <w:p w:rsidR="00D658B0" w:rsidRDefault="00D658B0" w:rsidP="00F217D8">
      <w:pPr>
        <w:tabs>
          <w:tab w:val="left" w:pos="566"/>
        </w:tabs>
        <w:spacing w:line="240" w:lineRule="exact"/>
        <w:jc w:val="both"/>
      </w:pPr>
    </w:p>
    <w:p w:rsidR="003A59EB" w:rsidRPr="00006558" w:rsidRDefault="003A59EB" w:rsidP="00F217D8">
      <w:pPr>
        <w:tabs>
          <w:tab w:val="left" w:pos="566"/>
        </w:tabs>
        <w:spacing w:line="240" w:lineRule="exact"/>
        <w:jc w:val="both"/>
      </w:pPr>
    </w:p>
    <w:tbl>
      <w:tblPr>
        <w:tblW w:w="8960" w:type="dxa"/>
        <w:tblCellMar>
          <w:left w:w="0" w:type="dxa"/>
          <w:right w:w="0" w:type="dxa"/>
        </w:tblCellMar>
        <w:tblLook w:val="04A0" w:firstRow="1" w:lastRow="0" w:firstColumn="1" w:lastColumn="0" w:noHBand="0" w:noVBand="1"/>
      </w:tblPr>
      <w:tblGrid>
        <w:gridCol w:w="1015"/>
        <w:gridCol w:w="1115"/>
        <w:gridCol w:w="2045"/>
        <w:gridCol w:w="2511"/>
        <w:gridCol w:w="2274"/>
      </w:tblGrid>
      <w:tr w:rsidR="00006558" w:rsidRPr="00006558" w:rsidTr="00673477">
        <w:trPr>
          <w:trHeight w:val="17"/>
        </w:trPr>
        <w:tc>
          <w:tcPr>
            <w:tcW w:w="0" w:type="auto"/>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rPr>
                <w:sz w:val="20"/>
                <w:szCs w:val="20"/>
              </w:rPr>
            </w:pPr>
            <w:r w:rsidRPr="00006558">
              <w:rPr>
                <w:b/>
                <w:bCs/>
                <w:sz w:val="20"/>
                <w:szCs w:val="20"/>
              </w:rPr>
              <w:lastRenderedPageBreak/>
              <w:t>GTP</w:t>
            </w:r>
          </w:p>
        </w:tc>
        <w:tc>
          <w:tcPr>
            <w:tcW w:w="1115"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rPr>
                <w:sz w:val="20"/>
                <w:szCs w:val="20"/>
              </w:rPr>
            </w:pPr>
            <w:r w:rsidRPr="00006558">
              <w:rPr>
                <w:b/>
                <w:bCs/>
                <w:sz w:val="20"/>
                <w:szCs w:val="20"/>
              </w:rPr>
              <w:t>Eşya</w:t>
            </w:r>
          </w:p>
          <w:p w:rsidR="00B1186F" w:rsidRPr="00006558" w:rsidRDefault="00B1186F" w:rsidP="00673477">
            <w:pPr>
              <w:pStyle w:val="default0"/>
              <w:spacing w:before="0" w:beforeAutospacing="0" w:after="0" w:afterAutospacing="0" w:line="240" w:lineRule="atLeast"/>
              <w:rPr>
                <w:sz w:val="20"/>
                <w:szCs w:val="20"/>
              </w:rPr>
            </w:pPr>
            <w:r w:rsidRPr="00006558">
              <w:rPr>
                <w:b/>
                <w:bCs/>
                <w:sz w:val="20"/>
                <w:szCs w:val="20"/>
              </w:rPr>
              <w:t>Tanımı</w:t>
            </w:r>
          </w:p>
        </w:tc>
        <w:tc>
          <w:tcPr>
            <w:tcW w:w="2045"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rPr>
                <w:sz w:val="20"/>
                <w:szCs w:val="20"/>
              </w:rPr>
            </w:pPr>
            <w:r w:rsidRPr="00006558">
              <w:rPr>
                <w:b/>
                <w:bCs/>
                <w:sz w:val="20"/>
                <w:szCs w:val="20"/>
              </w:rPr>
              <w:t>Menşe Ülke</w:t>
            </w:r>
          </w:p>
        </w:tc>
        <w:tc>
          <w:tcPr>
            <w:tcW w:w="2511"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B1186F" w:rsidRPr="00006558" w:rsidRDefault="002E33F1" w:rsidP="00673477">
            <w:pPr>
              <w:pStyle w:val="default0"/>
              <w:spacing w:before="0" w:beforeAutospacing="0" w:after="0" w:afterAutospacing="0" w:line="240" w:lineRule="atLeast"/>
              <w:rPr>
                <w:sz w:val="20"/>
                <w:szCs w:val="20"/>
              </w:rPr>
            </w:pPr>
            <w:r>
              <w:rPr>
                <w:b/>
                <w:bCs/>
                <w:sz w:val="20"/>
                <w:szCs w:val="20"/>
              </w:rPr>
              <w:t>Firma Unvanı</w:t>
            </w:r>
          </w:p>
        </w:tc>
        <w:tc>
          <w:tcPr>
            <w:tcW w:w="2274" w:type="dxa"/>
            <w:tcBorders>
              <w:top w:val="single" w:sz="8" w:space="0" w:color="000000"/>
              <w:left w:val="nil"/>
              <w:bottom w:val="nil"/>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rPr>
                <w:sz w:val="20"/>
                <w:szCs w:val="20"/>
              </w:rPr>
            </w:pPr>
            <w:r w:rsidRPr="00006558">
              <w:rPr>
                <w:b/>
                <w:bCs/>
                <w:sz w:val="20"/>
                <w:szCs w:val="20"/>
              </w:rPr>
              <w:t>Dampinge Karşı Önlem</w:t>
            </w:r>
          </w:p>
        </w:tc>
      </w:tr>
      <w:tr w:rsidR="00006558" w:rsidRPr="00006558" w:rsidTr="00673477">
        <w:trPr>
          <w:trHeight w:val="1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B1186F" w:rsidRPr="00006558" w:rsidRDefault="00B1186F" w:rsidP="00673477">
            <w:pPr>
              <w:rPr>
                <w:sz w:val="20"/>
                <w:szCs w:val="20"/>
              </w:rPr>
            </w:pPr>
          </w:p>
        </w:tc>
        <w:tc>
          <w:tcPr>
            <w:tcW w:w="0" w:type="auto"/>
            <w:vMerge/>
            <w:tcBorders>
              <w:top w:val="single" w:sz="8" w:space="0" w:color="000000"/>
              <w:left w:val="nil"/>
              <w:bottom w:val="single" w:sz="8" w:space="0" w:color="000000"/>
              <w:right w:val="single" w:sz="8" w:space="0" w:color="000000"/>
            </w:tcBorders>
            <w:vAlign w:val="center"/>
            <w:hideMark/>
          </w:tcPr>
          <w:p w:rsidR="00B1186F" w:rsidRPr="00006558" w:rsidRDefault="00B1186F" w:rsidP="00673477">
            <w:pPr>
              <w:rPr>
                <w:sz w:val="20"/>
                <w:szCs w:val="20"/>
              </w:rPr>
            </w:pPr>
          </w:p>
        </w:tc>
        <w:tc>
          <w:tcPr>
            <w:tcW w:w="0" w:type="auto"/>
            <w:vMerge/>
            <w:tcBorders>
              <w:top w:val="single" w:sz="8" w:space="0" w:color="000000"/>
              <w:left w:val="nil"/>
              <w:bottom w:val="single" w:sz="8" w:space="0" w:color="000000"/>
              <w:right w:val="single" w:sz="8" w:space="0" w:color="000000"/>
            </w:tcBorders>
            <w:vAlign w:val="center"/>
            <w:hideMark/>
          </w:tcPr>
          <w:p w:rsidR="00B1186F" w:rsidRPr="00006558" w:rsidRDefault="00B1186F" w:rsidP="00673477">
            <w:pPr>
              <w:rPr>
                <w:sz w:val="20"/>
                <w:szCs w:val="20"/>
              </w:rPr>
            </w:pPr>
          </w:p>
        </w:tc>
        <w:tc>
          <w:tcPr>
            <w:tcW w:w="0" w:type="auto"/>
            <w:vMerge/>
            <w:tcBorders>
              <w:top w:val="single" w:sz="8" w:space="0" w:color="000000"/>
              <w:left w:val="nil"/>
              <w:bottom w:val="single" w:sz="8" w:space="0" w:color="000000"/>
              <w:right w:val="single" w:sz="8" w:space="0" w:color="000000"/>
            </w:tcBorders>
            <w:vAlign w:val="center"/>
            <w:hideMark/>
          </w:tcPr>
          <w:p w:rsidR="00B1186F" w:rsidRPr="00006558" w:rsidRDefault="00B1186F" w:rsidP="00673477">
            <w:pPr>
              <w:rPr>
                <w:sz w:val="20"/>
                <w:szCs w:val="20"/>
              </w:rPr>
            </w:pPr>
          </w:p>
        </w:tc>
        <w:tc>
          <w:tcPr>
            <w:tcW w:w="2274" w:type="dxa"/>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rPr>
                <w:sz w:val="20"/>
                <w:szCs w:val="20"/>
              </w:rPr>
            </w:pPr>
            <w:r w:rsidRPr="00006558">
              <w:rPr>
                <w:b/>
                <w:bCs/>
                <w:sz w:val="20"/>
                <w:szCs w:val="20"/>
              </w:rPr>
              <w:t>(ABD Doları/Ton)</w:t>
            </w:r>
          </w:p>
        </w:tc>
      </w:tr>
      <w:tr w:rsidR="00006558" w:rsidRPr="00006558" w:rsidTr="00673477">
        <w:trPr>
          <w:trHeight w:val="17"/>
        </w:trPr>
        <w:tc>
          <w:tcPr>
            <w:tcW w:w="0" w:type="auto"/>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B1186F" w:rsidRPr="00006558" w:rsidRDefault="00B1186F" w:rsidP="00673477">
            <w:pPr>
              <w:pStyle w:val="default0"/>
              <w:spacing w:before="0" w:beforeAutospacing="0" w:after="0" w:afterAutospacing="0" w:line="240" w:lineRule="atLeast"/>
              <w:jc w:val="center"/>
              <w:rPr>
                <w:sz w:val="20"/>
                <w:szCs w:val="20"/>
              </w:rPr>
            </w:pPr>
            <w:r w:rsidRPr="00006558">
              <w:rPr>
                <w:sz w:val="20"/>
                <w:szCs w:val="20"/>
              </w:rPr>
              <w:t>7307.19</w:t>
            </w:r>
          </w:p>
        </w:tc>
        <w:tc>
          <w:tcPr>
            <w:tcW w:w="1115" w:type="dxa"/>
            <w:vMerge w:val="restart"/>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B1186F" w:rsidRPr="00006558" w:rsidRDefault="00B1186F" w:rsidP="00673477">
            <w:pPr>
              <w:pStyle w:val="default0"/>
              <w:spacing w:before="0" w:beforeAutospacing="0" w:after="0" w:afterAutospacing="0" w:line="240" w:lineRule="atLeast"/>
              <w:jc w:val="center"/>
              <w:rPr>
                <w:sz w:val="20"/>
                <w:szCs w:val="20"/>
              </w:rPr>
            </w:pPr>
            <w:r w:rsidRPr="00006558">
              <w:rPr>
                <w:sz w:val="20"/>
                <w:szCs w:val="20"/>
              </w:rPr>
              <w:t>Diğerleri</w:t>
            </w:r>
          </w:p>
        </w:tc>
        <w:tc>
          <w:tcPr>
            <w:tcW w:w="2045" w:type="dxa"/>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rPr>
                <w:sz w:val="20"/>
                <w:szCs w:val="20"/>
              </w:rPr>
            </w:pPr>
            <w:r w:rsidRPr="00006558">
              <w:rPr>
                <w:sz w:val="20"/>
                <w:szCs w:val="20"/>
              </w:rPr>
              <w:t>Çin Halk Cumhuriyeti</w:t>
            </w:r>
          </w:p>
        </w:tc>
        <w:tc>
          <w:tcPr>
            <w:tcW w:w="2511" w:type="dxa"/>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2E33F1" w:rsidP="00673477">
            <w:pPr>
              <w:pStyle w:val="default0"/>
              <w:spacing w:before="0" w:beforeAutospacing="0" w:after="0" w:afterAutospacing="0" w:line="240" w:lineRule="atLeast"/>
              <w:rPr>
                <w:sz w:val="20"/>
                <w:szCs w:val="20"/>
              </w:rPr>
            </w:pPr>
            <w:r>
              <w:rPr>
                <w:sz w:val="20"/>
                <w:szCs w:val="20"/>
              </w:rPr>
              <w:t>Tüm firmalar</w:t>
            </w:r>
          </w:p>
        </w:tc>
        <w:tc>
          <w:tcPr>
            <w:tcW w:w="2274" w:type="dxa"/>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jc w:val="center"/>
              <w:rPr>
                <w:sz w:val="20"/>
                <w:szCs w:val="20"/>
              </w:rPr>
            </w:pPr>
            <w:r w:rsidRPr="00006558">
              <w:rPr>
                <w:sz w:val="20"/>
                <w:szCs w:val="20"/>
              </w:rPr>
              <w:t>800</w:t>
            </w:r>
          </w:p>
        </w:tc>
      </w:tr>
      <w:tr w:rsidR="00006558" w:rsidRPr="00006558" w:rsidTr="00673477">
        <w:trPr>
          <w:trHeight w:val="17"/>
        </w:trPr>
        <w:tc>
          <w:tcPr>
            <w:tcW w:w="0" w:type="auto"/>
            <w:vMerge/>
            <w:tcBorders>
              <w:top w:val="nil"/>
              <w:left w:val="single" w:sz="8" w:space="0" w:color="000000"/>
              <w:bottom w:val="single" w:sz="8" w:space="0" w:color="000000"/>
              <w:right w:val="single" w:sz="8" w:space="0" w:color="000000"/>
            </w:tcBorders>
            <w:vAlign w:val="center"/>
            <w:hideMark/>
          </w:tcPr>
          <w:p w:rsidR="00B1186F" w:rsidRPr="00006558" w:rsidRDefault="00B1186F" w:rsidP="00673477">
            <w:pPr>
              <w:rPr>
                <w:sz w:val="20"/>
                <w:szCs w:val="20"/>
              </w:rPr>
            </w:pPr>
          </w:p>
        </w:tc>
        <w:tc>
          <w:tcPr>
            <w:tcW w:w="0" w:type="auto"/>
            <w:vMerge/>
            <w:tcBorders>
              <w:top w:val="nil"/>
              <w:left w:val="nil"/>
              <w:bottom w:val="single" w:sz="8" w:space="0" w:color="000000"/>
              <w:right w:val="single" w:sz="8" w:space="0" w:color="000000"/>
            </w:tcBorders>
            <w:vAlign w:val="center"/>
            <w:hideMark/>
          </w:tcPr>
          <w:p w:rsidR="00B1186F" w:rsidRPr="00006558" w:rsidRDefault="00B1186F" w:rsidP="00673477">
            <w:pPr>
              <w:rPr>
                <w:sz w:val="20"/>
                <w:szCs w:val="20"/>
              </w:rPr>
            </w:pPr>
          </w:p>
        </w:tc>
        <w:tc>
          <w:tcPr>
            <w:tcW w:w="2045" w:type="dxa"/>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rPr>
                <w:sz w:val="20"/>
                <w:szCs w:val="20"/>
              </w:rPr>
            </w:pPr>
            <w:r w:rsidRPr="00006558">
              <w:rPr>
                <w:sz w:val="20"/>
                <w:szCs w:val="20"/>
              </w:rPr>
              <w:t>Brezilya</w:t>
            </w:r>
          </w:p>
        </w:tc>
        <w:tc>
          <w:tcPr>
            <w:tcW w:w="2511" w:type="dxa"/>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2E33F1" w:rsidP="00673477">
            <w:pPr>
              <w:pStyle w:val="default0"/>
              <w:spacing w:before="0" w:beforeAutospacing="0" w:after="0" w:afterAutospacing="0" w:line="240" w:lineRule="atLeast"/>
              <w:rPr>
                <w:sz w:val="20"/>
                <w:szCs w:val="20"/>
              </w:rPr>
            </w:pPr>
            <w:r>
              <w:rPr>
                <w:sz w:val="20"/>
                <w:szCs w:val="20"/>
              </w:rPr>
              <w:t>Tüm firmalar</w:t>
            </w:r>
          </w:p>
        </w:tc>
        <w:tc>
          <w:tcPr>
            <w:tcW w:w="2274" w:type="dxa"/>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jc w:val="center"/>
              <w:rPr>
                <w:sz w:val="20"/>
                <w:szCs w:val="20"/>
              </w:rPr>
            </w:pPr>
            <w:r w:rsidRPr="00006558">
              <w:rPr>
                <w:sz w:val="20"/>
                <w:szCs w:val="20"/>
              </w:rPr>
              <w:t>400</w:t>
            </w:r>
          </w:p>
        </w:tc>
      </w:tr>
      <w:tr w:rsidR="00006558" w:rsidRPr="00006558" w:rsidTr="00673477">
        <w:trPr>
          <w:trHeight w:val="17"/>
        </w:trPr>
        <w:tc>
          <w:tcPr>
            <w:tcW w:w="0" w:type="auto"/>
            <w:vMerge/>
            <w:tcBorders>
              <w:top w:val="nil"/>
              <w:left w:val="single" w:sz="8" w:space="0" w:color="000000"/>
              <w:bottom w:val="single" w:sz="8" w:space="0" w:color="000000"/>
              <w:right w:val="single" w:sz="8" w:space="0" w:color="000000"/>
            </w:tcBorders>
            <w:vAlign w:val="center"/>
            <w:hideMark/>
          </w:tcPr>
          <w:p w:rsidR="00B1186F" w:rsidRPr="00006558" w:rsidRDefault="00B1186F" w:rsidP="00673477">
            <w:pPr>
              <w:rPr>
                <w:sz w:val="20"/>
                <w:szCs w:val="20"/>
              </w:rPr>
            </w:pPr>
          </w:p>
        </w:tc>
        <w:tc>
          <w:tcPr>
            <w:tcW w:w="0" w:type="auto"/>
            <w:vMerge/>
            <w:tcBorders>
              <w:top w:val="nil"/>
              <w:left w:val="nil"/>
              <w:bottom w:val="single" w:sz="8" w:space="0" w:color="000000"/>
              <w:right w:val="single" w:sz="8" w:space="0" w:color="000000"/>
            </w:tcBorders>
            <w:vAlign w:val="center"/>
            <w:hideMark/>
          </w:tcPr>
          <w:p w:rsidR="00B1186F" w:rsidRPr="00006558" w:rsidRDefault="00B1186F" w:rsidP="00673477">
            <w:pPr>
              <w:rPr>
                <w:sz w:val="20"/>
                <w:szCs w:val="20"/>
              </w:rPr>
            </w:pPr>
          </w:p>
        </w:tc>
        <w:tc>
          <w:tcPr>
            <w:tcW w:w="2045" w:type="dxa"/>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rPr>
                <w:sz w:val="20"/>
                <w:szCs w:val="20"/>
              </w:rPr>
            </w:pPr>
            <w:r w:rsidRPr="00006558">
              <w:rPr>
                <w:sz w:val="20"/>
                <w:szCs w:val="20"/>
              </w:rPr>
              <w:t>Bulgaristan</w:t>
            </w:r>
          </w:p>
        </w:tc>
        <w:tc>
          <w:tcPr>
            <w:tcW w:w="2511" w:type="dxa"/>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2E33F1" w:rsidP="00673477">
            <w:pPr>
              <w:pStyle w:val="default0"/>
              <w:spacing w:before="0" w:beforeAutospacing="0" w:after="0" w:afterAutospacing="0" w:line="240" w:lineRule="atLeast"/>
              <w:rPr>
                <w:sz w:val="20"/>
                <w:szCs w:val="20"/>
              </w:rPr>
            </w:pPr>
            <w:r>
              <w:rPr>
                <w:sz w:val="20"/>
                <w:szCs w:val="20"/>
              </w:rPr>
              <w:t>Tüm firmalar</w:t>
            </w:r>
          </w:p>
        </w:tc>
        <w:tc>
          <w:tcPr>
            <w:tcW w:w="2274" w:type="dxa"/>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jc w:val="center"/>
              <w:rPr>
                <w:sz w:val="20"/>
                <w:szCs w:val="20"/>
              </w:rPr>
            </w:pPr>
            <w:r w:rsidRPr="00006558">
              <w:rPr>
                <w:sz w:val="20"/>
                <w:szCs w:val="20"/>
              </w:rPr>
              <w:t>400</w:t>
            </w:r>
          </w:p>
        </w:tc>
      </w:tr>
      <w:tr w:rsidR="00006558" w:rsidRPr="00006558" w:rsidTr="00673477">
        <w:trPr>
          <w:trHeight w:val="17"/>
        </w:trPr>
        <w:tc>
          <w:tcPr>
            <w:tcW w:w="0" w:type="auto"/>
            <w:vMerge/>
            <w:tcBorders>
              <w:top w:val="nil"/>
              <w:left w:val="single" w:sz="8" w:space="0" w:color="000000"/>
              <w:bottom w:val="single" w:sz="8" w:space="0" w:color="000000"/>
              <w:right w:val="single" w:sz="8" w:space="0" w:color="000000"/>
            </w:tcBorders>
            <w:vAlign w:val="center"/>
            <w:hideMark/>
          </w:tcPr>
          <w:p w:rsidR="00B1186F" w:rsidRPr="00006558" w:rsidRDefault="00B1186F" w:rsidP="00673477">
            <w:pPr>
              <w:rPr>
                <w:sz w:val="20"/>
                <w:szCs w:val="20"/>
              </w:rPr>
            </w:pPr>
          </w:p>
        </w:tc>
        <w:tc>
          <w:tcPr>
            <w:tcW w:w="0" w:type="auto"/>
            <w:vMerge/>
            <w:tcBorders>
              <w:top w:val="nil"/>
              <w:left w:val="nil"/>
              <w:bottom w:val="single" w:sz="8" w:space="0" w:color="000000"/>
              <w:right w:val="single" w:sz="8" w:space="0" w:color="000000"/>
            </w:tcBorders>
            <w:vAlign w:val="center"/>
            <w:hideMark/>
          </w:tcPr>
          <w:p w:rsidR="00B1186F" w:rsidRPr="00006558" w:rsidRDefault="00B1186F" w:rsidP="00673477">
            <w:pPr>
              <w:rPr>
                <w:sz w:val="20"/>
                <w:szCs w:val="20"/>
              </w:rPr>
            </w:pPr>
          </w:p>
        </w:tc>
        <w:tc>
          <w:tcPr>
            <w:tcW w:w="2045"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rPr>
                <w:sz w:val="20"/>
                <w:szCs w:val="20"/>
              </w:rPr>
            </w:pPr>
            <w:r w:rsidRPr="00006558">
              <w:rPr>
                <w:sz w:val="20"/>
                <w:szCs w:val="20"/>
              </w:rPr>
              <w:t>Endonezya</w:t>
            </w:r>
          </w:p>
        </w:tc>
        <w:tc>
          <w:tcPr>
            <w:tcW w:w="2511" w:type="dxa"/>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rPr>
                <w:sz w:val="20"/>
                <w:szCs w:val="20"/>
              </w:rPr>
            </w:pPr>
            <w:r w:rsidRPr="00006558">
              <w:rPr>
                <w:sz w:val="20"/>
                <w:szCs w:val="20"/>
              </w:rPr>
              <w:t>PT. TRI </w:t>
            </w:r>
            <w:r w:rsidRPr="00006558">
              <w:rPr>
                <w:rStyle w:val="spelle"/>
                <w:sz w:val="20"/>
                <w:szCs w:val="20"/>
              </w:rPr>
              <w:t>Sinar</w:t>
            </w:r>
          </w:p>
          <w:p w:rsidR="00B1186F" w:rsidRPr="00006558" w:rsidRDefault="00B1186F" w:rsidP="00673477">
            <w:pPr>
              <w:pStyle w:val="default0"/>
              <w:spacing w:before="0" w:beforeAutospacing="0" w:after="0" w:afterAutospacing="0" w:line="240" w:lineRule="atLeast"/>
              <w:rPr>
                <w:sz w:val="20"/>
                <w:szCs w:val="20"/>
              </w:rPr>
            </w:pPr>
            <w:proofErr w:type="spellStart"/>
            <w:r w:rsidRPr="00006558">
              <w:rPr>
                <w:rStyle w:val="spelle"/>
                <w:sz w:val="20"/>
                <w:szCs w:val="20"/>
              </w:rPr>
              <w:t>Purnama</w:t>
            </w:r>
            <w:proofErr w:type="spellEnd"/>
            <w:r w:rsidRPr="00006558">
              <w:rPr>
                <w:sz w:val="20"/>
                <w:szCs w:val="20"/>
              </w:rPr>
              <w:t> </w:t>
            </w:r>
            <w:proofErr w:type="spellStart"/>
            <w:r w:rsidRPr="00006558">
              <w:rPr>
                <w:rStyle w:val="spelle"/>
                <w:sz w:val="20"/>
                <w:szCs w:val="20"/>
              </w:rPr>
              <w:t>Foundry</w:t>
            </w:r>
            <w:proofErr w:type="spellEnd"/>
          </w:p>
        </w:tc>
        <w:tc>
          <w:tcPr>
            <w:tcW w:w="2274" w:type="dxa"/>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jc w:val="center"/>
              <w:rPr>
                <w:sz w:val="20"/>
                <w:szCs w:val="20"/>
              </w:rPr>
            </w:pPr>
            <w:r w:rsidRPr="00006558">
              <w:rPr>
                <w:sz w:val="20"/>
                <w:szCs w:val="20"/>
              </w:rPr>
              <w:t>253</w:t>
            </w:r>
          </w:p>
        </w:tc>
      </w:tr>
      <w:tr w:rsidR="00006558" w:rsidRPr="00006558" w:rsidTr="00673477">
        <w:trPr>
          <w:trHeight w:val="17"/>
        </w:trPr>
        <w:tc>
          <w:tcPr>
            <w:tcW w:w="0" w:type="auto"/>
            <w:vMerge/>
            <w:tcBorders>
              <w:top w:val="nil"/>
              <w:left w:val="single" w:sz="8" w:space="0" w:color="000000"/>
              <w:bottom w:val="single" w:sz="8" w:space="0" w:color="000000"/>
              <w:right w:val="single" w:sz="8" w:space="0" w:color="000000"/>
            </w:tcBorders>
            <w:vAlign w:val="center"/>
            <w:hideMark/>
          </w:tcPr>
          <w:p w:rsidR="00B1186F" w:rsidRPr="00006558" w:rsidRDefault="00B1186F" w:rsidP="00673477">
            <w:pPr>
              <w:rPr>
                <w:sz w:val="20"/>
                <w:szCs w:val="20"/>
              </w:rPr>
            </w:pPr>
          </w:p>
        </w:tc>
        <w:tc>
          <w:tcPr>
            <w:tcW w:w="0" w:type="auto"/>
            <w:vMerge/>
            <w:tcBorders>
              <w:top w:val="nil"/>
              <w:left w:val="nil"/>
              <w:bottom w:val="single" w:sz="8" w:space="0" w:color="000000"/>
              <w:right w:val="single" w:sz="8" w:space="0" w:color="000000"/>
            </w:tcBorders>
            <w:vAlign w:val="center"/>
            <w:hideMark/>
          </w:tcPr>
          <w:p w:rsidR="00B1186F" w:rsidRPr="00006558" w:rsidRDefault="00B1186F" w:rsidP="00673477">
            <w:pPr>
              <w:rPr>
                <w:sz w:val="20"/>
                <w:szCs w:val="20"/>
              </w:rPr>
            </w:pPr>
          </w:p>
        </w:tc>
        <w:tc>
          <w:tcPr>
            <w:tcW w:w="0" w:type="auto"/>
            <w:vMerge/>
            <w:tcBorders>
              <w:top w:val="nil"/>
              <w:left w:val="nil"/>
              <w:bottom w:val="single" w:sz="8" w:space="0" w:color="000000"/>
              <w:right w:val="single" w:sz="8" w:space="0" w:color="000000"/>
            </w:tcBorders>
            <w:vAlign w:val="center"/>
            <w:hideMark/>
          </w:tcPr>
          <w:p w:rsidR="00B1186F" w:rsidRPr="00006558" w:rsidRDefault="00B1186F" w:rsidP="00673477">
            <w:pPr>
              <w:rPr>
                <w:sz w:val="20"/>
                <w:szCs w:val="20"/>
              </w:rPr>
            </w:pPr>
          </w:p>
        </w:tc>
        <w:tc>
          <w:tcPr>
            <w:tcW w:w="2511" w:type="dxa"/>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rPr>
                <w:sz w:val="20"/>
                <w:szCs w:val="20"/>
              </w:rPr>
            </w:pPr>
            <w:r w:rsidRPr="00006558">
              <w:rPr>
                <w:sz w:val="20"/>
                <w:szCs w:val="20"/>
              </w:rPr>
              <w:t>Diğerleri</w:t>
            </w:r>
          </w:p>
        </w:tc>
        <w:tc>
          <w:tcPr>
            <w:tcW w:w="2274" w:type="dxa"/>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jc w:val="center"/>
              <w:rPr>
                <w:sz w:val="20"/>
                <w:szCs w:val="20"/>
              </w:rPr>
            </w:pPr>
            <w:r w:rsidRPr="00006558">
              <w:rPr>
                <w:sz w:val="20"/>
                <w:szCs w:val="20"/>
              </w:rPr>
              <w:t>400</w:t>
            </w:r>
          </w:p>
        </w:tc>
      </w:tr>
      <w:tr w:rsidR="00006558" w:rsidRPr="00006558" w:rsidTr="00673477">
        <w:trPr>
          <w:trHeight w:val="17"/>
        </w:trPr>
        <w:tc>
          <w:tcPr>
            <w:tcW w:w="0" w:type="auto"/>
            <w:vMerge/>
            <w:tcBorders>
              <w:top w:val="nil"/>
              <w:left w:val="single" w:sz="8" w:space="0" w:color="000000"/>
              <w:bottom w:val="single" w:sz="8" w:space="0" w:color="000000"/>
              <w:right w:val="single" w:sz="8" w:space="0" w:color="000000"/>
            </w:tcBorders>
            <w:vAlign w:val="center"/>
            <w:hideMark/>
          </w:tcPr>
          <w:p w:rsidR="00B1186F" w:rsidRPr="00006558" w:rsidRDefault="00B1186F" w:rsidP="00673477">
            <w:pPr>
              <w:rPr>
                <w:sz w:val="20"/>
                <w:szCs w:val="20"/>
              </w:rPr>
            </w:pPr>
          </w:p>
        </w:tc>
        <w:tc>
          <w:tcPr>
            <w:tcW w:w="0" w:type="auto"/>
            <w:vMerge/>
            <w:tcBorders>
              <w:top w:val="nil"/>
              <w:left w:val="nil"/>
              <w:bottom w:val="single" w:sz="8" w:space="0" w:color="000000"/>
              <w:right w:val="single" w:sz="8" w:space="0" w:color="000000"/>
            </w:tcBorders>
            <w:vAlign w:val="center"/>
            <w:hideMark/>
          </w:tcPr>
          <w:p w:rsidR="00B1186F" w:rsidRPr="00006558" w:rsidRDefault="00B1186F" w:rsidP="00673477">
            <w:pPr>
              <w:rPr>
                <w:sz w:val="20"/>
                <w:szCs w:val="20"/>
              </w:rPr>
            </w:pPr>
          </w:p>
        </w:tc>
        <w:tc>
          <w:tcPr>
            <w:tcW w:w="2045"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rPr>
                <w:sz w:val="20"/>
                <w:szCs w:val="20"/>
              </w:rPr>
            </w:pPr>
            <w:r w:rsidRPr="00006558">
              <w:rPr>
                <w:sz w:val="20"/>
                <w:szCs w:val="20"/>
              </w:rPr>
              <w:t>Hindistan</w:t>
            </w:r>
          </w:p>
        </w:tc>
        <w:tc>
          <w:tcPr>
            <w:tcW w:w="2511" w:type="dxa"/>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rPr>
                <w:sz w:val="20"/>
                <w:szCs w:val="20"/>
              </w:rPr>
            </w:pPr>
            <w:proofErr w:type="spellStart"/>
            <w:r w:rsidRPr="00006558">
              <w:rPr>
                <w:rStyle w:val="spelle"/>
                <w:sz w:val="20"/>
                <w:szCs w:val="20"/>
              </w:rPr>
              <w:t>Jainsons</w:t>
            </w:r>
            <w:proofErr w:type="spellEnd"/>
            <w:r w:rsidRPr="00006558">
              <w:rPr>
                <w:sz w:val="20"/>
                <w:szCs w:val="20"/>
              </w:rPr>
              <w:t> </w:t>
            </w:r>
            <w:proofErr w:type="spellStart"/>
            <w:r w:rsidRPr="00006558">
              <w:rPr>
                <w:rStyle w:val="spelle"/>
                <w:sz w:val="20"/>
                <w:szCs w:val="20"/>
              </w:rPr>
              <w:t>Industries</w:t>
            </w:r>
            <w:proofErr w:type="spellEnd"/>
          </w:p>
        </w:tc>
        <w:tc>
          <w:tcPr>
            <w:tcW w:w="2274" w:type="dxa"/>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jc w:val="center"/>
              <w:rPr>
                <w:sz w:val="20"/>
                <w:szCs w:val="20"/>
              </w:rPr>
            </w:pPr>
            <w:r w:rsidRPr="00006558">
              <w:rPr>
                <w:sz w:val="20"/>
                <w:szCs w:val="20"/>
              </w:rPr>
              <w:t>305</w:t>
            </w:r>
          </w:p>
        </w:tc>
      </w:tr>
      <w:tr w:rsidR="00006558" w:rsidRPr="00006558" w:rsidTr="00673477">
        <w:trPr>
          <w:trHeight w:val="17"/>
        </w:trPr>
        <w:tc>
          <w:tcPr>
            <w:tcW w:w="0" w:type="auto"/>
            <w:vMerge/>
            <w:tcBorders>
              <w:top w:val="nil"/>
              <w:left w:val="single" w:sz="8" w:space="0" w:color="000000"/>
              <w:bottom w:val="single" w:sz="8" w:space="0" w:color="000000"/>
              <w:right w:val="single" w:sz="8" w:space="0" w:color="000000"/>
            </w:tcBorders>
            <w:vAlign w:val="center"/>
            <w:hideMark/>
          </w:tcPr>
          <w:p w:rsidR="00B1186F" w:rsidRPr="00006558" w:rsidRDefault="00B1186F" w:rsidP="00673477">
            <w:pPr>
              <w:rPr>
                <w:sz w:val="20"/>
                <w:szCs w:val="20"/>
              </w:rPr>
            </w:pPr>
          </w:p>
        </w:tc>
        <w:tc>
          <w:tcPr>
            <w:tcW w:w="0" w:type="auto"/>
            <w:vMerge/>
            <w:tcBorders>
              <w:top w:val="nil"/>
              <w:left w:val="nil"/>
              <w:bottom w:val="single" w:sz="8" w:space="0" w:color="000000"/>
              <w:right w:val="single" w:sz="8" w:space="0" w:color="000000"/>
            </w:tcBorders>
            <w:vAlign w:val="center"/>
            <w:hideMark/>
          </w:tcPr>
          <w:p w:rsidR="00B1186F" w:rsidRPr="00006558" w:rsidRDefault="00B1186F" w:rsidP="00673477">
            <w:pPr>
              <w:rPr>
                <w:sz w:val="20"/>
                <w:szCs w:val="20"/>
              </w:rPr>
            </w:pPr>
          </w:p>
        </w:tc>
        <w:tc>
          <w:tcPr>
            <w:tcW w:w="0" w:type="auto"/>
            <w:vMerge/>
            <w:tcBorders>
              <w:top w:val="nil"/>
              <w:left w:val="nil"/>
              <w:bottom w:val="single" w:sz="8" w:space="0" w:color="000000"/>
              <w:right w:val="single" w:sz="8" w:space="0" w:color="000000"/>
            </w:tcBorders>
            <w:vAlign w:val="center"/>
            <w:hideMark/>
          </w:tcPr>
          <w:p w:rsidR="00B1186F" w:rsidRPr="00006558" w:rsidRDefault="00B1186F" w:rsidP="00673477">
            <w:pPr>
              <w:rPr>
                <w:sz w:val="20"/>
                <w:szCs w:val="20"/>
              </w:rPr>
            </w:pPr>
          </w:p>
        </w:tc>
        <w:tc>
          <w:tcPr>
            <w:tcW w:w="2511" w:type="dxa"/>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rPr>
                <w:sz w:val="20"/>
                <w:szCs w:val="20"/>
              </w:rPr>
            </w:pPr>
            <w:r w:rsidRPr="00006558">
              <w:rPr>
                <w:sz w:val="20"/>
                <w:szCs w:val="20"/>
              </w:rPr>
              <w:t>Diğerleri</w:t>
            </w:r>
          </w:p>
        </w:tc>
        <w:tc>
          <w:tcPr>
            <w:tcW w:w="2274" w:type="dxa"/>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jc w:val="center"/>
              <w:rPr>
                <w:sz w:val="20"/>
                <w:szCs w:val="20"/>
              </w:rPr>
            </w:pPr>
            <w:r w:rsidRPr="00006558">
              <w:rPr>
                <w:sz w:val="20"/>
                <w:szCs w:val="20"/>
              </w:rPr>
              <w:t>400</w:t>
            </w:r>
          </w:p>
        </w:tc>
      </w:tr>
      <w:tr w:rsidR="00006558" w:rsidRPr="00006558" w:rsidTr="00673477">
        <w:trPr>
          <w:trHeight w:val="17"/>
        </w:trPr>
        <w:tc>
          <w:tcPr>
            <w:tcW w:w="0" w:type="auto"/>
            <w:vMerge/>
            <w:tcBorders>
              <w:top w:val="nil"/>
              <w:left w:val="single" w:sz="8" w:space="0" w:color="000000"/>
              <w:bottom w:val="single" w:sz="8" w:space="0" w:color="000000"/>
              <w:right w:val="single" w:sz="8" w:space="0" w:color="000000"/>
            </w:tcBorders>
            <w:vAlign w:val="center"/>
            <w:hideMark/>
          </w:tcPr>
          <w:p w:rsidR="00B1186F" w:rsidRPr="00006558" w:rsidRDefault="00B1186F" w:rsidP="00673477">
            <w:pPr>
              <w:rPr>
                <w:sz w:val="20"/>
                <w:szCs w:val="20"/>
              </w:rPr>
            </w:pPr>
          </w:p>
        </w:tc>
        <w:tc>
          <w:tcPr>
            <w:tcW w:w="0" w:type="auto"/>
            <w:vMerge/>
            <w:tcBorders>
              <w:top w:val="nil"/>
              <w:left w:val="nil"/>
              <w:bottom w:val="single" w:sz="8" w:space="0" w:color="000000"/>
              <w:right w:val="single" w:sz="8" w:space="0" w:color="000000"/>
            </w:tcBorders>
            <w:vAlign w:val="center"/>
            <w:hideMark/>
          </w:tcPr>
          <w:p w:rsidR="00B1186F" w:rsidRPr="00006558" w:rsidRDefault="00B1186F" w:rsidP="00673477">
            <w:pPr>
              <w:rPr>
                <w:sz w:val="20"/>
                <w:szCs w:val="20"/>
              </w:rPr>
            </w:pPr>
          </w:p>
        </w:tc>
        <w:tc>
          <w:tcPr>
            <w:tcW w:w="2045" w:type="dxa"/>
            <w:vMerge w:val="restart"/>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rPr>
                <w:sz w:val="20"/>
                <w:szCs w:val="20"/>
              </w:rPr>
            </w:pPr>
            <w:r w:rsidRPr="00006558">
              <w:rPr>
                <w:sz w:val="20"/>
                <w:szCs w:val="20"/>
              </w:rPr>
              <w:t>Tayland</w:t>
            </w:r>
          </w:p>
        </w:tc>
        <w:tc>
          <w:tcPr>
            <w:tcW w:w="2511" w:type="dxa"/>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rPr>
                <w:sz w:val="20"/>
                <w:szCs w:val="20"/>
              </w:rPr>
            </w:pPr>
            <w:r w:rsidRPr="00006558">
              <w:rPr>
                <w:sz w:val="20"/>
                <w:szCs w:val="20"/>
              </w:rPr>
              <w:t>BIS </w:t>
            </w:r>
            <w:proofErr w:type="spellStart"/>
            <w:r w:rsidRPr="00006558">
              <w:rPr>
                <w:rStyle w:val="spelle"/>
                <w:sz w:val="20"/>
                <w:szCs w:val="20"/>
              </w:rPr>
              <w:t>Pipe</w:t>
            </w:r>
            <w:proofErr w:type="spellEnd"/>
            <w:r w:rsidRPr="00006558">
              <w:rPr>
                <w:sz w:val="20"/>
                <w:szCs w:val="20"/>
              </w:rPr>
              <w:t> </w:t>
            </w:r>
            <w:proofErr w:type="spellStart"/>
            <w:r w:rsidRPr="00006558">
              <w:rPr>
                <w:rStyle w:val="spelle"/>
                <w:sz w:val="20"/>
                <w:szCs w:val="20"/>
              </w:rPr>
              <w:t>Fitting</w:t>
            </w:r>
            <w:proofErr w:type="spellEnd"/>
          </w:p>
          <w:p w:rsidR="00B1186F" w:rsidRPr="00006558" w:rsidRDefault="00B1186F" w:rsidP="00673477">
            <w:pPr>
              <w:pStyle w:val="default0"/>
              <w:spacing w:before="0" w:beforeAutospacing="0" w:after="0" w:afterAutospacing="0" w:line="240" w:lineRule="atLeast"/>
              <w:rPr>
                <w:sz w:val="20"/>
                <w:szCs w:val="20"/>
              </w:rPr>
            </w:pPr>
            <w:proofErr w:type="spellStart"/>
            <w:r w:rsidRPr="00006558">
              <w:rPr>
                <w:rStyle w:val="spelle"/>
                <w:sz w:val="20"/>
                <w:szCs w:val="20"/>
              </w:rPr>
              <w:t>Industry</w:t>
            </w:r>
            <w:proofErr w:type="spellEnd"/>
            <w:r w:rsidRPr="00006558">
              <w:rPr>
                <w:sz w:val="20"/>
                <w:szCs w:val="20"/>
              </w:rPr>
              <w:t> </w:t>
            </w:r>
            <w:proofErr w:type="spellStart"/>
            <w:r w:rsidRPr="00006558">
              <w:rPr>
                <w:rStyle w:val="spelle"/>
                <w:sz w:val="20"/>
                <w:szCs w:val="20"/>
              </w:rPr>
              <w:t>Company</w:t>
            </w:r>
            <w:proofErr w:type="spellEnd"/>
            <w:r w:rsidRPr="00006558">
              <w:rPr>
                <w:sz w:val="20"/>
                <w:szCs w:val="20"/>
              </w:rPr>
              <w:t> Ltd.</w:t>
            </w:r>
          </w:p>
        </w:tc>
        <w:tc>
          <w:tcPr>
            <w:tcW w:w="2274" w:type="dxa"/>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jc w:val="center"/>
              <w:rPr>
                <w:sz w:val="20"/>
                <w:szCs w:val="20"/>
              </w:rPr>
            </w:pPr>
            <w:r w:rsidRPr="00006558">
              <w:rPr>
                <w:sz w:val="20"/>
                <w:szCs w:val="20"/>
              </w:rPr>
              <w:t>147</w:t>
            </w:r>
          </w:p>
        </w:tc>
      </w:tr>
      <w:tr w:rsidR="00B1186F" w:rsidRPr="00006558" w:rsidTr="00673477">
        <w:trPr>
          <w:trHeight w:val="17"/>
        </w:trPr>
        <w:tc>
          <w:tcPr>
            <w:tcW w:w="0" w:type="auto"/>
            <w:vMerge/>
            <w:tcBorders>
              <w:top w:val="nil"/>
              <w:left w:val="single" w:sz="8" w:space="0" w:color="000000"/>
              <w:bottom w:val="single" w:sz="8" w:space="0" w:color="000000"/>
              <w:right w:val="single" w:sz="8" w:space="0" w:color="000000"/>
            </w:tcBorders>
            <w:vAlign w:val="center"/>
            <w:hideMark/>
          </w:tcPr>
          <w:p w:rsidR="00B1186F" w:rsidRPr="00006558" w:rsidRDefault="00B1186F" w:rsidP="00673477">
            <w:pPr>
              <w:rPr>
                <w:sz w:val="20"/>
                <w:szCs w:val="20"/>
              </w:rPr>
            </w:pPr>
          </w:p>
        </w:tc>
        <w:tc>
          <w:tcPr>
            <w:tcW w:w="0" w:type="auto"/>
            <w:vMerge/>
            <w:tcBorders>
              <w:top w:val="nil"/>
              <w:left w:val="nil"/>
              <w:bottom w:val="single" w:sz="8" w:space="0" w:color="000000"/>
              <w:right w:val="single" w:sz="8" w:space="0" w:color="000000"/>
            </w:tcBorders>
            <w:vAlign w:val="center"/>
            <w:hideMark/>
          </w:tcPr>
          <w:p w:rsidR="00B1186F" w:rsidRPr="00006558" w:rsidRDefault="00B1186F" w:rsidP="00673477">
            <w:pPr>
              <w:rPr>
                <w:sz w:val="20"/>
                <w:szCs w:val="20"/>
              </w:rPr>
            </w:pPr>
          </w:p>
        </w:tc>
        <w:tc>
          <w:tcPr>
            <w:tcW w:w="0" w:type="auto"/>
            <w:vMerge/>
            <w:tcBorders>
              <w:top w:val="nil"/>
              <w:left w:val="nil"/>
              <w:bottom w:val="single" w:sz="8" w:space="0" w:color="000000"/>
              <w:right w:val="single" w:sz="8" w:space="0" w:color="000000"/>
            </w:tcBorders>
            <w:vAlign w:val="center"/>
            <w:hideMark/>
          </w:tcPr>
          <w:p w:rsidR="00B1186F" w:rsidRPr="00006558" w:rsidRDefault="00B1186F" w:rsidP="00673477">
            <w:pPr>
              <w:rPr>
                <w:sz w:val="20"/>
                <w:szCs w:val="20"/>
              </w:rPr>
            </w:pPr>
          </w:p>
        </w:tc>
        <w:tc>
          <w:tcPr>
            <w:tcW w:w="2511" w:type="dxa"/>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rPr>
                <w:sz w:val="20"/>
                <w:szCs w:val="20"/>
              </w:rPr>
            </w:pPr>
            <w:r w:rsidRPr="00006558">
              <w:rPr>
                <w:sz w:val="20"/>
                <w:szCs w:val="20"/>
              </w:rPr>
              <w:t>Diğerleri</w:t>
            </w:r>
          </w:p>
        </w:tc>
        <w:tc>
          <w:tcPr>
            <w:tcW w:w="2274" w:type="dxa"/>
            <w:tcBorders>
              <w:top w:val="nil"/>
              <w:left w:val="nil"/>
              <w:bottom w:val="single" w:sz="8" w:space="0" w:color="000000"/>
              <w:right w:val="single" w:sz="8" w:space="0" w:color="000000"/>
            </w:tcBorders>
            <w:tcMar>
              <w:top w:w="0" w:type="dxa"/>
              <w:left w:w="108" w:type="dxa"/>
              <w:bottom w:w="0" w:type="dxa"/>
              <w:right w:w="108" w:type="dxa"/>
            </w:tcMar>
            <w:hideMark/>
          </w:tcPr>
          <w:p w:rsidR="00B1186F" w:rsidRPr="00006558" w:rsidRDefault="00B1186F" w:rsidP="00673477">
            <w:pPr>
              <w:pStyle w:val="default0"/>
              <w:spacing w:before="0" w:beforeAutospacing="0" w:after="0" w:afterAutospacing="0" w:line="240" w:lineRule="atLeast"/>
              <w:jc w:val="center"/>
              <w:rPr>
                <w:sz w:val="20"/>
                <w:szCs w:val="20"/>
              </w:rPr>
            </w:pPr>
            <w:r w:rsidRPr="00006558">
              <w:rPr>
                <w:sz w:val="20"/>
                <w:szCs w:val="20"/>
              </w:rPr>
              <w:t>400</w:t>
            </w:r>
          </w:p>
        </w:tc>
      </w:tr>
    </w:tbl>
    <w:p w:rsidR="00F217D8" w:rsidRPr="00006558" w:rsidRDefault="00F217D8" w:rsidP="00F217D8">
      <w:pPr>
        <w:tabs>
          <w:tab w:val="left" w:pos="566"/>
        </w:tabs>
        <w:spacing w:line="240" w:lineRule="exact"/>
        <w:jc w:val="center"/>
      </w:pPr>
    </w:p>
    <w:p w:rsidR="00164FF4" w:rsidRPr="00006558" w:rsidRDefault="00164FF4" w:rsidP="00F217D8">
      <w:pPr>
        <w:jc w:val="both"/>
        <w:rPr>
          <w:bCs/>
        </w:rPr>
      </w:pPr>
    </w:p>
    <w:sectPr w:rsidR="00164FF4" w:rsidRPr="00006558" w:rsidSect="00057562">
      <w:headerReference w:type="first" r:id="rId8"/>
      <w:footerReference w:type="first" r:id="rId9"/>
      <w:pgSz w:w="11906" w:h="16838" w:code="9"/>
      <w:pgMar w:top="851" w:right="1418" w:bottom="1418" w:left="1418" w:header="851" w:footer="851"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3069" w:rsidRDefault="00203069">
      <w:r>
        <w:separator/>
      </w:r>
    </w:p>
  </w:endnote>
  <w:endnote w:type="continuationSeparator" w:id="0">
    <w:p w:rsidR="00203069" w:rsidRDefault="00203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A2"/>
    <w:family w:val="swiss"/>
    <w:pitch w:val="variable"/>
    <w:sig w:usb0="E0002AFF" w:usb1="C000247B" w:usb2="00000009" w:usb3="00000000" w:csb0="000001FF" w:csb1="00000000"/>
  </w:font>
  <w:font w:name="Calibri">
    <w:panose1 w:val="020F05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0EB9" w:rsidRDefault="00400EB9" w:rsidP="00BD4724">
    <w:pPr>
      <w:pStyle w:val="Altbilgi"/>
      <w:tabs>
        <w:tab w:val="clear" w:pos="4536"/>
        <w:tab w:val="clear" w:pos="9072"/>
        <w:tab w:val="left" w:pos="9529"/>
      </w:tabs>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3069" w:rsidRDefault="00203069">
      <w:r>
        <w:separator/>
      </w:r>
    </w:p>
  </w:footnote>
  <w:footnote w:type="continuationSeparator" w:id="0">
    <w:p w:rsidR="00203069" w:rsidRDefault="002030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0EB9" w:rsidRDefault="00400EB9">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BB07F8"/>
    <w:multiLevelType w:val="hybridMultilevel"/>
    <w:tmpl w:val="21D2CD5A"/>
    <w:lvl w:ilvl="0" w:tplc="0F1AAFC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F520F7E"/>
    <w:multiLevelType w:val="multilevel"/>
    <w:tmpl w:val="14D0CD3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A7A5F0C"/>
    <w:multiLevelType w:val="hybridMultilevel"/>
    <w:tmpl w:val="1652C73E"/>
    <w:lvl w:ilvl="0" w:tplc="F9387586">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gutterAtTop/>
  <w:hideGrammaticalErrors/>
  <w:proofState w:spelling="clean" w:grammar="clean"/>
  <w:defaultTabStop w:val="357"/>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201"/>
    <w:rsid w:val="00000ED5"/>
    <w:rsid w:val="00000FA3"/>
    <w:rsid w:val="00001490"/>
    <w:rsid w:val="000014DA"/>
    <w:rsid w:val="00002DAA"/>
    <w:rsid w:val="0000430C"/>
    <w:rsid w:val="0000641A"/>
    <w:rsid w:val="00006558"/>
    <w:rsid w:val="00006960"/>
    <w:rsid w:val="00006D5A"/>
    <w:rsid w:val="00006DAD"/>
    <w:rsid w:val="000128DC"/>
    <w:rsid w:val="0001506B"/>
    <w:rsid w:val="000157F2"/>
    <w:rsid w:val="0001582F"/>
    <w:rsid w:val="0001665D"/>
    <w:rsid w:val="000170E8"/>
    <w:rsid w:val="0001715A"/>
    <w:rsid w:val="000174E6"/>
    <w:rsid w:val="00017BAE"/>
    <w:rsid w:val="00017E31"/>
    <w:rsid w:val="000207DA"/>
    <w:rsid w:val="00021A58"/>
    <w:rsid w:val="00022BE4"/>
    <w:rsid w:val="00022FA6"/>
    <w:rsid w:val="00023BCC"/>
    <w:rsid w:val="0002593D"/>
    <w:rsid w:val="00026DA8"/>
    <w:rsid w:val="00030BAE"/>
    <w:rsid w:val="00031B8C"/>
    <w:rsid w:val="00031EF4"/>
    <w:rsid w:val="00032151"/>
    <w:rsid w:val="00032B72"/>
    <w:rsid w:val="00032D04"/>
    <w:rsid w:val="000335FA"/>
    <w:rsid w:val="000347DC"/>
    <w:rsid w:val="00034C6B"/>
    <w:rsid w:val="00036684"/>
    <w:rsid w:val="0003698B"/>
    <w:rsid w:val="0003701D"/>
    <w:rsid w:val="0003706C"/>
    <w:rsid w:val="000373A2"/>
    <w:rsid w:val="000379D3"/>
    <w:rsid w:val="00040079"/>
    <w:rsid w:val="00040B60"/>
    <w:rsid w:val="00040D20"/>
    <w:rsid w:val="000424D9"/>
    <w:rsid w:val="00042B13"/>
    <w:rsid w:val="00042B99"/>
    <w:rsid w:val="00043991"/>
    <w:rsid w:val="00043B65"/>
    <w:rsid w:val="000446CD"/>
    <w:rsid w:val="00045065"/>
    <w:rsid w:val="000460DF"/>
    <w:rsid w:val="00050A1E"/>
    <w:rsid w:val="00051130"/>
    <w:rsid w:val="000513CD"/>
    <w:rsid w:val="00051791"/>
    <w:rsid w:val="0005360C"/>
    <w:rsid w:val="00054177"/>
    <w:rsid w:val="00055C84"/>
    <w:rsid w:val="00055EEA"/>
    <w:rsid w:val="00057562"/>
    <w:rsid w:val="000579FB"/>
    <w:rsid w:val="000602BD"/>
    <w:rsid w:val="000617D3"/>
    <w:rsid w:val="00063E39"/>
    <w:rsid w:val="00067354"/>
    <w:rsid w:val="00067D03"/>
    <w:rsid w:val="000711C0"/>
    <w:rsid w:val="000718D3"/>
    <w:rsid w:val="00071E18"/>
    <w:rsid w:val="00071EDF"/>
    <w:rsid w:val="00074808"/>
    <w:rsid w:val="000753C7"/>
    <w:rsid w:val="00075D14"/>
    <w:rsid w:val="0007770D"/>
    <w:rsid w:val="00077816"/>
    <w:rsid w:val="00077966"/>
    <w:rsid w:val="0008027C"/>
    <w:rsid w:val="000808EC"/>
    <w:rsid w:val="00081948"/>
    <w:rsid w:val="00083ABC"/>
    <w:rsid w:val="00083D4C"/>
    <w:rsid w:val="0008559E"/>
    <w:rsid w:val="000856D7"/>
    <w:rsid w:val="000865CB"/>
    <w:rsid w:val="00086F2F"/>
    <w:rsid w:val="0008759A"/>
    <w:rsid w:val="0008766D"/>
    <w:rsid w:val="00087A36"/>
    <w:rsid w:val="000924A1"/>
    <w:rsid w:val="000925EE"/>
    <w:rsid w:val="00092C3E"/>
    <w:rsid w:val="00093829"/>
    <w:rsid w:val="00094A4B"/>
    <w:rsid w:val="000954B2"/>
    <w:rsid w:val="000966C4"/>
    <w:rsid w:val="000A0655"/>
    <w:rsid w:val="000A0D6B"/>
    <w:rsid w:val="000A2DE8"/>
    <w:rsid w:val="000A3337"/>
    <w:rsid w:val="000A3490"/>
    <w:rsid w:val="000A45DA"/>
    <w:rsid w:val="000A6C13"/>
    <w:rsid w:val="000A758A"/>
    <w:rsid w:val="000A77B2"/>
    <w:rsid w:val="000B01C9"/>
    <w:rsid w:val="000B06E4"/>
    <w:rsid w:val="000B0BBC"/>
    <w:rsid w:val="000B1757"/>
    <w:rsid w:val="000B1C87"/>
    <w:rsid w:val="000B28E5"/>
    <w:rsid w:val="000B3786"/>
    <w:rsid w:val="000B3CAE"/>
    <w:rsid w:val="000B44ED"/>
    <w:rsid w:val="000B5F0B"/>
    <w:rsid w:val="000B6EE9"/>
    <w:rsid w:val="000B7BF2"/>
    <w:rsid w:val="000C0149"/>
    <w:rsid w:val="000C262C"/>
    <w:rsid w:val="000C37E7"/>
    <w:rsid w:val="000C62FC"/>
    <w:rsid w:val="000C6921"/>
    <w:rsid w:val="000D1400"/>
    <w:rsid w:val="000D206B"/>
    <w:rsid w:val="000D216F"/>
    <w:rsid w:val="000D25AE"/>
    <w:rsid w:val="000D32AF"/>
    <w:rsid w:val="000D45AA"/>
    <w:rsid w:val="000D6037"/>
    <w:rsid w:val="000D63DE"/>
    <w:rsid w:val="000D6EAA"/>
    <w:rsid w:val="000D72DD"/>
    <w:rsid w:val="000D76D7"/>
    <w:rsid w:val="000E3A0E"/>
    <w:rsid w:val="000E4B4F"/>
    <w:rsid w:val="000E5193"/>
    <w:rsid w:val="000E734D"/>
    <w:rsid w:val="000E7D9A"/>
    <w:rsid w:val="000F1AEE"/>
    <w:rsid w:val="000F1C6A"/>
    <w:rsid w:val="000F30BD"/>
    <w:rsid w:val="000F3658"/>
    <w:rsid w:val="000F3BBA"/>
    <w:rsid w:val="000F6EC6"/>
    <w:rsid w:val="000F798A"/>
    <w:rsid w:val="000F7997"/>
    <w:rsid w:val="00100060"/>
    <w:rsid w:val="00101B68"/>
    <w:rsid w:val="00101DFD"/>
    <w:rsid w:val="00102A01"/>
    <w:rsid w:val="001046A3"/>
    <w:rsid w:val="001046DC"/>
    <w:rsid w:val="00104A8C"/>
    <w:rsid w:val="001057A7"/>
    <w:rsid w:val="0010591E"/>
    <w:rsid w:val="001102D8"/>
    <w:rsid w:val="001126BA"/>
    <w:rsid w:val="00113929"/>
    <w:rsid w:val="001143DE"/>
    <w:rsid w:val="0011472A"/>
    <w:rsid w:val="001169A7"/>
    <w:rsid w:val="00117837"/>
    <w:rsid w:val="0012051F"/>
    <w:rsid w:val="00120898"/>
    <w:rsid w:val="00121476"/>
    <w:rsid w:val="001221BB"/>
    <w:rsid w:val="001228B9"/>
    <w:rsid w:val="00122920"/>
    <w:rsid w:val="00122AD9"/>
    <w:rsid w:val="00124096"/>
    <w:rsid w:val="00125664"/>
    <w:rsid w:val="001257B0"/>
    <w:rsid w:val="0012580B"/>
    <w:rsid w:val="00126BB6"/>
    <w:rsid w:val="001276CD"/>
    <w:rsid w:val="001302EC"/>
    <w:rsid w:val="00130326"/>
    <w:rsid w:val="001305C0"/>
    <w:rsid w:val="001322ED"/>
    <w:rsid w:val="00132417"/>
    <w:rsid w:val="00132658"/>
    <w:rsid w:val="0013499C"/>
    <w:rsid w:val="001351F8"/>
    <w:rsid w:val="00136A61"/>
    <w:rsid w:val="00141ABB"/>
    <w:rsid w:val="00141B3F"/>
    <w:rsid w:val="001421E5"/>
    <w:rsid w:val="001435F1"/>
    <w:rsid w:val="00143B15"/>
    <w:rsid w:val="00145955"/>
    <w:rsid w:val="0014600D"/>
    <w:rsid w:val="00146D32"/>
    <w:rsid w:val="00150555"/>
    <w:rsid w:val="00150AAC"/>
    <w:rsid w:val="00151803"/>
    <w:rsid w:val="00152172"/>
    <w:rsid w:val="001534CC"/>
    <w:rsid w:val="00153BC4"/>
    <w:rsid w:val="0015454D"/>
    <w:rsid w:val="00157AB1"/>
    <w:rsid w:val="00161548"/>
    <w:rsid w:val="00161E7C"/>
    <w:rsid w:val="00163C3E"/>
    <w:rsid w:val="0016461B"/>
    <w:rsid w:val="00164FC7"/>
    <w:rsid w:val="00164FF4"/>
    <w:rsid w:val="0016519E"/>
    <w:rsid w:val="001653EB"/>
    <w:rsid w:val="001659D5"/>
    <w:rsid w:val="00166437"/>
    <w:rsid w:val="00166EBF"/>
    <w:rsid w:val="00167798"/>
    <w:rsid w:val="0017061B"/>
    <w:rsid w:val="00171C39"/>
    <w:rsid w:val="0017241B"/>
    <w:rsid w:val="00174CD8"/>
    <w:rsid w:val="00175D49"/>
    <w:rsid w:val="00176946"/>
    <w:rsid w:val="00176FB0"/>
    <w:rsid w:val="00182973"/>
    <w:rsid w:val="00182A6C"/>
    <w:rsid w:val="0018478C"/>
    <w:rsid w:val="0018577F"/>
    <w:rsid w:val="00186471"/>
    <w:rsid w:val="00186A7A"/>
    <w:rsid w:val="001876C9"/>
    <w:rsid w:val="00187BFA"/>
    <w:rsid w:val="0019004B"/>
    <w:rsid w:val="0019009B"/>
    <w:rsid w:val="00190450"/>
    <w:rsid w:val="00190B78"/>
    <w:rsid w:val="00190DC4"/>
    <w:rsid w:val="00191736"/>
    <w:rsid w:val="0019405E"/>
    <w:rsid w:val="00194A98"/>
    <w:rsid w:val="00194C3D"/>
    <w:rsid w:val="001971B5"/>
    <w:rsid w:val="001972FE"/>
    <w:rsid w:val="001A4A53"/>
    <w:rsid w:val="001A5A2B"/>
    <w:rsid w:val="001A5A36"/>
    <w:rsid w:val="001A6768"/>
    <w:rsid w:val="001A76DD"/>
    <w:rsid w:val="001A7F5C"/>
    <w:rsid w:val="001B2701"/>
    <w:rsid w:val="001B36CE"/>
    <w:rsid w:val="001B3785"/>
    <w:rsid w:val="001B3B60"/>
    <w:rsid w:val="001B3FD2"/>
    <w:rsid w:val="001B4A6E"/>
    <w:rsid w:val="001B7396"/>
    <w:rsid w:val="001B75B1"/>
    <w:rsid w:val="001C07DA"/>
    <w:rsid w:val="001C07EE"/>
    <w:rsid w:val="001C1424"/>
    <w:rsid w:val="001C1EB0"/>
    <w:rsid w:val="001C242B"/>
    <w:rsid w:val="001C268B"/>
    <w:rsid w:val="001C5A83"/>
    <w:rsid w:val="001C5B7D"/>
    <w:rsid w:val="001C5CBC"/>
    <w:rsid w:val="001C7BB5"/>
    <w:rsid w:val="001D00FE"/>
    <w:rsid w:val="001D0F06"/>
    <w:rsid w:val="001D108C"/>
    <w:rsid w:val="001D1403"/>
    <w:rsid w:val="001D2435"/>
    <w:rsid w:val="001D2BF5"/>
    <w:rsid w:val="001D3669"/>
    <w:rsid w:val="001D72BF"/>
    <w:rsid w:val="001E07B4"/>
    <w:rsid w:val="001E2451"/>
    <w:rsid w:val="001E4E25"/>
    <w:rsid w:val="001E51ED"/>
    <w:rsid w:val="001E59D5"/>
    <w:rsid w:val="001E6882"/>
    <w:rsid w:val="001E7094"/>
    <w:rsid w:val="001E726D"/>
    <w:rsid w:val="001F0BB7"/>
    <w:rsid w:val="001F1111"/>
    <w:rsid w:val="001F2060"/>
    <w:rsid w:val="001F3D2D"/>
    <w:rsid w:val="001F45C4"/>
    <w:rsid w:val="001F4693"/>
    <w:rsid w:val="001F7E7D"/>
    <w:rsid w:val="00200B0F"/>
    <w:rsid w:val="0020167B"/>
    <w:rsid w:val="00203069"/>
    <w:rsid w:val="00203C91"/>
    <w:rsid w:val="0020432B"/>
    <w:rsid w:val="00204A0D"/>
    <w:rsid w:val="002051BE"/>
    <w:rsid w:val="00205EAB"/>
    <w:rsid w:val="00206F8B"/>
    <w:rsid w:val="002076CA"/>
    <w:rsid w:val="0021082B"/>
    <w:rsid w:val="00210F20"/>
    <w:rsid w:val="0021154A"/>
    <w:rsid w:val="002115F6"/>
    <w:rsid w:val="002125E2"/>
    <w:rsid w:val="00212EC7"/>
    <w:rsid w:val="002131B3"/>
    <w:rsid w:val="00213449"/>
    <w:rsid w:val="0021396F"/>
    <w:rsid w:val="00214FE8"/>
    <w:rsid w:val="00221315"/>
    <w:rsid w:val="002215A8"/>
    <w:rsid w:val="00221C80"/>
    <w:rsid w:val="00221EC2"/>
    <w:rsid w:val="00222BB2"/>
    <w:rsid w:val="002261D2"/>
    <w:rsid w:val="00226BCE"/>
    <w:rsid w:val="00226FB6"/>
    <w:rsid w:val="0022780C"/>
    <w:rsid w:val="002304D6"/>
    <w:rsid w:val="00231337"/>
    <w:rsid w:val="00233C7D"/>
    <w:rsid w:val="00241ADA"/>
    <w:rsid w:val="00242673"/>
    <w:rsid w:val="00243666"/>
    <w:rsid w:val="002438AD"/>
    <w:rsid w:val="002446BD"/>
    <w:rsid w:val="002468C7"/>
    <w:rsid w:val="002509C9"/>
    <w:rsid w:val="0025114F"/>
    <w:rsid w:val="00251887"/>
    <w:rsid w:val="002526F8"/>
    <w:rsid w:val="0025290B"/>
    <w:rsid w:val="00256B12"/>
    <w:rsid w:val="0025723E"/>
    <w:rsid w:val="00257840"/>
    <w:rsid w:val="00261B91"/>
    <w:rsid w:val="00263201"/>
    <w:rsid w:val="002638A9"/>
    <w:rsid w:val="00263FFA"/>
    <w:rsid w:val="00264113"/>
    <w:rsid w:val="00264450"/>
    <w:rsid w:val="00266C33"/>
    <w:rsid w:val="0027429C"/>
    <w:rsid w:val="0027642A"/>
    <w:rsid w:val="00286163"/>
    <w:rsid w:val="002861CC"/>
    <w:rsid w:val="002868B7"/>
    <w:rsid w:val="002879D1"/>
    <w:rsid w:val="0029018C"/>
    <w:rsid w:val="00292667"/>
    <w:rsid w:val="00293B68"/>
    <w:rsid w:val="00295E5A"/>
    <w:rsid w:val="00295EA6"/>
    <w:rsid w:val="002964F1"/>
    <w:rsid w:val="002A0373"/>
    <w:rsid w:val="002A1DE4"/>
    <w:rsid w:val="002A3910"/>
    <w:rsid w:val="002A5D83"/>
    <w:rsid w:val="002A6B74"/>
    <w:rsid w:val="002A77E2"/>
    <w:rsid w:val="002B1794"/>
    <w:rsid w:val="002B22B0"/>
    <w:rsid w:val="002B3F5D"/>
    <w:rsid w:val="002B46A6"/>
    <w:rsid w:val="002B4CCF"/>
    <w:rsid w:val="002B6FA2"/>
    <w:rsid w:val="002B7CF8"/>
    <w:rsid w:val="002C0625"/>
    <w:rsid w:val="002C0BF3"/>
    <w:rsid w:val="002C1B62"/>
    <w:rsid w:val="002C2924"/>
    <w:rsid w:val="002C3CC3"/>
    <w:rsid w:val="002C4451"/>
    <w:rsid w:val="002C609D"/>
    <w:rsid w:val="002C7256"/>
    <w:rsid w:val="002D15A9"/>
    <w:rsid w:val="002D2F0B"/>
    <w:rsid w:val="002D3479"/>
    <w:rsid w:val="002D35AA"/>
    <w:rsid w:val="002D503F"/>
    <w:rsid w:val="002D5B4C"/>
    <w:rsid w:val="002D7236"/>
    <w:rsid w:val="002E019D"/>
    <w:rsid w:val="002E0CCE"/>
    <w:rsid w:val="002E109D"/>
    <w:rsid w:val="002E1F68"/>
    <w:rsid w:val="002E2ACF"/>
    <w:rsid w:val="002E33A8"/>
    <w:rsid w:val="002E33F1"/>
    <w:rsid w:val="002E4C5A"/>
    <w:rsid w:val="002E54ED"/>
    <w:rsid w:val="002E7C9B"/>
    <w:rsid w:val="002F05C1"/>
    <w:rsid w:val="002F1132"/>
    <w:rsid w:val="002F370C"/>
    <w:rsid w:val="00300712"/>
    <w:rsid w:val="00302B56"/>
    <w:rsid w:val="00302C3D"/>
    <w:rsid w:val="00303F1A"/>
    <w:rsid w:val="0030414B"/>
    <w:rsid w:val="00305B2A"/>
    <w:rsid w:val="00305D50"/>
    <w:rsid w:val="003077EF"/>
    <w:rsid w:val="00311D0C"/>
    <w:rsid w:val="00315FB9"/>
    <w:rsid w:val="00317CF7"/>
    <w:rsid w:val="00320ABC"/>
    <w:rsid w:val="00320EB1"/>
    <w:rsid w:val="00321AAF"/>
    <w:rsid w:val="003220CB"/>
    <w:rsid w:val="0032265B"/>
    <w:rsid w:val="00322D81"/>
    <w:rsid w:val="0032311C"/>
    <w:rsid w:val="00323BB5"/>
    <w:rsid w:val="00323D68"/>
    <w:rsid w:val="00323D6B"/>
    <w:rsid w:val="00325507"/>
    <w:rsid w:val="00326E61"/>
    <w:rsid w:val="0033242A"/>
    <w:rsid w:val="003325D8"/>
    <w:rsid w:val="00334E1F"/>
    <w:rsid w:val="00334EDA"/>
    <w:rsid w:val="00336456"/>
    <w:rsid w:val="003402E3"/>
    <w:rsid w:val="00340E35"/>
    <w:rsid w:val="00340FAA"/>
    <w:rsid w:val="003418F0"/>
    <w:rsid w:val="00341C9F"/>
    <w:rsid w:val="00341CD9"/>
    <w:rsid w:val="00341D99"/>
    <w:rsid w:val="00341EBE"/>
    <w:rsid w:val="003422AF"/>
    <w:rsid w:val="0034299F"/>
    <w:rsid w:val="00342F0E"/>
    <w:rsid w:val="0034328B"/>
    <w:rsid w:val="003436B5"/>
    <w:rsid w:val="00343DBB"/>
    <w:rsid w:val="00344DA7"/>
    <w:rsid w:val="00345786"/>
    <w:rsid w:val="00347561"/>
    <w:rsid w:val="00347840"/>
    <w:rsid w:val="003510A3"/>
    <w:rsid w:val="003514D8"/>
    <w:rsid w:val="003516B3"/>
    <w:rsid w:val="00351DDC"/>
    <w:rsid w:val="00351FDA"/>
    <w:rsid w:val="00353184"/>
    <w:rsid w:val="00353B7E"/>
    <w:rsid w:val="00355886"/>
    <w:rsid w:val="0035752E"/>
    <w:rsid w:val="00360D7D"/>
    <w:rsid w:val="00361FF5"/>
    <w:rsid w:val="00363DE2"/>
    <w:rsid w:val="003642DA"/>
    <w:rsid w:val="00364A60"/>
    <w:rsid w:val="00365FF0"/>
    <w:rsid w:val="00366AC6"/>
    <w:rsid w:val="00367162"/>
    <w:rsid w:val="00370B1E"/>
    <w:rsid w:val="00371AD9"/>
    <w:rsid w:val="0037251B"/>
    <w:rsid w:val="00372D3B"/>
    <w:rsid w:val="00373F29"/>
    <w:rsid w:val="0037465B"/>
    <w:rsid w:val="00374A0D"/>
    <w:rsid w:val="00375AAE"/>
    <w:rsid w:val="00376E8D"/>
    <w:rsid w:val="00380159"/>
    <w:rsid w:val="003803B2"/>
    <w:rsid w:val="00381410"/>
    <w:rsid w:val="00381A01"/>
    <w:rsid w:val="0038237F"/>
    <w:rsid w:val="0038271E"/>
    <w:rsid w:val="00382B09"/>
    <w:rsid w:val="00384028"/>
    <w:rsid w:val="003840A3"/>
    <w:rsid w:val="00386027"/>
    <w:rsid w:val="0038614A"/>
    <w:rsid w:val="00391221"/>
    <w:rsid w:val="00392F90"/>
    <w:rsid w:val="0039361E"/>
    <w:rsid w:val="003938F0"/>
    <w:rsid w:val="00394AB0"/>
    <w:rsid w:val="003A078F"/>
    <w:rsid w:val="003A0B3D"/>
    <w:rsid w:val="003A1113"/>
    <w:rsid w:val="003A2778"/>
    <w:rsid w:val="003A28E3"/>
    <w:rsid w:val="003A2AA0"/>
    <w:rsid w:val="003A449C"/>
    <w:rsid w:val="003A4634"/>
    <w:rsid w:val="003A56C1"/>
    <w:rsid w:val="003A59EB"/>
    <w:rsid w:val="003A59FB"/>
    <w:rsid w:val="003B0554"/>
    <w:rsid w:val="003B0F76"/>
    <w:rsid w:val="003B1A87"/>
    <w:rsid w:val="003B1DBC"/>
    <w:rsid w:val="003B2000"/>
    <w:rsid w:val="003B2137"/>
    <w:rsid w:val="003B2D4C"/>
    <w:rsid w:val="003B426A"/>
    <w:rsid w:val="003B670C"/>
    <w:rsid w:val="003B7352"/>
    <w:rsid w:val="003C1369"/>
    <w:rsid w:val="003C188C"/>
    <w:rsid w:val="003C36CA"/>
    <w:rsid w:val="003C3861"/>
    <w:rsid w:val="003C457D"/>
    <w:rsid w:val="003C6689"/>
    <w:rsid w:val="003C6CB7"/>
    <w:rsid w:val="003C6F38"/>
    <w:rsid w:val="003C7B03"/>
    <w:rsid w:val="003D123F"/>
    <w:rsid w:val="003D2294"/>
    <w:rsid w:val="003D2AAC"/>
    <w:rsid w:val="003D3349"/>
    <w:rsid w:val="003D41F9"/>
    <w:rsid w:val="003D4467"/>
    <w:rsid w:val="003D4E5B"/>
    <w:rsid w:val="003D5AE8"/>
    <w:rsid w:val="003D5BF1"/>
    <w:rsid w:val="003D6D2B"/>
    <w:rsid w:val="003D6EBA"/>
    <w:rsid w:val="003D7E00"/>
    <w:rsid w:val="003D7F73"/>
    <w:rsid w:val="003E0D34"/>
    <w:rsid w:val="003E2402"/>
    <w:rsid w:val="003E6769"/>
    <w:rsid w:val="003E7EA4"/>
    <w:rsid w:val="003F0663"/>
    <w:rsid w:val="003F1387"/>
    <w:rsid w:val="003F1DAD"/>
    <w:rsid w:val="003F243B"/>
    <w:rsid w:val="003F2EB7"/>
    <w:rsid w:val="003F4461"/>
    <w:rsid w:val="003F48BF"/>
    <w:rsid w:val="003F6152"/>
    <w:rsid w:val="003F6487"/>
    <w:rsid w:val="003F6E8A"/>
    <w:rsid w:val="003F7FD6"/>
    <w:rsid w:val="00400290"/>
    <w:rsid w:val="00400EB9"/>
    <w:rsid w:val="00401693"/>
    <w:rsid w:val="00402840"/>
    <w:rsid w:val="00403829"/>
    <w:rsid w:val="00403B65"/>
    <w:rsid w:val="004065AB"/>
    <w:rsid w:val="00406B4A"/>
    <w:rsid w:val="004077B4"/>
    <w:rsid w:val="00412765"/>
    <w:rsid w:val="004141F9"/>
    <w:rsid w:val="00414AFA"/>
    <w:rsid w:val="00416FCE"/>
    <w:rsid w:val="00417613"/>
    <w:rsid w:val="00421D71"/>
    <w:rsid w:val="00422631"/>
    <w:rsid w:val="0042422B"/>
    <w:rsid w:val="004242C9"/>
    <w:rsid w:val="00424DD0"/>
    <w:rsid w:val="00430509"/>
    <w:rsid w:val="004310FE"/>
    <w:rsid w:val="00431C6F"/>
    <w:rsid w:val="00434246"/>
    <w:rsid w:val="004364CB"/>
    <w:rsid w:val="00436B0D"/>
    <w:rsid w:val="00436E97"/>
    <w:rsid w:val="004377F4"/>
    <w:rsid w:val="00437DA4"/>
    <w:rsid w:val="004405D6"/>
    <w:rsid w:val="00441FE9"/>
    <w:rsid w:val="004420D1"/>
    <w:rsid w:val="00443D77"/>
    <w:rsid w:val="00444F2D"/>
    <w:rsid w:val="00444F3F"/>
    <w:rsid w:val="00445ACE"/>
    <w:rsid w:val="00447F97"/>
    <w:rsid w:val="00450BC6"/>
    <w:rsid w:val="00450F40"/>
    <w:rsid w:val="00451237"/>
    <w:rsid w:val="00452A12"/>
    <w:rsid w:val="00452B73"/>
    <w:rsid w:val="00454F59"/>
    <w:rsid w:val="00456C74"/>
    <w:rsid w:val="00460CAE"/>
    <w:rsid w:val="00464771"/>
    <w:rsid w:val="004677BF"/>
    <w:rsid w:val="00467DFE"/>
    <w:rsid w:val="00470487"/>
    <w:rsid w:val="00470549"/>
    <w:rsid w:val="00470C16"/>
    <w:rsid w:val="00473C66"/>
    <w:rsid w:val="00473FAA"/>
    <w:rsid w:val="00474CB7"/>
    <w:rsid w:val="00475C80"/>
    <w:rsid w:val="00475EB4"/>
    <w:rsid w:val="0047649C"/>
    <w:rsid w:val="0047764E"/>
    <w:rsid w:val="00477A4F"/>
    <w:rsid w:val="00480EB7"/>
    <w:rsid w:val="00482487"/>
    <w:rsid w:val="0048279E"/>
    <w:rsid w:val="004828D0"/>
    <w:rsid w:val="0048576C"/>
    <w:rsid w:val="004862A4"/>
    <w:rsid w:val="00486E42"/>
    <w:rsid w:val="00490009"/>
    <w:rsid w:val="00490085"/>
    <w:rsid w:val="00491262"/>
    <w:rsid w:val="00491609"/>
    <w:rsid w:val="00491B15"/>
    <w:rsid w:val="004963B8"/>
    <w:rsid w:val="00497A2F"/>
    <w:rsid w:val="004A0AD4"/>
    <w:rsid w:val="004A2166"/>
    <w:rsid w:val="004A4A9B"/>
    <w:rsid w:val="004A51DC"/>
    <w:rsid w:val="004A6997"/>
    <w:rsid w:val="004A7348"/>
    <w:rsid w:val="004B1F70"/>
    <w:rsid w:val="004B296D"/>
    <w:rsid w:val="004B74BB"/>
    <w:rsid w:val="004C1711"/>
    <w:rsid w:val="004C3938"/>
    <w:rsid w:val="004C50FF"/>
    <w:rsid w:val="004C5B4B"/>
    <w:rsid w:val="004D1081"/>
    <w:rsid w:val="004D1C54"/>
    <w:rsid w:val="004D2A07"/>
    <w:rsid w:val="004D3586"/>
    <w:rsid w:val="004D4701"/>
    <w:rsid w:val="004D4A27"/>
    <w:rsid w:val="004D5190"/>
    <w:rsid w:val="004E29A6"/>
    <w:rsid w:val="004E6BCF"/>
    <w:rsid w:val="004E6FBC"/>
    <w:rsid w:val="004E78AF"/>
    <w:rsid w:val="004F2FA0"/>
    <w:rsid w:val="004F39CA"/>
    <w:rsid w:val="004F5B74"/>
    <w:rsid w:val="004F69F9"/>
    <w:rsid w:val="004F6FFD"/>
    <w:rsid w:val="004F71A5"/>
    <w:rsid w:val="004F7F43"/>
    <w:rsid w:val="0050107D"/>
    <w:rsid w:val="0050122C"/>
    <w:rsid w:val="00502F79"/>
    <w:rsid w:val="0050348A"/>
    <w:rsid w:val="00503930"/>
    <w:rsid w:val="00504B7A"/>
    <w:rsid w:val="005056F1"/>
    <w:rsid w:val="005059A2"/>
    <w:rsid w:val="00507119"/>
    <w:rsid w:val="005118E1"/>
    <w:rsid w:val="0051200F"/>
    <w:rsid w:val="0051204A"/>
    <w:rsid w:val="0051207B"/>
    <w:rsid w:val="00512169"/>
    <w:rsid w:val="00512587"/>
    <w:rsid w:val="005134E1"/>
    <w:rsid w:val="00513726"/>
    <w:rsid w:val="00514730"/>
    <w:rsid w:val="00514E6C"/>
    <w:rsid w:val="00514FB8"/>
    <w:rsid w:val="00515925"/>
    <w:rsid w:val="0051703B"/>
    <w:rsid w:val="00517CE7"/>
    <w:rsid w:val="00520952"/>
    <w:rsid w:val="00523809"/>
    <w:rsid w:val="00523C41"/>
    <w:rsid w:val="00524015"/>
    <w:rsid w:val="0052592A"/>
    <w:rsid w:val="00526EEC"/>
    <w:rsid w:val="0052764A"/>
    <w:rsid w:val="00527F26"/>
    <w:rsid w:val="00530A65"/>
    <w:rsid w:val="00530D50"/>
    <w:rsid w:val="005328DC"/>
    <w:rsid w:val="00534D98"/>
    <w:rsid w:val="005350A5"/>
    <w:rsid w:val="00535878"/>
    <w:rsid w:val="0053613C"/>
    <w:rsid w:val="005363C6"/>
    <w:rsid w:val="00542B51"/>
    <w:rsid w:val="00543A2D"/>
    <w:rsid w:val="00544075"/>
    <w:rsid w:val="0054491B"/>
    <w:rsid w:val="0054682C"/>
    <w:rsid w:val="005468E0"/>
    <w:rsid w:val="00547C8C"/>
    <w:rsid w:val="00550715"/>
    <w:rsid w:val="0055153D"/>
    <w:rsid w:val="00552261"/>
    <w:rsid w:val="00552378"/>
    <w:rsid w:val="00552690"/>
    <w:rsid w:val="00552E04"/>
    <w:rsid w:val="00553543"/>
    <w:rsid w:val="0055393D"/>
    <w:rsid w:val="00554FF8"/>
    <w:rsid w:val="0055544E"/>
    <w:rsid w:val="00555DC5"/>
    <w:rsid w:val="00556703"/>
    <w:rsid w:val="00557E8D"/>
    <w:rsid w:val="005605A7"/>
    <w:rsid w:val="00560EFB"/>
    <w:rsid w:val="005622F5"/>
    <w:rsid w:val="00564825"/>
    <w:rsid w:val="00564C75"/>
    <w:rsid w:val="005652E8"/>
    <w:rsid w:val="00565800"/>
    <w:rsid w:val="00566983"/>
    <w:rsid w:val="00566ED6"/>
    <w:rsid w:val="00567BA5"/>
    <w:rsid w:val="00570602"/>
    <w:rsid w:val="00570B9D"/>
    <w:rsid w:val="00570D83"/>
    <w:rsid w:val="005744E0"/>
    <w:rsid w:val="005752DB"/>
    <w:rsid w:val="00576BA1"/>
    <w:rsid w:val="00576BE1"/>
    <w:rsid w:val="00582197"/>
    <w:rsid w:val="0058262C"/>
    <w:rsid w:val="00582A31"/>
    <w:rsid w:val="00582C12"/>
    <w:rsid w:val="00584AA5"/>
    <w:rsid w:val="0059117B"/>
    <w:rsid w:val="00591F81"/>
    <w:rsid w:val="005925AF"/>
    <w:rsid w:val="00596278"/>
    <w:rsid w:val="00596BDD"/>
    <w:rsid w:val="00597E25"/>
    <w:rsid w:val="005A0603"/>
    <w:rsid w:val="005A0D98"/>
    <w:rsid w:val="005A1308"/>
    <w:rsid w:val="005A2A7A"/>
    <w:rsid w:val="005A4028"/>
    <w:rsid w:val="005A6474"/>
    <w:rsid w:val="005A6781"/>
    <w:rsid w:val="005A6AF1"/>
    <w:rsid w:val="005A7681"/>
    <w:rsid w:val="005A7A64"/>
    <w:rsid w:val="005B0D70"/>
    <w:rsid w:val="005B2021"/>
    <w:rsid w:val="005B33CD"/>
    <w:rsid w:val="005B34C9"/>
    <w:rsid w:val="005B41D4"/>
    <w:rsid w:val="005B4EC2"/>
    <w:rsid w:val="005B5E39"/>
    <w:rsid w:val="005B5F39"/>
    <w:rsid w:val="005B7FB1"/>
    <w:rsid w:val="005C1FD9"/>
    <w:rsid w:val="005C3683"/>
    <w:rsid w:val="005C4476"/>
    <w:rsid w:val="005C4E57"/>
    <w:rsid w:val="005C57F6"/>
    <w:rsid w:val="005C7014"/>
    <w:rsid w:val="005C725C"/>
    <w:rsid w:val="005C72E8"/>
    <w:rsid w:val="005C7949"/>
    <w:rsid w:val="005C7E01"/>
    <w:rsid w:val="005D42D7"/>
    <w:rsid w:val="005D65D1"/>
    <w:rsid w:val="005D6AD0"/>
    <w:rsid w:val="005E0901"/>
    <w:rsid w:val="005E13FD"/>
    <w:rsid w:val="005E18A0"/>
    <w:rsid w:val="005E190D"/>
    <w:rsid w:val="005E2083"/>
    <w:rsid w:val="005E237D"/>
    <w:rsid w:val="005E2C18"/>
    <w:rsid w:val="005E39B2"/>
    <w:rsid w:val="005E48DB"/>
    <w:rsid w:val="005E4CA9"/>
    <w:rsid w:val="005E4D4D"/>
    <w:rsid w:val="005E4FC1"/>
    <w:rsid w:val="005E52AA"/>
    <w:rsid w:val="005E7940"/>
    <w:rsid w:val="005E7D00"/>
    <w:rsid w:val="005F099E"/>
    <w:rsid w:val="005F1621"/>
    <w:rsid w:val="005F4B0C"/>
    <w:rsid w:val="005F6A98"/>
    <w:rsid w:val="005F7339"/>
    <w:rsid w:val="005F7371"/>
    <w:rsid w:val="00601A50"/>
    <w:rsid w:val="0060240E"/>
    <w:rsid w:val="00602476"/>
    <w:rsid w:val="006037FA"/>
    <w:rsid w:val="00603F19"/>
    <w:rsid w:val="0060490D"/>
    <w:rsid w:val="0060741A"/>
    <w:rsid w:val="0060752E"/>
    <w:rsid w:val="00614004"/>
    <w:rsid w:val="0061586A"/>
    <w:rsid w:val="00616A47"/>
    <w:rsid w:val="006220A9"/>
    <w:rsid w:val="006222EA"/>
    <w:rsid w:val="00622858"/>
    <w:rsid w:val="00624467"/>
    <w:rsid w:val="00624DC2"/>
    <w:rsid w:val="00624E16"/>
    <w:rsid w:val="00624ED4"/>
    <w:rsid w:val="006259B7"/>
    <w:rsid w:val="006276B4"/>
    <w:rsid w:val="00630D05"/>
    <w:rsid w:val="0063102D"/>
    <w:rsid w:val="00632EEA"/>
    <w:rsid w:val="00634F2E"/>
    <w:rsid w:val="00643F95"/>
    <w:rsid w:val="0064421C"/>
    <w:rsid w:val="006464D9"/>
    <w:rsid w:val="00653CF5"/>
    <w:rsid w:val="00655F9E"/>
    <w:rsid w:val="00655FA8"/>
    <w:rsid w:val="006570A9"/>
    <w:rsid w:val="006570D6"/>
    <w:rsid w:val="00661FC3"/>
    <w:rsid w:val="0066283C"/>
    <w:rsid w:val="0066285A"/>
    <w:rsid w:val="00663C27"/>
    <w:rsid w:val="006640B7"/>
    <w:rsid w:val="006641AB"/>
    <w:rsid w:val="00664667"/>
    <w:rsid w:val="006662AF"/>
    <w:rsid w:val="00666427"/>
    <w:rsid w:val="006679CB"/>
    <w:rsid w:val="006702BD"/>
    <w:rsid w:val="00670D34"/>
    <w:rsid w:val="006713B0"/>
    <w:rsid w:val="006726E7"/>
    <w:rsid w:val="00672CA8"/>
    <w:rsid w:val="00673327"/>
    <w:rsid w:val="00673868"/>
    <w:rsid w:val="00674E20"/>
    <w:rsid w:val="00675054"/>
    <w:rsid w:val="006757F3"/>
    <w:rsid w:val="00675933"/>
    <w:rsid w:val="006763CD"/>
    <w:rsid w:val="006766FC"/>
    <w:rsid w:val="0068057E"/>
    <w:rsid w:val="00680A41"/>
    <w:rsid w:val="00681A46"/>
    <w:rsid w:val="00682547"/>
    <w:rsid w:val="006827D1"/>
    <w:rsid w:val="00682D8B"/>
    <w:rsid w:val="0068403A"/>
    <w:rsid w:val="0068559F"/>
    <w:rsid w:val="00685A02"/>
    <w:rsid w:val="00687B87"/>
    <w:rsid w:val="00690C3D"/>
    <w:rsid w:val="0069153F"/>
    <w:rsid w:val="00692500"/>
    <w:rsid w:val="00692C8B"/>
    <w:rsid w:val="0069373B"/>
    <w:rsid w:val="00693795"/>
    <w:rsid w:val="00693870"/>
    <w:rsid w:val="006943A8"/>
    <w:rsid w:val="00695421"/>
    <w:rsid w:val="00695657"/>
    <w:rsid w:val="00695813"/>
    <w:rsid w:val="006A2136"/>
    <w:rsid w:val="006A3446"/>
    <w:rsid w:val="006A43F4"/>
    <w:rsid w:val="006A44CD"/>
    <w:rsid w:val="006A5B0C"/>
    <w:rsid w:val="006B08CC"/>
    <w:rsid w:val="006B0982"/>
    <w:rsid w:val="006B2407"/>
    <w:rsid w:val="006B27D3"/>
    <w:rsid w:val="006B466B"/>
    <w:rsid w:val="006B59DA"/>
    <w:rsid w:val="006B6289"/>
    <w:rsid w:val="006B73D7"/>
    <w:rsid w:val="006C06A6"/>
    <w:rsid w:val="006C0967"/>
    <w:rsid w:val="006C0FE7"/>
    <w:rsid w:val="006C13E8"/>
    <w:rsid w:val="006C1A3C"/>
    <w:rsid w:val="006C1B3C"/>
    <w:rsid w:val="006C1D85"/>
    <w:rsid w:val="006C315B"/>
    <w:rsid w:val="006C3D3D"/>
    <w:rsid w:val="006C687C"/>
    <w:rsid w:val="006D1387"/>
    <w:rsid w:val="006D2E3C"/>
    <w:rsid w:val="006D34B8"/>
    <w:rsid w:val="006D44B1"/>
    <w:rsid w:val="006D55C7"/>
    <w:rsid w:val="006D655D"/>
    <w:rsid w:val="006D669C"/>
    <w:rsid w:val="006D6BFC"/>
    <w:rsid w:val="006D6FF3"/>
    <w:rsid w:val="006D7400"/>
    <w:rsid w:val="006D7C45"/>
    <w:rsid w:val="006D7D00"/>
    <w:rsid w:val="006E0424"/>
    <w:rsid w:val="006E084C"/>
    <w:rsid w:val="006E159A"/>
    <w:rsid w:val="006E17A3"/>
    <w:rsid w:val="006E2077"/>
    <w:rsid w:val="006E35A6"/>
    <w:rsid w:val="006E396F"/>
    <w:rsid w:val="006E4030"/>
    <w:rsid w:val="006E40CA"/>
    <w:rsid w:val="006E57AC"/>
    <w:rsid w:val="006E5E9C"/>
    <w:rsid w:val="006E641E"/>
    <w:rsid w:val="006E7748"/>
    <w:rsid w:val="006E774C"/>
    <w:rsid w:val="006F1B73"/>
    <w:rsid w:val="006F44EC"/>
    <w:rsid w:val="006F6334"/>
    <w:rsid w:val="006F6A8F"/>
    <w:rsid w:val="006F77A2"/>
    <w:rsid w:val="006F7BE5"/>
    <w:rsid w:val="007003FE"/>
    <w:rsid w:val="00700571"/>
    <w:rsid w:val="00700F1B"/>
    <w:rsid w:val="007011CB"/>
    <w:rsid w:val="00701654"/>
    <w:rsid w:val="00701AFB"/>
    <w:rsid w:val="00702063"/>
    <w:rsid w:val="00703EF6"/>
    <w:rsid w:val="007072B5"/>
    <w:rsid w:val="007077AF"/>
    <w:rsid w:val="00707A53"/>
    <w:rsid w:val="00710A10"/>
    <w:rsid w:val="00711912"/>
    <w:rsid w:val="00711FEA"/>
    <w:rsid w:val="0071478E"/>
    <w:rsid w:val="00714BAC"/>
    <w:rsid w:val="00714FF4"/>
    <w:rsid w:val="00716D34"/>
    <w:rsid w:val="0072086C"/>
    <w:rsid w:val="00720FC9"/>
    <w:rsid w:val="00724201"/>
    <w:rsid w:val="00726400"/>
    <w:rsid w:val="00731C6B"/>
    <w:rsid w:val="00731D63"/>
    <w:rsid w:val="0073375B"/>
    <w:rsid w:val="00733EDF"/>
    <w:rsid w:val="007344BF"/>
    <w:rsid w:val="00741189"/>
    <w:rsid w:val="00742AEF"/>
    <w:rsid w:val="0074307D"/>
    <w:rsid w:val="00744912"/>
    <w:rsid w:val="00744ACE"/>
    <w:rsid w:val="00744B35"/>
    <w:rsid w:val="007453A4"/>
    <w:rsid w:val="0074616F"/>
    <w:rsid w:val="0075072B"/>
    <w:rsid w:val="00752AF2"/>
    <w:rsid w:val="00753D02"/>
    <w:rsid w:val="00755C0A"/>
    <w:rsid w:val="007569D2"/>
    <w:rsid w:val="00757631"/>
    <w:rsid w:val="00760C90"/>
    <w:rsid w:val="00761574"/>
    <w:rsid w:val="00764DB8"/>
    <w:rsid w:val="0076504B"/>
    <w:rsid w:val="0076584F"/>
    <w:rsid w:val="007673FC"/>
    <w:rsid w:val="00770987"/>
    <w:rsid w:val="00770C64"/>
    <w:rsid w:val="00772AC0"/>
    <w:rsid w:val="00773DB9"/>
    <w:rsid w:val="007755DE"/>
    <w:rsid w:val="0077610C"/>
    <w:rsid w:val="00776B55"/>
    <w:rsid w:val="00776FDE"/>
    <w:rsid w:val="00777E30"/>
    <w:rsid w:val="00782364"/>
    <w:rsid w:val="00783FA5"/>
    <w:rsid w:val="007843C5"/>
    <w:rsid w:val="007849FB"/>
    <w:rsid w:val="00784CA0"/>
    <w:rsid w:val="00787D71"/>
    <w:rsid w:val="00791061"/>
    <w:rsid w:val="00791339"/>
    <w:rsid w:val="00791F7A"/>
    <w:rsid w:val="00793655"/>
    <w:rsid w:val="00793FB8"/>
    <w:rsid w:val="007947ED"/>
    <w:rsid w:val="00794D87"/>
    <w:rsid w:val="00795913"/>
    <w:rsid w:val="00795A2F"/>
    <w:rsid w:val="00795CD4"/>
    <w:rsid w:val="007A1AE8"/>
    <w:rsid w:val="007A1D35"/>
    <w:rsid w:val="007A2238"/>
    <w:rsid w:val="007A2EF6"/>
    <w:rsid w:val="007A489B"/>
    <w:rsid w:val="007A4E87"/>
    <w:rsid w:val="007A4F01"/>
    <w:rsid w:val="007A5847"/>
    <w:rsid w:val="007A5A89"/>
    <w:rsid w:val="007A7E8C"/>
    <w:rsid w:val="007B00C8"/>
    <w:rsid w:val="007B18E6"/>
    <w:rsid w:val="007B19FD"/>
    <w:rsid w:val="007B1A88"/>
    <w:rsid w:val="007B1ADE"/>
    <w:rsid w:val="007B1C69"/>
    <w:rsid w:val="007B1D68"/>
    <w:rsid w:val="007B292B"/>
    <w:rsid w:val="007B2BA0"/>
    <w:rsid w:val="007B5059"/>
    <w:rsid w:val="007B5D16"/>
    <w:rsid w:val="007B6C3E"/>
    <w:rsid w:val="007B7960"/>
    <w:rsid w:val="007C051F"/>
    <w:rsid w:val="007C1878"/>
    <w:rsid w:val="007C1F27"/>
    <w:rsid w:val="007C1FCE"/>
    <w:rsid w:val="007C2284"/>
    <w:rsid w:val="007C27DA"/>
    <w:rsid w:val="007C2D93"/>
    <w:rsid w:val="007C3556"/>
    <w:rsid w:val="007C3695"/>
    <w:rsid w:val="007C37A6"/>
    <w:rsid w:val="007C521A"/>
    <w:rsid w:val="007C73AF"/>
    <w:rsid w:val="007C765E"/>
    <w:rsid w:val="007D0BA9"/>
    <w:rsid w:val="007D196A"/>
    <w:rsid w:val="007D1A8D"/>
    <w:rsid w:val="007D2416"/>
    <w:rsid w:val="007D291F"/>
    <w:rsid w:val="007D2AE1"/>
    <w:rsid w:val="007D458B"/>
    <w:rsid w:val="007D4CBB"/>
    <w:rsid w:val="007D4E4C"/>
    <w:rsid w:val="007D50AB"/>
    <w:rsid w:val="007D51D2"/>
    <w:rsid w:val="007D6627"/>
    <w:rsid w:val="007D6B88"/>
    <w:rsid w:val="007D6DA0"/>
    <w:rsid w:val="007D7E56"/>
    <w:rsid w:val="007E00BD"/>
    <w:rsid w:val="007E05E8"/>
    <w:rsid w:val="007E06FC"/>
    <w:rsid w:val="007E0BD3"/>
    <w:rsid w:val="007E2FFF"/>
    <w:rsid w:val="007E635D"/>
    <w:rsid w:val="007E68E0"/>
    <w:rsid w:val="007E7ACB"/>
    <w:rsid w:val="007F0A7E"/>
    <w:rsid w:val="007F0B6D"/>
    <w:rsid w:val="007F1315"/>
    <w:rsid w:val="007F1B41"/>
    <w:rsid w:val="007F586C"/>
    <w:rsid w:val="007F5BD7"/>
    <w:rsid w:val="007F5D51"/>
    <w:rsid w:val="007F69ED"/>
    <w:rsid w:val="007F7963"/>
    <w:rsid w:val="00800106"/>
    <w:rsid w:val="00800B4E"/>
    <w:rsid w:val="008012FE"/>
    <w:rsid w:val="008016DC"/>
    <w:rsid w:val="00801BE7"/>
    <w:rsid w:val="00801E55"/>
    <w:rsid w:val="00801EE2"/>
    <w:rsid w:val="00805758"/>
    <w:rsid w:val="00805A07"/>
    <w:rsid w:val="00807B52"/>
    <w:rsid w:val="00810519"/>
    <w:rsid w:val="0081086C"/>
    <w:rsid w:val="008145DE"/>
    <w:rsid w:val="00817172"/>
    <w:rsid w:val="008174F4"/>
    <w:rsid w:val="00820E7D"/>
    <w:rsid w:val="00821AFB"/>
    <w:rsid w:val="00823255"/>
    <w:rsid w:val="00823959"/>
    <w:rsid w:val="008240DF"/>
    <w:rsid w:val="0082479F"/>
    <w:rsid w:val="008251C8"/>
    <w:rsid w:val="00827055"/>
    <w:rsid w:val="0083040B"/>
    <w:rsid w:val="00831D09"/>
    <w:rsid w:val="0083277D"/>
    <w:rsid w:val="00832B1A"/>
    <w:rsid w:val="008342FA"/>
    <w:rsid w:val="008344A6"/>
    <w:rsid w:val="00834FC5"/>
    <w:rsid w:val="008403A6"/>
    <w:rsid w:val="0084042D"/>
    <w:rsid w:val="00842112"/>
    <w:rsid w:val="00842BBA"/>
    <w:rsid w:val="0084331E"/>
    <w:rsid w:val="00844431"/>
    <w:rsid w:val="008446EA"/>
    <w:rsid w:val="00846A3A"/>
    <w:rsid w:val="008476CF"/>
    <w:rsid w:val="00850680"/>
    <w:rsid w:val="008513A0"/>
    <w:rsid w:val="00851E47"/>
    <w:rsid w:val="00853EA4"/>
    <w:rsid w:val="0085405D"/>
    <w:rsid w:val="00854BFA"/>
    <w:rsid w:val="0085524E"/>
    <w:rsid w:val="008552E5"/>
    <w:rsid w:val="008564E0"/>
    <w:rsid w:val="008624AB"/>
    <w:rsid w:val="00862516"/>
    <w:rsid w:val="008634B0"/>
    <w:rsid w:val="0086437F"/>
    <w:rsid w:val="008649B9"/>
    <w:rsid w:val="00864E7C"/>
    <w:rsid w:val="008651F4"/>
    <w:rsid w:val="008655F5"/>
    <w:rsid w:val="0086563E"/>
    <w:rsid w:val="00866648"/>
    <w:rsid w:val="00867683"/>
    <w:rsid w:val="008705EB"/>
    <w:rsid w:val="00873BFE"/>
    <w:rsid w:val="00876200"/>
    <w:rsid w:val="00876874"/>
    <w:rsid w:val="008777BD"/>
    <w:rsid w:val="00880046"/>
    <w:rsid w:val="00880054"/>
    <w:rsid w:val="00880EAC"/>
    <w:rsid w:val="0088253C"/>
    <w:rsid w:val="0088291F"/>
    <w:rsid w:val="008835BA"/>
    <w:rsid w:val="00884940"/>
    <w:rsid w:val="00886CDD"/>
    <w:rsid w:val="00887FB9"/>
    <w:rsid w:val="008900C0"/>
    <w:rsid w:val="00893251"/>
    <w:rsid w:val="00897AE0"/>
    <w:rsid w:val="00897D2C"/>
    <w:rsid w:val="00897F4B"/>
    <w:rsid w:val="008A1839"/>
    <w:rsid w:val="008A19F1"/>
    <w:rsid w:val="008A3DD7"/>
    <w:rsid w:val="008A41EB"/>
    <w:rsid w:val="008A461B"/>
    <w:rsid w:val="008A4F57"/>
    <w:rsid w:val="008A5583"/>
    <w:rsid w:val="008A676A"/>
    <w:rsid w:val="008A6C75"/>
    <w:rsid w:val="008B0534"/>
    <w:rsid w:val="008B0A53"/>
    <w:rsid w:val="008B24ED"/>
    <w:rsid w:val="008B4365"/>
    <w:rsid w:val="008B5D66"/>
    <w:rsid w:val="008B7500"/>
    <w:rsid w:val="008B7A42"/>
    <w:rsid w:val="008B7AB9"/>
    <w:rsid w:val="008C0138"/>
    <w:rsid w:val="008C0561"/>
    <w:rsid w:val="008C19DB"/>
    <w:rsid w:val="008C1F03"/>
    <w:rsid w:val="008C307E"/>
    <w:rsid w:val="008C40B8"/>
    <w:rsid w:val="008C4BA4"/>
    <w:rsid w:val="008C62E5"/>
    <w:rsid w:val="008C7C5B"/>
    <w:rsid w:val="008C7F8B"/>
    <w:rsid w:val="008C7FFB"/>
    <w:rsid w:val="008D084A"/>
    <w:rsid w:val="008D3506"/>
    <w:rsid w:val="008D516B"/>
    <w:rsid w:val="008D5964"/>
    <w:rsid w:val="008D6240"/>
    <w:rsid w:val="008D62D3"/>
    <w:rsid w:val="008D6575"/>
    <w:rsid w:val="008E02BF"/>
    <w:rsid w:val="008E1203"/>
    <w:rsid w:val="008E174D"/>
    <w:rsid w:val="008E24B9"/>
    <w:rsid w:val="008E33BA"/>
    <w:rsid w:val="008E347C"/>
    <w:rsid w:val="008E34C4"/>
    <w:rsid w:val="008E3584"/>
    <w:rsid w:val="008E35C4"/>
    <w:rsid w:val="008E3662"/>
    <w:rsid w:val="008E37D3"/>
    <w:rsid w:val="008E3E75"/>
    <w:rsid w:val="008E4B08"/>
    <w:rsid w:val="008F018F"/>
    <w:rsid w:val="008F0CA1"/>
    <w:rsid w:val="008F263C"/>
    <w:rsid w:val="008F2EB2"/>
    <w:rsid w:val="008F4CDB"/>
    <w:rsid w:val="008F525C"/>
    <w:rsid w:val="008F6DE4"/>
    <w:rsid w:val="00900181"/>
    <w:rsid w:val="00900B6A"/>
    <w:rsid w:val="00904FBC"/>
    <w:rsid w:val="009062D0"/>
    <w:rsid w:val="00906585"/>
    <w:rsid w:val="009069DA"/>
    <w:rsid w:val="0091013A"/>
    <w:rsid w:val="0091021F"/>
    <w:rsid w:val="00911837"/>
    <w:rsid w:val="00911CA0"/>
    <w:rsid w:val="00911F62"/>
    <w:rsid w:val="00912C5B"/>
    <w:rsid w:val="00913183"/>
    <w:rsid w:val="00913B10"/>
    <w:rsid w:val="00913BFD"/>
    <w:rsid w:val="00914096"/>
    <w:rsid w:val="00914D60"/>
    <w:rsid w:val="0091593D"/>
    <w:rsid w:val="0091730E"/>
    <w:rsid w:val="00920A3D"/>
    <w:rsid w:val="009211D4"/>
    <w:rsid w:val="00921629"/>
    <w:rsid w:val="0092235F"/>
    <w:rsid w:val="00922B44"/>
    <w:rsid w:val="009243D3"/>
    <w:rsid w:val="009244D1"/>
    <w:rsid w:val="00924730"/>
    <w:rsid w:val="00927C60"/>
    <w:rsid w:val="009320A9"/>
    <w:rsid w:val="00934275"/>
    <w:rsid w:val="0093557C"/>
    <w:rsid w:val="00935849"/>
    <w:rsid w:val="0093716B"/>
    <w:rsid w:val="0094057B"/>
    <w:rsid w:val="009407EE"/>
    <w:rsid w:val="00940BFF"/>
    <w:rsid w:val="00941430"/>
    <w:rsid w:val="00941F51"/>
    <w:rsid w:val="0094272F"/>
    <w:rsid w:val="00944349"/>
    <w:rsid w:val="00944B01"/>
    <w:rsid w:val="00945ACE"/>
    <w:rsid w:val="00946D58"/>
    <w:rsid w:val="00947536"/>
    <w:rsid w:val="00950382"/>
    <w:rsid w:val="00951210"/>
    <w:rsid w:val="00952D42"/>
    <w:rsid w:val="00953310"/>
    <w:rsid w:val="00954560"/>
    <w:rsid w:val="00954D17"/>
    <w:rsid w:val="00955287"/>
    <w:rsid w:val="00960113"/>
    <w:rsid w:val="009615D6"/>
    <w:rsid w:val="00962070"/>
    <w:rsid w:val="00962EEA"/>
    <w:rsid w:val="00962F7E"/>
    <w:rsid w:val="00963F75"/>
    <w:rsid w:val="009642D8"/>
    <w:rsid w:val="00964C4D"/>
    <w:rsid w:val="00964CA6"/>
    <w:rsid w:val="00964F3E"/>
    <w:rsid w:val="00965386"/>
    <w:rsid w:val="0096577F"/>
    <w:rsid w:val="00970896"/>
    <w:rsid w:val="009709AB"/>
    <w:rsid w:val="00970CA2"/>
    <w:rsid w:val="00971732"/>
    <w:rsid w:val="00971D29"/>
    <w:rsid w:val="00972EEA"/>
    <w:rsid w:val="009734DE"/>
    <w:rsid w:val="00974B7C"/>
    <w:rsid w:val="00975299"/>
    <w:rsid w:val="00975BF7"/>
    <w:rsid w:val="0097672A"/>
    <w:rsid w:val="009858BD"/>
    <w:rsid w:val="0099110F"/>
    <w:rsid w:val="009920BB"/>
    <w:rsid w:val="00992AA3"/>
    <w:rsid w:val="00995F14"/>
    <w:rsid w:val="0099603C"/>
    <w:rsid w:val="00997938"/>
    <w:rsid w:val="00997945"/>
    <w:rsid w:val="00997980"/>
    <w:rsid w:val="009A1355"/>
    <w:rsid w:val="009A2BF4"/>
    <w:rsid w:val="009A2D7C"/>
    <w:rsid w:val="009A38A6"/>
    <w:rsid w:val="009A3A0A"/>
    <w:rsid w:val="009A4102"/>
    <w:rsid w:val="009A51FA"/>
    <w:rsid w:val="009A61E5"/>
    <w:rsid w:val="009B119E"/>
    <w:rsid w:val="009B2C5F"/>
    <w:rsid w:val="009B2FAB"/>
    <w:rsid w:val="009B3F24"/>
    <w:rsid w:val="009B45B7"/>
    <w:rsid w:val="009B4C10"/>
    <w:rsid w:val="009B5D80"/>
    <w:rsid w:val="009B68C1"/>
    <w:rsid w:val="009B7452"/>
    <w:rsid w:val="009B7499"/>
    <w:rsid w:val="009C0980"/>
    <w:rsid w:val="009C3301"/>
    <w:rsid w:val="009C3394"/>
    <w:rsid w:val="009C37DF"/>
    <w:rsid w:val="009C3BDC"/>
    <w:rsid w:val="009C45E9"/>
    <w:rsid w:val="009C55F7"/>
    <w:rsid w:val="009D0389"/>
    <w:rsid w:val="009D047B"/>
    <w:rsid w:val="009D12DD"/>
    <w:rsid w:val="009D14D9"/>
    <w:rsid w:val="009D37E1"/>
    <w:rsid w:val="009D4EF2"/>
    <w:rsid w:val="009D50B5"/>
    <w:rsid w:val="009D52FF"/>
    <w:rsid w:val="009D585B"/>
    <w:rsid w:val="009D6181"/>
    <w:rsid w:val="009D662D"/>
    <w:rsid w:val="009D6BF4"/>
    <w:rsid w:val="009D7CD7"/>
    <w:rsid w:val="009E0A42"/>
    <w:rsid w:val="009E52E0"/>
    <w:rsid w:val="009E797B"/>
    <w:rsid w:val="009F484B"/>
    <w:rsid w:val="009F585D"/>
    <w:rsid w:val="009F596D"/>
    <w:rsid w:val="009F7DF1"/>
    <w:rsid w:val="00A002C7"/>
    <w:rsid w:val="00A01EF1"/>
    <w:rsid w:val="00A0382C"/>
    <w:rsid w:val="00A03F68"/>
    <w:rsid w:val="00A03F85"/>
    <w:rsid w:val="00A0476B"/>
    <w:rsid w:val="00A04ABA"/>
    <w:rsid w:val="00A055BB"/>
    <w:rsid w:val="00A05B4B"/>
    <w:rsid w:val="00A1002B"/>
    <w:rsid w:val="00A10F81"/>
    <w:rsid w:val="00A1153A"/>
    <w:rsid w:val="00A12EEE"/>
    <w:rsid w:val="00A13428"/>
    <w:rsid w:val="00A14ACD"/>
    <w:rsid w:val="00A15701"/>
    <w:rsid w:val="00A165D1"/>
    <w:rsid w:val="00A174A3"/>
    <w:rsid w:val="00A222F0"/>
    <w:rsid w:val="00A2231C"/>
    <w:rsid w:val="00A2424D"/>
    <w:rsid w:val="00A262DC"/>
    <w:rsid w:val="00A266F4"/>
    <w:rsid w:val="00A2714C"/>
    <w:rsid w:val="00A27539"/>
    <w:rsid w:val="00A27F4C"/>
    <w:rsid w:val="00A30DDF"/>
    <w:rsid w:val="00A3232A"/>
    <w:rsid w:val="00A33EFA"/>
    <w:rsid w:val="00A33FC3"/>
    <w:rsid w:val="00A343EA"/>
    <w:rsid w:val="00A34A8A"/>
    <w:rsid w:val="00A36B7E"/>
    <w:rsid w:val="00A40398"/>
    <w:rsid w:val="00A40435"/>
    <w:rsid w:val="00A40F40"/>
    <w:rsid w:val="00A42E64"/>
    <w:rsid w:val="00A438FA"/>
    <w:rsid w:val="00A43D09"/>
    <w:rsid w:val="00A43D23"/>
    <w:rsid w:val="00A43F5A"/>
    <w:rsid w:val="00A44518"/>
    <w:rsid w:val="00A448A7"/>
    <w:rsid w:val="00A45DA6"/>
    <w:rsid w:val="00A47801"/>
    <w:rsid w:val="00A478C3"/>
    <w:rsid w:val="00A51ABB"/>
    <w:rsid w:val="00A524A2"/>
    <w:rsid w:val="00A5420E"/>
    <w:rsid w:val="00A552BF"/>
    <w:rsid w:val="00A56758"/>
    <w:rsid w:val="00A57C5B"/>
    <w:rsid w:val="00A61B44"/>
    <w:rsid w:val="00A61D22"/>
    <w:rsid w:val="00A6256A"/>
    <w:rsid w:val="00A62901"/>
    <w:rsid w:val="00A638D3"/>
    <w:rsid w:val="00A638DE"/>
    <w:rsid w:val="00A65EC8"/>
    <w:rsid w:val="00A660B7"/>
    <w:rsid w:val="00A67737"/>
    <w:rsid w:val="00A6780F"/>
    <w:rsid w:val="00A738FF"/>
    <w:rsid w:val="00A75A11"/>
    <w:rsid w:val="00A76298"/>
    <w:rsid w:val="00A762A9"/>
    <w:rsid w:val="00A778DA"/>
    <w:rsid w:val="00A77D33"/>
    <w:rsid w:val="00A77DBD"/>
    <w:rsid w:val="00A80FC6"/>
    <w:rsid w:val="00A81F0B"/>
    <w:rsid w:val="00A83D3D"/>
    <w:rsid w:val="00A84146"/>
    <w:rsid w:val="00A842BB"/>
    <w:rsid w:val="00A84324"/>
    <w:rsid w:val="00A8619C"/>
    <w:rsid w:val="00A8695A"/>
    <w:rsid w:val="00A87368"/>
    <w:rsid w:val="00A90138"/>
    <w:rsid w:val="00A90B66"/>
    <w:rsid w:val="00A90D0C"/>
    <w:rsid w:val="00A91960"/>
    <w:rsid w:val="00A91C1D"/>
    <w:rsid w:val="00A91D5B"/>
    <w:rsid w:val="00A945EB"/>
    <w:rsid w:val="00A9491B"/>
    <w:rsid w:val="00A9536C"/>
    <w:rsid w:val="00A96941"/>
    <w:rsid w:val="00A96A15"/>
    <w:rsid w:val="00A97583"/>
    <w:rsid w:val="00A977FB"/>
    <w:rsid w:val="00A978A7"/>
    <w:rsid w:val="00A97BC9"/>
    <w:rsid w:val="00AA1758"/>
    <w:rsid w:val="00AA1D23"/>
    <w:rsid w:val="00AA3819"/>
    <w:rsid w:val="00AA4062"/>
    <w:rsid w:val="00AA4213"/>
    <w:rsid w:val="00AA45D0"/>
    <w:rsid w:val="00AA49B2"/>
    <w:rsid w:val="00AA5B00"/>
    <w:rsid w:val="00AA6AB0"/>
    <w:rsid w:val="00AA7E09"/>
    <w:rsid w:val="00AB0EB3"/>
    <w:rsid w:val="00AB0FD1"/>
    <w:rsid w:val="00AB1D5A"/>
    <w:rsid w:val="00AB4BE9"/>
    <w:rsid w:val="00AB583A"/>
    <w:rsid w:val="00AB597F"/>
    <w:rsid w:val="00AB72BF"/>
    <w:rsid w:val="00AC06A7"/>
    <w:rsid w:val="00AC159C"/>
    <w:rsid w:val="00AC1774"/>
    <w:rsid w:val="00AC2156"/>
    <w:rsid w:val="00AC3A2A"/>
    <w:rsid w:val="00AC5E05"/>
    <w:rsid w:val="00AC6A27"/>
    <w:rsid w:val="00AD1284"/>
    <w:rsid w:val="00AD1D4F"/>
    <w:rsid w:val="00AD1F9B"/>
    <w:rsid w:val="00AD3C96"/>
    <w:rsid w:val="00AD6FA8"/>
    <w:rsid w:val="00AD700E"/>
    <w:rsid w:val="00AD75A0"/>
    <w:rsid w:val="00AE1D2F"/>
    <w:rsid w:val="00AE29AD"/>
    <w:rsid w:val="00AE3643"/>
    <w:rsid w:val="00AE383E"/>
    <w:rsid w:val="00AE513E"/>
    <w:rsid w:val="00AE567E"/>
    <w:rsid w:val="00AE582D"/>
    <w:rsid w:val="00AF00DD"/>
    <w:rsid w:val="00AF01D5"/>
    <w:rsid w:val="00AF35C9"/>
    <w:rsid w:val="00AF3FDA"/>
    <w:rsid w:val="00AF50BF"/>
    <w:rsid w:val="00AF56AA"/>
    <w:rsid w:val="00AF6C2A"/>
    <w:rsid w:val="00AF6F23"/>
    <w:rsid w:val="00B00257"/>
    <w:rsid w:val="00B00A03"/>
    <w:rsid w:val="00B01BE3"/>
    <w:rsid w:val="00B058F2"/>
    <w:rsid w:val="00B104D6"/>
    <w:rsid w:val="00B10F8F"/>
    <w:rsid w:val="00B1183C"/>
    <w:rsid w:val="00B1186F"/>
    <w:rsid w:val="00B120FA"/>
    <w:rsid w:val="00B12464"/>
    <w:rsid w:val="00B12690"/>
    <w:rsid w:val="00B128DF"/>
    <w:rsid w:val="00B12D91"/>
    <w:rsid w:val="00B1596D"/>
    <w:rsid w:val="00B15B07"/>
    <w:rsid w:val="00B1627F"/>
    <w:rsid w:val="00B162D3"/>
    <w:rsid w:val="00B16DA4"/>
    <w:rsid w:val="00B17FA4"/>
    <w:rsid w:val="00B20C66"/>
    <w:rsid w:val="00B21136"/>
    <w:rsid w:val="00B2270F"/>
    <w:rsid w:val="00B24617"/>
    <w:rsid w:val="00B27565"/>
    <w:rsid w:val="00B31329"/>
    <w:rsid w:val="00B32D0F"/>
    <w:rsid w:val="00B33D6D"/>
    <w:rsid w:val="00B35105"/>
    <w:rsid w:val="00B35408"/>
    <w:rsid w:val="00B367A9"/>
    <w:rsid w:val="00B40567"/>
    <w:rsid w:val="00B40A02"/>
    <w:rsid w:val="00B40D10"/>
    <w:rsid w:val="00B41092"/>
    <w:rsid w:val="00B416C5"/>
    <w:rsid w:val="00B41D90"/>
    <w:rsid w:val="00B41ED3"/>
    <w:rsid w:val="00B42814"/>
    <w:rsid w:val="00B44821"/>
    <w:rsid w:val="00B44DD5"/>
    <w:rsid w:val="00B450AC"/>
    <w:rsid w:val="00B45C41"/>
    <w:rsid w:val="00B46790"/>
    <w:rsid w:val="00B50018"/>
    <w:rsid w:val="00B50332"/>
    <w:rsid w:val="00B52663"/>
    <w:rsid w:val="00B529C2"/>
    <w:rsid w:val="00B536FE"/>
    <w:rsid w:val="00B53A5F"/>
    <w:rsid w:val="00B552CE"/>
    <w:rsid w:val="00B55567"/>
    <w:rsid w:val="00B55D39"/>
    <w:rsid w:val="00B560E7"/>
    <w:rsid w:val="00B561DE"/>
    <w:rsid w:val="00B624D0"/>
    <w:rsid w:val="00B631BF"/>
    <w:rsid w:val="00B63D54"/>
    <w:rsid w:val="00B63F74"/>
    <w:rsid w:val="00B6590D"/>
    <w:rsid w:val="00B66DC6"/>
    <w:rsid w:val="00B66EB7"/>
    <w:rsid w:val="00B67013"/>
    <w:rsid w:val="00B6775E"/>
    <w:rsid w:val="00B67AC7"/>
    <w:rsid w:val="00B7042D"/>
    <w:rsid w:val="00B70F74"/>
    <w:rsid w:val="00B70F96"/>
    <w:rsid w:val="00B73BA3"/>
    <w:rsid w:val="00B761FE"/>
    <w:rsid w:val="00B7661B"/>
    <w:rsid w:val="00B771C5"/>
    <w:rsid w:val="00B77CC5"/>
    <w:rsid w:val="00B77F36"/>
    <w:rsid w:val="00B81E55"/>
    <w:rsid w:val="00B82477"/>
    <w:rsid w:val="00B825FA"/>
    <w:rsid w:val="00B82D95"/>
    <w:rsid w:val="00B83F9F"/>
    <w:rsid w:val="00B84303"/>
    <w:rsid w:val="00B847D6"/>
    <w:rsid w:val="00B85B60"/>
    <w:rsid w:val="00B87FB8"/>
    <w:rsid w:val="00B929D1"/>
    <w:rsid w:val="00B93FDF"/>
    <w:rsid w:val="00B94A68"/>
    <w:rsid w:val="00B94AFE"/>
    <w:rsid w:val="00B94D26"/>
    <w:rsid w:val="00B94EA9"/>
    <w:rsid w:val="00B9556A"/>
    <w:rsid w:val="00B95D76"/>
    <w:rsid w:val="00B95FB7"/>
    <w:rsid w:val="00B96F1A"/>
    <w:rsid w:val="00B97CC6"/>
    <w:rsid w:val="00BA0B41"/>
    <w:rsid w:val="00BA0B9C"/>
    <w:rsid w:val="00BA17B4"/>
    <w:rsid w:val="00BA2D4E"/>
    <w:rsid w:val="00BA3B82"/>
    <w:rsid w:val="00BA3FBE"/>
    <w:rsid w:val="00BA4E61"/>
    <w:rsid w:val="00BA52FD"/>
    <w:rsid w:val="00BA7845"/>
    <w:rsid w:val="00BA7BFD"/>
    <w:rsid w:val="00BB2BE9"/>
    <w:rsid w:val="00BB4D1A"/>
    <w:rsid w:val="00BB5842"/>
    <w:rsid w:val="00BB5B33"/>
    <w:rsid w:val="00BB6903"/>
    <w:rsid w:val="00BB72F8"/>
    <w:rsid w:val="00BB76BB"/>
    <w:rsid w:val="00BC0541"/>
    <w:rsid w:val="00BC1B87"/>
    <w:rsid w:val="00BC2856"/>
    <w:rsid w:val="00BC2FBF"/>
    <w:rsid w:val="00BC3241"/>
    <w:rsid w:val="00BC4062"/>
    <w:rsid w:val="00BC4581"/>
    <w:rsid w:val="00BC461F"/>
    <w:rsid w:val="00BC52A7"/>
    <w:rsid w:val="00BC54B0"/>
    <w:rsid w:val="00BC564B"/>
    <w:rsid w:val="00BC5F9C"/>
    <w:rsid w:val="00BC5FC2"/>
    <w:rsid w:val="00BD0A35"/>
    <w:rsid w:val="00BD1544"/>
    <w:rsid w:val="00BD1B4C"/>
    <w:rsid w:val="00BD3213"/>
    <w:rsid w:val="00BD4724"/>
    <w:rsid w:val="00BD53F4"/>
    <w:rsid w:val="00BD648D"/>
    <w:rsid w:val="00BD7AE7"/>
    <w:rsid w:val="00BD7F9A"/>
    <w:rsid w:val="00BE0969"/>
    <w:rsid w:val="00BE0E87"/>
    <w:rsid w:val="00BE15F6"/>
    <w:rsid w:val="00BE1E66"/>
    <w:rsid w:val="00BE1E90"/>
    <w:rsid w:val="00BE2324"/>
    <w:rsid w:val="00BE2844"/>
    <w:rsid w:val="00BE2884"/>
    <w:rsid w:val="00BE29C4"/>
    <w:rsid w:val="00BE408A"/>
    <w:rsid w:val="00BE76E2"/>
    <w:rsid w:val="00BF17A4"/>
    <w:rsid w:val="00BF1D2D"/>
    <w:rsid w:val="00BF3C12"/>
    <w:rsid w:val="00BF5772"/>
    <w:rsid w:val="00BF794C"/>
    <w:rsid w:val="00C01289"/>
    <w:rsid w:val="00C02AB8"/>
    <w:rsid w:val="00C04CE6"/>
    <w:rsid w:val="00C04FF9"/>
    <w:rsid w:val="00C05CAA"/>
    <w:rsid w:val="00C0671C"/>
    <w:rsid w:val="00C07C66"/>
    <w:rsid w:val="00C108D2"/>
    <w:rsid w:val="00C117B4"/>
    <w:rsid w:val="00C11952"/>
    <w:rsid w:val="00C11C24"/>
    <w:rsid w:val="00C12E00"/>
    <w:rsid w:val="00C13745"/>
    <w:rsid w:val="00C13F22"/>
    <w:rsid w:val="00C16A7B"/>
    <w:rsid w:val="00C20AC9"/>
    <w:rsid w:val="00C22BAD"/>
    <w:rsid w:val="00C23CFE"/>
    <w:rsid w:val="00C24FEF"/>
    <w:rsid w:val="00C25337"/>
    <w:rsid w:val="00C25D0B"/>
    <w:rsid w:val="00C2640E"/>
    <w:rsid w:val="00C26653"/>
    <w:rsid w:val="00C31155"/>
    <w:rsid w:val="00C31374"/>
    <w:rsid w:val="00C322C1"/>
    <w:rsid w:val="00C34BA1"/>
    <w:rsid w:val="00C35531"/>
    <w:rsid w:val="00C35715"/>
    <w:rsid w:val="00C35A5B"/>
    <w:rsid w:val="00C36623"/>
    <w:rsid w:val="00C37BAD"/>
    <w:rsid w:val="00C43C1E"/>
    <w:rsid w:val="00C43F8D"/>
    <w:rsid w:val="00C47614"/>
    <w:rsid w:val="00C479F8"/>
    <w:rsid w:val="00C50A4B"/>
    <w:rsid w:val="00C518EF"/>
    <w:rsid w:val="00C51CAA"/>
    <w:rsid w:val="00C526E6"/>
    <w:rsid w:val="00C529E7"/>
    <w:rsid w:val="00C52DC7"/>
    <w:rsid w:val="00C55209"/>
    <w:rsid w:val="00C561F1"/>
    <w:rsid w:val="00C6030E"/>
    <w:rsid w:val="00C61B53"/>
    <w:rsid w:val="00C62400"/>
    <w:rsid w:val="00C62778"/>
    <w:rsid w:val="00C62F3E"/>
    <w:rsid w:val="00C63855"/>
    <w:rsid w:val="00C645B4"/>
    <w:rsid w:val="00C65445"/>
    <w:rsid w:val="00C669C7"/>
    <w:rsid w:val="00C672A2"/>
    <w:rsid w:val="00C673A7"/>
    <w:rsid w:val="00C67EFA"/>
    <w:rsid w:val="00C707F7"/>
    <w:rsid w:val="00C70B54"/>
    <w:rsid w:val="00C715BA"/>
    <w:rsid w:val="00C728C1"/>
    <w:rsid w:val="00C72BC2"/>
    <w:rsid w:val="00C73B66"/>
    <w:rsid w:val="00C742B5"/>
    <w:rsid w:val="00C74518"/>
    <w:rsid w:val="00C75BE3"/>
    <w:rsid w:val="00C803ED"/>
    <w:rsid w:val="00C80E84"/>
    <w:rsid w:val="00C81288"/>
    <w:rsid w:val="00C82134"/>
    <w:rsid w:val="00C8267D"/>
    <w:rsid w:val="00C8491C"/>
    <w:rsid w:val="00C92166"/>
    <w:rsid w:val="00C922F6"/>
    <w:rsid w:val="00C96370"/>
    <w:rsid w:val="00C96396"/>
    <w:rsid w:val="00C964BE"/>
    <w:rsid w:val="00C96E66"/>
    <w:rsid w:val="00CA05D3"/>
    <w:rsid w:val="00CA1BD0"/>
    <w:rsid w:val="00CA40EB"/>
    <w:rsid w:val="00CA5AC5"/>
    <w:rsid w:val="00CA600E"/>
    <w:rsid w:val="00CA6D49"/>
    <w:rsid w:val="00CA7880"/>
    <w:rsid w:val="00CB1A5F"/>
    <w:rsid w:val="00CB2309"/>
    <w:rsid w:val="00CB26BF"/>
    <w:rsid w:val="00CB322A"/>
    <w:rsid w:val="00CB3BDF"/>
    <w:rsid w:val="00CB3E80"/>
    <w:rsid w:val="00CB530F"/>
    <w:rsid w:val="00CB7438"/>
    <w:rsid w:val="00CC03C0"/>
    <w:rsid w:val="00CC08A5"/>
    <w:rsid w:val="00CC118F"/>
    <w:rsid w:val="00CC11EF"/>
    <w:rsid w:val="00CC1893"/>
    <w:rsid w:val="00CC2392"/>
    <w:rsid w:val="00CC2A7E"/>
    <w:rsid w:val="00CC2DB3"/>
    <w:rsid w:val="00CC3517"/>
    <w:rsid w:val="00CC36D2"/>
    <w:rsid w:val="00CC50D4"/>
    <w:rsid w:val="00CC6878"/>
    <w:rsid w:val="00CD04CF"/>
    <w:rsid w:val="00CD1032"/>
    <w:rsid w:val="00CD1093"/>
    <w:rsid w:val="00CD1202"/>
    <w:rsid w:val="00CD13C8"/>
    <w:rsid w:val="00CD1B38"/>
    <w:rsid w:val="00CD2514"/>
    <w:rsid w:val="00CD2977"/>
    <w:rsid w:val="00CD2CC4"/>
    <w:rsid w:val="00CD2F88"/>
    <w:rsid w:val="00CD404E"/>
    <w:rsid w:val="00CD4B88"/>
    <w:rsid w:val="00CD596F"/>
    <w:rsid w:val="00CD5ED3"/>
    <w:rsid w:val="00CD721C"/>
    <w:rsid w:val="00CE0B64"/>
    <w:rsid w:val="00CE0F12"/>
    <w:rsid w:val="00CE1468"/>
    <w:rsid w:val="00CE1D22"/>
    <w:rsid w:val="00CE4017"/>
    <w:rsid w:val="00CE67C3"/>
    <w:rsid w:val="00CE6996"/>
    <w:rsid w:val="00CE6CB4"/>
    <w:rsid w:val="00CF034D"/>
    <w:rsid w:val="00CF0C77"/>
    <w:rsid w:val="00CF13EB"/>
    <w:rsid w:val="00CF1461"/>
    <w:rsid w:val="00CF1545"/>
    <w:rsid w:val="00CF1A36"/>
    <w:rsid w:val="00CF3832"/>
    <w:rsid w:val="00CF4600"/>
    <w:rsid w:val="00CF5749"/>
    <w:rsid w:val="00CF5CDA"/>
    <w:rsid w:val="00CF621F"/>
    <w:rsid w:val="00CF70E6"/>
    <w:rsid w:val="00D00D9D"/>
    <w:rsid w:val="00D014A5"/>
    <w:rsid w:val="00D0157F"/>
    <w:rsid w:val="00D01848"/>
    <w:rsid w:val="00D01D95"/>
    <w:rsid w:val="00D03409"/>
    <w:rsid w:val="00D035C5"/>
    <w:rsid w:val="00D0373E"/>
    <w:rsid w:val="00D03C6B"/>
    <w:rsid w:val="00D03F3B"/>
    <w:rsid w:val="00D04A60"/>
    <w:rsid w:val="00D05201"/>
    <w:rsid w:val="00D06EB3"/>
    <w:rsid w:val="00D07ADB"/>
    <w:rsid w:val="00D07E40"/>
    <w:rsid w:val="00D10810"/>
    <w:rsid w:val="00D10EA8"/>
    <w:rsid w:val="00D116C9"/>
    <w:rsid w:val="00D11B09"/>
    <w:rsid w:val="00D144E8"/>
    <w:rsid w:val="00D1572D"/>
    <w:rsid w:val="00D159E7"/>
    <w:rsid w:val="00D174D5"/>
    <w:rsid w:val="00D17BEA"/>
    <w:rsid w:val="00D20746"/>
    <w:rsid w:val="00D211C2"/>
    <w:rsid w:val="00D21C30"/>
    <w:rsid w:val="00D2243D"/>
    <w:rsid w:val="00D2269E"/>
    <w:rsid w:val="00D229CA"/>
    <w:rsid w:val="00D22EAC"/>
    <w:rsid w:val="00D24C12"/>
    <w:rsid w:val="00D24EEE"/>
    <w:rsid w:val="00D25C9C"/>
    <w:rsid w:val="00D265EF"/>
    <w:rsid w:val="00D3052C"/>
    <w:rsid w:val="00D311F0"/>
    <w:rsid w:val="00D31FCC"/>
    <w:rsid w:val="00D32963"/>
    <w:rsid w:val="00D331D2"/>
    <w:rsid w:val="00D34DE9"/>
    <w:rsid w:val="00D36166"/>
    <w:rsid w:val="00D369F9"/>
    <w:rsid w:val="00D37BFA"/>
    <w:rsid w:val="00D37D90"/>
    <w:rsid w:val="00D40A66"/>
    <w:rsid w:val="00D412D5"/>
    <w:rsid w:val="00D41ECC"/>
    <w:rsid w:val="00D42BAF"/>
    <w:rsid w:val="00D44318"/>
    <w:rsid w:val="00D44950"/>
    <w:rsid w:val="00D44DAA"/>
    <w:rsid w:val="00D46396"/>
    <w:rsid w:val="00D47061"/>
    <w:rsid w:val="00D479CB"/>
    <w:rsid w:val="00D50B4F"/>
    <w:rsid w:val="00D50DCE"/>
    <w:rsid w:val="00D50E0C"/>
    <w:rsid w:val="00D513D4"/>
    <w:rsid w:val="00D51647"/>
    <w:rsid w:val="00D51888"/>
    <w:rsid w:val="00D51A58"/>
    <w:rsid w:val="00D5301D"/>
    <w:rsid w:val="00D54115"/>
    <w:rsid w:val="00D54980"/>
    <w:rsid w:val="00D54BD3"/>
    <w:rsid w:val="00D55A66"/>
    <w:rsid w:val="00D55B50"/>
    <w:rsid w:val="00D56A70"/>
    <w:rsid w:val="00D56DD1"/>
    <w:rsid w:val="00D5746A"/>
    <w:rsid w:val="00D607A5"/>
    <w:rsid w:val="00D60DF8"/>
    <w:rsid w:val="00D611EB"/>
    <w:rsid w:val="00D612E6"/>
    <w:rsid w:val="00D63E61"/>
    <w:rsid w:val="00D64470"/>
    <w:rsid w:val="00D64BD4"/>
    <w:rsid w:val="00D658B0"/>
    <w:rsid w:val="00D65DE2"/>
    <w:rsid w:val="00D66EA5"/>
    <w:rsid w:val="00D67735"/>
    <w:rsid w:val="00D7084D"/>
    <w:rsid w:val="00D70AE3"/>
    <w:rsid w:val="00D74033"/>
    <w:rsid w:val="00D74CCB"/>
    <w:rsid w:val="00D75D2D"/>
    <w:rsid w:val="00D767F3"/>
    <w:rsid w:val="00D77C71"/>
    <w:rsid w:val="00D80130"/>
    <w:rsid w:val="00D8224C"/>
    <w:rsid w:val="00D82532"/>
    <w:rsid w:val="00D82B06"/>
    <w:rsid w:val="00D839A7"/>
    <w:rsid w:val="00D861AA"/>
    <w:rsid w:val="00D87E3E"/>
    <w:rsid w:val="00D9355A"/>
    <w:rsid w:val="00D9391F"/>
    <w:rsid w:val="00D95E3C"/>
    <w:rsid w:val="00D96C0E"/>
    <w:rsid w:val="00D971E3"/>
    <w:rsid w:val="00D97682"/>
    <w:rsid w:val="00DA029A"/>
    <w:rsid w:val="00DA266E"/>
    <w:rsid w:val="00DA3797"/>
    <w:rsid w:val="00DA4BF2"/>
    <w:rsid w:val="00DA52D7"/>
    <w:rsid w:val="00DA58C6"/>
    <w:rsid w:val="00DA6DCE"/>
    <w:rsid w:val="00DB07F6"/>
    <w:rsid w:val="00DB0EC8"/>
    <w:rsid w:val="00DB1653"/>
    <w:rsid w:val="00DB330F"/>
    <w:rsid w:val="00DB3BA9"/>
    <w:rsid w:val="00DB4A04"/>
    <w:rsid w:val="00DB54E2"/>
    <w:rsid w:val="00DB5782"/>
    <w:rsid w:val="00DB684A"/>
    <w:rsid w:val="00DB718F"/>
    <w:rsid w:val="00DB72AC"/>
    <w:rsid w:val="00DB72BC"/>
    <w:rsid w:val="00DB7C77"/>
    <w:rsid w:val="00DB7EA8"/>
    <w:rsid w:val="00DC292A"/>
    <w:rsid w:val="00DC2A1F"/>
    <w:rsid w:val="00DC4AB7"/>
    <w:rsid w:val="00DC5C02"/>
    <w:rsid w:val="00DC6A40"/>
    <w:rsid w:val="00DC7A39"/>
    <w:rsid w:val="00DD3203"/>
    <w:rsid w:val="00DD3BE0"/>
    <w:rsid w:val="00DD4125"/>
    <w:rsid w:val="00DD4946"/>
    <w:rsid w:val="00DD4D21"/>
    <w:rsid w:val="00DD5B8B"/>
    <w:rsid w:val="00DD5C52"/>
    <w:rsid w:val="00DD5C70"/>
    <w:rsid w:val="00DD61EC"/>
    <w:rsid w:val="00DD6567"/>
    <w:rsid w:val="00DD7000"/>
    <w:rsid w:val="00DD734C"/>
    <w:rsid w:val="00DD78FA"/>
    <w:rsid w:val="00DD7BE9"/>
    <w:rsid w:val="00DE0154"/>
    <w:rsid w:val="00DE14D4"/>
    <w:rsid w:val="00DE18F8"/>
    <w:rsid w:val="00DE4EB6"/>
    <w:rsid w:val="00DE5879"/>
    <w:rsid w:val="00DE6EC9"/>
    <w:rsid w:val="00DF0A94"/>
    <w:rsid w:val="00DF1A09"/>
    <w:rsid w:val="00DF4E77"/>
    <w:rsid w:val="00DF4EA6"/>
    <w:rsid w:val="00DF5F9A"/>
    <w:rsid w:val="00DF6534"/>
    <w:rsid w:val="00DF67CA"/>
    <w:rsid w:val="00DF67DA"/>
    <w:rsid w:val="00E00254"/>
    <w:rsid w:val="00E006FE"/>
    <w:rsid w:val="00E00FBD"/>
    <w:rsid w:val="00E0139A"/>
    <w:rsid w:val="00E0173A"/>
    <w:rsid w:val="00E022A6"/>
    <w:rsid w:val="00E02ACC"/>
    <w:rsid w:val="00E04B4F"/>
    <w:rsid w:val="00E05536"/>
    <w:rsid w:val="00E05BBC"/>
    <w:rsid w:val="00E1300D"/>
    <w:rsid w:val="00E13A91"/>
    <w:rsid w:val="00E164A0"/>
    <w:rsid w:val="00E1689F"/>
    <w:rsid w:val="00E174F9"/>
    <w:rsid w:val="00E179B4"/>
    <w:rsid w:val="00E17FE8"/>
    <w:rsid w:val="00E202C4"/>
    <w:rsid w:val="00E21665"/>
    <w:rsid w:val="00E21D8C"/>
    <w:rsid w:val="00E235EF"/>
    <w:rsid w:val="00E23AB2"/>
    <w:rsid w:val="00E24458"/>
    <w:rsid w:val="00E24B23"/>
    <w:rsid w:val="00E27C2F"/>
    <w:rsid w:val="00E30BAC"/>
    <w:rsid w:val="00E30C99"/>
    <w:rsid w:val="00E3153E"/>
    <w:rsid w:val="00E3235F"/>
    <w:rsid w:val="00E326A8"/>
    <w:rsid w:val="00E326EF"/>
    <w:rsid w:val="00E32854"/>
    <w:rsid w:val="00E32D08"/>
    <w:rsid w:val="00E33A6D"/>
    <w:rsid w:val="00E359B8"/>
    <w:rsid w:val="00E36DB0"/>
    <w:rsid w:val="00E36E2A"/>
    <w:rsid w:val="00E37661"/>
    <w:rsid w:val="00E400C1"/>
    <w:rsid w:val="00E4066D"/>
    <w:rsid w:val="00E424F8"/>
    <w:rsid w:val="00E433A8"/>
    <w:rsid w:val="00E44373"/>
    <w:rsid w:val="00E50629"/>
    <w:rsid w:val="00E5091A"/>
    <w:rsid w:val="00E514BF"/>
    <w:rsid w:val="00E5388D"/>
    <w:rsid w:val="00E53D7F"/>
    <w:rsid w:val="00E5779A"/>
    <w:rsid w:val="00E61993"/>
    <w:rsid w:val="00E61C2C"/>
    <w:rsid w:val="00E6219B"/>
    <w:rsid w:val="00E63DA5"/>
    <w:rsid w:val="00E64D6F"/>
    <w:rsid w:val="00E663C6"/>
    <w:rsid w:val="00E71D61"/>
    <w:rsid w:val="00E71E0F"/>
    <w:rsid w:val="00E7400B"/>
    <w:rsid w:val="00E742F9"/>
    <w:rsid w:val="00E74EED"/>
    <w:rsid w:val="00E757EF"/>
    <w:rsid w:val="00E76DA2"/>
    <w:rsid w:val="00E7708E"/>
    <w:rsid w:val="00E807C8"/>
    <w:rsid w:val="00E81C92"/>
    <w:rsid w:val="00E81D38"/>
    <w:rsid w:val="00E85955"/>
    <w:rsid w:val="00E86734"/>
    <w:rsid w:val="00E87BC0"/>
    <w:rsid w:val="00E87E64"/>
    <w:rsid w:val="00E91080"/>
    <w:rsid w:val="00E911AA"/>
    <w:rsid w:val="00E912B0"/>
    <w:rsid w:val="00E915BE"/>
    <w:rsid w:val="00E9395D"/>
    <w:rsid w:val="00E93C14"/>
    <w:rsid w:val="00E9441B"/>
    <w:rsid w:val="00E97CA1"/>
    <w:rsid w:val="00EA015C"/>
    <w:rsid w:val="00EA01BA"/>
    <w:rsid w:val="00EA0885"/>
    <w:rsid w:val="00EA1000"/>
    <w:rsid w:val="00EA29D7"/>
    <w:rsid w:val="00EA2EB6"/>
    <w:rsid w:val="00EA38D5"/>
    <w:rsid w:val="00EA3997"/>
    <w:rsid w:val="00EA55A8"/>
    <w:rsid w:val="00EB0673"/>
    <w:rsid w:val="00EB1CA4"/>
    <w:rsid w:val="00EB26D5"/>
    <w:rsid w:val="00EB2A6C"/>
    <w:rsid w:val="00EB2AAB"/>
    <w:rsid w:val="00EB2D23"/>
    <w:rsid w:val="00EB3C25"/>
    <w:rsid w:val="00EB5423"/>
    <w:rsid w:val="00EB5FC9"/>
    <w:rsid w:val="00EB63D0"/>
    <w:rsid w:val="00EB6C3C"/>
    <w:rsid w:val="00EB71EA"/>
    <w:rsid w:val="00EC172B"/>
    <w:rsid w:val="00EC3B6D"/>
    <w:rsid w:val="00EC3FF1"/>
    <w:rsid w:val="00EC44A5"/>
    <w:rsid w:val="00EC50F8"/>
    <w:rsid w:val="00EC5DC7"/>
    <w:rsid w:val="00EC716B"/>
    <w:rsid w:val="00EC7CE5"/>
    <w:rsid w:val="00ED1F2F"/>
    <w:rsid w:val="00ED3CFC"/>
    <w:rsid w:val="00ED3E4A"/>
    <w:rsid w:val="00ED51F2"/>
    <w:rsid w:val="00ED5594"/>
    <w:rsid w:val="00ED61B1"/>
    <w:rsid w:val="00ED6421"/>
    <w:rsid w:val="00ED6532"/>
    <w:rsid w:val="00ED72F3"/>
    <w:rsid w:val="00EE0030"/>
    <w:rsid w:val="00EE08D6"/>
    <w:rsid w:val="00EE0B63"/>
    <w:rsid w:val="00EE0E33"/>
    <w:rsid w:val="00EE33AA"/>
    <w:rsid w:val="00EE40DE"/>
    <w:rsid w:val="00EE4D91"/>
    <w:rsid w:val="00EE5CA1"/>
    <w:rsid w:val="00EE6644"/>
    <w:rsid w:val="00EE6C2C"/>
    <w:rsid w:val="00EE748C"/>
    <w:rsid w:val="00EE76CE"/>
    <w:rsid w:val="00EF0C38"/>
    <w:rsid w:val="00EF2DED"/>
    <w:rsid w:val="00EF433F"/>
    <w:rsid w:val="00EF7C96"/>
    <w:rsid w:val="00F01348"/>
    <w:rsid w:val="00F01CDC"/>
    <w:rsid w:val="00F022AE"/>
    <w:rsid w:val="00F028A9"/>
    <w:rsid w:val="00F038D4"/>
    <w:rsid w:val="00F0413D"/>
    <w:rsid w:val="00F04E2A"/>
    <w:rsid w:val="00F05246"/>
    <w:rsid w:val="00F07154"/>
    <w:rsid w:val="00F07920"/>
    <w:rsid w:val="00F1000F"/>
    <w:rsid w:val="00F114C7"/>
    <w:rsid w:val="00F11946"/>
    <w:rsid w:val="00F11A86"/>
    <w:rsid w:val="00F12AA7"/>
    <w:rsid w:val="00F12CBF"/>
    <w:rsid w:val="00F14A1A"/>
    <w:rsid w:val="00F1790A"/>
    <w:rsid w:val="00F17A74"/>
    <w:rsid w:val="00F21123"/>
    <w:rsid w:val="00F211D3"/>
    <w:rsid w:val="00F217D8"/>
    <w:rsid w:val="00F2194A"/>
    <w:rsid w:val="00F220A7"/>
    <w:rsid w:val="00F2223B"/>
    <w:rsid w:val="00F22864"/>
    <w:rsid w:val="00F2289B"/>
    <w:rsid w:val="00F228CB"/>
    <w:rsid w:val="00F229E0"/>
    <w:rsid w:val="00F2504A"/>
    <w:rsid w:val="00F25072"/>
    <w:rsid w:val="00F255D4"/>
    <w:rsid w:val="00F25CFB"/>
    <w:rsid w:val="00F27113"/>
    <w:rsid w:val="00F27847"/>
    <w:rsid w:val="00F302F6"/>
    <w:rsid w:val="00F318D3"/>
    <w:rsid w:val="00F3228E"/>
    <w:rsid w:val="00F3276A"/>
    <w:rsid w:val="00F32DDF"/>
    <w:rsid w:val="00F34931"/>
    <w:rsid w:val="00F34B7B"/>
    <w:rsid w:val="00F35D79"/>
    <w:rsid w:val="00F367B6"/>
    <w:rsid w:val="00F368DE"/>
    <w:rsid w:val="00F40445"/>
    <w:rsid w:val="00F40C18"/>
    <w:rsid w:val="00F42150"/>
    <w:rsid w:val="00F4271A"/>
    <w:rsid w:val="00F44500"/>
    <w:rsid w:val="00F4513A"/>
    <w:rsid w:val="00F46B76"/>
    <w:rsid w:val="00F46DD5"/>
    <w:rsid w:val="00F50AA0"/>
    <w:rsid w:val="00F529EC"/>
    <w:rsid w:val="00F53F8F"/>
    <w:rsid w:val="00F54D57"/>
    <w:rsid w:val="00F570E2"/>
    <w:rsid w:val="00F57A0B"/>
    <w:rsid w:val="00F6074A"/>
    <w:rsid w:val="00F60DBA"/>
    <w:rsid w:val="00F610F1"/>
    <w:rsid w:val="00F62758"/>
    <w:rsid w:val="00F62FE6"/>
    <w:rsid w:val="00F631F5"/>
    <w:rsid w:val="00F6561E"/>
    <w:rsid w:val="00F6697A"/>
    <w:rsid w:val="00F7034F"/>
    <w:rsid w:val="00F703EF"/>
    <w:rsid w:val="00F723F0"/>
    <w:rsid w:val="00F73432"/>
    <w:rsid w:val="00F73C6A"/>
    <w:rsid w:val="00F7470E"/>
    <w:rsid w:val="00F74DB8"/>
    <w:rsid w:val="00F74F58"/>
    <w:rsid w:val="00F75263"/>
    <w:rsid w:val="00F76B63"/>
    <w:rsid w:val="00F80B24"/>
    <w:rsid w:val="00F82837"/>
    <w:rsid w:val="00F82E54"/>
    <w:rsid w:val="00F8561D"/>
    <w:rsid w:val="00F85C0F"/>
    <w:rsid w:val="00F87304"/>
    <w:rsid w:val="00F87B38"/>
    <w:rsid w:val="00F90061"/>
    <w:rsid w:val="00F9098A"/>
    <w:rsid w:val="00F91459"/>
    <w:rsid w:val="00F93513"/>
    <w:rsid w:val="00F938B0"/>
    <w:rsid w:val="00F94679"/>
    <w:rsid w:val="00F94DBA"/>
    <w:rsid w:val="00F9509E"/>
    <w:rsid w:val="00F950B6"/>
    <w:rsid w:val="00F95439"/>
    <w:rsid w:val="00F97D3D"/>
    <w:rsid w:val="00FA0117"/>
    <w:rsid w:val="00FA0796"/>
    <w:rsid w:val="00FA15C4"/>
    <w:rsid w:val="00FA4421"/>
    <w:rsid w:val="00FA527F"/>
    <w:rsid w:val="00FA56A8"/>
    <w:rsid w:val="00FA6706"/>
    <w:rsid w:val="00FA6ABB"/>
    <w:rsid w:val="00FA6D31"/>
    <w:rsid w:val="00FA7E87"/>
    <w:rsid w:val="00FB0400"/>
    <w:rsid w:val="00FB0AB4"/>
    <w:rsid w:val="00FB0B62"/>
    <w:rsid w:val="00FB0C9E"/>
    <w:rsid w:val="00FB2010"/>
    <w:rsid w:val="00FB2628"/>
    <w:rsid w:val="00FB524B"/>
    <w:rsid w:val="00FB5CCF"/>
    <w:rsid w:val="00FB6735"/>
    <w:rsid w:val="00FB6EE5"/>
    <w:rsid w:val="00FB721D"/>
    <w:rsid w:val="00FB7DD7"/>
    <w:rsid w:val="00FC0BE6"/>
    <w:rsid w:val="00FC16C0"/>
    <w:rsid w:val="00FC2D8B"/>
    <w:rsid w:val="00FC3559"/>
    <w:rsid w:val="00FC4645"/>
    <w:rsid w:val="00FC4B81"/>
    <w:rsid w:val="00FC4C74"/>
    <w:rsid w:val="00FD0829"/>
    <w:rsid w:val="00FD1592"/>
    <w:rsid w:val="00FD16A6"/>
    <w:rsid w:val="00FD1D49"/>
    <w:rsid w:val="00FD2D3A"/>
    <w:rsid w:val="00FD2DB0"/>
    <w:rsid w:val="00FD2ED8"/>
    <w:rsid w:val="00FD3F80"/>
    <w:rsid w:val="00FD4808"/>
    <w:rsid w:val="00FD7300"/>
    <w:rsid w:val="00FD740C"/>
    <w:rsid w:val="00FE03D3"/>
    <w:rsid w:val="00FE1C14"/>
    <w:rsid w:val="00FE4910"/>
    <w:rsid w:val="00FE5214"/>
    <w:rsid w:val="00FE62BC"/>
    <w:rsid w:val="00FF2B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F0534F4-4F3B-4329-961D-626598EE6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0D6B"/>
    <w:rPr>
      <w:sz w:val="24"/>
      <w:szCs w:val="24"/>
    </w:rPr>
  </w:style>
  <w:style w:type="paragraph" w:styleId="Balk1">
    <w:name w:val="heading 1"/>
    <w:basedOn w:val="Normal"/>
    <w:next w:val="Normal"/>
    <w:link w:val="Balk1Char"/>
    <w:qFormat/>
    <w:pPr>
      <w:keepNext/>
      <w:jc w:val="center"/>
      <w:outlineLvl w:val="0"/>
    </w:pPr>
    <w:rPr>
      <w:rFonts w:ascii="Arial" w:hAnsi="Arial" w:cs="Arial"/>
      <w:b/>
      <w:bCs/>
      <w:sz w:val="20"/>
      <w:szCs w:val="20"/>
    </w:rPr>
  </w:style>
  <w:style w:type="paragraph" w:styleId="Balk2">
    <w:name w:val="heading 2"/>
    <w:basedOn w:val="Normal"/>
    <w:next w:val="Normal"/>
    <w:link w:val="Balk2Char"/>
    <w:qFormat/>
    <w:pPr>
      <w:keepNext/>
      <w:pBdr>
        <w:top w:val="double" w:sz="4" w:space="1" w:color="auto"/>
        <w:left w:val="double" w:sz="4" w:space="4" w:color="auto"/>
        <w:bottom w:val="double" w:sz="4" w:space="1" w:color="auto"/>
        <w:right w:val="double" w:sz="4" w:space="4" w:color="auto"/>
      </w:pBdr>
      <w:jc w:val="center"/>
      <w:outlineLvl w:val="1"/>
    </w:pPr>
    <w:rPr>
      <w:rFonts w:ascii="Garamond" w:hAnsi="Garamond"/>
      <w:b/>
      <w:sz w:val="32"/>
      <w:szCs w:val="20"/>
    </w:rPr>
  </w:style>
  <w:style w:type="paragraph" w:styleId="Balk3">
    <w:name w:val="heading 3"/>
    <w:basedOn w:val="Normal"/>
    <w:next w:val="Normal"/>
    <w:qFormat/>
    <w:pPr>
      <w:keepNext/>
      <w:jc w:val="both"/>
      <w:outlineLvl w:val="2"/>
    </w:pPr>
    <w:rPr>
      <w:b/>
      <w:bCs/>
      <w:sz w:val="20"/>
    </w:rPr>
  </w:style>
  <w:style w:type="paragraph" w:styleId="Balk4">
    <w:name w:val="heading 4"/>
    <w:basedOn w:val="Normal"/>
    <w:next w:val="Normal"/>
    <w:qFormat/>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rPr>
  </w:style>
  <w:style w:type="paragraph" w:styleId="Balk6">
    <w:name w:val="heading 6"/>
    <w:basedOn w:val="Normal"/>
    <w:next w:val="Normal"/>
    <w:link w:val="Balk6Char"/>
    <w:qFormat/>
    <w:rsid w:val="00A75A11"/>
    <w:pPr>
      <w:spacing w:before="240" w:after="60"/>
      <w:outlineLvl w:val="5"/>
    </w:pPr>
    <w:rPr>
      <w:b/>
      <w:bCs/>
      <w:sz w:val="22"/>
      <w:szCs w:val="22"/>
    </w:rPr>
  </w:style>
  <w:style w:type="paragraph" w:styleId="Balk7">
    <w:name w:val="heading 7"/>
    <w:basedOn w:val="Normal"/>
    <w:next w:val="Normal"/>
    <w:link w:val="Balk7Char"/>
    <w:qFormat/>
    <w:rsid w:val="00A75A11"/>
    <w:pPr>
      <w:spacing w:before="240" w:after="60"/>
      <w:outlineLvl w:val="6"/>
    </w:pPr>
  </w:style>
  <w:style w:type="paragraph" w:styleId="Balk9">
    <w:name w:val="heading 9"/>
    <w:basedOn w:val="Normal"/>
    <w:next w:val="Normal"/>
    <w:qFormat/>
    <w:rsid w:val="00680A41"/>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semiHidden/>
    <w:rPr>
      <w:color w:val="0000FF"/>
      <w:u w:val="single"/>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lang w:val="en-US"/>
    </w:rPr>
  </w:style>
  <w:style w:type="character" w:styleId="zlenenKpr">
    <w:name w:val="FollowedHyperlink"/>
    <w:semiHidden/>
    <w:rPr>
      <w:color w:val="800080"/>
      <w:u w:val="single"/>
    </w:rPr>
  </w:style>
  <w:style w:type="paragraph" w:styleId="GvdeMetniGirintisi">
    <w:name w:val="Body Text Indent"/>
    <w:basedOn w:val="Normal"/>
    <w:semiHidden/>
    <w:pPr>
      <w:ind w:left="1800" w:hanging="360"/>
    </w:pPr>
  </w:style>
  <w:style w:type="paragraph" w:styleId="GvdeMetniGirintisi2">
    <w:name w:val="Body Text Indent 2"/>
    <w:basedOn w:val="Normal"/>
    <w:pPr>
      <w:ind w:left="360"/>
      <w:jc w:val="both"/>
    </w:pPr>
  </w:style>
  <w:style w:type="paragraph" w:styleId="GvdeMetniGirintisi3">
    <w:name w:val="Body Text Indent 3"/>
    <w:basedOn w:val="Normal"/>
    <w:semiHidden/>
    <w:pPr>
      <w:ind w:left="360" w:firstLine="360"/>
      <w:jc w:val="both"/>
    </w:p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en-US"/>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styleId="GvdeMetni">
    <w:name w:val="Body Text"/>
    <w:basedOn w:val="Normal"/>
    <w:link w:val="GvdeMetniChar"/>
    <w:pPr>
      <w:shd w:val="clear" w:color="auto" w:fill="FFFFFF"/>
      <w:jc w:val="both"/>
    </w:pPr>
    <w:rPr>
      <w:color w:val="FF0000"/>
    </w:rPr>
  </w:style>
  <w:style w:type="paragraph" w:styleId="stbilgi">
    <w:name w:val="header"/>
    <w:basedOn w:val="Normal"/>
    <w:link w:val="stbilgiChar"/>
    <w:uiPriority w:val="99"/>
    <w:pPr>
      <w:tabs>
        <w:tab w:val="center" w:pos="4536"/>
        <w:tab w:val="right" w:pos="9072"/>
      </w:tabs>
    </w:pPr>
    <w:rPr>
      <w:lang w:val="x-none"/>
    </w:rPr>
  </w:style>
  <w:style w:type="paragraph" w:styleId="Altbilgi">
    <w:name w:val="footer"/>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DipnotMetni">
    <w:name w:val="footnote text"/>
    <w:basedOn w:val="Normal"/>
    <w:link w:val="DipnotMetniChar"/>
    <w:semiHidden/>
    <w:rPr>
      <w:sz w:val="20"/>
      <w:szCs w:val="20"/>
    </w:rPr>
  </w:style>
  <w:style w:type="paragraph" w:customStyle="1" w:styleId="xl22">
    <w:name w:val="xl22"/>
    <w:basedOn w:val="Normal"/>
    <w:pPr>
      <w:pBdr>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23">
    <w:name w:val="xl23"/>
    <w:basedOn w:val="Normal"/>
    <w:pPr>
      <w:pBdr>
        <w:bottom w:val="single" w:sz="4" w:space="0" w:color="auto"/>
        <w:right w:val="single" w:sz="4" w:space="0" w:color="auto"/>
      </w:pBdr>
      <w:spacing w:before="100" w:beforeAutospacing="1" w:after="100" w:afterAutospacing="1"/>
      <w:jc w:val="both"/>
    </w:pPr>
    <w:rPr>
      <w:lang w:val="en-US"/>
    </w:rPr>
  </w:style>
  <w:style w:type="paragraph" w:styleId="GvdeMetni2">
    <w:name w:val="Body Text 2"/>
    <w:basedOn w:val="Normal"/>
    <w:link w:val="GvdeMetni2Char"/>
    <w:pPr>
      <w:spacing w:after="120" w:line="480" w:lineRule="auto"/>
    </w:pPr>
    <w:rPr>
      <w:lang w:val="x-none"/>
    </w:rPr>
  </w:style>
  <w:style w:type="paragraph" w:styleId="BalonMetni">
    <w:name w:val="Balloon Text"/>
    <w:basedOn w:val="Normal"/>
    <w:link w:val="BalonMetniChar"/>
    <w:uiPriority w:val="99"/>
    <w:semiHidden/>
    <w:rPr>
      <w:rFonts w:ascii="Tahoma" w:hAnsi="Tahoma" w:cs="Tahoma"/>
      <w:sz w:val="16"/>
      <w:szCs w:val="16"/>
    </w:rPr>
  </w:style>
  <w:style w:type="character" w:customStyle="1" w:styleId="a">
    <w:name w:val="a"/>
    <w:basedOn w:val="VarsaylanParagrafYazTipi"/>
  </w:style>
  <w:style w:type="paragraph" w:styleId="GvdeMetni3">
    <w:name w:val="Body Text 3"/>
    <w:basedOn w:val="Normal"/>
    <w:link w:val="GvdeMetni3Char"/>
    <w:pPr>
      <w:spacing w:after="120"/>
    </w:pPr>
    <w:rPr>
      <w:sz w:val="16"/>
      <w:szCs w:val="16"/>
    </w:rPr>
  </w:style>
  <w:style w:type="character" w:styleId="DipnotBavurusu">
    <w:name w:val="footnote reference"/>
    <w:semiHidden/>
    <w:rPr>
      <w:vertAlign w:val="superscript"/>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style>
  <w:style w:type="paragraph" w:customStyle="1" w:styleId="xl30">
    <w:name w:val="xl30"/>
    <w:basedOn w:val="Normal"/>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style>
  <w:style w:type="paragraph" w:customStyle="1" w:styleId="Default">
    <w:name w:val="Default"/>
    <w:rsid w:val="00D07ADB"/>
    <w:pPr>
      <w:autoSpaceDE w:val="0"/>
      <w:autoSpaceDN w:val="0"/>
      <w:adjustRightInd w:val="0"/>
    </w:pPr>
    <w:rPr>
      <w:color w:val="000000"/>
      <w:sz w:val="24"/>
      <w:szCs w:val="24"/>
    </w:rPr>
  </w:style>
  <w:style w:type="table" w:styleId="TabloKlavuzu">
    <w:name w:val="Table Grid"/>
    <w:basedOn w:val="NormalTablo"/>
    <w:rsid w:val="00AB0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BB76BB"/>
    <w:pPr>
      <w:ind w:left="708"/>
    </w:pPr>
  </w:style>
  <w:style w:type="paragraph" w:styleId="KonuBal">
    <w:name w:val="Title"/>
    <w:basedOn w:val="Normal"/>
    <w:link w:val="KonuBalChar"/>
    <w:qFormat/>
    <w:rsid w:val="00866648"/>
    <w:pPr>
      <w:spacing w:line="240" w:lineRule="atLeast"/>
      <w:jc w:val="center"/>
    </w:pPr>
    <w:rPr>
      <w:b/>
      <w:sz w:val="32"/>
      <w:szCs w:val="20"/>
      <w:lang w:val="en-AU" w:eastAsia="x-none"/>
    </w:rPr>
  </w:style>
  <w:style w:type="character" w:customStyle="1" w:styleId="KonuBalChar">
    <w:name w:val="Konu Başlığı Char"/>
    <w:link w:val="KonuBal"/>
    <w:rsid w:val="00866648"/>
    <w:rPr>
      <w:b/>
      <w:sz w:val="32"/>
      <w:lang w:val="en-AU"/>
    </w:rPr>
  </w:style>
  <w:style w:type="character" w:styleId="Gl">
    <w:name w:val="Strong"/>
    <w:qFormat/>
    <w:rsid w:val="00782364"/>
    <w:rPr>
      <w:b/>
      <w:bCs/>
    </w:rPr>
  </w:style>
  <w:style w:type="character" w:styleId="Vurgu">
    <w:name w:val="Emphasis"/>
    <w:qFormat/>
    <w:rsid w:val="00680A41"/>
    <w:rPr>
      <w:b/>
      <w:bCs/>
      <w:i w:val="0"/>
      <w:iCs w:val="0"/>
    </w:rPr>
  </w:style>
  <w:style w:type="character" w:customStyle="1" w:styleId="apple-style-span">
    <w:name w:val="apple-style-span"/>
    <w:rsid w:val="00BB4D1A"/>
    <w:rPr>
      <w:rFonts w:cs="Times New Roman"/>
    </w:rPr>
  </w:style>
  <w:style w:type="character" w:customStyle="1" w:styleId="GvdeMetni2Char">
    <w:name w:val="Gövde Metni 2 Char"/>
    <w:link w:val="GvdeMetni2"/>
    <w:rsid w:val="009615D6"/>
    <w:rPr>
      <w:sz w:val="24"/>
      <w:szCs w:val="24"/>
      <w:lang w:eastAsia="en-US"/>
    </w:rPr>
  </w:style>
  <w:style w:type="character" w:customStyle="1" w:styleId="stbilgiChar">
    <w:name w:val="Üstbilgi Char"/>
    <w:link w:val="stbilgi"/>
    <w:uiPriority w:val="99"/>
    <w:rsid w:val="001D3669"/>
    <w:rPr>
      <w:sz w:val="24"/>
      <w:szCs w:val="24"/>
      <w:lang w:eastAsia="en-US"/>
    </w:rPr>
  </w:style>
  <w:style w:type="character" w:customStyle="1" w:styleId="Balk6Char">
    <w:name w:val="Başlık 6 Char"/>
    <w:link w:val="Balk6"/>
    <w:rsid w:val="00A75A11"/>
    <w:rPr>
      <w:b/>
      <w:bCs/>
      <w:sz w:val="22"/>
      <w:szCs w:val="22"/>
    </w:rPr>
  </w:style>
  <w:style w:type="character" w:customStyle="1" w:styleId="Balk7Char">
    <w:name w:val="Başlık 7 Char"/>
    <w:link w:val="Balk7"/>
    <w:rsid w:val="00A75A11"/>
    <w:rPr>
      <w:sz w:val="24"/>
      <w:szCs w:val="24"/>
    </w:rPr>
  </w:style>
  <w:style w:type="character" w:customStyle="1" w:styleId="AltbilgiChar">
    <w:name w:val="Altbilgi Char"/>
    <w:link w:val="Altbilgi"/>
    <w:uiPriority w:val="99"/>
    <w:rsid w:val="007C1878"/>
    <w:rPr>
      <w:sz w:val="24"/>
      <w:szCs w:val="24"/>
    </w:rPr>
  </w:style>
  <w:style w:type="paragraph" w:styleId="ResimYazs">
    <w:name w:val="caption"/>
    <w:basedOn w:val="Normal"/>
    <w:next w:val="Normal"/>
    <w:uiPriority w:val="35"/>
    <w:unhideWhenUsed/>
    <w:qFormat/>
    <w:rsid w:val="00D56A70"/>
    <w:rPr>
      <w:b/>
      <w:bCs/>
      <w:sz w:val="20"/>
      <w:szCs w:val="20"/>
    </w:rPr>
  </w:style>
  <w:style w:type="character" w:customStyle="1" w:styleId="GvdeMetniChar">
    <w:name w:val="Gövde Metni Char"/>
    <w:basedOn w:val="VarsaylanParagrafYazTipi"/>
    <w:link w:val="GvdeMetni"/>
    <w:rsid w:val="00731D63"/>
    <w:rPr>
      <w:color w:val="FF0000"/>
      <w:sz w:val="24"/>
      <w:szCs w:val="24"/>
      <w:shd w:val="clear" w:color="auto" w:fill="FFFFFF"/>
    </w:rPr>
  </w:style>
  <w:style w:type="character" w:customStyle="1" w:styleId="Balk1Char">
    <w:name w:val="Başlık 1 Char"/>
    <w:basedOn w:val="VarsaylanParagrafYazTipi"/>
    <w:link w:val="Balk1"/>
    <w:rsid w:val="006E084C"/>
    <w:rPr>
      <w:rFonts w:ascii="Arial" w:hAnsi="Arial" w:cs="Arial"/>
      <w:b/>
      <w:bCs/>
    </w:rPr>
  </w:style>
  <w:style w:type="character" w:customStyle="1" w:styleId="Balk2Char">
    <w:name w:val="Başlık 2 Char"/>
    <w:link w:val="Balk2"/>
    <w:rsid w:val="003B426A"/>
    <w:rPr>
      <w:rFonts w:ascii="Garamond" w:hAnsi="Garamond"/>
      <w:b/>
      <w:sz w:val="32"/>
    </w:rPr>
  </w:style>
  <w:style w:type="character" w:customStyle="1" w:styleId="GvdeMetni3Char">
    <w:name w:val="Gövde Metni 3 Char"/>
    <w:link w:val="GvdeMetni3"/>
    <w:rsid w:val="00D60DF8"/>
    <w:rPr>
      <w:sz w:val="16"/>
      <w:szCs w:val="16"/>
    </w:rPr>
  </w:style>
  <w:style w:type="character" w:customStyle="1" w:styleId="DipnotMetniChar">
    <w:name w:val="Dipnot Metni Char"/>
    <w:basedOn w:val="VarsaylanParagrafYazTipi"/>
    <w:link w:val="DipnotMetni"/>
    <w:semiHidden/>
    <w:rsid w:val="00161E7C"/>
  </w:style>
  <w:style w:type="character" w:customStyle="1" w:styleId="BalonMetniChar">
    <w:name w:val="Balon Metni Char"/>
    <w:basedOn w:val="VarsaylanParagrafYazTipi"/>
    <w:link w:val="BalonMetni"/>
    <w:uiPriority w:val="99"/>
    <w:semiHidden/>
    <w:rsid w:val="00161E7C"/>
    <w:rPr>
      <w:rFonts w:ascii="Tahoma" w:hAnsi="Tahoma" w:cs="Tahoma"/>
      <w:sz w:val="16"/>
      <w:szCs w:val="16"/>
    </w:rPr>
  </w:style>
  <w:style w:type="paragraph" w:customStyle="1" w:styleId="default0">
    <w:name w:val="default"/>
    <w:basedOn w:val="Normal"/>
    <w:rsid w:val="00B1186F"/>
    <w:pPr>
      <w:spacing w:before="100" w:beforeAutospacing="1" w:after="100" w:afterAutospacing="1"/>
    </w:pPr>
  </w:style>
  <w:style w:type="character" w:customStyle="1" w:styleId="spelle">
    <w:name w:val="spelle"/>
    <w:basedOn w:val="VarsaylanParagrafYazTipi"/>
    <w:rsid w:val="00B118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42790">
      <w:bodyDiv w:val="1"/>
      <w:marLeft w:val="0"/>
      <w:marRight w:val="0"/>
      <w:marTop w:val="45"/>
      <w:marBottom w:val="45"/>
      <w:divBdr>
        <w:top w:val="none" w:sz="0" w:space="0" w:color="auto"/>
        <w:left w:val="none" w:sz="0" w:space="0" w:color="auto"/>
        <w:bottom w:val="none" w:sz="0" w:space="0" w:color="auto"/>
        <w:right w:val="none" w:sz="0" w:space="0" w:color="auto"/>
      </w:divBdr>
      <w:divsChild>
        <w:div w:id="1942371469">
          <w:marLeft w:val="0"/>
          <w:marRight w:val="0"/>
          <w:marTop w:val="0"/>
          <w:marBottom w:val="0"/>
          <w:divBdr>
            <w:top w:val="none" w:sz="0" w:space="0" w:color="auto"/>
            <w:left w:val="none" w:sz="0" w:space="0" w:color="auto"/>
            <w:bottom w:val="none" w:sz="0" w:space="0" w:color="auto"/>
            <w:right w:val="none" w:sz="0" w:space="0" w:color="auto"/>
          </w:divBdr>
          <w:divsChild>
            <w:div w:id="1605382390">
              <w:marLeft w:val="0"/>
              <w:marRight w:val="0"/>
              <w:marTop w:val="0"/>
              <w:marBottom w:val="0"/>
              <w:divBdr>
                <w:top w:val="none" w:sz="0" w:space="0" w:color="auto"/>
                <w:left w:val="none" w:sz="0" w:space="0" w:color="auto"/>
                <w:bottom w:val="none" w:sz="0" w:space="0" w:color="auto"/>
                <w:right w:val="none" w:sz="0" w:space="0" w:color="auto"/>
              </w:divBdr>
              <w:divsChild>
                <w:div w:id="2039156953">
                  <w:marLeft w:val="2385"/>
                  <w:marRight w:val="3960"/>
                  <w:marTop w:val="0"/>
                  <w:marBottom w:val="0"/>
                  <w:divBdr>
                    <w:top w:val="none" w:sz="0" w:space="0" w:color="auto"/>
                    <w:left w:val="single" w:sz="6" w:space="0" w:color="D3E1F9"/>
                    <w:bottom w:val="none" w:sz="0" w:space="0" w:color="auto"/>
                    <w:right w:val="none" w:sz="0" w:space="0" w:color="auto"/>
                  </w:divBdr>
                  <w:divsChild>
                    <w:div w:id="606038840">
                      <w:marLeft w:val="0"/>
                      <w:marRight w:val="0"/>
                      <w:marTop w:val="0"/>
                      <w:marBottom w:val="0"/>
                      <w:divBdr>
                        <w:top w:val="none" w:sz="0" w:space="0" w:color="auto"/>
                        <w:left w:val="none" w:sz="0" w:space="0" w:color="auto"/>
                        <w:bottom w:val="none" w:sz="0" w:space="0" w:color="auto"/>
                        <w:right w:val="none" w:sz="0" w:space="0" w:color="auto"/>
                      </w:divBdr>
                      <w:divsChild>
                        <w:div w:id="17007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928884">
      <w:bodyDiv w:val="1"/>
      <w:marLeft w:val="0"/>
      <w:marRight w:val="0"/>
      <w:marTop w:val="0"/>
      <w:marBottom w:val="0"/>
      <w:divBdr>
        <w:top w:val="none" w:sz="0" w:space="0" w:color="auto"/>
        <w:left w:val="none" w:sz="0" w:space="0" w:color="auto"/>
        <w:bottom w:val="none" w:sz="0" w:space="0" w:color="auto"/>
        <w:right w:val="none" w:sz="0" w:space="0" w:color="auto"/>
      </w:divBdr>
    </w:div>
    <w:div w:id="34432577">
      <w:bodyDiv w:val="1"/>
      <w:marLeft w:val="0"/>
      <w:marRight w:val="0"/>
      <w:marTop w:val="0"/>
      <w:marBottom w:val="0"/>
      <w:divBdr>
        <w:top w:val="none" w:sz="0" w:space="0" w:color="auto"/>
        <w:left w:val="none" w:sz="0" w:space="0" w:color="auto"/>
        <w:bottom w:val="none" w:sz="0" w:space="0" w:color="auto"/>
        <w:right w:val="none" w:sz="0" w:space="0" w:color="auto"/>
      </w:divBdr>
    </w:div>
    <w:div w:id="43063326">
      <w:bodyDiv w:val="1"/>
      <w:marLeft w:val="0"/>
      <w:marRight w:val="0"/>
      <w:marTop w:val="0"/>
      <w:marBottom w:val="0"/>
      <w:divBdr>
        <w:top w:val="none" w:sz="0" w:space="0" w:color="auto"/>
        <w:left w:val="none" w:sz="0" w:space="0" w:color="auto"/>
        <w:bottom w:val="none" w:sz="0" w:space="0" w:color="auto"/>
        <w:right w:val="none" w:sz="0" w:space="0" w:color="auto"/>
      </w:divBdr>
    </w:div>
    <w:div w:id="55667557">
      <w:bodyDiv w:val="1"/>
      <w:marLeft w:val="0"/>
      <w:marRight w:val="0"/>
      <w:marTop w:val="0"/>
      <w:marBottom w:val="0"/>
      <w:divBdr>
        <w:top w:val="none" w:sz="0" w:space="0" w:color="auto"/>
        <w:left w:val="none" w:sz="0" w:space="0" w:color="auto"/>
        <w:bottom w:val="none" w:sz="0" w:space="0" w:color="auto"/>
        <w:right w:val="none" w:sz="0" w:space="0" w:color="auto"/>
      </w:divBdr>
    </w:div>
    <w:div w:id="74207763">
      <w:bodyDiv w:val="1"/>
      <w:marLeft w:val="0"/>
      <w:marRight w:val="0"/>
      <w:marTop w:val="0"/>
      <w:marBottom w:val="0"/>
      <w:divBdr>
        <w:top w:val="none" w:sz="0" w:space="0" w:color="auto"/>
        <w:left w:val="none" w:sz="0" w:space="0" w:color="auto"/>
        <w:bottom w:val="none" w:sz="0" w:space="0" w:color="auto"/>
        <w:right w:val="none" w:sz="0" w:space="0" w:color="auto"/>
      </w:divBdr>
    </w:div>
    <w:div w:id="152454575">
      <w:bodyDiv w:val="1"/>
      <w:marLeft w:val="0"/>
      <w:marRight w:val="0"/>
      <w:marTop w:val="0"/>
      <w:marBottom w:val="0"/>
      <w:divBdr>
        <w:top w:val="none" w:sz="0" w:space="0" w:color="auto"/>
        <w:left w:val="none" w:sz="0" w:space="0" w:color="auto"/>
        <w:bottom w:val="none" w:sz="0" w:space="0" w:color="auto"/>
        <w:right w:val="none" w:sz="0" w:space="0" w:color="auto"/>
      </w:divBdr>
    </w:div>
    <w:div w:id="177473880">
      <w:bodyDiv w:val="1"/>
      <w:marLeft w:val="0"/>
      <w:marRight w:val="0"/>
      <w:marTop w:val="0"/>
      <w:marBottom w:val="0"/>
      <w:divBdr>
        <w:top w:val="none" w:sz="0" w:space="0" w:color="auto"/>
        <w:left w:val="none" w:sz="0" w:space="0" w:color="auto"/>
        <w:bottom w:val="none" w:sz="0" w:space="0" w:color="auto"/>
        <w:right w:val="none" w:sz="0" w:space="0" w:color="auto"/>
      </w:divBdr>
    </w:div>
    <w:div w:id="188111629">
      <w:bodyDiv w:val="1"/>
      <w:marLeft w:val="0"/>
      <w:marRight w:val="0"/>
      <w:marTop w:val="0"/>
      <w:marBottom w:val="0"/>
      <w:divBdr>
        <w:top w:val="none" w:sz="0" w:space="0" w:color="auto"/>
        <w:left w:val="none" w:sz="0" w:space="0" w:color="auto"/>
        <w:bottom w:val="none" w:sz="0" w:space="0" w:color="auto"/>
        <w:right w:val="none" w:sz="0" w:space="0" w:color="auto"/>
      </w:divBdr>
    </w:div>
    <w:div w:id="219750062">
      <w:bodyDiv w:val="1"/>
      <w:marLeft w:val="0"/>
      <w:marRight w:val="0"/>
      <w:marTop w:val="0"/>
      <w:marBottom w:val="0"/>
      <w:divBdr>
        <w:top w:val="none" w:sz="0" w:space="0" w:color="auto"/>
        <w:left w:val="none" w:sz="0" w:space="0" w:color="auto"/>
        <w:bottom w:val="none" w:sz="0" w:space="0" w:color="auto"/>
        <w:right w:val="none" w:sz="0" w:space="0" w:color="auto"/>
      </w:divBdr>
    </w:div>
    <w:div w:id="223496201">
      <w:bodyDiv w:val="1"/>
      <w:marLeft w:val="0"/>
      <w:marRight w:val="0"/>
      <w:marTop w:val="0"/>
      <w:marBottom w:val="0"/>
      <w:divBdr>
        <w:top w:val="none" w:sz="0" w:space="0" w:color="auto"/>
        <w:left w:val="none" w:sz="0" w:space="0" w:color="auto"/>
        <w:bottom w:val="none" w:sz="0" w:space="0" w:color="auto"/>
        <w:right w:val="none" w:sz="0" w:space="0" w:color="auto"/>
      </w:divBdr>
    </w:div>
    <w:div w:id="230385768">
      <w:bodyDiv w:val="1"/>
      <w:marLeft w:val="0"/>
      <w:marRight w:val="0"/>
      <w:marTop w:val="0"/>
      <w:marBottom w:val="0"/>
      <w:divBdr>
        <w:top w:val="none" w:sz="0" w:space="0" w:color="auto"/>
        <w:left w:val="none" w:sz="0" w:space="0" w:color="auto"/>
        <w:bottom w:val="none" w:sz="0" w:space="0" w:color="auto"/>
        <w:right w:val="none" w:sz="0" w:space="0" w:color="auto"/>
      </w:divBdr>
    </w:div>
    <w:div w:id="240061688">
      <w:bodyDiv w:val="1"/>
      <w:marLeft w:val="0"/>
      <w:marRight w:val="0"/>
      <w:marTop w:val="0"/>
      <w:marBottom w:val="0"/>
      <w:divBdr>
        <w:top w:val="none" w:sz="0" w:space="0" w:color="auto"/>
        <w:left w:val="none" w:sz="0" w:space="0" w:color="auto"/>
        <w:bottom w:val="none" w:sz="0" w:space="0" w:color="auto"/>
        <w:right w:val="none" w:sz="0" w:space="0" w:color="auto"/>
      </w:divBdr>
    </w:div>
    <w:div w:id="284388679">
      <w:bodyDiv w:val="1"/>
      <w:marLeft w:val="0"/>
      <w:marRight w:val="0"/>
      <w:marTop w:val="0"/>
      <w:marBottom w:val="0"/>
      <w:divBdr>
        <w:top w:val="none" w:sz="0" w:space="0" w:color="auto"/>
        <w:left w:val="none" w:sz="0" w:space="0" w:color="auto"/>
        <w:bottom w:val="none" w:sz="0" w:space="0" w:color="auto"/>
        <w:right w:val="none" w:sz="0" w:space="0" w:color="auto"/>
      </w:divBdr>
    </w:div>
    <w:div w:id="290938090">
      <w:bodyDiv w:val="1"/>
      <w:marLeft w:val="0"/>
      <w:marRight w:val="0"/>
      <w:marTop w:val="0"/>
      <w:marBottom w:val="0"/>
      <w:divBdr>
        <w:top w:val="none" w:sz="0" w:space="0" w:color="auto"/>
        <w:left w:val="none" w:sz="0" w:space="0" w:color="auto"/>
        <w:bottom w:val="none" w:sz="0" w:space="0" w:color="auto"/>
        <w:right w:val="none" w:sz="0" w:space="0" w:color="auto"/>
      </w:divBdr>
    </w:div>
    <w:div w:id="301887904">
      <w:bodyDiv w:val="1"/>
      <w:marLeft w:val="0"/>
      <w:marRight w:val="0"/>
      <w:marTop w:val="0"/>
      <w:marBottom w:val="0"/>
      <w:divBdr>
        <w:top w:val="none" w:sz="0" w:space="0" w:color="auto"/>
        <w:left w:val="none" w:sz="0" w:space="0" w:color="auto"/>
        <w:bottom w:val="none" w:sz="0" w:space="0" w:color="auto"/>
        <w:right w:val="none" w:sz="0" w:space="0" w:color="auto"/>
      </w:divBdr>
    </w:div>
    <w:div w:id="331377062">
      <w:bodyDiv w:val="1"/>
      <w:marLeft w:val="0"/>
      <w:marRight w:val="0"/>
      <w:marTop w:val="45"/>
      <w:marBottom w:val="45"/>
      <w:divBdr>
        <w:top w:val="none" w:sz="0" w:space="0" w:color="auto"/>
        <w:left w:val="none" w:sz="0" w:space="0" w:color="auto"/>
        <w:bottom w:val="none" w:sz="0" w:space="0" w:color="auto"/>
        <w:right w:val="none" w:sz="0" w:space="0" w:color="auto"/>
      </w:divBdr>
      <w:divsChild>
        <w:div w:id="1234660427">
          <w:marLeft w:val="0"/>
          <w:marRight w:val="0"/>
          <w:marTop w:val="0"/>
          <w:marBottom w:val="0"/>
          <w:divBdr>
            <w:top w:val="none" w:sz="0" w:space="0" w:color="auto"/>
            <w:left w:val="none" w:sz="0" w:space="0" w:color="auto"/>
            <w:bottom w:val="none" w:sz="0" w:space="0" w:color="auto"/>
            <w:right w:val="none" w:sz="0" w:space="0" w:color="auto"/>
          </w:divBdr>
          <w:divsChild>
            <w:div w:id="1528522421">
              <w:marLeft w:val="0"/>
              <w:marRight w:val="0"/>
              <w:marTop w:val="0"/>
              <w:marBottom w:val="0"/>
              <w:divBdr>
                <w:top w:val="none" w:sz="0" w:space="0" w:color="auto"/>
                <w:left w:val="none" w:sz="0" w:space="0" w:color="auto"/>
                <w:bottom w:val="none" w:sz="0" w:space="0" w:color="auto"/>
                <w:right w:val="none" w:sz="0" w:space="0" w:color="auto"/>
              </w:divBdr>
              <w:divsChild>
                <w:div w:id="1828134586">
                  <w:marLeft w:val="2385"/>
                  <w:marRight w:val="3960"/>
                  <w:marTop w:val="0"/>
                  <w:marBottom w:val="0"/>
                  <w:divBdr>
                    <w:top w:val="none" w:sz="0" w:space="0" w:color="auto"/>
                    <w:left w:val="single" w:sz="6" w:space="0" w:color="D3E1F9"/>
                    <w:bottom w:val="none" w:sz="0" w:space="0" w:color="auto"/>
                    <w:right w:val="none" w:sz="0" w:space="0" w:color="auto"/>
                  </w:divBdr>
                  <w:divsChild>
                    <w:div w:id="71634097">
                      <w:marLeft w:val="0"/>
                      <w:marRight w:val="0"/>
                      <w:marTop w:val="0"/>
                      <w:marBottom w:val="0"/>
                      <w:divBdr>
                        <w:top w:val="none" w:sz="0" w:space="0" w:color="auto"/>
                        <w:left w:val="none" w:sz="0" w:space="0" w:color="auto"/>
                        <w:bottom w:val="none" w:sz="0" w:space="0" w:color="auto"/>
                        <w:right w:val="none" w:sz="0" w:space="0" w:color="auto"/>
                      </w:divBdr>
                      <w:divsChild>
                        <w:div w:id="191608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428669">
      <w:bodyDiv w:val="1"/>
      <w:marLeft w:val="0"/>
      <w:marRight w:val="0"/>
      <w:marTop w:val="0"/>
      <w:marBottom w:val="0"/>
      <w:divBdr>
        <w:top w:val="none" w:sz="0" w:space="0" w:color="auto"/>
        <w:left w:val="none" w:sz="0" w:space="0" w:color="auto"/>
        <w:bottom w:val="none" w:sz="0" w:space="0" w:color="auto"/>
        <w:right w:val="none" w:sz="0" w:space="0" w:color="auto"/>
      </w:divBdr>
    </w:div>
    <w:div w:id="398942959">
      <w:bodyDiv w:val="1"/>
      <w:marLeft w:val="0"/>
      <w:marRight w:val="0"/>
      <w:marTop w:val="0"/>
      <w:marBottom w:val="0"/>
      <w:divBdr>
        <w:top w:val="none" w:sz="0" w:space="0" w:color="auto"/>
        <w:left w:val="none" w:sz="0" w:space="0" w:color="auto"/>
        <w:bottom w:val="none" w:sz="0" w:space="0" w:color="auto"/>
        <w:right w:val="none" w:sz="0" w:space="0" w:color="auto"/>
      </w:divBdr>
    </w:div>
    <w:div w:id="401682824">
      <w:bodyDiv w:val="1"/>
      <w:marLeft w:val="0"/>
      <w:marRight w:val="0"/>
      <w:marTop w:val="0"/>
      <w:marBottom w:val="0"/>
      <w:divBdr>
        <w:top w:val="none" w:sz="0" w:space="0" w:color="auto"/>
        <w:left w:val="none" w:sz="0" w:space="0" w:color="auto"/>
        <w:bottom w:val="none" w:sz="0" w:space="0" w:color="auto"/>
        <w:right w:val="none" w:sz="0" w:space="0" w:color="auto"/>
      </w:divBdr>
    </w:div>
    <w:div w:id="414016794">
      <w:bodyDiv w:val="1"/>
      <w:marLeft w:val="0"/>
      <w:marRight w:val="0"/>
      <w:marTop w:val="0"/>
      <w:marBottom w:val="0"/>
      <w:divBdr>
        <w:top w:val="none" w:sz="0" w:space="0" w:color="auto"/>
        <w:left w:val="none" w:sz="0" w:space="0" w:color="auto"/>
        <w:bottom w:val="none" w:sz="0" w:space="0" w:color="auto"/>
        <w:right w:val="none" w:sz="0" w:space="0" w:color="auto"/>
      </w:divBdr>
      <w:divsChild>
        <w:div w:id="708458187">
          <w:marLeft w:val="0"/>
          <w:marRight w:val="0"/>
          <w:marTop w:val="0"/>
          <w:marBottom w:val="0"/>
          <w:divBdr>
            <w:top w:val="none" w:sz="0" w:space="0" w:color="auto"/>
            <w:left w:val="none" w:sz="0" w:space="0" w:color="auto"/>
            <w:bottom w:val="none" w:sz="0" w:space="0" w:color="auto"/>
            <w:right w:val="none" w:sz="0" w:space="0" w:color="auto"/>
          </w:divBdr>
          <w:divsChild>
            <w:div w:id="800464439">
              <w:marLeft w:val="0"/>
              <w:marRight w:val="0"/>
              <w:marTop w:val="33"/>
              <w:marBottom w:val="0"/>
              <w:divBdr>
                <w:top w:val="single" w:sz="2" w:space="0" w:color="596380"/>
                <w:left w:val="single" w:sz="2" w:space="0" w:color="596380"/>
                <w:bottom w:val="single" w:sz="2" w:space="0" w:color="596380"/>
                <w:right w:val="single" w:sz="2" w:space="0" w:color="596380"/>
              </w:divBdr>
              <w:divsChild>
                <w:div w:id="2014985568">
                  <w:marLeft w:val="0"/>
                  <w:marRight w:val="0"/>
                  <w:marTop w:val="0"/>
                  <w:marBottom w:val="0"/>
                  <w:divBdr>
                    <w:top w:val="none" w:sz="0" w:space="0" w:color="auto"/>
                    <w:left w:val="none" w:sz="0" w:space="0" w:color="auto"/>
                    <w:bottom w:val="none" w:sz="0" w:space="0" w:color="auto"/>
                    <w:right w:val="none" w:sz="0" w:space="0" w:color="auto"/>
                  </w:divBdr>
                  <w:divsChild>
                    <w:div w:id="1719696052">
                      <w:marLeft w:val="0"/>
                      <w:marRight w:val="0"/>
                      <w:marTop w:val="0"/>
                      <w:marBottom w:val="0"/>
                      <w:divBdr>
                        <w:top w:val="none" w:sz="0" w:space="0" w:color="auto"/>
                        <w:left w:val="none" w:sz="0" w:space="0" w:color="auto"/>
                        <w:bottom w:val="none" w:sz="0" w:space="0" w:color="auto"/>
                        <w:right w:val="none" w:sz="0" w:space="0" w:color="auto"/>
                      </w:divBdr>
                      <w:divsChild>
                        <w:div w:id="643193405">
                          <w:marLeft w:val="0"/>
                          <w:marRight w:val="0"/>
                          <w:marTop w:val="0"/>
                          <w:marBottom w:val="0"/>
                          <w:divBdr>
                            <w:top w:val="none" w:sz="0" w:space="0" w:color="auto"/>
                            <w:left w:val="none" w:sz="0" w:space="0" w:color="auto"/>
                            <w:bottom w:val="none" w:sz="0" w:space="0" w:color="auto"/>
                            <w:right w:val="none" w:sz="0" w:space="0" w:color="auto"/>
                          </w:divBdr>
                          <w:divsChild>
                            <w:div w:id="2005743220">
                              <w:marLeft w:val="0"/>
                              <w:marRight w:val="0"/>
                              <w:marTop w:val="0"/>
                              <w:marBottom w:val="0"/>
                              <w:divBdr>
                                <w:top w:val="none" w:sz="0" w:space="0" w:color="auto"/>
                                <w:left w:val="none" w:sz="0" w:space="0" w:color="auto"/>
                                <w:bottom w:val="none" w:sz="0" w:space="0" w:color="auto"/>
                                <w:right w:val="none" w:sz="0" w:space="0" w:color="auto"/>
                              </w:divBdr>
                              <w:divsChild>
                                <w:div w:id="727194786">
                                  <w:marLeft w:val="55"/>
                                  <w:marRight w:val="55"/>
                                  <w:marTop w:val="55"/>
                                  <w:marBottom w:val="55"/>
                                  <w:divBdr>
                                    <w:top w:val="none" w:sz="0" w:space="0" w:color="auto"/>
                                    <w:left w:val="none" w:sz="0" w:space="0" w:color="auto"/>
                                    <w:bottom w:val="none" w:sz="0" w:space="0" w:color="auto"/>
                                    <w:right w:val="none" w:sz="0" w:space="0" w:color="auto"/>
                                  </w:divBdr>
                                  <w:divsChild>
                                    <w:div w:id="48779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697782">
      <w:bodyDiv w:val="1"/>
      <w:marLeft w:val="0"/>
      <w:marRight w:val="0"/>
      <w:marTop w:val="0"/>
      <w:marBottom w:val="0"/>
      <w:divBdr>
        <w:top w:val="none" w:sz="0" w:space="0" w:color="auto"/>
        <w:left w:val="none" w:sz="0" w:space="0" w:color="auto"/>
        <w:bottom w:val="none" w:sz="0" w:space="0" w:color="auto"/>
        <w:right w:val="none" w:sz="0" w:space="0" w:color="auto"/>
      </w:divBdr>
    </w:div>
    <w:div w:id="429934477">
      <w:bodyDiv w:val="1"/>
      <w:marLeft w:val="0"/>
      <w:marRight w:val="0"/>
      <w:marTop w:val="0"/>
      <w:marBottom w:val="0"/>
      <w:divBdr>
        <w:top w:val="none" w:sz="0" w:space="0" w:color="auto"/>
        <w:left w:val="none" w:sz="0" w:space="0" w:color="auto"/>
        <w:bottom w:val="none" w:sz="0" w:space="0" w:color="auto"/>
        <w:right w:val="none" w:sz="0" w:space="0" w:color="auto"/>
      </w:divBdr>
    </w:div>
    <w:div w:id="455761419">
      <w:bodyDiv w:val="1"/>
      <w:marLeft w:val="0"/>
      <w:marRight w:val="0"/>
      <w:marTop w:val="0"/>
      <w:marBottom w:val="0"/>
      <w:divBdr>
        <w:top w:val="none" w:sz="0" w:space="0" w:color="auto"/>
        <w:left w:val="none" w:sz="0" w:space="0" w:color="auto"/>
        <w:bottom w:val="none" w:sz="0" w:space="0" w:color="auto"/>
        <w:right w:val="none" w:sz="0" w:space="0" w:color="auto"/>
      </w:divBdr>
    </w:div>
    <w:div w:id="459081145">
      <w:bodyDiv w:val="1"/>
      <w:marLeft w:val="0"/>
      <w:marRight w:val="0"/>
      <w:marTop w:val="0"/>
      <w:marBottom w:val="0"/>
      <w:divBdr>
        <w:top w:val="none" w:sz="0" w:space="0" w:color="auto"/>
        <w:left w:val="none" w:sz="0" w:space="0" w:color="auto"/>
        <w:bottom w:val="none" w:sz="0" w:space="0" w:color="auto"/>
        <w:right w:val="none" w:sz="0" w:space="0" w:color="auto"/>
      </w:divBdr>
    </w:div>
    <w:div w:id="494341178">
      <w:bodyDiv w:val="1"/>
      <w:marLeft w:val="0"/>
      <w:marRight w:val="0"/>
      <w:marTop w:val="0"/>
      <w:marBottom w:val="0"/>
      <w:divBdr>
        <w:top w:val="none" w:sz="0" w:space="0" w:color="auto"/>
        <w:left w:val="none" w:sz="0" w:space="0" w:color="auto"/>
        <w:bottom w:val="none" w:sz="0" w:space="0" w:color="auto"/>
        <w:right w:val="none" w:sz="0" w:space="0" w:color="auto"/>
      </w:divBdr>
    </w:div>
    <w:div w:id="514031238">
      <w:bodyDiv w:val="1"/>
      <w:marLeft w:val="0"/>
      <w:marRight w:val="0"/>
      <w:marTop w:val="0"/>
      <w:marBottom w:val="0"/>
      <w:divBdr>
        <w:top w:val="none" w:sz="0" w:space="0" w:color="auto"/>
        <w:left w:val="none" w:sz="0" w:space="0" w:color="auto"/>
        <w:bottom w:val="none" w:sz="0" w:space="0" w:color="auto"/>
        <w:right w:val="none" w:sz="0" w:space="0" w:color="auto"/>
      </w:divBdr>
    </w:div>
    <w:div w:id="529614231">
      <w:bodyDiv w:val="1"/>
      <w:marLeft w:val="0"/>
      <w:marRight w:val="0"/>
      <w:marTop w:val="0"/>
      <w:marBottom w:val="0"/>
      <w:divBdr>
        <w:top w:val="none" w:sz="0" w:space="0" w:color="auto"/>
        <w:left w:val="none" w:sz="0" w:space="0" w:color="auto"/>
        <w:bottom w:val="none" w:sz="0" w:space="0" w:color="auto"/>
        <w:right w:val="none" w:sz="0" w:space="0" w:color="auto"/>
      </w:divBdr>
    </w:div>
    <w:div w:id="530267629">
      <w:bodyDiv w:val="1"/>
      <w:marLeft w:val="0"/>
      <w:marRight w:val="0"/>
      <w:marTop w:val="0"/>
      <w:marBottom w:val="0"/>
      <w:divBdr>
        <w:top w:val="none" w:sz="0" w:space="0" w:color="auto"/>
        <w:left w:val="none" w:sz="0" w:space="0" w:color="auto"/>
        <w:bottom w:val="none" w:sz="0" w:space="0" w:color="auto"/>
        <w:right w:val="none" w:sz="0" w:space="0" w:color="auto"/>
      </w:divBdr>
    </w:div>
    <w:div w:id="534660672">
      <w:bodyDiv w:val="1"/>
      <w:marLeft w:val="0"/>
      <w:marRight w:val="0"/>
      <w:marTop w:val="0"/>
      <w:marBottom w:val="0"/>
      <w:divBdr>
        <w:top w:val="none" w:sz="0" w:space="0" w:color="auto"/>
        <w:left w:val="none" w:sz="0" w:space="0" w:color="auto"/>
        <w:bottom w:val="none" w:sz="0" w:space="0" w:color="auto"/>
        <w:right w:val="none" w:sz="0" w:space="0" w:color="auto"/>
      </w:divBdr>
    </w:div>
    <w:div w:id="536938640">
      <w:bodyDiv w:val="1"/>
      <w:marLeft w:val="0"/>
      <w:marRight w:val="0"/>
      <w:marTop w:val="0"/>
      <w:marBottom w:val="0"/>
      <w:divBdr>
        <w:top w:val="none" w:sz="0" w:space="0" w:color="auto"/>
        <w:left w:val="none" w:sz="0" w:space="0" w:color="auto"/>
        <w:bottom w:val="none" w:sz="0" w:space="0" w:color="auto"/>
        <w:right w:val="none" w:sz="0" w:space="0" w:color="auto"/>
      </w:divBdr>
    </w:div>
    <w:div w:id="563374885">
      <w:bodyDiv w:val="1"/>
      <w:marLeft w:val="0"/>
      <w:marRight w:val="0"/>
      <w:marTop w:val="0"/>
      <w:marBottom w:val="0"/>
      <w:divBdr>
        <w:top w:val="none" w:sz="0" w:space="0" w:color="auto"/>
        <w:left w:val="none" w:sz="0" w:space="0" w:color="auto"/>
        <w:bottom w:val="none" w:sz="0" w:space="0" w:color="auto"/>
        <w:right w:val="none" w:sz="0" w:space="0" w:color="auto"/>
      </w:divBdr>
    </w:div>
    <w:div w:id="580331081">
      <w:bodyDiv w:val="1"/>
      <w:marLeft w:val="0"/>
      <w:marRight w:val="0"/>
      <w:marTop w:val="0"/>
      <w:marBottom w:val="0"/>
      <w:divBdr>
        <w:top w:val="none" w:sz="0" w:space="0" w:color="auto"/>
        <w:left w:val="none" w:sz="0" w:space="0" w:color="auto"/>
        <w:bottom w:val="none" w:sz="0" w:space="0" w:color="auto"/>
        <w:right w:val="none" w:sz="0" w:space="0" w:color="auto"/>
      </w:divBdr>
    </w:div>
    <w:div w:id="613053636">
      <w:bodyDiv w:val="1"/>
      <w:marLeft w:val="0"/>
      <w:marRight w:val="0"/>
      <w:marTop w:val="0"/>
      <w:marBottom w:val="0"/>
      <w:divBdr>
        <w:top w:val="none" w:sz="0" w:space="0" w:color="auto"/>
        <w:left w:val="none" w:sz="0" w:space="0" w:color="auto"/>
        <w:bottom w:val="none" w:sz="0" w:space="0" w:color="auto"/>
        <w:right w:val="none" w:sz="0" w:space="0" w:color="auto"/>
      </w:divBdr>
    </w:div>
    <w:div w:id="626737903">
      <w:bodyDiv w:val="1"/>
      <w:marLeft w:val="0"/>
      <w:marRight w:val="0"/>
      <w:marTop w:val="0"/>
      <w:marBottom w:val="0"/>
      <w:divBdr>
        <w:top w:val="none" w:sz="0" w:space="0" w:color="auto"/>
        <w:left w:val="none" w:sz="0" w:space="0" w:color="auto"/>
        <w:bottom w:val="none" w:sz="0" w:space="0" w:color="auto"/>
        <w:right w:val="none" w:sz="0" w:space="0" w:color="auto"/>
      </w:divBdr>
    </w:div>
    <w:div w:id="628171307">
      <w:bodyDiv w:val="1"/>
      <w:marLeft w:val="0"/>
      <w:marRight w:val="0"/>
      <w:marTop w:val="0"/>
      <w:marBottom w:val="0"/>
      <w:divBdr>
        <w:top w:val="none" w:sz="0" w:space="0" w:color="auto"/>
        <w:left w:val="none" w:sz="0" w:space="0" w:color="auto"/>
        <w:bottom w:val="none" w:sz="0" w:space="0" w:color="auto"/>
        <w:right w:val="none" w:sz="0" w:space="0" w:color="auto"/>
      </w:divBdr>
    </w:div>
    <w:div w:id="641614608">
      <w:bodyDiv w:val="1"/>
      <w:marLeft w:val="0"/>
      <w:marRight w:val="0"/>
      <w:marTop w:val="0"/>
      <w:marBottom w:val="0"/>
      <w:divBdr>
        <w:top w:val="none" w:sz="0" w:space="0" w:color="auto"/>
        <w:left w:val="none" w:sz="0" w:space="0" w:color="auto"/>
        <w:bottom w:val="none" w:sz="0" w:space="0" w:color="auto"/>
        <w:right w:val="none" w:sz="0" w:space="0" w:color="auto"/>
      </w:divBdr>
    </w:div>
    <w:div w:id="645477552">
      <w:bodyDiv w:val="1"/>
      <w:marLeft w:val="0"/>
      <w:marRight w:val="0"/>
      <w:marTop w:val="0"/>
      <w:marBottom w:val="0"/>
      <w:divBdr>
        <w:top w:val="none" w:sz="0" w:space="0" w:color="auto"/>
        <w:left w:val="none" w:sz="0" w:space="0" w:color="auto"/>
        <w:bottom w:val="none" w:sz="0" w:space="0" w:color="auto"/>
        <w:right w:val="none" w:sz="0" w:space="0" w:color="auto"/>
      </w:divBdr>
    </w:div>
    <w:div w:id="657268292">
      <w:bodyDiv w:val="1"/>
      <w:marLeft w:val="0"/>
      <w:marRight w:val="0"/>
      <w:marTop w:val="0"/>
      <w:marBottom w:val="0"/>
      <w:divBdr>
        <w:top w:val="none" w:sz="0" w:space="0" w:color="auto"/>
        <w:left w:val="none" w:sz="0" w:space="0" w:color="auto"/>
        <w:bottom w:val="none" w:sz="0" w:space="0" w:color="auto"/>
        <w:right w:val="none" w:sz="0" w:space="0" w:color="auto"/>
      </w:divBdr>
    </w:div>
    <w:div w:id="675691294">
      <w:bodyDiv w:val="1"/>
      <w:marLeft w:val="0"/>
      <w:marRight w:val="0"/>
      <w:marTop w:val="45"/>
      <w:marBottom w:val="45"/>
      <w:divBdr>
        <w:top w:val="none" w:sz="0" w:space="0" w:color="auto"/>
        <w:left w:val="none" w:sz="0" w:space="0" w:color="auto"/>
        <w:bottom w:val="none" w:sz="0" w:space="0" w:color="auto"/>
        <w:right w:val="none" w:sz="0" w:space="0" w:color="auto"/>
      </w:divBdr>
      <w:divsChild>
        <w:div w:id="1347947739">
          <w:marLeft w:val="0"/>
          <w:marRight w:val="0"/>
          <w:marTop w:val="0"/>
          <w:marBottom w:val="0"/>
          <w:divBdr>
            <w:top w:val="none" w:sz="0" w:space="0" w:color="auto"/>
            <w:left w:val="none" w:sz="0" w:space="0" w:color="auto"/>
            <w:bottom w:val="none" w:sz="0" w:space="0" w:color="auto"/>
            <w:right w:val="none" w:sz="0" w:space="0" w:color="auto"/>
          </w:divBdr>
          <w:divsChild>
            <w:div w:id="1979262644">
              <w:marLeft w:val="0"/>
              <w:marRight w:val="0"/>
              <w:marTop w:val="0"/>
              <w:marBottom w:val="0"/>
              <w:divBdr>
                <w:top w:val="none" w:sz="0" w:space="0" w:color="auto"/>
                <w:left w:val="none" w:sz="0" w:space="0" w:color="auto"/>
                <w:bottom w:val="none" w:sz="0" w:space="0" w:color="auto"/>
                <w:right w:val="none" w:sz="0" w:space="0" w:color="auto"/>
              </w:divBdr>
              <w:divsChild>
                <w:div w:id="693504948">
                  <w:marLeft w:val="2385"/>
                  <w:marRight w:val="3960"/>
                  <w:marTop w:val="0"/>
                  <w:marBottom w:val="0"/>
                  <w:divBdr>
                    <w:top w:val="none" w:sz="0" w:space="0" w:color="auto"/>
                    <w:left w:val="single" w:sz="6" w:space="0" w:color="D3E1F9"/>
                    <w:bottom w:val="none" w:sz="0" w:space="0" w:color="auto"/>
                    <w:right w:val="none" w:sz="0" w:space="0" w:color="auto"/>
                  </w:divBdr>
                  <w:divsChild>
                    <w:div w:id="678701220">
                      <w:marLeft w:val="0"/>
                      <w:marRight w:val="0"/>
                      <w:marTop w:val="0"/>
                      <w:marBottom w:val="0"/>
                      <w:divBdr>
                        <w:top w:val="none" w:sz="0" w:space="0" w:color="auto"/>
                        <w:left w:val="none" w:sz="0" w:space="0" w:color="auto"/>
                        <w:bottom w:val="none" w:sz="0" w:space="0" w:color="auto"/>
                        <w:right w:val="none" w:sz="0" w:space="0" w:color="auto"/>
                      </w:divBdr>
                      <w:divsChild>
                        <w:div w:id="152975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557607">
      <w:bodyDiv w:val="1"/>
      <w:marLeft w:val="0"/>
      <w:marRight w:val="0"/>
      <w:marTop w:val="0"/>
      <w:marBottom w:val="0"/>
      <w:divBdr>
        <w:top w:val="none" w:sz="0" w:space="0" w:color="auto"/>
        <w:left w:val="none" w:sz="0" w:space="0" w:color="auto"/>
        <w:bottom w:val="none" w:sz="0" w:space="0" w:color="auto"/>
        <w:right w:val="none" w:sz="0" w:space="0" w:color="auto"/>
      </w:divBdr>
    </w:div>
    <w:div w:id="732316477">
      <w:bodyDiv w:val="1"/>
      <w:marLeft w:val="0"/>
      <w:marRight w:val="0"/>
      <w:marTop w:val="0"/>
      <w:marBottom w:val="0"/>
      <w:divBdr>
        <w:top w:val="none" w:sz="0" w:space="0" w:color="auto"/>
        <w:left w:val="none" w:sz="0" w:space="0" w:color="auto"/>
        <w:bottom w:val="none" w:sz="0" w:space="0" w:color="auto"/>
        <w:right w:val="none" w:sz="0" w:space="0" w:color="auto"/>
      </w:divBdr>
    </w:div>
    <w:div w:id="746462423">
      <w:bodyDiv w:val="1"/>
      <w:marLeft w:val="0"/>
      <w:marRight w:val="0"/>
      <w:marTop w:val="0"/>
      <w:marBottom w:val="0"/>
      <w:divBdr>
        <w:top w:val="none" w:sz="0" w:space="0" w:color="auto"/>
        <w:left w:val="none" w:sz="0" w:space="0" w:color="auto"/>
        <w:bottom w:val="none" w:sz="0" w:space="0" w:color="auto"/>
        <w:right w:val="none" w:sz="0" w:space="0" w:color="auto"/>
      </w:divBdr>
    </w:div>
    <w:div w:id="760446206">
      <w:bodyDiv w:val="1"/>
      <w:marLeft w:val="0"/>
      <w:marRight w:val="0"/>
      <w:marTop w:val="0"/>
      <w:marBottom w:val="0"/>
      <w:divBdr>
        <w:top w:val="none" w:sz="0" w:space="0" w:color="auto"/>
        <w:left w:val="none" w:sz="0" w:space="0" w:color="auto"/>
        <w:bottom w:val="none" w:sz="0" w:space="0" w:color="auto"/>
        <w:right w:val="none" w:sz="0" w:space="0" w:color="auto"/>
      </w:divBdr>
    </w:div>
    <w:div w:id="793865506">
      <w:bodyDiv w:val="1"/>
      <w:marLeft w:val="0"/>
      <w:marRight w:val="0"/>
      <w:marTop w:val="0"/>
      <w:marBottom w:val="0"/>
      <w:divBdr>
        <w:top w:val="none" w:sz="0" w:space="0" w:color="auto"/>
        <w:left w:val="none" w:sz="0" w:space="0" w:color="auto"/>
        <w:bottom w:val="none" w:sz="0" w:space="0" w:color="auto"/>
        <w:right w:val="none" w:sz="0" w:space="0" w:color="auto"/>
      </w:divBdr>
    </w:div>
    <w:div w:id="815536614">
      <w:bodyDiv w:val="1"/>
      <w:marLeft w:val="0"/>
      <w:marRight w:val="0"/>
      <w:marTop w:val="0"/>
      <w:marBottom w:val="0"/>
      <w:divBdr>
        <w:top w:val="none" w:sz="0" w:space="0" w:color="auto"/>
        <w:left w:val="none" w:sz="0" w:space="0" w:color="auto"/>
        <w:bottom w:val="none" w:sz="0" w:space="0" w:color="auto"/>
        <w:right w:val="none" w:sz="0" w:space="0" w:color="auto"/>
      </w:divBdr>
    </w:div>
    <w:div w:id="827750072">
      <w:bodyDiv w:val="1"/>
      <w:marLeft w:val="0"/>
      <w:marRight w:val="0"/>
      <w:marTop w:val="0"/>
      <w:marBottom w:val="0"/>
      <w:divBdr>
        <w:top w:val="none" w:sz="0" w:space="0" w:color="auto"/>
        <w:left w:val="none" w:sz="0" w:space="0" w:color="auto"/>
        <w:bottom w:val="none" w:sz="0" w:space="0" w:color="auto"/>
        <w:right w:val="none" w:sz="0" w:space="0" w:color="auto"/>
      </w:divBdr>
    </w:div>
    <w:div w:id="850995562">
      <w:bodyDiv w:val="1"/>
      <w:marLeft w:val="0"/>
      <w:marRight w:val="0"/>
      <w:marTop w:val="0"/>
      <w:marBottom w:val="0"/>
      <w:divBdr>
        <w:top w:val="none" w:sz="0" w:space="0" w:color="auto"/>
        <w:left w:val="none" w:sz="0" w:space="0" w:color="auto"/>
        <w:bottom w:val="none" w:sz="0" w:space="0" w:color="auto"/>
        <w:right w:val="none" w:sz="0" w:space="0" w:color="auto"/>
      </w:divBdr>
    </w:div>
    <w:div w:id="866721998">
      <w:bodyDiv w:val="1"/>
      <w:marLeft w:val="0"/>
      <w:marRight w:val="0"/>
      <w:marTop w:val="0"/>
      <w:marBottom w:val="0"/>
      <w:divBdr>
        <w:top w:val="none" w:sz="0" w:space="0" w:color="auto"/>
        <w:left w:val="none" w:sz="0" w:space="0" w:color="auto"/>
        <w:bottom w:val="none" w:sz="0" w:space="0" w:color="auto"/>
        <w:right w:val="none" w:sz="0" w:space="0" w:color="auto"/>
      </w:divBdr>
    </w:div>
    <w:div w:id="869269961">
      <w:bodyDiv w:val="1"/>
      <w:marLeft w:val="0"/>
      <w:marRight w:val="0"/>
      <w:marTop w:val="0"/>
      <w:marBottom w:val="0"/>
      <w:divBdr>
        <w:top w:val="none" w:sz="0" w:space="0" w:color="auto"/>
        <w:left w:val="none" w:sz="0" w:space="0" w:color="auto"/>
        <w:bottom w:val="none" w:sz="0" w:space="0" w:color="auto"/>
        <w:right w:val="none" w:sz="0" w:space="0" w:color="auto"/>
      </w:divBdr>
    </w:div>
    <w:div w:id="878130089">
      <w:bodyDiv w:val="1"/>
      <w:marLeft w:val="0"/>
      <w:marRight w:val="0"/>
      <w:marTop w:val="0"/>
      <w:marBottom w:val="0"/>
      <w:divBdr>
        <w:top w:val="none" w:sz="0" w:space="0" w:color="auto"/>
        <w:left w:val="none" w:sz="0" w:space="0" w:color="auto"/>
        <w:bottom w:val="none" w:sz="0" w:space="0" w:color="auto"/>
        <w:right w:val="none" w:sz="0" w:space="0" w:color="auto"/>
      </w:divBdr>
    </w:div>
    <w:div w:id="889463427">
      <w:bodyDiv w:val="1"/>
      <w:marLeft w:val="0"/>
      <w:marRight w:val="0"/>
      <w:marTop w:val="0"/>
      <w:marBottom w:val="0"/>
      <w:divBdr>
        <w:top w:val="none" w:sz="0" w:space="0" w:color="auto"/>
        <w:left w:val="none" w:sz="0" w:space="0" w:color="auto"/>
        <w:bottom w:val="none" w:sz="0" w:space="0" w:color="auto"/>
        <w:right w:val="none" w:sz="0" w:space="0" w:color="auto"/>
      </w:divBdr>
    </w:div>
    <w:div w:id="898633932">
      <w:bodyDiv w:val="1"/>
      <w:marLeft w:val="0"/>
      <w:marRight w:val="0"/>
      <w:marTop w:val="0"/>
      <w:marBottom w:val="0"/>
      <w:divBdr>
        <w:top w:val="none" w:sz="0" w:space="0" w:color="auto"/>
        <w:left w:val="none" w:sz="0" w:space="0" w:color="auto"/>
        <w:bottom w:val="none" w:sz="0" w:space="0" w:color="auto"/>
        <w:right w:val="none" w:sz="0" w:space="0" w:color="auto"/>
      </w:divBdr>
    </w:div>
    <w:div w:id="906692712">
      <w:bodyDiv w:val="1"/>
      <w:marLeft w:val="0"/>
      <w:marRight w:val="0"/>
      <w:marTop w:val="0"/>
      <w:marBottom w:val="0"/>
      <w:divBdr>
        <w:top w:val="none" w:sz="0" w:space="0" w:color="auto"/>
        <w:left w:val="none" w:sz="0" w:space="0" w:color="auto"/>
        <w:bottom w:val="none" w:sz="0" w:space="0" w:color="auto"/>
        <w:right w:val="none" w:sz="0" w:space="0" w:color="auto"/>
      </w:divBdr>
    </w:div>
    <w:div w:id="927275053">
      <w:bodyDiv w:val="1"/>
      <w:marLeft w:val="0"/>
      <w:marRight w:val="0"/>
      <w:marTop w:val="0"/>
      <w:marBottom w:val="0"/>
      <w:divBdr>
        <w:top w:val="none" w:sz="0" w:space="0" w:color="auto"/>
        <w:left w:val="none" w:sz="0" w:space="0" w:color="auto"/>
        <w:bottom w:val="none" w:sz="0" w:space="0" w:color="auto"/>
        <w:right w:val="none" w:sz="0" w:space="0" w:color="auto"/>
      </w:divBdr>
    </w:div>
    <w:div w:id="937757352">
      <w:bodyDiv w:val="1"/>
      <w:marLeft w:val="0"/>
      <w:marRight w:val="0"/>
      <w:marTop w:val="0"/>
      <w:marBottom w:val="0"/>
      <w:divBdr>
        <w:top w:val="none" w:sz="0" w:space="0" w:color="auto"/>
        <w:left w:val="none" w:sz="0" w:space="0" w:color="auto"/>
        <w:bottom w:val="none" w:sz="0" w:space="0" w:color="auto"/>
        <w:right w:val="none" w:sz="0" w:space="0" w:color="auto"/>
      </w:divBdr>
      <w:divsChild>
        <w:div w:id="2089769201">
          <w:marLeft w:val="0"/>
          <w:marRight w:val="0"/>
          <w:marTop w:val="100"/>
          <w:marBottom w:val="100"/>
          <w:divBdr>
            <w:top w:val="none" w:sz="0" w:space="0" w:color="auto"/>
            <w:left w:val="none" w:sz="0" w:space="0" w:color="auto"/>
            <w:bottom w:val="none" w:sz="0" w:space="0" w:color="auto"/>
            <w:right w:val="none" w:sz="0" w:space="0" w:color="auto"/>
          </w:divBdr>
          <w:divsChild>
            <w:div w:id="772214855">
              <w:marLeft w:val="0"/>
              <w:marRight w:val="0"/>
              <w:marTop w:val="0"/>
              <w:marBottom w:val="0"/>
              <w:divBdr>
                <w:top w:val="none" w:sz="0" w:space="0" w:color="auto"/>
                <w:left w:val="none" w:sz="0" w:space="0" w:color="auto"/>
                <w:bottom w:val="none" w:sz="0" w:space="0" w:color="auto"/>
                <w:right w:val="none" w:sz="0" w:space="0" w:color="auto"/>
              </w:divBdr>
              <w:divsChild>
                <w:div w:id="63965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472926">
      <w:bodyDiv w:val="1"/>
      <w:marLeft w:val="0"/>
      <w:marRight w:val="0"/>
      <w:marTop w:val="0"/>
      <w:marBottom w:val="0"/>
      <w:divBdr>
        <w:top w:val="none" w:sz="0" w:space="0" w:color="auto"/>
        <w:left w:val="none" w:sz="0" w:space="0" w:color="auto"/>
        <w:bottom w:val="none" w:sz="0" w:space="0" w:color="auto"/>
        <w:right w:val="none" w:sz="0" w:space="0" w:color="auto"/>
      </w:divBdr>
    </w:div>
    <w:div w:id="997920597">
      <w:bodyDiv w:val="1"/>
      <w:marLeft w:val="0"/>
      <w:marRight w:val="0"/>
      <w:marTop w:val="0"/>
      <w:marBottom w:val="0"/>
      <w:divBdr>
        <w:top w:val="none" w:sz="0" w:space="0" w:color="auto"/>
        <w:left w:val="none" w:sz="0" w:space="0" w:color="auto"/>
        <w:bottom w:val="none" w:sz="0" w:space="0" w:color="auto"/>
        <w:right w:val="none" w:sz="0" w:space="0" w:color="auto"/>
      </w:divBdr>
    </w:div>
    <w:div w:id="998533943">
      <w:bodyDiv w:val="1"/>
      <w:marLeft w:val="0"/>
      <w:marRight w:val="0"/>
      <w:marTop w:val="0"/>
      <w:marBottom w:val="0"/>
      <w:divBdr>
        <w:top w:val="none" w:sz="0" w:space="0" w:color="auto"/>
        <w:left w:val="none" w:sz="0" w:space="0" w:color="auto"/>
        <w:bottom w:val="none" w:sz="0" w:space="0" w:color="auto"/>
        <w:right w:val="none" w:sz="0" w:space="0" w:color="auto"/>
      </w:divBdr>
    </w:div>
    <w:div w:id="1000812390">
      <w:bodyDiv w:val="1"/>
      <w:marLeft w:val="0"/>
      <w:marRight w:val="0"/>
      <w:marTop w:val="0"/>
      <w:marBottom w:val="0"/>
      <w:divBdr>
        <w:top w:val="none" w:sz="0" w:space="0" w:color="auto"/>
        <w:left w:val="none" w:sz="0" w:space="0" w:color="auto"/>
        <w:bottom w:val="none" w:sz="0" w:space="0" w:color="auto"/>
        <w:right w:val="none" w:sz="0" w:space="0" w:color="auto"/>
      </w:divBdr>
    </w:div>
    <w:div w:id="1007244348">
      <w:bodyDiv w:val="1"/>
      <w:marLeft w:val="0"/>
      <w:marRight w:val="0"/>
      <w:marTop w:val="0"/>
      <w:marBottom w:val="0"/>
      <w:divBdr>
        <w:top w:val="none" w:sz="0" w:space="0" w:color="auto"/>
        <w:left w:val="none" w:sz="0" w:space="0" w:color="auto"/>
        <w:bottom w:val="none" w:sz="0" w:space="0" w:color="auto"/>
        <w:right w:val="none" w:sz="0" w:space="0" w:color="auto"/>
      </w:divBdr>
    </w:div>
    <w:div w:id="1071080628">
      <w:bodyDiv w:val="1"/>
      <w:marLeft w:val="0"/>
      <w:marRight w:val="0"/>
      <w:marTop w:val="0"/>
      <w:marBottom w:val="0"/>
      <w:divBdr>
        <w:top w:val="none" w:sz="0" w:space="0" w:color="auto"/>
        <w:left w:val="none" w:sz="0" w:space="0" w:color="auto"/>
        <w:bottom w:val="none" w:sz="0" w:space="0" w:color="auto"/>
        <w:right w:val="none" w:sz="0" w:space="0" w:color="auto"/>
      </w:divBdr>
    </w:div>
    <w:div w:id="1096242730">
      <w:bodyDiv w:val="1"/>
      <w:marLeft w:val="0"/>
      <w:marRight w:val="0"/>
      <w:marTop w:val="0"/>
      <w:marBottom w:val="0"/>
      <w:divBdr>
        <w:top w:val="none" w:sz="0" w:space="0" w:color="auto"/>
        <w:left w:val="none" w:sz="0" w:space="0" w:color="auto"/>
        <w:bottom w:val="none" w:sz="0" w:space="0" w:color="auto"/>
        <w:right w:val="none" w:sz="0" w:space="0" w:color="auto"/>
      </w:divBdr>
    </w:div>
    <w:div w:id="1124468826">
      <w:bodyDiv w:val="1"/>
      <w:marLeft w:val="0"/>
      <w:marRight w:val="0"/>
      <w:marTop w:val="0"/>
      <w:marBottom w:val="0"/>
      <w:divBdr>
        <w:top w:val="none" w:sz="0" w:space="0" w:color="auto"/>
        <w:left w:val="none" w:sz="0" w:space="0" w:color="auto"/>
        <w:bottom w:val="none" w:sz="0" w:space="0" w:color="auto"/>
        <w:right w:val="none" w:sz="0" w:space="0" w:color="auto"/>
      </w:divBdr>
    </w:div>
    <w:div w:id="1158501103">
      <w:bodyDiv w:val="1"/>
      <w:marLeft w:val="0"/>
      <w:marRight w:val="0"/>
      <w:marTop w:val="0"/>
      <w:marBottom w:val="0"/>
      <w:divBdr>
        <w:top w:val="none" w:sz="0" w:space="0" w:color="auto"/>
        <w:left w:val="none" w:sz="0" w:space="0" w:color="auto"/>
        <w:bottom w:val="none" w:sz="0" w:space="0" w:color="auto"/>
        <w:right w:val="none" w:sz="0" w:space="0" w:color="auto"/>
      </w:divBdr>
    </w:div>
    <w:div w:id="1202984063">
      <w:bodyDiv w:val="1"/>
      <w:marLeft w:val="0"/>
      <w:marRight w:val="0"/>
      <w:marTop w:val="0"/>
      <w:marBottom w:val="0"/>
      <w:divBdr>
        <w:top w:val="none" w:sz="0" w:space="0" w:color="auto"/>
        <w:left w:val="none" w:sz="0" w:space="0" w:color="auto"/>
        <w:bottom w:val="none" w:sz="0" w:space="0" w:color="auto"/>
        <w:right w:val="none" w:sz="0" w:space="0" w:color="auto"/>
      </w:divBdr>
    </w:div>
    <w:div w:id="1206139090">
      <w:bodyDiv w:val="1"/>
      <w:marLeft w:val="0"/>
      <w:marRight w:val="0"/>
      <w:marTop w:val="0"/>
      <w:marBottom w:val="0"/>
      <w:divBdr>
        <w:top w:val="none" w:sz="0" w:space="0" w:color="auto"/>
        <w:left w:val="none" w:sz="0" w:space="0" w:color="auto"/>
        <w:bottom w:val="none" w:sz="0" w:space="0" w:color="auto"/>
        <w:right w:val="none" w:sz="0" w:space="0" w:color="auto"/>
      </w:divBdr>
    </w:div>
    <w:div w:id="1221480457">
      <w:bodyDiv w:val="1"/>
      <w:marLeft w:val="0"/>
      <w:marRight w:val="0"/>
      <w:marTop w:val="0"/>
      <w:marBottom w:val="0"/>
      <w:divBdr>
        <w:top w:val="none" w:sz="0" w:space="0" w:color="auto"/>
        <w:left w:val="none" w:sz="0" w:space="0" w:color="auto"/>
        <w:bottom w:val="none" w:sz="0" w:space="0" w:color="auto"/>
        <w:right w:val="none" w:sz="0" w:space="0" w:color="auto"/>
      </w:divBdr>
    </w:div>
    <w:div w:id="1227649669">
      <w:bodyDiv w:val="1"/>
      <w:marLeft w:val="0"/>
      <w:marRight w:val="0"/>
      <w:marTop w:val="0"/>
      <w:marBottom w:val="0"/>
      <w:divBdr>
        <w:top w:val="none" w:sz="0" w:space="0" w:color="auto"/>
        <w:left w:val="none" w:sz="0" w:space="0" w:color="auto"/>
        <w:bottom w:val="none" w:sz="0" w:space="0" w:color="auto"/>
        <w:right w:val="none" w:sz="0" w:space="0" w:color="auto"/>
      </w:divBdr>
    </w:div>
    <w:div w:id="1231380481">
      <w:bodyDiv w:val="1"/>
      <w:marLeft w:val="0"/>
      <w:marRight w:val="0"/>
      <w:marTop w:val="0"/>
      <w:marBottom w:val="0"/>
      <w:divBdr>
        <w:top w:val="none" w:sz="0" w:space="0" w:color="auto"/>
        <w:left w:val="none" w:sz="0" w:space="0" w:color="auto"/>
        <w:bottom w:val="none" w:sz="0" w:space="0" w:color="auto"/>
        <w:right w:val="none" w:sz="0" w:space="0" w:color="auto"/>
      </w:divBdr>
    </w:div>
    <w:div w:id="1237202982">
      <w:bodyDiv w:val="1"/>
      <w:marLeft w:val="0"/>
      <w:marRight w:val="0"/>
      <w:marTop w:val="0"/>
      <w:marBottom w:val="0"/>
      <w:divBdr>
        <w:top w:val="none" w:sz="0" w:space="0" w:color="auto"/>
        <w:left w:val="none" w:sz="0" w:space="0" w:color="auto"/>
        <w:bottom w:val="none" w:sz="0" w:space="0" w:color="auto"/>
        <w:right w:val="none" w:sz="0" w:space="0" w:color="auto"/>
      </w:divBdr>
    </w:div>
    <w:div w:id="1237544802">
      <w:bodyDiv w:val="1"/>
      <w:marLeft w:val="0"/>
      <w:marRight w:val="0"/>
      <w:marTop w:val="0"/>
      <w:marBottom w:val="0"/>
      <w:divBdr>
        <w:top w:val="none" w:sz="0" w:space="0" w:color="auto"/>
        <w:left w:val="none" w:sz="0" w:space="0" w:color="auto"/>
        <w:bottom w:val="none" w:sz="0" w:space="0" w:color="auto"/>
        <w:right w:val="none" w:sz="0" w:space="0" w:color="auto"/>
      </w:divBdr>
    </w:div>
    <w:div w:id="1245341833">
      <w:bodyDiv w:val="1"/>
      <w:marLeft w:val="0"/>
      <w:marRight w:val="0"/>
      <w:marTop w:val="0"/>
      <w:marBottom w:val="0"/>
      <w:divBdr>
        <w:top w:val="none" w:sz="0" w:space="0" w:color="auto"/>
        <w:left w:val="none" w:sz="0" w:space="0" w:color="auto"/>
        <w:bottom w:val="none" w:sz="0" w:space="0" w:color="auto"/>
        <w:right w:val="none" w:sz="0" w:space="0" w:color="auto"/>
      </w:divBdr>
    </w:div>
    <w:div w:id="1249268261">
      <w:bodyDiv w:val="1"/>
      <w:marLeft w:val="0"/>
      <w:marRight w:val="0"/>
      <w:marTop w:val="0"/>
      <w:marBottom w:val="0"/>
      <w:divBdr>
        <w:top w:val="none" w:sz="0" w:space="0" w:color="auto"/>
        <w:left w:val="none" w:sz="0" w:space="0" w:color="auto"/>
        <w:bottom w:val="none" w:sz="0" w:space="0" w:color="auto"/>
        <w:right w:val="none" w:sz="0" w:space="0" w:color="auto"/>
      </w:divBdr>
    </w:div>
    <w:div w:id="1258753217">
      <w:bodyDiv w:val="1"/>
      <w:marLeft w:val="0"/>
      <w:marRight w:val="0"/>
      <w:marTop w:val="0"/>
      <w:marBottom w:val="0"/>
      <w:divBdr>
        <w:top w:val="none" w:sz="0" w:space="0" w:color="auto"/>
        <w:left w:val="none" w:sz="0" w:space="0" w:color="auto"/>
        <w:bottom w:val="none" w:sz="0" w:space="0" w:color="auto"/>
        <w:right w:val="none" w:sz="0" w:space="0" w:color="auto"/>
      </w:divBdr>
    </w:div>
    <w:div w:id="1324889309">
      <w:bodyDiv w:val="1"/>
      <w:marLeft w:val="0"/>
      <w:marRight w:val="0"/>
      <w:marTop w:val="0"/>
      <w:marBottom w:val="0"/>
      <w:divBdr>
        <w:top w:val="none" w:sz="0" w:space="0" w:color="auto"/>
        <w:left w:val="none" w:sz="0" w:space="0" w:color="auto"/>
        <w:bottom w:val="none" w:sz="0" w:space="0" w:color="auto"/>
        <w:right w:val="none" w:sz="0" w:space="0" w:color="auto"/>
      </w:divBdr>
      <w:divsChild>
        <w:div w:id="1024672067">
          <w:marLeft w:val="0"/>
          <w:marRight w:val="0"/>
          <w:marTop w:val="100"/>
          <w:marBottom w:val="100"/>
          <w:divBdr>
            <w:top w:val="none" w:sz="0" w:space="0" w:color="auto"/>
            <w:left w:val="none" w:sz="0" w:space="0" w:color="auto"/>
            <w:bottom w:val="none" w:sz="0" w:space="0" w:color="auto"/>
            <w:right w:val="none" w:sz="0" w:space="0" w:color="auto"/>
          </w:divBdr>
          <w:divsChild>
            <w:div w:id="1521626857">
              <w:marLeft w:val="0"/>
              <w:marRight w:val="0"/>
              <w:marTop w:val="0"/>
              <w:marBottom w:val="0"/>
              <w:divBdr>
                <w:top w:val="none" w:sz="0" w:space="0" w:color="auto"/>
                <w:left w:val="none" w:sz="0" w:space="0" w:color="auto"/>
                <w:bottom w:val="none" w:sz="0" w:space="0" w:color="auto"/>
                <w:right w:val="none" w:sz="0" w:space="0" w:color="auto"/>
              </w:divBdr>
              <w:divsChild>
                <w:div w:id="193871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434775">
      <w:bodyDiv w:val="1"/>
      <w:marLeft w:val="0"/>
      <w:marRight w:val="0"/>
      <w:marTop w:val="0"/>
      <w:marBottom w:val="0"/>
      <w:divBdr>
        <w:top w:val="none" w:sz="0" w:space="0" w:color="auto"/>
        <w:left w:val="none" w:sz="0" w:space="0" w:color="auto"/>
        <w:bottom w:val="none" w:sz="0" w:space="0" w:color="auto"/>
        <w:right w:val="none" w:sz="0" w:space="0" w:color="auto"/>
      </w:divBdr>
    </w:div>
    <w:div w:id="1340042520">
      <w:bodyDiv w:val="1"/>
      <w:marLeft w:val="0"/>
      <w:marRight w:val="0"/>
      <w:marTop w:val="0"/>
      <w:marBottom w:val="0"/>
      <w:divBdr>
        <w:top w:val="none" w:sz="0" w:space="0" w:color="auto"/>
        <w:left w:val="none" w:sz="0" w:space="0" w:color="auto"/>
        <w:bottom w:val="none" w:sz="0" w:space="0" w:color="auto"/>
        <w:right w:val="none" w:sz="0" w:space="0" w:color="auto"/>
      </w:divBdr>
    </w:div>
    <w:div w:id="1341736550">
      <w:bodyDiv w:val="1"/>
      <w:marLeft w:val="0"/>
      <w:marRight w:val="0"/>
      <w:marTop w:val="0"/>
      <w:marBottom w:val="0"/>
      <w:divBdr>
        <w:top w:val="none" w:sz="0" w:space="0" w:color="auto"/>
        <w:left w:val="none" w:sz="0" w:space="0" w:color="auto"/>
        <w:bottom w:val="none" w:sz="0" w:space="0" w:color="auto"/>
        <w:right w:val="none" w:sz="0" w:space="0" w:color="auto"/>
      </w:divBdr>
      <w:divsChild>
        <w:div w:id="766392993">
          <w:marLeft w:val="0"/>
          <w:marRight w:val="0"/>
          <w:marTop w:val="0"/>
          <w:marBottom w:val="0"/>
          <w:divBdr>
            <w:top w:val="none" w:sz="0" w:space="0" w:color="auto"/>
            <w:left w:val="none" w:sz="0" w:space="0" w:color="auto"/>
            <w:bottom w:val="none" w:sz="0" w:space="0" w:color="auto"/>
            <w:right w:val="none" w:sz="0" w:space="0" w:color="auto"/>
          </w:divBdr>
          <w:divsChild>
            <w:div w:id="221715853">
              <w:marLeft w:val="0"/>
              <w:marRight w:val="0"/>
              <w:marTop w:val="33"/>
              <w:marBottom w:val="0"/>
              <w:divBdr>
                <w:top w:val="single" w:sz="2" w:space="0" w:color="596380"/>
                <w:left w:val="single" w:sz="2" w:space="0" w:color="596380"/>
                <w:bottom w:val="single" w:sz="2" w:space="0" w:color="596380"/>
                <w:right w:val="single" w:sz="2" w:space="0" w:color="596380"/>
              </w:divBdr>
              <w:divsChild>
                <w:div w:id="748036035">
                  <w:marLeft w:val="0"/>
                  <w:marRight w:val="0"/>
                  <w:marTop w:val="0"/>
                  <w:marBottom w:val="0"/>
                  <w:divBdr>
                    <w:top w:val="none" w:sz="0" w:space="0" w:color="auto"/>
                    <w:left w:val="none" w:sz="0" w:space="0" w:color="auto"/>
                    <w:bottom w:val="none" w:sz="0" w:space="0" w:color="auto"/>
                    <w:right w:val="none" w:sz="0" w:space="0" w:color="auto"/>
                  </w:divBdr>
                  <w:divsChild>
                    <w:div w:id="258609488">
                      <w:marLeft w:val="0"/>
                      <w:marRight w:val="0"/>
                      <w:marTop w:val="0"/>
                      <w:marBottom w:val="0"/>
                      <w:divBdr>
                        <w:top w:val="none" w:sz="0" w:space="0" w:color="auto"/>
                        <w:left w:val="none" w:sz="0" w:space="0" w:color="auto"/>
                        <w:bottom w:val="none" w:sz="0" w:space="0" w:color="auto"/>
                        <w:right w:val="none" w:sz="0" w:space="0" w:color="auto"/>
                      </w:divBdr>
                      <w:divsChild>
                        <w:div w:id="132139974">
                          <w:marLeft w:val="0"/>
                          <w:marRight w:val="0"/>
                          <w:marTop w:val="0"/>
                          <w:marBottom w:val="0"/>
                          <w:divBdr>
                            <w:top w:val="none" w:sz="0" w:space="0" w:color="auto"/>
                            <w:left w:val="none" w:sz="0" w:space="0" w:color="auto"/>
                            <w:bottom w:val="none" w:sz="0" w:space="0" w:color="auto"/>
                            <w:right w:val="none" w:sz="0" w:space="0" w:color="auto"/>
                          </w:divBdr>
                          <w:divsChild>
                            <w:div w:id="1018893457">
                              <w:marLeft w:val="0"/>
                              <w:marRight w:val="0"/>
                              <w:marTop w:val="0"/>
                              <w:marBottom w:val="0"/>
                              <w:divBdr>
                                <w:top w:val="none" w:sz="0" w:space="0" w:color="auto"/>
                                <w:left w:val="none" w:sz="0" w:space="0" w:color="auto"/>
                                <w:bottom w:val="none" w:sz="0" w:space="0" w:color="auto"/>
                                <w:right w:val="none" w:sz="0" w:space="0" w:color="auto"/>
                              </w:divBdr>
                              <w:divsChild>
                                <w:div w:id="1108699298">
                                  <w:marLeft w:val="55"/>
                                  <w:marRight w:val="55"/>
                                  <w:marTop w:val="55"/>
                                  <w:marBottom w:val="55"/>
                                  <w:divBdr>
                                    <w:top w:val="none" w:sz="0" w:space="0" w:color="auto"/>
                                    <w:left w:val="none" w:sz="0" w:space="0" w:color="auto"/>
                                    <w:bottom w:val="none" w:sz="0" w:space="0" w:color="auto"/>
                                    <w:right w:val="none" w:sz="0" w:space="0" w:color="auto"/>
                                  </w:divBdr>
                                  <w:divsChild>
                                    <w:div w:id="176226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0447452">
      <w:bodyDiv w:val="1"/>
      <w:marLeft w:val="0"/>
      <w:marRight w:val="0"/>
      <w:marTop w:val="0"/>
      <w:marBottom w:val="0"/>
      <w:divBdr>
        <w:top w:val="none" w:sz="0" w:space="0" w:color="auto"/>
        <w:left w:val="none" w:sz="0" w:space="0" w:color="auto"/>
        <w:bottom w:val="none" w:sz="0" w:space="0" w:color="auto"/>
        <w:right w:val="none" w:sz="0" w:space="0" w:color="auto"/>
      </w:divBdr>
    </w:div>
    <w:div w:id="1353801244">
      <w:bodyDiv w:val="1"/>
      <w:marLeft w:val="0"/>
      <w:marRight w:val="0"/>
      <w:marTop w:val="0"/>
      <w:marBottom w:val="0"/>
      <w:divBdr>
        <w:top w:val="none" w:sz="0" w:space="0" w:color="auto"/>
        <w:left w:val="none" w:sz="0" w:space="0" w:color="auto"/>
        <w:bottom w:val="none" w:sz="0" w:space="0" w:color="auto"/>
        <w:right w:val="none" w:sz="0" w:space="0" w:color="auto"/>
      </w:divBdr>
    </w:div>
    <w:div w:id="1365593241">
      <w:bodyDiv w:val="1"/>
      <w:marLeft w:val="0"/>
      <w:marRight w:val="0"/>
      <w:marTop w:val="0"/>
      <w:marBottom w:val="0"/>
      <w:divBdr>
        <w:top w:val="none" w:sz="0" w:space="0" w:color="auto"/>
        <w:left w:val="none" w:sz="0" w:space="0" w:color="auto"/>
        <w:bottom w:val="none" w:sz="0" w:space="0" w:color="auto"/>
        <w:right w:val="none" w:sz="0" w:space="0" w:color="auto"/>
      </w:divBdr>
    </w:div>
    <w:div w:id="1384981871">
      <w:bodyDiv w:val="1"/>
      <w:marLeft w:val="0"/>
      <w:marRight w:val="0"/>
      <w:marTop w:val="0"/>
      <w:marBottom w:val="0"/>
      <w:divBdr>
        <w:top w:val="none" w:sz="0" w:space="0" w:color="auto"/>
        <w:left w:val="none" w:sz="0" w:space="0" w:color="auto"/>
        <w:bottom w:val="none" w:sz="0" w:space="0" w:color="auto"/>
        <w:right w:val="none" w:sz="0" w:space="0" w:color="auto"/>
      </w:divBdr>
    </w:div>
    <w:div w:id="1398090878">
      <w:bodyDiv w:val="1"/>
      <w:marLeft w:val="0"/>
      <w:marRight w:val="0"/>
      <w:marTop w:val="0"/>
      <w:marBottom w:val="0"/>
      <w:divBdr>
        <w:top w:val="none" w:sz="0" w:space="0" w:color="auto"/>
        <w:left w:val="none" w:sz="0" w:space="0" w:color="auto"/>
        <w:bottom w:val="none" w:sz="0" w:space="0" w:color="auto"/>
        <w:right w:val="none" w:sz="0" w:space="0" w:color="auto"/>
      </w:divBdr>
    </w:div>
    <w:div w:id="1410230392">
      <w:bodyDiv w:val="1"/>
      <w:marLeft w:val="0"/>
      <w:marRight w:val="0"/>
      <w:marTop w:val="0"/>
      <w:marBottom w:val="0"/>
      <w:divBdr>
        <w:top w:val="none" w:sz="0" w:space="0" w:color="auto"/>
        <w:left w:val="none" w:sz="0" w:space="0" w:color="auto"/>
        <w:bottom w:val="none" w:sz="0" w:space="0" w:color="auto"/>
        <w:right w:val="none" w:sz="0" w:space="0" w:color="auto"/>
      </w:divBdr>
    </w:div>
    <w:div w:id="1413821722">
      <w:bodyDiv w:val="1"/>
      <w:marLeft w:val="0"/>
      <w:marRight w:val="0"/>
      <w:marTop w:val="0"/>
      <w:marBottom w:val="0"/>
      <w:divBdr>
        <w:top w:val="none" w:sz="0" w:space="0" w:color="auto"/>
        <w:left w:val="none" w:sz="0" w:space="0" w:color="auto"/>
        <w:bottom w:val="none" w:sz="0" w:space="0" w:color="auto"/>
        <w:right w:val="none" w:sz="0" w:space="0" w:color="auto"/>
      </w:divBdr>
    </w:div>
    <w:div w:id="1421439882">
      <w:bodyDiv w:val="1"/>
      <w:marLeft w:val="0"/>
      <w:marRight w:val="0"/>
      <w:marTop w:val="0"/>
      <w:marBottom w:val="0"/>
      <w:divBdr>
        <w:top w:val="none" w:sz="0" w:space="0" w:color="auto"/>
        <w:left w:val="none" w:sz="0" w:space="0" w:color="auto"/>
        <w:bottom w:val="none" w:sz="0" w:space="0" w:color="auto"/>
        <w:right w:val="none" w:sz="0" w:space="0" w:color="auto"/>
      </w:divBdr>
    </w:div>
    <w:div w:id="1424836146">
      <w:bodyDiv w:val="1"/>
      <w:marLeft w:val="0"/>
      <w:marRight w:val="0"/>
      <w:marTop w:val="0"/>
      <w:marBottom w:val="0"/>
      <w:divBdr>
        <w:top w:val="none" w:sz="0" w:space="0" w:color="auto"/>
        <w:left w:val="none" w:sz="0" w:space="0" w:color="auto"/>
        <w:bottom w:val="none" w:sz="0" w:space="0" w:color="auto"/>
        <w:right w:val="none" w:sz="0" w:space="0" w:color="auto"/>
      </w:divBdr>
    </w:div>
    <w:div w:id="1429153648">
      <w:bodyDiv w:val="1"/>
      <w:marLeft w:val="0"/>
      <w:marRight w:val="0"/>
      <w:marTop w:val="0"/>
      <w:marBottom w:val="0"/>
      <w:divBdr>
        <w:top w:val="none" w:sz="0" w:space="0" w:color="auto"/>
        <w:left w:val="none" w:sz="0" w:space="0" w:color="auto"/>
        <w:bottom w:val="none" w:sz="0" w:space="0" w:color="auto"/>
        <w:right w:val="none" w:sz="0" w:space="0" w:color="auto"/>
      </w:divBdr>
    </w:div>
    <w:div w:id="1458721794">
      <w:bodyDiv w:val="1"/>
      <w:marLeft w:val="0"/>
      <w:marRight w:val="0"/>
      <w:marTop w:val="0"/>
      <w:marBottom w:val="0"/>
      <w:divBdr>
        <w:top w:val="none" w:sz="0" w:space="0" w:color="auto"/>
        <w:left w:val="none" w:sz="0" w:space="0" w:color="auto"/>
        <w:bottom w:val="none" w:sz="0" w:space="0" w:color="auto"/>
        <w:right w:val="none" w:sz="0" w:space="0" w:color="auto"/>
      </w:divBdr>
    </w:div>
    <w:div w:id="1472359376">
      <w:bodyDiv w:val="1"/>
      <w:marLeft w:val="0"/>
      <w:marRight w:val="0"/>
      <w:marTop w:val="0"/>
      <w:marBottom w:val="0"/>
      <w:divBdr>
        <w:top w:val="none" w:sz="0" w:space="0" w:color="auto"/>
        <w:left w:val="none" w:sz="0" w:space="0" w:color="auto"/>
        <w:bottom w:val="none" w:sz="0" w:space="0" w:color="auto"/>
        <w:right w:val="none" w:sz="0" w:space="0" w:color="auto"/>
      </w:divBdr>
    </w:div>
    <w:div w:id="1488743183">
      <w:bodyDiv w:val="1"/>
      <w:marLeft w:val="0"/>
      <w:marRight w:val="0"/>
      <w:marTop w:val="45"/>
      <w:marBottom w:val="45"/>
      <w:divBdr>
        <w:top w:val="none" w:sz="0" w:space="0" w:color="auto"/>
        <w:left w:val="none" w:sz="0" w:space="0" w:color="auto"/>
        <w:bottom w:val="none" w:sz="0" w:space="0" w:color="auto"/>
        <w:right w:val="none" w:sz="0" w:space="0" w:color="auto"/>
      </w:divBdr>
      <w:divsChild>
        <w:div w:id="736321548">
          <w:marLeft w:val="0"/>
          <w:marRight w:val="0"/>
          <w:marTop w:val="0"/>
          <w:marBottom w:val="0"/>
          <w:divBdr>
            <w:top w:val="none" w:sz="0" w:space="0" w:color="auto"/>
            <w:left w:val="none" w:sz="0" w:space="0" w:color="auto"/>
            <w:bottom w:val="none" w:sz="0" w:space="0" w:color="auto"/>
            <w:right w:val="none" w:sz="0" w:space="0" w:color="auto"/>
          </w:divBdr>
          <w:divsChild>
            <w:div w:id="1772236447">
              <w:marLeft w:val="0"/>
              <w:marRight w:val="0"/>
              <w:marTop w:val="0"/>
              <w:marBottom w:val="0"/>
              <w:divBdr>
                <w:top w:val="none" w:sz="0" w:space="0" w:color="auto"/>
                <w:left w:val="none" w:sz="0" w:space="0" w:color="auto"/>
                <w:bottom w:val="none" w:sz="0" w:space="0" w:color="auto"/>
                <w:right w:val="none" w:sz="0" w:space="0" w:color="auto"/>
              </w:divBdr>
              <w:divsChild>
                <w:div w:id="472020059">
                  <w:marLeft w:val="2385"/>
                  <w:marRight w:val="3960"/>
                  <w:marTop w:val="0"/>
                  <w:marBottom w:val="0"/>
                  <w:divBdr>
                    <w:top w:val="none" w:sz="0" w:space="0" w:color="auto"/>
                    <w:left w:val="single" w:sz="6" w:space="0" w:color="D3E1F9"/>
                    <w:bottom w:val="none" w:sz="0" w:space="0" w:color="auto"/>
                    <w:right w:val="none" w:sz="0" w:space="0" w:color="auto"/>
                  </w:divBdr>
                  <w:divsChild>
                    <w:div w:id="1213689097">
                      <w:marLeft w:val="0"/>
                      <w:marRight w:val="0"/>
                      <w:marTop w:val="0"/>
                      <w:marBottom w:val="0"/>
                      <w:divBdr>
                        <w:top w:val="none" w:sz="0" w:space="0" w:color="auto"/>
                        <w:left w:val="none" w:sz="0" w:space="0" w:color="auto"/>
                        <w:bottom w:val="none" w:sz="0" w:space="0" w:color="auto"/>
                        <w:right w:val="none" w:sz="0" w:space="0" w:color="auto"/>
                      </w:divBdr>
                      <w:divsChild>
                        <w:div w:id="28693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1411397">
      <w:bodyDiv w:val="1"/>
      <w:marLeft w:val="0"/>
      <w:marRight w:val="0"/>
      <w:marTop w:val="0"/>
      <w:marBottom w:val="0"/>
      <w:divBdr>
        <w:top w:val="none" w:sz="0" w:space="0" w:color="auto"/>
        <w:left w:val="none" w:sz="0" w:space="0" w:color="auto"/>
        <w:bottom w:val="none" w:sz="0" w:space="0" w:color="auto"/>
        <w:right w:val="none" w:sz="0" w:space="0" w:color="auto"/>
      </w:divBdr>
    </w:div>
    <w:div w:id="1503663712">
      <w:bodyDiv w:val="1"/>
      <w:marLeft w:val="0"/>
      <w:marRight w:val="0"/>
      <w:marTop w:val="0"/>
      <w:marBottom w:val="0"/>
      <w:divBdr>
        <w:top w:val="none" w:sz="0" w:space="0" w:color="auto"/>
        <w:left w:val="none" w:sz="0" w:space="0" w:color="auto"/>
        <w:bottom w:val="none" w:sz="0" w:space="0" w:color="auto"/>
        <w:right w:val="none" w:sz="0" w:space="0" w:color="auto"/>
      </w:divBdr>
      <w:divsChild>
        <w:div w:id="645163308">
          <w:marLeft w:val="0"/>
          <w:marRight w:val="0"/>
          <w:marTop w:val="100"/>
          <w:marBottom w:val="100"/>
          <w:divBdr>
            <w:top w:val="none" w:sz="0" w:space="0" w:color="auto"/>
            <w:left w:val="none" w:sz="0" w:space="0" w:color="auto"/>
            <w:bottom w:val="none" w:sz="0" w:space="0" w:color="auto"/>
            <w:right w:val="none" w:sz="0" w:space="0" w:color="auto"/>
          </w:divBdr>
          <w:divsChild>
            <w:div w:id="66806168">
              <w:marLeft w:val="0"/>
              <w:marRight w:val="0"/>
              <w:marTop w:val="0"/>
              <w:marBottom w:val="0"/>
              <w:divBdr>
                <w:top w:val="none" w:sz="0" w:space="0" w:color="auto"/>
                <w:left w:val="none" w:sz="0" w:space="0" w:color="auto"/>
                <w:bottom w:val="none" w:sz="0" w:space="0" w:color="auto"/>
                <w:right w:val="none" w:sz="0" w:space="0" w:color="auto"/>
              </w:divBdr>
              <w:divsChild>
                <w:div w:id="380371341">
                  <w:marLeft w:val="0"/>
                  <w:marRight w:val="150"/>
                  <w:marTop w:val="0"/>
                  <w:marBottom w:val="0"/>
                  <w:divBdr>
                    <w:top w:val="none" w:sz="0" w:space="0" w:color="auto"/>
                    <w:left w:val="none" w:sz="0" w:space="0" w:color="auto"/>
                    <w:bottom w:val="none" w:sz="0" w:space="0" w:color="auto"/>
                    <w:right w:val="none" w:sz="0" w:space="0" w:color="auto"/>
                  </w:divBdr>
                  <w:divsChild>
                    <w:div w:id="205726863">
                      <w:marLeft w:val="0"/>
                      <w:marRight w:val="0"/>
                      <w:marTop w:val="0"/>
                      <w:marBottom w:val="75"/>
                      <w:divBdr>
                        <w:top w:val="single" w:sz="6" w:space="0" w:color="B8CDE3"/>
                        <w:left w:val="single" w:sz="6" w:space="0" w:color="B8CDE3"/>
                        <w:bottom w:val="single" w:sz="6" w:space="0" w:color="B8CDE3"/>
                        <w:right w:val="single" w:sz="6" w:space="0" w:color="B8CDE3"/>
                      </w:divBdr>
                      <w:divsChild>
                        <w:div w:id="927077337">
                          <w:marLeft w:val="0"/>
                          <w:marRight w:val="0"/>
                          <w:marTop w:val="75"/>
                          <w:marBottom w:val="75"/>
                          <w:divBdr>
                            <w:top w:val="none" w:sz="0" w:space="0" w:color="auto"/>
                            <w:left w:val="none" w:sz="0" w:space="0" w:color="auto"/>
                            <w:bottom w:val="none" w:sz="0" w:space="0" w:color="auto"/>
                            <w:right w:val="none" w:sz="0" w:space="0" w:color="auto"/>
                          </w:divBdr>
                          <w:divsChild>
                            <w:div w:id="792017746">
                              <w:marLeft w:val="75"/>
                              <w:marRight w:val="75"/>
                              <w:marTop w:val="30"/>
                              <w:marBottom w:val="30"/>
                              <w:divBdr>
                                <w:top w:val="none" w:sz="0" w:space="0" w:color="auto"/>
                                <w:left w:val="none" w:sz="0" w:space="0" w:color="auto"/>
                                <w:bottom w:val="none" w:sz="0" w:space="0" w:color="auto"/>
                                <w:right w:val="none" w:sz="0" w:space="0" w:color="auto"/>
                              </w:divBdr>
                            </w:div>
                            <w:div w:id="1541015217">
                              <w:marLeft w:val="75"/>
                              <w:marRight w:val="75"/>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061747">
      <w:bodyDiv w:val="1"/>
      <w:marLeft w:val="0"/>
      <w:marRight w:val="0"/>
      <w:marTop w:val="0"/>
      <w:marBottom w:val="0"/>
      <w:divBdr>
        <w:top w:val="none" w:sz="0" w:space="0" w:color="auto"/>
        <w:left w:val="none" w:sz="0" w:space="0" w:color="auto"/>
        <w:bottom w:val="none" w:sz="0" w:space="0" w:color="auto"/>
        <w:right w:val="none" w:sz="0" w:space="0" w:color="auto"/>
      </w:divBdr>
    </w:div>
    <w:div w:id="1512064070">
      <w:bodyDiv w:val="1"/>
      <w:marLeft w:val="0"/>
      <w:marRight w:val="0"/>
      <w:marTop w:val="0"/>
      <w:marBottom w:val="0"/>
      <w:divBdr>
        <w:top w:val="none" w:sz="0" w:space="0" w:color="auto"/>
        <w:left w:val="none" w:sz="0" w:space="0" w:color="auto"/>
        <w:bottom w:val="none" w:sz="0" w:space="0" w:color="auto"/>
        <w:right w:val="none" w:sz="0" w:space="0" w:color="auto"/>
      </w:divBdr>
    </w:div>
    <w:div w:id="1530608364">
      <w:bodyDiv w:val="1"/>
      <w:marLeft w:val="0"/>
      <w:marRight w:val="0"/>
      <w:marTop w:val="0"/>
      <w:marBottom w:val="0"/>
      <w:divBdr>
        <w:top w:val="none" w:sz="0" w:space="0" w:color="auto"/>
        <w:left w:val="none" w:sz="0" w:space="0" w:color="auto"/>
        <w:bottom w:val="none" w:sz="0" w:space="0" w:color="auto"/>
        <w:right w:val="none" w:sz="0" w:space="0" w:color="auto"/>
      </w:divBdr>
    </w:div>
    <w:div w:id="1535577854">
      <w:bodyDiv w:val="1"/>
      <w:marLeft w:val="0"/>
      <w:marRight w:val="0"/>
      <w:marTop w:val="0"/>
      <w:marBottom w:val="0"/>
      <w:divBdr>
        <w:top w:val="none" w:sz="0" w:space="0" w:color="auto"/>
        <w:left w:val="none" w:sz="0" w:space="0" w:color="auto"/>
        <w:bottom w:val="none" w:sz="0" w:space="0" w:color="auto"/>
        <w:right w:val="none" w:sz="0" w:space="0" w:color="auto"/>
      </w:divBdr>
    </w:div>
    <w:div w:id="1552231706">
      <w:bodyDiv w:val="1"/>
      <w:marLeft w:val="0"/>
      <w:marRight w:val="0"/>
      <w:marTop w:val="0"/>
      <w:marBottom w:val="0"/>
      <w:divBdr>
        <w:top w:val="none" w:sz="0" w:space="0" w:color="auto"/>
        <w:left w:val="none" w:sz="0" w:space="0" w:color="auto"/>
        <w:bottom w:val="none" w:sz="0" w:space="0" w:color="auto"/>
        <w:right w:val="none" w:sz="0" w:space="0" w:color="auto"/>
      </w:divBdr>
    </w:div>
    <w:div w:id="1570576146">
      <w:bodyDiv w:val="1"/>
      <w:marLeft w:val="0"/>
      <w:marRight w:val="0"/>
      <w:marTop w:val="0"/>
      <w:marBottom w:val="0"/>
      <w:divBdr>
        <w:top w:val="none" w:sz="0" w:space="0" w:color="auto"/>
        <w:left w:val="none" w:sz="0" w:space="0" w:color="auto"/>
        <w:bottom w:val="none" w:sz="0" w:space="0" w:color="auto"/>
        <w:right w:val="none" w:sz="0" w:space="0" w:color="auto"/>
      </w:divBdr>
    </w:div>
    <w:div w:id="1583374366">
      <w:bodyDiv w:val="1"/>
      <w:marLeft w:val="0"/>
      <w:marRight w:val="0"/>
      <w:marTop w:val="0"/>
      <w:marBottom w:val="0"/>
      <w:divBdr>
        <w:top w:val="none" w:sz="0" w:space="0" w:color="auto"/>
        <w:left w:val="none" w:sz="0" w:space="0" w:color="auto"/>
        <w:bottom w:val="none" w:sz="0" w:space="0" w:color="auto"/>
        <w:right w:val="none" w:sz="0" w:space="0" w:color="auto"/>
      </w:divBdr>
    </w:div>
    <w:div w:id="1591890373">
      <w:bodyDiv w:val="1"/>
      <w:marLeft w:val="0"/>
      <w:marRight w:val="0"/>
      <w:marTop w:val="0"/>
      <w:marBottom w:val="0"/>
      <w:divBdr>
        <w:top w:val="none" w:sz="0" w:space="0" w:color="auto"/>
        <w:left w:val="none" w:sz="0" w:space="0" w:color="auto"/>
        <w:bottom w:val="none" w:sz="0" w:space="0" w:color="auto"/>
        <w:right w:val="none" w:sz="0" w:space="0" w:color="auto"/>
      </w:divBdr>
    </w:div>
    <w:div w:id="1609968456">
      <w:bodyDiv w:val="1"/>
      <w:marLeft w:val="0"/>
      <w:marRight w:val="0"/>
      <w:marTop w:val="0"/>
      <w:marBottom w:val="0"/>
      <w:divBdr>
        <w:top w:val="none" w:sz="0" w:space="0" w:color="auto"/>
        <w:left w:val="none" w:sz="0" w:space="0" w:color="auto"/>
        <w:bottom w:val="none" w:sz="0" w:space="0" w:color="auto"/>
        <w:right w:val="none" w:sz="0" w:space="0" w:color="auto"/>
      </w:divBdr>
    </w:div>
    <w:div w:id="1647856395">
      <w:bodyDiv w:val="1"/>
      <w:marLeft w:val="0"/>
      <w:marRight w:val="0"/>
      <w:marTop w:val="0"/>
      <w:marBottom w:val="0"/>
      <w:divBdr>
        <w:top w:val="none" w:sz="0" w:space="0" w:color="auto"/>
        <w:left w:val="none" w:sz="0" w:space="0" w:color="auto"/>
        <w:bottom w:val="none" w:sz="0" w:space="0" w:color="auto"/>
        <w:right w:val="none" w:sz="0" w:space="0" w:color="auto"/>
      </w:divBdr>
    </w:div>
    <w:div w:id="1649356451">
      <w:bodyDiv w:val="1"/>
      <w:marLeft w:val="0"/>
      <w:marRight w:val="0"/>
      <w:marTop w:val="0"/>
      <w:marBottom w:val="0"/>
      <w:divBdr>
        <w:top w:val="none" w:sz="0" w:space="0" w:color="auto"/>
        <w:left w:val="none" w:sz="0" w:space="0" w:color="auto"/>
        <w:bottom w:val="none" w:sz="0" w:space="0" w:color="auto"/>
        <w:right w:val="none" w:sz="0" w:space="0" w:color="auto"/>
      </w:divBdr>
    </w:div>
    <w:div w:id="1656102664">
      <w:bodyDiv w:val="1"/>
      <w:marLeft w:val="0"/>
      <w:marRight w:val="0"/>
      <w:marTop w:val="0"/>
      <w:marBottom w:val="0"/>
      <w:divBdr>
        <w:top w:val="none" w:sz="0" w:space="0" w:color="auto"/>
        <w:left w:val="none" w:sz="0" w:space="0" w:color="auto"/>
        <w:bottom w:val="none" w:sz="0" w:space="0" w:color="auto"/>
        <w:right w:val="none" w:sz="0" w:space="0" w:color="auto"/>
      </w:divBdr>
    </w:div>
    <w:div w:id="1681005967">
      <w:bodyDiv w:val="1"/>
      <w:marLeft w:val="0"/>
      <w:marRight w:val="0"/>
      <w:marTop w:val="0"/>
      <w:marBottom w:val="0"/>
      <w:divBdr>
        <w:top w:val="none" w:sz="0" w:space="0" w:color="auto"/>
        <w:left w:val="none" w:sz="0" w:space="0" w:color="auto"/>
        <w:bottom w:val="none" w:sz="0" w:space="0" w:color="auto"/>
        <w:right w:val="none" w:sz="0" w:space="0" w:color="auto"/>
      </w:divBdr>
    </w:div>
    <w:div w:id="1705135524">
      <w:bodyDiv w:val="1"/>
      <w:marLeft w:val="0"/>
      <w:marRight w:val="0"/>
      <w:marTop w:val="0"/>
      <w:marBottom w:val="0"/>
      <w:divBdr>
        <w:top w:val="none" w:sz="0" w:space="0" w:color="auto"/>
        <w:left w:val="none" w:sz="0" w:space="0" w:color="auto"/>
        <w:bottom w:val="none" w:sz="0" w:space="0" w:color="auto"/>
        <w:right w:val="none" w:sz="0" w:space="0" w:color="auto"/>
      </w:divBdr>
    </w:div>
    <w:div w:id="1737125493">
      <w:bodyDiv w:val="1"/>
      <w:marLeft w:val="0"/>
      <w:marRight w:val="0"/>
      <w:marTop w:val="0"/>
      <w:marBottom w:val="0"/>
      <w:divBdr>
        <w:top w:val="none" w:sz="0" w:space="0" w:color="auto"/>
        <w:left w:val="none" w:sz="0" w:space="0" w:color="auto"/>
        <w:bottom w:val="none" w:sz="0" w:space="0" w:color="auto"/>
        <w:right w:val="none" w:sz="0" w:space="0" w:color="auto"/>
      </w:divBdr>
    </w:div>
    <w:div w:id="1740401578">
      <w:bodyDiv w:val="1"/>
      <w:marLeft w:val="0"/>
      <w:marRight w:val="0"/>
      <w:marTop w:val="0"/>
      <w:marBottom w:val="0"/>
      <w:divBdr>
        <w:top w:val="none" w:sz="0" w:space="0" w:color="auto"/>
        <w:left w:val="none" w:sz="0" w:space="0" w:color="auto"/>
        <w:bottom w:val="none" w:sz="0" w:space="0" w:color="auto"/>
        <w:right w:val="none" w:sz="0" w:space="0" w:color="auto"/>
      </w:divBdr>
    </w:div>
    <w:div w:id="1755475304">
      <w:bodyDiv w:val="1"/>
      <w:marLeft w:val="0"/>
      <w:marRight w:val="0"/>
      <w:marTop w:val="0"/>
      <w:marBottom w:val="0"/>
      <w:divBdr>
        <w:top w:val="none" w:sz="0" w:space="0" w:color="auto"/>
        <w:left w:val="none" w:sz="0" w:space="0" w:color="auto"/>
        <w:bottom w:val="none" w:sz="0" w:space="0" w:color="auto"/>
        <w:right w:val="none" w:sz="0" w:space="0" w:color="auto"/>
      </w:divBdr>
    </w:div>
    <w:div w:id="1759059028">
      <w:bodyDiv w:val="1"/>
      <w:marLeft w:val="0"/>
      <w:marRight w:val="0"/>
      <w:marTop w:val="0"/>
      <w:marBottom w:val="0"/>
      <w:divBdr>
        <w:top w:val="none" w:sz="0" w:space="0" w:color="auto"/>
        <w:left w:val="none" w:sz="0" w:space="0" w:color="auto"/>
        <w:bottom w:val="none" w:sz="0" w:space="0" w:color="auto"/>
        <w:right w:val="none" w:sz="0" w:space="0" w:color="auto"/>
      </w:divBdr>
    </w:div>
    <w:div w:id="1766027475">
      <w:bodyDiv w:val="1"/>
      <w:marLeft w:val="0"/>
      <w:marRight w:val="0"/>
      <w:marTop w:val="0"/>
      <w:marBottom w:val="0"/>
      <w:divBdr>
        <w:top w:val="none" w:sz="0" w:space="0" w:color="auto"/>
        <w:left w:val="none" w:sz="0" w:space="0" w:color="auto"/>
        <w:bottom w:val="none" w:sz="0" w:space="0" w:color="auto"/>
        <w:right w:val="none" w:sz="0" w:space="0" w:color="auto"/>
      </w:divBdr>
      <w:divsChild>
        <w:div w:id="873079076">
          <w:marLeft w:val="0"/>
          <w:marRight w:val="0"/>
          <w:marTop w:val="0"/>
          <w:marBottom w:val="0"/>
          <w:divBdr>
            <w:top w:val="none" w:sz="0" w:space="0" w:color="auto"/>
            <w:left w:val="none" w:sz="0" w:space="0" w:color="auto"/>
            <w:bottom w:val="none" w:sz="0" w:space="0" w:color="auto"/>
            <w:right w:val="none" w:sz="0" w:space="0" w:color="auto"/>
          </w:divBdr>
          <w:divsChild>
            <w:div w:id="1195654953">
              <w:marLeft w:val="0"/>
              <w:marRight w:val="0"/>
              <w:marTop w:val="33"/>
              <w:marBottom w:val="0"/>
              <w:divBdr>
                <w:top w:val="single" w:sz="2" w:space="0" w:color="596380"/>
                <w:left w:val="single" w:sz="2" w:space="0" w:color="596380"/>
                <w:bottom w:val="single" w:sz="2" w:space="0" w:color="596380"/>
                <w:right w:val="single" w:sz="2" w:space="0" w:color="596380"/>
              </w:divBdr>
              <w:divsChild>
                <w:div w:id="40983991">
                  <w:marLeft w:val="0"/>
                  <w:marRight w:val="0"/>
                  <w:marTop w:val="0"/>
                  <w:marBottom w:val="0"/>
                  <w:divBdr>
                    <w:top w:val="none" w:sz="0" w:space="0" w:color="auto"/>
                    <w:left w:val="none" w:sz="0" w:space="0" w:color="auto"/>
                    <w:bottom w:val="none" w:sz="0" w:space="0" w:color="auto"/>
                    <w:right w:val="none" w:sz="0" w:space="0" w:color="auto"/>
                  </w:divBdr>
                  <w:divsChild>
                    <w:div w:id="739444026">
                      <w:marLeft w:val="0"/>
                      <w:marRight w:val="0"/>
                      <w:marTop w:val="0"/>
                      <w:marBottom w:val="0"/>
                      <w:divBdr>
                        <w:top w:val="none" w:sz="0" w:space="0" w:color="auto"/>
                        <w:left w:val="none" w:sz="0" w:space="0" w:color="auto"/>
                        <w:bottom w:val="none" w:sz="0" w:space="0" w:color="auto"/>
                        <w:right w:val="none" w:sz="0" w:space="0" w:color="auto"/>
                      </w:divBdr>
                      <w:divsChild>
                        <w:div w:id="1848903762">
                          <w:marLeft w:val="0"/>
                          <w:marRight w:val="0"/>
                          <w:marTop w:val="0"/>
                          <w:marBottom w:val="0"/>
                          <w:divBdr>
                            <w:top w:val="none" w:sz="0" w:space="0" w:color="auto"/>
                            <w:left w:val="none" w:sz="0" w:space="0" w:color="auto"/>
                            <w:bottom w:val="none" w:sz="0" w:space="0" w:color="auto"/>
                            <w:right w:val="none" w:sz="0" w:space="0" w:color="auto"/>
                          </w:divBdr>
                          <w:divsChild>
                            <w:div w:id="328170874">
                              <w:marLeft w:val="0"/>
                              <w:marRight w:val="0"/>
                              <w:marTop w:val="0"/>
                              <w:marBottom w:val="0"/>
                              <w:divBdr>
                                <w:top w:val="none" w:sz="0" w:space="0" w:color="auto"/>
                                <w:left w:val="none" w:sz="0" w:space="0" w:color="auto"/>
                                <w:bottom w:val="none" w:sz="0" w:space="0" w:color="auto"/>
                                <w:right w:val="none" w:sz="0" w:space="0" w:color="auto"/>
                              </w:divBdr>
                              <w:divsChild>
                                <w:div w:id="683827167">
                                  <w:marLeft w:val="55"/>
                                  <w:marRight w:val="55"/>
                                  <w:marTop w:val="55"/>
                                  <w:marBottom w:val="55"/>
                                  <w:divBdr>
                                    <w:top w:val="none" w:sz="0" w:space="0" w:color="auto"/>
                                    <w:left w:val="none" w:sz="0" w:space="0" w:color="auto"/>
                                    <w:bottom w:val="none" w:sz="0" w:space="0" w:color="auto"/>
                                    <w:right w:val="none" w:sz="0" w:space="0" w:color="auto"/>
                                  </w:divBdr>
                                  <w:divsChild>
                                    <w:div w:id="64416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0588062">
      <w:bodyDiv w:val="1"/>
      <w:marLeft w:val="0"/>
      <w:marRight w:val="0"/>
      <w:marTop w:val="0"/>
      <w:marBottom w:val="0"/>
      <w:divBdr>
        <w:top w:val="none" w:sz="0" w:space="0" w:color="auto"/>
        <w:left w:val="none" w:sz="0" w:space="0" w:color="auto"/>
        <w:bottom w:val="none" w:sz="0" w:space="0" w:color="auto"/>
        <w:right w:val="none" w:sz="0" w:space="0" w:color="auto"/>
      </w:divBdr>
    </w:div>
    <w:div w:id="1815172868">
      <w:bodyDiv w:val="1"/>
      <w:marLeft w:val="0"/>
      <w:marRight w:val="0"/>
      <w:marTop w:val="0"/>
      <w:marBottom w:val="0"/>
      <w:divBdr>
        <w:top w:val="none" w:sz="0" w:space="0" w:color="auto"/>
        <w:left w:val="none" w:sz="0" w:space="0" w:color="auto"/>
        <w:bottom w:val="none" w:sz="0" w:space="0" w:color="auto"/>
        <w:right w:val="none" w:sz="0" w:space="0" w:color="auto"/>
      </w:divBdr>
    </w:div>
    <w:div w:id="1837846343">
      <w:bodyDiv w:val="1"/>
      <w:marLeft w:val="0"/>
      <w:marRight w:val="0"/>
      <w:marTop w:val="0"/>
      <w:marBottom w:val="0"/>
      <w:divBdr>
        <w:top w:val="none" w:sz="0" w:space="0" w:color="auto"/>
        <w:left w:val="none" w:sz="0" w:space="0" w:color="auto"/>
        <w:bottom w:val="none" w:sz="0" w:space="0" w:color="auto"/>
        <w:right w:val="none" w:sz="0" w:space="0" w:color="auto"/>
      </w:divBdr>
    </w:div>
    <w:div w:id="1857428725">
      <w:bodyDiv w:val="1"/>
      <w:marLeft w:val="0"/>
      <w:marRight w:val="0"/>
      <w:marTop w:val="0"/>
      <w:marBottom w:val="0"/>
      <w:divBdr>
        <w:top w:val="none" w:sz="0" w:space="0" w:color="auto"/>
        <w:left w:val="none" w:sz="0" w:space="0" w:color="auto"/>
        <w:bottom w:val="none" w:sz="0" w:space="0" w:color="auto"/>
        <w:right w:val="none" w:sz="0" w:space="0" w:color="auto"/>
      </w:divBdr>
    </w:div>
    <w:div w:id="1863588342">
      <w:bodyDiv w:val="1"/>
      <w:marLeft w:val="0"/>
      <w:marRight w:val="0"/>
      <w:marTop w:val="0"/>
      <w:marBottom w:val="0"/>
      <w:divBdr>
        <w:top w:val="none" w:sz="0" w:space="0" w:color="auto"/>
        <w:left w:val="none" w:sz="0" w:space="0" w:color="auto"/>
        <w:bottom w:val="none" w:sz="0" w:space="0" w:color="auto"/>
        <w:right w:val="none" w:sz="0" w:space="0" w:color="auto"/>
      </w:divBdr>
    </w:div>
    <w:div w:id="1865753050">
      <w:bodyDiv w:val="1"/>
      <w:marLeft w:val="0"/>
      <w:marRight w:val="0"/>
      <w:marTop w:val="0"/>
      <w:marBottom w:val="0"/>
      <w:divBdr>
        <w:top w:val="none" w:sz="0" w:space="0" w:color="auto"/>
        <w:left w:val="none" w:sz="0" w:space="0" w:color="auto"/>
        <w:bottom w:val="none" w:sz="0" w:space="0" w:color="auto"/>
        <w:right w:val="none" w:sz="0" w:space="0" w:color="auto"/>
      </w:divBdr>
    </w:div>
    <w:div w:id="1887177925">
      <w:bodyDiv w:val="1"/>
      <w:marLeft w:val="0"/>
      <w:marRight w:val="0"/>
      <w:marTop w:val="0"/>
      <w:marBottom w:val="0"/>
      <w:divBdr>
        <w:top w:val="none" w:sz="0" w:space="0" w:color="auto"/>
        <w:left w:val="none" w:sz="0" w:space="0" w:color="auto"/>
        <w:bottom w:val="none" w:sz="0" w:space="0" w:color="auto"/>
        <w:right w:val="none" w:sz="0" w:space="0" w:color="auto"/>
      </w:divBdr>
    </w:div>
    <w:div w:id="1894345890">
      <w:bodyDiv w:val="1"/>
      <w:marLeft w:val="0"/>
      <w:marRight w:val="0"/>
      <w:marTop w:val="0"/>
      <w:marBottom w:val="0"/>
      <w:divBdr>
        <w:top w:val="none" w:sz="0" w:space="0" w:color="auto"/>
        <w:left w:val="none" w:sz="0" w:space="0" w:color="auto"/>
        <w:bottom w:val="none" w:sz="0" w:space="0" w:color="auto"/>
        <w:right w:val="none" w:sz="0" w:space="0" w:color="auto"/>
      </w:divBdr>
    </w:div>
    <w:div w:id="1930573628">
      <w:bodyDiv w:val="1"/>
      <w:marLeft w:val="0"/>
      <w:marRight w:val="0"/>
      <w:marTop w:val="0"/>
      <w:marBottom w:val="0"/>
      <w:divBdr>
        <w:top w:val="none" w:sz="0" w:space="0" w:color="auto"/>
        <w:left w:val="none" w:sz="0" w:space="0" w:color="auto"/>
        <w:bottom w:val="none" w:sz="0" w:space="0" w:color="auto"/>
        <w:right w:val="none" w:sz="0" w:space="0" w:color="auto"/>
      </w:divBdr>
    </w:div>
    <w:div w:id="1930888112">
      <w:bodyDiv w:val="1"/>
      <w:marLeft w:val="0"/>
      <w:marRight w:val="0"/>
      <w:marTop w:val="0"/>
      <w:marBottom w:val="0"/>
      <w:divBdr>
        <w:top w:val="none" w:sz="0" w:space="0" w:color="auto"/>
        <w:left w:val="none" w:sz="0" w:space="0" w:color="auto"/>
        <w:bottom w:val="none" w:sz="0" w:space="0" w:color="auto"/>
        <w:right w:val="none" w:sz="0" w:space="0" w:color="auto"/>
      </w:divBdr>
    </w:div>
    <w:div w:id="1944652084">
      <w:bodyDiv w:val="1"/>
      <w:marLeft w:val="0"/>
      <w:marRight w:val="0"/>
      <w:marTop w:val="45"/>
      <w:marBottom w:val="45"/>
      <w:divBdr>
        <w:top w:val="none" w:sz="0" w:space="0" w:color="auto"/>
        <w:left w:val="none" w:sz="0" w:space="0" w:color="auto"/>
        <w:bottom w:val="none" w:sz="0" w:space="0" w:color="auto"/>
        <w:right w:val="none" w:sz="0" w:space="0" w:color="auto"/>
      </w:divBdr>
      <w:divsChild>
        <w:div w:id="229930545">
          <w:marLeft w:val="0"/>
          <w:marRight w:val="0"/>
          <w:marTop w:val="0"/>
          <w:marBottom w:val="0"/>
          <w:divBdr>
            <w:top w:val="none" w:sz="0" w:space="0" w:color="auto"/>
            <w:left w:val="none" w:sz="0" w:space="0" w:color="auto"/>
            <w:bottom w:val="none" w:sz="0" w:space="0" w:color="auto"/>
            <w:right w:val="none" w:sz="0" w:space="0" w:color="auto"/>
          </w:divBdr>
          <w:divsChild>
            <w:div w:id="1798525287">
              <w:marLeft w:val="0"/>
              <w:marRight w:val="0"/>
              <w:marTop w:val="0"/>
              <w:marBottom w:val="0"/>
              <w:divBdr>
                <w:top w:val="none" w:sz="0" w:space="0" w:color="auto"/>
                <w:left w:val="none" w:sz="0" w:space="0" w:color="auto"/>
                <w:bottom w:val="none" w:sz="0" w:space="0" w:color="auto"/>
                <w:right w:val="none" w:sz="0" w:space="0" w:color="auto"/>
              </w:divBdr>
              <w:divsChild>
                <w:div w:id="45952800">
                  <w:marLeft w:val="2385"/>
                  <w:marRight w:val="3960"/>
                  <w:marTop w:val="0"/>
                  <w:marBottom w:val="0"/>
                  <w:divBdr>
                    <w:top w:val="none" w:sz="0" w:space="0" w:color="auto"/>
                    <w:left w:val="single" w:sz="6" w:space="0" w:color="D3E1F9"/>
                    <w:bottom w:val="none" w:sz="0" w:space="0" w:color="auto"/>
                    <w:right w:val="none" w:sz="0" w:space="0" w:color="auto"/>
                  </w:divBdr>
                  <w:divsChild>
                    <w:div w:id="98183481">
                      <w:marLeft w:val="0"/>
                      <w:marRight w:val="0"/>
                      <w:marTop w:val="0"/>
                      <w:marBottom w:val="0"/>
                      <w:divBdr>
                        <w:top w:val="none" w:sz="0" w:space="0" w:color="auto"/>
                        <w:left w:val="none" w:sz="0" w:space="0" w:color="auto"/>
                        <w:bottom w:val="none" w:sz="0" w:space="0" w:color="auto"/>
                        <w:right w:val="none" w:sz="0" w:space="0" w:color="auto"/>
                      </w:divBdr>
                      <w:divsChild>
                        <w:div w:id="17434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80085">
      <w:bodyDiv w:val="1"/>
      <w:marLeft w:val="0"/>
      <w:marRight w:val="0"/>
      <w:marTop w:val="0"/>
      <w:marBottom w:val="0"/>
      <w:divBdr>
        <w:top w:val="none" w:sz="0" w:space="0" w:color="auto"/>
        <w:left w:val="none" w:sz="0" w:space="0" w:color="auto"/>
        <w:bottom w:val="none" w:sz="0" w:space="0" w:color="auto"/>
        <w:right w:val="none" w:sz="0" w:space="0" w:color="auto"/>
      </w:divBdr>
    </w:div>
    <w:div w:id="1962957532">
      <w:bodyDiv w:val="1"/>
      <w:marLeft w:val="0"/>
      <w:marRight w:val="0"/>
      <w:marTop w:val="0"/>
      <w:marBottom w:val="0"/>
      <w:divBdr>
        <w:top w:val="none" w:sz="0" w:space="0" w:color="auto"/>
        <w:left w:val="none" w:sz="0" w:space="0" w:color="auto"/>
        <w:bottom w:val="none" w:sz="0" w:space="0" w:color="auto"/>
        <w:right w:val="none" w:sz="0" w:space="0" w:color="auto"/>
      </w:divBdr>
    </w:div>
    <w:div w:id="1975063946">
      <w:bodyDiv w:val="1"/>
      <w:marLeft w:val="0"/>
      <w:marRight w:val="0"/>
      <w:marTop w:val="0"/>
      <w:marBottom w:val="0"/>
      <w:divBdr>
        <w:top w:val="none" w:sz="0" w:space="0" w:color="auto"/>
        <w:left w:val="none" w:sz="0" w:space="0" w:color="auto"/>
        <w:bottom w:val="none" w:sz="0" w:space="0" w:color="auto"/>
        <w:right w:val="none" w:sz="0" w:space="0" w:color="auto"/>
      </w:divBdr>
      <w:divsChild>
        <w:div w:id="1020199993">
          <w:marLeft w:val="0"/>
          <w:marRight w:val="0"/>
          <w:marTop w:val="100"/>
          <w:marBottom w:val="100"/>
          <w:divBdr>
            <w:top w:val="none" w:sz="0" w:space="0" w:color="auto"/>
            <w:left w:val="none" w:sz="0" w:space="0" w:color="auto"/>
            <w:bottom w:val="none" w:sz="0" w:space="0" w:color="auto"/>
            <w:right w:val="none" w:sz="0" w:space="0" w:color="auto"/>
          </w:divBdr>
          <w:divsChild>
            <w:div w:id="1600529769">
              <w:marLeft w:val="0"/>
              <w:marRight w:val="0"/>
              <w:marTop w:val="0"/>
              <w:marBottom w:val="0"/>
              <w:divBdr>
                <w:top w:val="none" w:sz="0" w:space="0" w:color="auto"/>
                <w:left w:val="none" w:sz="0" w:space="0" w:color="auto"/>
                <w:bottom w:val="none" w:sz="0" w:space="0" w:color="auto"/>
                <w:right w:val="none" w:sz="0" w:space="0" w:color="auto"/>
              </w:divBdr>
              <w:divsChild>
                <w:div w:id="2040859765">
                  <w:marLeft w:val="0"/>
                  <w:marRight w:val="150"/>
                  <w:marTop w:val="0"/>
                  <w:marBottom w:val="0"/>
                  <w:divBdr>
                    <w:top w:val="none" w:sz="0" w:space="0" w:color="auto"/>
                    <w:left w:val="none" w:sz="0" w:space="0" w:color="auto"/>
                    <w:bottom w:val="none" w:sz="0" w:space="0" w:color="auto"/>
                    <w:right w:val="none" w:sz="0" w:space="0" w:color="auto"/>
                  </w:divBdr>
                  <w:divsChild>
                    <w:div w:id="1308778259">
                      <w:marLeft w:val="0"/>
                      <w:marRight w:val="0"/>
                      <w:marTop w:val="0"/>
                      <w:marBottom w:val="75"/>
                      <w:divBdr>
                        <w:top w:val="single" w:sz="6" w:space="0" w:color="B8CDE3"/>
                        <w:left w:val="single" w:sz="6" w:space="0" w:color="B8CDE3"/>
                        <w:bottom w:val="single" w:sz="6" w:space="0" w:color="B8CDE3"/>
                        <w:right w:val="single" w:sz="6" w:space="0" w:color="B8CDE3"/>
                      </w:divBdr>
                      <w:divsChild>
                        <w:div w:id="1861624266">
                          <w:marLeft w:val="0"/>
                          <w:marRight w:val="0"/>
                          <w:marTop w:val="75"/>
                          <w:marBottom w:val="75"/>
                          <w:divBdr>
                            <w:top w:val="none" w:sz="0" w:space="0" w:color="auto"/>
                            <w:left w:val="none" w:sz="0" w:space="0" w:color="auto"/>
                            <w:bottom w:val="none" w:sz="0" w:space="0" w:color="auto"/>
                            <w:right w:val="none" w:sz="0" w:space="0" w:color="auto"/>
                          </w:divBdr>
                          <w:divsChild>
                            <w:div w:id="580069178">
                              <w:marLeft w:val="75"/>
                              <w:marRight w:val="75"/>
                              <w:marTop w:val="30"/>
                              <w:marBottom w:val="30"/>
                              <w:divBdr>
                                <w:top w:val="none" w:sz="0" w:space="0" w:color="auto"/>
                                <w:left w:val="none" w:sz="0" w:space="0" w:color="auto"/>
                                <w:bottom w:val="none" w:sz="0" w:space="0" w:color="auto"/>
                                <w:right w:val="none" w:sz="0" w:space="0" w:color="auto"/>
                              </w:divBdr>
                            </w:div>
                            <w:div w:id="1679692331">
                              <w:marLeft w:val="75"/>
                              <w:marRight w:val="75"/>
                              <w:marTop w:val="30"/>
                              <w:marBottom w:val="30"/>
                              <w:divBdr>
                                <w:top w:val="none" w:sz="0" w:space="0" w:color="auto"/>
                                <w:left w:val="none" w:sz="0" w:space="0" w:color="auto"/>
                                <w:bottom w:val="none" w:sz="0" w:space="0" w:color="auto"/>
                                <w:right w:val="none" w:sz="0" w:space="0" w:color="auto"/>
                              </w:divBdr>
                            </w:div>
                            <w:div w:id="2013335709">
                              <w:marLeft w:val="75"/>
                              <w:marRight w:val="75"/>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7781854">
      <w:bodyDiv w:val="1"/>
      <w:marLeft w:val="0"/>
      <w:marRight w:val="0"/>
      <w:marTop w:val="0"/>
      <w:marBottom w:val="0"/>
      <w:divBdr>
        <w:top w:val="none" w:sz="0" w:space="0" w:color="auto"/>
        <w:left w:val="none" w:sz="0" w:space="0" w:color="auto"/>
        <w:bottom w:val="none" w:sz="0" w:space="0" w:color="auto"/>
        <w:right w:val="none" w:sz="0" w:space="0" w:color="auto"/>
      </w:divBdr>
    </w:div>
    <w:div w:id="2049404230">
      <w:bodyDiv w:val="1"/>
      <w:marLeft w:val="0"/>
      <w:marRight w:val="0"/>
      <w:marTop w:val="0"/>
      <w:marBottom w:val="0"/>
      <w:divBdr>
        <w:top w:val="none" w:sz="0" w:space="0" w:color="auto"/>
        <w:left w:val="none" w:sz="0" w:space="0" w:color="auto"/>
        <w:bottom w:val="none" w:sz="0" w:space="0" w:color="auto"/>
        <w:right w:val="none" w:sz="0" w:space="0" w:color="auto"/>
      </w:divBdr>
    </w:div>
    <w:div w:id="2126266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F7555D-C66C-4330-BDC5-08DB755D2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1</Pages>
  <Words>6077</Words>
  <Characters>34639</Characters>
  <Application>Microsoft Office Word</Application>
  <DocSecurity>0</DocSecurity>
  <Lines>288</Lines>
  <Paragraphs>81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1</vt:lpstr>
      <vt:lpstr>1</vt:lpstr>
    </vt:vector>
  </TitlesOfParts>
  <Company>DTM</Company>
  <LinksUpToDate>false</LinksUpToDate>
  <CharactersWithSpaces>40635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ozdoganas</dc:creator>
  <cp:lastModifiedBy>Seçil ÖNEL</cp:lastModifiedBy>
  <cp:revision>235</cp:revision>
  <cp:lastPrinted>2018-04-16T11:29:00Z</cp:lastPrinted>
  <dcterms:created xsi:type="dcterms:W3CDTF">2017-05-22T08:50:00Z</dcterms:created>
  <dcterms:modified xsi:type="dcterms:W3CDTF">2018-04-16T11:31:00Z</dcterms:modified>
</cp:coreProperties>
</file>