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0F3" w:rsidRPr="007C1E0B" w:rsidRDefault="0039089F">
      <w:pPr>
        <w:spacing w:after="0" w:line="240" w:lineRule="auto"/>
        <w:jc w:val="cente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t xml:space="preserve">                                                                                                                                                                        </w:t>
      </w:r>
      <w:r w:rsidR="005055D2" w:rsidRPr="007C1E0B">
        <w:rPr>
          <w:rFonts w:ascii="Times New Roman" w:eastAsia="Times New Roman" w:hAnsi="Times New Roman" w:cs="Times New Roman"/>
          <w:b/>
          <w:sz w:val="20"/>
          <w:szCs w:val="20"/>
          <w:lang w:eastAsia="en-GB"/>
        </w:rPr>
        <w:t>EK</w:t>
      </w:r>
      <w:r w:rsidR="001F51FD" w:rsidRPr="007C1E0B">
        <w:rPr>
          <w:rFonts w:ascii="Times New Roman" w:eastAsia="Times New Roman" w:hAnsi="Times New Roman" w:cs="Times New Roman"/>
          <w:b/>
          <w:sz w:val="20"/>
          <w:szCs w:val="20"/>
          <w:lang w:eastAsia="en-GB"/>
        </w:rPr>
        <w:t>-</w:t>
      </w:r>
      <w:r w:rsidR="005055D2" w:rsidRPr="007C1E0B">
        <w:rPr>
          <w:rFonts w:ascii="Times New Roman" w:eastAsia="Times New Roman" w:hAnsi="Times New Roman" w:cs="Times New Roman"/>
          <w:b/>
          <w:sz w:val="20"/>
          <w:szCs w:val="20"/>
          <w:lang w:eastAsia="en-GB"/>
        </w:rPr>
        <w:t>1</w:t>
      </w:r>
    </w:p>
    <w:p w:rsidR="001E00F3" w:rsidRPr="007C1E0B" w:rsidRDefault="005055D2" w:rsidP="001B722B">
      <w:pPr>
        <w:spacing w:after="0" w:line="240" w:lineRule="auto"/>
        <w:rPr>
          <w:rFonts w:ascii="Times New Roman" w:eastAsia="Times New Roman" w:hAnsi="Times New Roman" w:cs="Times New Roman"/>
          <w:b/>
          <w:sz w:val="20"/>
          <w:szCs w:val="20"/>
          <w:lang w:eastAsia="en-GB"/>
        </w:rPr>
      </w:pPr>
      <w:r w:rsidRPr="007C1E0B">
        <w:rPr>
          <w:rFonts w:ascii="Times New Roman" w:eastAsia="Times New Roman" w:hAnsi="Times New Roman" w:cs="Times New Roman"/>
          <w:b/>
          <w:sz w:val="20"/>
          <w:szCs w:val="20"/>
          <w:lang w:eastAsia="en-GB"/>
        </w:rPr>
        <w:br/>
      </w:r>
      <w:r w:rsidRPr="007C1E0B">
        <w:rPr>
          <w:rFonts w:ascii="Times New Roman" w:eastAsia="Times New Roman" w:hAnsi="Times New Roman" w:cs="Times New Roman"/>
          <w:b/>
          <w:sz w:val="20"/>
          <w:szCs w:val="20"/>
          <w:lang w:eastAsia="en-GB"/>
        </w:rPr>
        <w:br/>
        <w:t>NUMUNE ALMA METOTLARI</w:t>
      </w:r>
    </w:p>
    <w:p w:rsidR="000434C7" w:rsidRPr="007C1E0B" w:rsidRDefault="00650A8E" w:rsidP="005025CB">
      <w:pPr>
        <w:tabs>
          <w:tab w:val="left" w:pos="7769"/>
        </w:tabs>
        <w:spacing w:after="0" w:line="240" w:lineRule="auto"/>
        <w:jc w:val="both"/>
        <w:rPr>
          <w:rFonts w:ascii="Times New Roman" w:eastAsia="Times New Roman" w:hAnsi="Times New Roman" w:cs="Times New Roman"/>
          <w:b/>
          <w:sz w:val="20"/>
          <w:szCs w:val="20"/>
          <w:lang w:eastAsia="en-GB"/>
        </w:rPr>
      </w:pPr>
      <w:r w:rsidRPr="007C1E0B">
        <w:rPr>
          <w:rFonts w:ascii="Times New Roman" w:eastAsia="Times New Roman" w:hAnsi="Times New Roman" w:cs="Times New Roman"/>
          <w:b/>
          <w:sz w:val="20"/>
          <w:szCs w:val="20"/>
          <w:lang w:eastAsia="en-GB"/>
        </w:rPr>
        <w:t xml:space="preserve"> </w:t>
      </w:r>
      <w:r w:rsidR="005025CB" w:rsidRPr="007C1E0B">
        <w:rPr>
          <w:rFonts w:ascii="Times New Roman" w:eastAsia="Times New Roman" w:hAnsi="Times New Roman" w:cs="Times New Roman"/>
          <w:b/>
          <w:sz w:val="20"/>
          <w:szCs w:val="20"/>
          <w:lang w:eastAsia="en-GB"/>
        </w:rPr>
        <w:tab/>
      </w:r>
      <w:r w:rsidR="005055D2" w:rsidRPr="007C1E0B">
        <w:rPr>
          <w:rFonts w:ascii="Times New Roman" w:eastAsia="Times New Roman" w:hAnsi="Times New Roman" w:cs="Times New Roman"/>
          <w:b/>
          <w:sz w:val="20"/>
          <w:szCs w:val="20"/>
          <w:lang w:eastAsia="en-GB"/>
        </w:rPr>
        <w:br/>
        <w:t xml:space="preserve">1. </w:t>
      </w:r>
      <w:r w:rsidR="00E710D0" w:rsidRPr="007C1E0B">
        <w:rPr>
          <w:rFonts w:ascii="Times New Roman" w:eastAsia="Times New Roman" w:hAnsi="Times New Roman" w:cs="Times New Roman"/>
          <w:b/>
          <w:sz w:val="20"/>
          <w:szCs w:val="20"/>
          <w:lang w:eastAsia="en-GB"/>
        </w:rPr>
        <w:t>GENEL HÜKÜMLER</w:t>
      </w:r>
    </w:p>
    <w:p w:rsidR="005055D2" w:rsidRPr="007C1E0B" w:rsidRDefault="005055D2" w:rsidP="00E710D0">
      <w:pPr>
        <w:spacing w:before="120" w:after="120" w:line="240" w:lineRule="auto"/>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Yemin resmi kontrolü amacıyla alınacak numuneler aşağıda tarif edilen metotlara göre alınmalıdır. Bu şekilde alınan numunelerin, numune alınan kısımları temsil ettiği kabul edilir.</w:t>
      </w:r>
    </w:p>
    <w:p w:rsidR="005055D2" w:rsidRPr="007C1E0B" w:rsidRDefault="005055D2" w:rsidP="00E710D0">
      <w:pPr>
        <w:spacing w:before="120" w:after="120"/>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Temsili numune alınmasının amacı bir partiden küçük bir kısım elde etmek, bunu yaparken de bu kısmın özelliğinin partinin söz konusu özelliği bakımından ortalama değere sahip olmasına dikkat etmektir. Partinin içerisinden numune alınması partideki farklı noktalardan tekrarlı biçimde birincil numune alınması yoluyla olur. Söz konusu birincil numune, temsili bölme yoluyla temsili nihai numunelerin hazırlanacağı toplu bir paçal numune oluşturmak üzere karı</w:t>
      </w:r>
      <w:r w:rsidR="00385A7C" w:rsidRPr="007C1E0B">
        <w:rPr>
          <w:rFonts w:ascii="Times New Roman" w:eastAsia="Times New Roman" w:hAnsi="Times New Roman" w:cs="Times New Roman"/>
          <w:sz w:val="20"/>
          <w:szCs w:val="20"/>
          <w:lang w:eastAsia="en-GB"/>
        </w:rPr>
        <w:t>ştırılarak bir araya getirilir.</w:t>
      </w:r>
    </w:p>
    <w:p w:rsidR="005055D2" w:rsidRPr="007C1E0B" w:rsidRDefault="005055D2" w:rsidP="00E710D0">
      <w:pPr>
        <w:spacing w:before="120" w:after="120" w:line="240" w:lineRule="auto"/>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Görsel muayene yoluyla, yemin numune alınacak kısımları nitelik bakımından aynı partideki yemin geri kalanından farklılık gösteriyorsa, söz konusu kısımlar yemin geri kalanından ayrılmalı ve ayrı bir alt parti olarak değerlendirilmelidir. Yemin farklı alt partilere ayrılmasının mümkün olmadığı durumda, yem tek bir parti olarak değerlendirilmek suretiyle yemden numune alınmalıdır. Bu tür durumlarda, numune alma raporunda bu husus belirtilmelidir.</w:t>
      </w:r>
    </w:p>
    <w:p w:rsidR="005055D2" w:rsidRPr="007C1E0B" w:rsidRDefault="005055D2" w:rsidP="00E710D0">
      <w:pPr>
        <w:keepNext/>
        <w:spacing w:before="120" w:after="120" w:line="240" w:lineRule="auto"/>
        <w:jc w:val="both"/>
        <w:outlineLvl w:val="5"/>
        <w:rPr>
          <w:rFonts w:ascii="Times New Roman" w:hAnsi="Times New Roman" w:cs="Times New Roman"/>
          <w:sz w:val="20"/>
          <w:szCs w:val="20"/>
        </w:rPr>
      </w:pPr>
      <w:r w:rsidRPr="007C1E0B">
        <w:rPr>
          <w:rFonts w:ascii="Times New Roman" w:eastAsia="Times New Roman" w:hAnsi="Times New Roman" w:cs="Times New Roman"/>
          <w:sz w:val="20"/>
          <w:szCs w:val="20"/>
          <w:lang w:eastAsia="en-GB"/>
        </w:rPr>
        <w:t>Bu Yönetmelik hükümleriyle uyumlu olarak alınan bir yem numunesi</w:t>
      </w:r>
      <w:r w:rsidR="007D49F1" w:rsidRPr="007C1E0B">
        <w:rPr>
          <w:rFonts w:ascii="Times New Roman" w:eastAsia="Times New Roman" w:hAnsi="Times New Roman" w:cs="Times New Roman"/>
          <w:sz w:val="20"/>
          <w:szCs w:val="20"/>
          <w:lang w:eastAsia="en-GB"/>
        </w:rPr>
        <w:t>,</w:t>
      </w:r>
      <w:r w:rsidRPr="007C1E0B">
        <w:rPr>
          <w:rFonts w:ascii="Times New Roman" w:eastAsia="Times New Roman" w:hAnsi="Times New Roman" w:cs="Times New Roman"/>
          <w:sz w:val="20"/>
          <w:szCs w:val="20"/>
          <w:lang w:eastAsia="en-GB"/>
        </w:rPr>
        <w:t xml:space="preserve"> aynı sınıf veya tanımdaki bir yem partisinin kısmı ise ve bu numunenin ulusal mevzuat gerekliliklerini karşılamadığı yönünde değerlendirme yapılırsa, söz konusu partideki tüm yemin aynı şekilde etkilendiği varsayılır. Partinin geri kalan kısmının ulusal mevzuat gerekliliklerine uyumlu olduğunun detaylı bir değerlendirmeyle ortaya koyulması durumunda yukarıdaki varsayım geçerli olmaz.</w:t>
      </w:r>
    </w:p>
    <w:p w:rsidR="005055D2" w:rsidRPr="007C1E0B" w:rsidRDefault="005055D2" w:rsidP="00E710D0">
      <w:pPr>
        <w:spacing w:before="120" w:after="120"/>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 xml:space="preserve">Numune, mühür kırılmadan veya uzaklaştırılmadan numuneye erişimi önleyecek şekilde mühürlenmelidir. Numunenin mührü açıkça belirlenebilir ve görülebilir olmalıdır. Numune geri dönüşümsüz zarar görmeden açılamayacak şekilde kapatılmış bir kap içerisine yerleştirilebilir. </w:t>
      </w:r>
    </w:p>
    <w:p w:rsidR="005055D2" w:rsidRPr="007C1E0B" w:rsidRDefault="005055D2" w:rsidP="00E710D0">
      <w:pPr>
        <w:spacing w:before="120" w:after="120"/>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 xml:space="preserve">Numunenin tanımlanması: Numune kalıcı bir şekilde işaretlenmeli ve numune alma tutanağı ile açıkça bağlantılı olarak tanımlanmalıdır. </w:t>
      </w:r>
    </w:p>
    <w:p w:rsidR="005055D2" w:rsidRPr="007C1E0B" w:rsidRDefault="005055D2" w:rsidP="00E710D0">
      <w:pPr>
        <w:spacing w:before="120" w:after="120"/>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Yem işletmelerinde yapılan resmi kontrollerde</w:t>
      </w:r>
      <w:r w:rsidR="00E1247B" w:rsidRPr="007C1E0B">
        <w:t xml:space="preserve"> </w:t>
      </w:r>
      <w:r w:rsidR="00E1247B" w:rsidRPr="007C1E0B">
        <w:rPr>
          <w:rFonts w:ascii="Times New Roman" w:eastAsia="Times New Roman" w:hAnsi="Times New Roman" w:cs="Times New Roman"/>
          <w:sz w:val="20"/>
          <w:szCs w:val="20"/>
          <w:lang w:eastAsia="en-GB"/>
        </w:rPr>
        <w:t xml:space="preserve">kontrol görevlisi tarafından </w:t>
      </w:r>
      <w:r w:rsidRPr="007C1E0B">
        <w:rPr>
          <w:rFonts w:ascii="Times New Roman" w:eastAsia="Times New Roman" w:hAnsi="Times New Roman" w:cs="Times New Roman"/>
          <w:sz w:val="20"/>
          <w:szCs w:val="20"/>
          <w:lang w:eastAsia="en-GB"/>
        </w:rPr>
        <w:t xml:space="preserve"> üç takım numune alınır. Birinci takım numunenin muayene ve analizi Bakanlıkça belirlenen laboratuvarda yapılır. İkinci takım olan şahit numune Bakanlık il/ilçe müdürlüğünde muhafaza edilir. Üçüncü takım numune ise işletmeciye bırakılır. Mikrobiyolojik incelemeler ve ürün miktarının şahit numunenin analizinin yapılabilmesi için yetersiz olduğu durumlarda bir takım numune alınır.</w:t>
      </w:r>
    </w:p>
    <w:p w:rsidR="005055D2" w:rsidRPr="007C1E0B" w:rsidRDefault="00E710D0" w:rsidP="001B722B">
      <w:pPr>
        <w:jc w:val="both"/>
        <w:rPr>
          <w:rFonts w:ascii="Times New Roman" w:eastAsia="Times New Roman" w:hAnsi="Times New Roman" w:cs="Times New Roman"/>
          <w:b/>
          <w:sz w:val="20"/>
          <w:szCs w:val="20"/>
          <w:lang w:eastAsia="en-GB"/>
        </w:rPr>
      </w:pPr>
      <w:r w:rsidRPr="007C1E0B">
        <w:rPr>
          <w:rFonts w:ascii="Times New Roman" w:eastAsia="Times New Roman" w:hAnsi="Times New Roman" w:cs="Times New Roman"/>
          <w:b/>
          <w:sz w:val="20"/>
          <w:szCs w:val="20"/>
          <w:lang w:eastAsia="en-GB"/>
        </w:rPr>
        <w:t>2.  NUMUNE ALMA ARAÇLARI</w:t>
      </w:r>
    </w:p>
    <w:p w:rsidR="005055D2" w:rsidRPr="007C1E0B" w:rsidRDefault="005055D2" w:rsidP="001B722B">
      <w:pPr>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2.1.</w:t>
      </w:r>
      <w:r w:rsidR="00E710D0" w:rsidRPr="007C1E0B">
        <w:rPr>
          <w:rFonts w:ascii="Times New Roman" w:eastAsia="Times New Roman" w:hAnsi="Times New Roman" w:cs="Times New Roman"/>
          <w:sz w:val="20"/>
          <w:szCs w:val="20"/>
          <w:lang w:eastAsia="en-GB"/>
        </w:rPr>
        <w:t xml:space="preserve">  </w:t>
      </w:r>
      <w:r w:rsidRPr="007C1E0B">
        <w:rPr>
          <w:rFonts w:ascii="Times New Roman" w:eastAsia="Times New Roman" w:hAnsi="Times New Roman" w:cs="Times New Roman"/>
          <w:sz w:val="20"/>
          <w:szCs w:val="20"/>
          <w:lang w:eastAsia="en-GB"/>
        </w:rPr>
        <w:t>Numune alma aracı numune alınacak ürünleri kontamine etmeyecek maddelerden yapılmış olmalıdır. Numune alma araçları birden fazla kullanılması gerekiyorsa ise çapraz kontaminasyonun önlenmesi amacıyla temizliği kolay olmalıdır.</w:t>
      </w:r>
    </w:p>
    <w:p w:rsidR="005055D2" w:rsidRPr="007C1E0B" w:rsidRDefault="005055D2" w:rsidP="001B722B">
      <w:pPr>
        <w:jc w:val="both"/>
        <w:rPr>
          <w:rFonts w:ascii="Times New Roman" w:eastAsia="Times New Roman" w:hAnsi="Times New Roman" w:cs="Times New Roman"/>
          <w:sz w:val="20"/>
          <w:szCs w:val="20"/>
          <w:lang w:eastAsia="en-GB"/>
        </w:rPr>
      </w:pPr>
      <w:r w:rsidRPr="007C1E0B">
        <w:rPr>
          <w:rFonts w:ascii="Times New Roman" w:eastAsia="Times New Roman" w:hAnsi="Times New Roman" w:cs="Times New Roman"/>
          <w:sz w:val="20"/>
          <w:szCs w:val="20"/>
          <w:lang w:eastAsia="en-GB"/>
        </w:rPr>
        <w:t>2.2.</w:t>
      </w:r>
      <w:r w:rsidR="00E710D0" w:rsidRPr="007C1E0B">
        <w:rPr>
          <w:rFonts w:ascii="Times New Roman" w:eastAsia="Times New Roman" w:hAnsi="Times New Roman" w:cs="Times New Roman"/>
          <w:sz w:val="20"/>
          <w:szCs w:val="20"/>
          <w:lang w:eastAsia="en-GB"/>
        </w:rPr>
        <w:t xml:space="preserve">  </w:t>
      </w:r>
      <w:r w:rsidRPr="007C1E0B">
        <w:rPr>
          <w:rFonts w:ascii="Times New Roman" w:eastAsia="Times New Roman" w:hAnsi="Times New Roman" w:cs="Times New Roman"/>
          <w:sz w:val="20"/>
          <w:szCs w:val="20"/>
          <w:lang w:eastAsia="en-GB"/>
        </w:rPr>
        <w:t>Katı yemden numune alınması için önerilen araçlar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2.2.1</w:t>
      </w:r>
      <w:r w:rsidR="00E710D0" w:rsidRPr="007C1E0B">
        <w:rPr>
          <w:rFonts w:ascii="Times New Roman" w:eastAsia="Times New Roman" w:hAnsi="Times New Roman" w:cs="Times New Roman"/>
          <w:sz w:val="20"/>
          <w:szCs w:val="20"/>
          <w:lang w:val="es-ES" w:eastAsia="en-GB"/>
        </w:rPr>
        <w:t xml:space="preserve">.  </w:t>
      </w:r>
      <w:r w:rsidRPr="007C1E0B">
        <w:rPr>
          <w:rFonts w:ascii="Times New Roman" w:eastAsia="Times New Roman" w:hAnsi="Times New Roman" w:cs="Times New Roman"/>
          <w:sz w:val="20"/>
          <w:szCs w:val="20"/>
          <w:lang w:val="es-ES" w:eastAsia="en-GB"/>
        </w:rPr>
        <w:t>Manuel numune alma</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2.2.1.1.</w:t>
      </w:r>
      <w:r w:rsidR="00E710D0" w:rsidRPr="007C1E0B">
        <w:rPr>
          <w:rFonts w:ascii="Times New Roman" w:eastAsia="Times New Roman" w:hAnsi="Times New Roman" w:cs="Times New Roman"/>
          <w:sz w:val="20"/>
          <w:szCs w:val="20"/>
          <w:lang w:val="es-ES" w:eastAsia="en-GB"/>
        </w:rPr>
        <w:t xml:space="preserve">  </w:t>
      </w:r>
      <w:r w:rsidRPr="007C1E0B">
        <w:rPr>
          <w:rFonts w:ascii="Times New Roman" w:eastAsia="Times New Roman" w:hAnsi="Times New Roman" w:cs="Times New Roman"/>
          <w:sz w:val="20"/>
          <w:szCs w:val="20"/>
          <w:lang w:val="es-ES" w:eastAsia="en-GB"/>
        </w:rPr>
        <w:t>Dikey kenarlı düz tabanlı kürek</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2.2.1.2.</w:t>
      </w:r>
      <w:r w:rsidR="00E710D0" w:rsidRPr="007C1E0B">
        <w:rPr>
          <w:rFonts w:ascii="Times New Roman" w:eastAsia="Times New Roman" w:hAnsi="Times New Roman" w:cs="Times New Roman"/>
          <w:sz w:val="20"/>
          <w:szCs w:val="20"/>
          <w:lang w:val="es-ES" w:eastAsia="en-GB"/>
        </w:rPr>
        <w:t xml:space="preserve">  </w:t>
      </w:r>
      <w:r w:rsidRPr="007C1E0B">
        <w:rPr>
          <w:rFonts w:ascii="Times New Roman" w:eastAsia="Times New Roman" w:hAnsi="Times New Roman" w:cs="Times New Roman"/>
          <w:sz w:val="20"/>
          <w:szCs w:val="20"/>
          <w:lang w:val="es-ES" w:eastAsia="en-GB"/>
        </w:rPr>
        <w:t>Uzun ayrık veya bölümlere sahip numune alma sondası: Numune alma sondasının boyutları numune alınan kısmın özellikleri (konteynır derinliği, çuval boyutları vb.) ve yemin parçacık büyüklüğüne uygun olmalıdır.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Numune alma sondasının birden fazla deliğinin olması durumunda, numune sondası boyunca farklı konumlardan alınmasını sağlamak için, delikler bölümlerle ayrılmalı veya sıralı kademeli delikler mevcut bulunmalıdır.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2.2.2.</w:t>
      </w:r>
      <w:r w:rsidR="00E710D0" w:rsidRPr="007C1E0B">
        <w:rPr>
          <w:rFonts w:ascii="Times New Roman" w:eastAsia="Times New Roman" w:hAnsi="Times New Roman" w:cs="Times New Roman"/>
          <w:sz w:val="20"/>
          <w:szCs w:val="20"/>
          <w:lang w:val="es-ES" w:eastAsia="en-GB"/>
        </w:rPr>
        <w:t xml:space="preserve">  </w:t>
      </w:r>
      <w:r w:rsidRPr="007C1E0B">
        <w:rPr>
          <w:rFonts w:ascii="Times New Roman" w:eastAsia="Times New Roman" w:hAnsi="Times New Roman" w:cs="Times New Roman"/>
          <w:sz w:val="20"/>
          <w:szCs w:val="20"/>
          <w:lang w:val="es-ES" w:eastAsia="en-GB"/>
        </w:rPr>
        <w:t>Mekanik numune alma</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lastRenderedPageBreak/>
        <w:t>Akış halindeki yemden numune alınması amacıyla uygun mekanik araçlar kullanılabilir. Burada uygun araçlarla ifade edilmek istenen, akış halindeki yemin tümünü temsil edecek numune alınması için gerekli araçlardır.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Hareket halindeki yemden (yüksek akış oranına sahip) numune alınması otomatik numune alma araçlarıyla gerçekleştirilebilir.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2.2.3. Bölme aracı</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Mümkün ve uygun olduğu hallerde, numuneyi yaklaşık olarak eşit parçalara bölme amacıyla tasarlanan araçlardır. Azaltılan numunelerin hazırlanması amacıyla kullanılabilir.</w:t>
      </w:r>
    </w:p>
    <w:p w:rsidR="005055D2" w:rsidRPr="007C1E0B" w:rsidRDefault="005055D2" w:rsidP="001B722B">
      <w:pPr>
        <w:jc w:val="both"/>
        <w:rPr>
          <w:rFonts w:ascii="Times New Roman" w:eastAsia="Times New Roman" w:hAnsi="Times New Roman" w:cs="Times New Roman"/>
          <w:b/>
          <w:sz w:val="20"/>
          <w:szCs w:val="20"/>
          <w:lang w:val="es-ES" w:eastAsia="en-GB"/>
        </w:rPr>
      </w:pPr>
      <w:r w:rsidRPr="007C1E0B">
        <w:rPr>
          <w:rFonts w:ascii="Times New Roman" w:eastAsia="Times New Roman" w:hAnsi="Times New Roman" w:cs="Times New Roman"/>
          <w:b/>
          <w:sz w:val="20"/>
          <w:szCs w:val="20"/>
          <w:lang w:val="es-ES" w:eastAsia="en-GB"/>
        </w:rPr>
        <w:t>3. BİRİNCİL NUMUNE SAYISINA İLİŞKİN MİKTAR GEREKLİLİKLERİ</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 xml:space="preserve">3.1 ve 3.2’de birincil numune sayısına ilişkin miktar gereklilikleri, maksimum 500 tona kadar ve temsili numune alınmasının  mümkün olacağı büyüklükteki kısımlar için geçerlidir. Tanımlanan numune alma prosedürü, belirlenen ve numune alınan maksimum kısım büyüklüğünden daha büyük miktarlar için de geçerlidir. Bunun koşulları; aşağıdaki tablolarda belirtilen maksimum birincil numune sayılarının dikkate alınmaması, birincil numune sayısının prosedürün uygun kısmında verilen karekök formülüyle belirlenmesi (bkz. 3.3) ve minimum </w:t>
      </w:r>
      <w:r w:rsidR="00A232B3" w:rsidRPr="007C1E0B">
        <w:rPr>
          <w:rFonts w:ascii="Times New Roman" w:eastAsia="Times New Roman" w:hAnsi="Times New Roman" w:cs="Times New Roman"/>
          <w:sz w:val="20"/>
          <w:szCs w:val="20"/>
          <w:lang w:val="es-ES" w:eastAsia="en-GB"/>
        </w:rPr>
        <w:t>Paçal</w:t>
      </w:r>
      <w:r w:rsidRPr="007C1E0B">
        <w:rPr>
          <w:rFonts w:ascii="Times New Roman" w:eastAsia="Times New Roman" w:hAnsi="Times New Roman" w:cs="Times New Roman"/>
          <w:sz w:val="20"/>
          <w:szCs w:val="20"/>
          <w:lang w:val="es-ES" w:eastAsia="en-GB"/>
        </w:rPr>
        <w:t xml:space="preserve"> numune büyüklüğünün oransal olarak artmasıdır. Bu durum büyük bir partinin daha küçük alt partilere bölünmesini ve her alt partiden 3.1 ve 3.2’de tarif edilen prosedüre uygun olarak numune alınmasını önlemez.</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 xml:space="preserve">Numune alınan kısmın büyüklüğü, söz konusu kısmın her alt kısmından numune alınabilmesine uygun olmalıdır. </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Çok büyük parti veya alt partiler için (500 ton</w:t>
      </w:r>
      <w:r w:rsidR="00E710D0" w:rsidRPr="007C1E0B">
        <w:rPr>
          <w:rFonts w:ascii="Times New Roman" w:eastAsia="Times New Roman" w:hAnsi="Times New Roman" w:cs="Times New Roman"/>
          <w:sz w:val="20"/>
          <w:szCs w:val="20"/>
          <w:lang w:val="es-ES" w:eastAsia="en-GB"/>
        </w:rPr>
        <w:t>’</w:t>
      </w:r>
      <w:r w:rsidRPr="007C1E0B">
        <w:rPr>
          <w:rFonts w:ascii="Times New Roman" w:eastAsia="Times New Roman" w:hAnsi="Times New Roman" w:cs="Times New Roman"/>
          <w:sz w:val="20"/>
          <w:szCs w:val="20"/>
          <w:lang w:val="es-ES" w:eastAsia="en-GB"/>
        </w:rPr>
        <w:t>dan büyük) veya bu bölümün 3.1 ve 3.2’sinde belirtilen numune alma prosedürüyle uyumlu olarak numunenin alınmasının mümkün olmadığı şekilde taşınan veya saklanan partiler için 3.3’te belirtilen numune alma prosedürü uygulanır.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Yem işletmecisinin mevzuat uyarınca zorunlu bir izleme sistemi kapsamında çerçevesinde bu Yönetmelikle uyumlu olarak numune alması gerektiğinde, yem işletmecisinin numune alma prosedürünün denkliği yanında numunenin bütünü temsil edebilme düzeyini yetkili makama ispatlamasından ve yetkili makamın onay vermesinden sonra, işlem özelliklerini dikkate almak amacıyla bu bölümdeki miktar gerekliliklerinden sapabilir.</w:t>
      </w:r>
    </w:p>
    <w:p w:rsidR="005055D2" w:rsidRPr="007C1E0B" w:rsidRDefault="0026745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Kontrol görevlisince, p</w:t>
      </w:r>
      <w:r w:rsidR="005055D2" w:rsidRPr="007C1E0B">
        <w:rPr>
          <w:rFonts w:ascii="Times New Roman" w:eastAsia="Times New Roman" w:hAnsi="Times New Roman" w:cs="Times New Roman"/>
          <w:sz w:val="20"/>
          <w:szCs w:val="20"/>
          <w:lang w:val="es-ES" w:eastAsia="en-GB"/>
        </w:rPr>
        <w:t>artide oluşacak kabul edilemez ticari hasar dolayısıyla miktar gerekliliklerine ilişkin numune alma metodlarının yürütülmesinin mümkün olmadığı istisnai durumlarda (ambalajlama biçimi, taşıma araçları, saklama şekli, vb.), mümkün olduğunca temsili olmak ve tam anlamıyla tarif edilmek ve belgelendirilmek koşuluyla alternatif bir numune alma metodu uygulanabilir.</w:t>
      </w:r>
    </w:p>
    <w:p w:rsidR="005055D2" w:rsidRPr="007C1E0B" w:rsidRDefault="005055D2" w:rsidP="001B722B">
      <w:pPr>
        <w:jc w:val="both"/>
        <w:rPr>
          <w:rFonts w:ascii="Times New Roman" w:eastAsia="Times New Roman" w:hAnsi="Times New Roman" w:cs="Times New Roman"/>
          <w:sz w:val="20"/>
          <w:szCs w:val="20"/>
          <w:lang w:val="es-ES" w:eastAsia="en-GB"/>
        </w:rPr>
      </w:pPr>
      <w:r w:rsidRPr="007C1E0B">
        <w:rPr>
          <w:rFonts w:ascii="Times New Roman" w:eastAsia="Times New Roman" w:hAnsi="Times New Roman" w:cs="Times New Roman"/>
          <w:sz w:val="20"/>
          <w:szCs w:val="20"/>
          <w:lang w:val="es-ES" w:eastAsia="en-GB"/>
        </w:rPr>
        <w:t>3.1.</w:t>
      </w:r>
      <w:r w:rsidR="00E710D0" w:rsidRPr="007C1E0B">
        <w:rPr>
          <w:rFonts w:ascii="Times New Roman" w:eastAsia="Times New Roman" w:hAnsi="Times New Roman" w:cs="Times New Roman"/>
          <w:sz w:val="20"/>
          <w:szCs w:val="20"/>
          <w:lang w:val="es-ES" w:eastAsia="en-GB"/>
        </w:rPr>
        <w:t xml:space="preserve">  </w:t>
      </w:r>
      <w:r w:rsidRPr="007C1E0B">
        <w:rPr>
          <w:rFonts w:ascii="Times New Roman" w:eastAsia="Times New Roman" w:hAnsi="Times New Roman" w:cs="Times New Roman"/>
          <w:sz w:val="20"/>
          <w:szCs w:val="20"/>
          <w:lang w:val="es-ES" w:eastAsia="en-GB"/>
        </w:rPr>
        <w:t>Yem içerisinde homojen dağılım gösteren maddelerin veya ürünlerin kontrolü için alınacak birincil numuneler hakkında miktar gereklilikleri</w:t>
      </w:r>
    </w:p>
    <w:p w:rsidR="005055D2" w:rsidRPr="007C1E0B" w:rsidRDefault="005055D2"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t>3.1.1.</w:t>
      </w:r>
      <w:r w:rsidR="00E710D0" w:rsidRPr="007C1E0B">
        <w:rPr>
          <w:rFonts w:ascii="Times New Roman" w:hAnsi="Times New Roman" w:cs="Times New Roman"/>
          <w:sz w:val="20"/>
          <w:szCs w:val="20"/>
        </w:rPr>
        <w:t xml:space="preserve">  </w:t>
      </w:r>
      <w:r w:rsidRPr="007C1E0B">
        <w:rPr>
          <w:rFonts w:ascii="Times New Roman" w:hAnsi="Times New Roman" w:cs="Times New Roman"/>
          <w:sz w:val="20"/>
          <w:szCs w:val="20"/>
        </w:rPr>
        <w:t>Dökme katı yem</w:t>
      </w:r>
    </w:p>
    <w:p w:rsidR="00816386" w:rsidRPr="007C1E0B" w:rsidRDefault="00816386" w:rsidP="001B722B">
      <w:pPr>
        <w:spacing w:after="0" w:line="240" w:lineRule="auto"/>
        <w:jc w:val="both"/>
        <w:rPr>
          <w:rFonts w:ascii="Times New Roman" w:hAnsi="Times New Roman" w:cs="Times New Roman"/>
          <w:sz w:val="20"/>
          <w:szCs w:val="20"/>
        </w:rPr>
      </w:pPr>
    </w:p>
    <w:tbl>
      <w:tblPr>
        <w:tblStyle w:val="TabloKlavuzu"/>
        <w:tblW w:w="9072" w:type="dxa"/>
        <w:tblInd w:w="108" w:type="dxa"/>
        <w:tblLayout w:type="fixed"/>
        <w:tblLook w:val="04A0" w:firstRow="1" w:lastRow="0" w:firstColumn="1" w:lastColumn="0" w:noHBand="0" w:noVBand="1"/>
      </w:tblPr>
      <w:tblGrid>
        <w:gridCol w:w="3953"/>
        <w:gridCol w:w="5119"/>
      </w:tblGrid>
      <w:tr w:rsidR="007C1E0B" w:rsidRPr="007C1E0B" w:rsidTr="00836A06">
        <w:trPr>
          <w:trHeight w:val="520"/>
        </w:trPr>
        <w:tc>
          <w:tcPr>
            <w:tcW w:w="395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Numune alınan kısmın büyüklüğü</w:t>
            </w:r>
          </w:p>
        </w:tc>
        <w:tc>
          <w:tcPr>
            <w:tcW w:w="5119"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Alınacak en az birincil numune sayısı</w:t>
            </w:r>
          </w:p>
        </w:tc>
      </w:tr>
      <w:tr w:rsidR="007C1E0B" w:rsidRPr="007C1E0B" w:rsidTr="00836A06">
        <w:trPr>
          <w:trHeight w:val="170"/>
        </w:trPr>
        <w:tc>
          <w:tcPr>
            <w:tcW w:w="395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 2,5 ton</w:t>
            </w:r>
          </w:p>
        </w:tc>
        <w:tc>
          <w:tcPr>
            <w:tcW w:w="5119"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7</w:t>
            </w:r>
          </w:p>
        </w:tc>
      </w:tr>
      <w:tr w:rsidR="007C1E0B" w:rsidRPr="007C1E0B" w:rsidTr="00836A06">
        <w:trPr>
          <w:trHeight w:val="511"/>
        </w:trPr>
        <w:tc>
          <w:tcPr>
            <w:tcW w:w="395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&gt; 2,5 ton</w:t>
            </w:r>
          </w:p>
        </w:tc>
        <w:tc>
          <w:tcPr>
            <w:tcW w:w="5119" w:type="dxa"/>
          </w:tcPr>
          <w:p w:rsidR="00385A7C" w:rsidRPr="007C1E0B" w:rsidRDefault="005055D2" w:rsidP="00385A7C">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Numune alınan parti miktarının (ton) 20 katının karekökü alınarak elde edilen sayı kadar</w:t>
            </w:r>
            <w:r w:rsidR="00385A7C"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p>
          <w:p w:rsidR="005055D2" w:rsidRPr="007C1E0B" w:rsidRDefault="005055D2" w:rsidP="00385A7C">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En fazla 40 birincil numune alınır.</w:t>
            </w:r>
          </w:p>
        </w:tc>
      </w:tr>
    </w:tbl>
    <w:p w:rsidR="005055D2" w:rsidRPr="007C1E0B" w:rsidRDefault="005055D2" w:rsidP="001B722B">
      <w:pPr>
        <w:jc w:val="both"/>
        <w:rPr>
          <w:rFonts w:ascii="Times New Roman" w:hAnsi="Times New Roman" w:cs="Times New Roman"/>
          <w:sz w:val="16"/>
          <w:szCs w:val="20"/>
        </w:rPr>
      </w:pPr>
      <w:r w:rsidRPr="007C1E0B">
        <w:rPr>
          <w:rFonts w:ascii="Times New Roman" w:hAnsi="Times New Roman" w:cs="Times New Roman"/>
          <w:sz w:val="16"/>
          <w:szCs w:val="20"/>
        </w:rPr>
        <w:t>* Elde edilen sayı kesirliyse en yakın üst tam sayıya yuvarlanır.</w:t>
      </w:r>
    </w:p>
    <w:p w:rsidR="006A043F" w:rsidRPr="007C1E0B" w:rsidRDefault="006A043F" w:rsidP="001B722B">
      <w:pPr>
        <w:spacing w:after="0" w:line="240" w:lineRule="auto"/>
        <w:jc w:val="both"/>
        <w:rPr>
          <w:rFonts w:ascii="Times New Roman" w:hAnsi="Times New Roman" w:cs="Times New Roman"/>
          <w:sz w:val="20"/>
          <w:szCs w:val="20"/>
        </w:rPr>
      </w:pPr>
    </w:p>
    <w:p w:rsidR="00E278DE" w:rsidRPr="007C1E0B" w:rsidRDefault="00E278DE" w:rsidP="001B722B">
      <w:pPr>
        <w:spacing w:after="0" w:line="240" w:lineRule="auto"/>
        <w:jc w:val="both"/>
        <w:rPr>
          <w:rFonts w:ascii="Times New Roman" w:hAnsi="Times New Roman" w:cs="Times New Roman"/>
          <w:sz w:val="20"/>
          <w:szCs w:val="20"/>
        </w:rPr>
      </w:pPr>
    </w:p>
    <w:p w:rsidR="006A043F" w:rsidRPr="007C1E0B" w:rsidRDefault="006A043F" w:rsidP="001B722B">
      <w:pPr>
        <w:spacing w:after="0" w:line="240" w:lineRule="auto"/>
        <w:jc w:val="both"/>
        <w:rPr>
          <w:rFonts w:ascii="Times New Roman" w:hAnsi="Times New Roman" w:cs="Times New Roman"/>
          <w:sz w:val="20"/>
          <w:szCs w:val="20"/>
        </w:rPr>
      </w:pPr>
    </w:p>
    <w:p w:rsidR="006A043F" w:rsidRPr="007C1E0B" w:rsidRDefault="006A043F" w:rsidP="001B722B">
      <w:pPr>
        <w:spacing w:after="0" w:line="240" w:lineRule="auto"/>
        <w:jc w:val="both"/>
        <w:rPr>
          <w:rFonts w:ascii="Times New Roman" w:hAnsi="Times New Roman" w:cs="Times New Roman"/>
          <w:sz w:val="20"/>
          <w:szCs w:val="20"/>
        </w:rPr>
      </w:pPr>
    </w:p>
    <w:p w:rsidR="005055D2" w:rsidRPr="007C1E0B" w:rsidRDefault="005055D2"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lastRenderedPageBreak/>
        <w:t>3.1.2.</w:t>
      </w:r>
      <w:r w:rsidR="00E710D0" w:rsidRPr="007C1E0B">
        <w:rPr>
          <w:rFonts w:ascii="Times New Roman" w:hAnsi="Times New Roman" w:cs="Times New Roman"/>
          <w:sz w:val="20"/>
          <w:szCs w:val="20"/>
        </w:rPr>
        <w:t xml:space="preserve">  </w:t>
      </w:r>
      <w:r w:rsidRPr="007C1E0B">
        <w:rPr>
          <w:rFonts w:ascii="Times New Roman" w:hAnsi="Times New Roman" w:cs="Times New Roman"/>
          <w:sz w:val="20"/>
          <w:szCs w:val="20"/>
        </w:rPr>
        <w:t>Dökme sıvı yem</w:t>
      </w:r>
    </w:p>
    <w:p w:rsidR="005055D2" w:rsidRPr="007C1E0B" w:rsidRDefault="005055D2" w:rsidP="001B722B">
      <w:pPr>
        <w:spacing w:after="0" w:line="240" w:lineRule="auto"/>
        <w:ind w:firstLine="709"/>
        <w:jc w:val="both"/>
        <w:rPr>
          <w:rFonts w:ascii="Times New Roman" w:hAnsi="Times New Roman" w:cs="Times New Roman"/>
          <w:sz w:val="20"/>
          <w:szCs w:val="20"/>
        </w:rPr>
      </w:pPr>
    </w:p>
    <w:tbl>
      <w:tblPr>
        <w:tblStyle w:val="TabloKlavuzu"/>
        <w:tblW w:w="9072" w:type="dxa"/>
        <w:tblInd w:w="108" w:type="dxa"/>
        <w:tblLayout w:type="fixed"/>
        <w:tblLook w:val="04A0" w:firstRow="1" w:lastRow="0" w:firstColumn="1" w:lastColumn="0" w:noHBand="0" w:noVBand="1"/>
      </w:tblPr>
      <w:tblGrid>
        <w:gridCol w:w="3969"/>
        <w:gridCol w:w="5103"/>
      </w:tblGrid>
      <w:tr w:rsidR="007C1E0B" w:rsidRPr="007C1E0B" w:rsidTr="00836A06">
        <w:trPr>
          <w:trHeight w:val="677"/>
        </w:trPr>
        <w:tc>
          <w:tcPr>
            <w:tcW w:w="3969"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Numune alınan kısmın büyüklüğü</w:t>
            </w:r>
          </w:p>
        </w:tc>
        <w:tc>
          <w:tcPr>
            <w:tcW w:w="510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Alınacak en az birincil numune sayısı</w:t>
            </w:r>
          </w:p>
        </w:tc>
      </w:tr>
      <w:tr w:rsidR="007C1E0B" w:rsidRPr="007C1E0B" w:rsidTr="00836A06">
        <w:trPr>
          <w:trHeight w:val="698"/>
        </w:trPr>
        <w:tc>
          <w:tcPr>
            <w:tcW w:w="3969"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 2,5 ton veya ≤ 2500 litre</w:t>
            </w:r>
          </w:p>
        </w:tc>
        <w:tc>
          <w:tcPr>
            <w:tcW w:w="510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4 (*)</w:t>
            </w:r>
          </w:p>
        </w:tc>
      </w:tr>
      <w:tr w:rsidR="007C1E0B" w:rsidRPr="007C1E0B" w:rsidTr="00836A06">
        <w:trPr>
          <w:trHeight w:val="677"/>
        </w:trPr>
        <w:tc>
          <w:tcPr>
            <w:tcW w:w="3969"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&gt; 2,5 ton veya &gt; 2500 litre</w:t>
            </w:r>
          </w:p>
        </w:tc>
        <w:tc>
          <w:tcPr>
            <w:tcW w:w="5103"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7 (*)</w:t>
            </w:r>
          </w:p>
        </w:tc>
      </w:tr>
    </w:tbl>
    <w:p w:rsidR="005055D2" w:rsidRPr="007C1E0B" w:rsidRDefault="005055D2" w:rsidP="001B722B">
      <w:pPr>
        <w:jc w:val="both"/>
        <w:rPr>
          <w:rFonts w:ascii="Times New Roman" w:hAnsi="Times New Roman" w:cs="Times New Roman"/>
          <w:sz w:val="16"/>
          <w:szCs w:val="20"/>
        </w:rPr>
      </w:pPr>
      <w:r w:rsidRPr="007C1E0B">
        <w:rPr>
          <w:rFonts w:ascii="Times New Roman" w:hAnsi="Times New Roman" w:cs="Times New Roman"/>
          <w:sz w:val="16"/>
          <w:szCs w:val="20"/>
        </w:rPr>
        <w:t>(*) Sıvının homojen hale getirilmesinin mümkün olmadığı durumda birincil numune sayısı arttırılmalıdır</w:t>
      </w:r>
      <w:r w:rsidR="00385A7C" w:rsidRPr="007C1E0B">
        <w:rPr>
          <w:rFonts w:ascii="Times New Roman" w:hAnsi="Times New Roman" w:cs="Times New Roman"/>
          <w:sz w:val="16"/>
          <w:szCs w:val="20"/>
        </w:rPr>
        <w:t>.</w:t>
      </w:r>
    </w:p>
    <w:p w:rsidR="005055D2" w:rsidRPr="007C1E0B" w:rsidRDefault="005055D2"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t>3.1.3.</w:t>
      </w:r>
      <w:r w:rsidR="00E710D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Ambalajlı yem  </w:t>
      </w:r>
    </w:p>
    <w:p w:rsidR="00816386" w:rsidRPr="007C1E0B" w:rsidRDefault="00816386" w:rsidP="001B722B">
      <w:pPr>
        <w:spacing w:after="0" w:line="240" w:lineRule="auto"/>
        <w:jc w:val="both"/>
        <w:rPr>
          <w:rFonts w:ascii="Times New Roman" w:hAnsi="Times New Roman" w:cs="Times New Roman"/>
          <w:sz w:val="20"/>
          <w:szCs w:val="20"/>
        </w:rPr>
      </w:pPr>
    </w:p>
    <w:p w:rsidR="005055D2" w:rsidRPr="007C1E0B" w:rsidRDefault="005055D2"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t>Yem (sıvı ve katı), tabloda birim olarak bahsedilen torba, çuval, teneke, fıçı, vb. içerisinde saklanabilir. Büyük birimlerden (≥ 500 kg veya litre) 3.1.1 ve 3.1.2 deki ambalajsız yem için öngörülen hükümlere uygun olarak numune alınmalıdır.</w:t>
      </w:r>
    </w:p>
    <w:tbl>
      <w:tblPr>
        <w:tblStyle w:val="TabloKlavuzu"/>
        <w:tblW w:w="9072" w:type="dxa"/>
        <w:tblInd w:w="108" w:type="dxa"/>
        <w:tblLayout w:type="fixed"/>
        <w:tblLook w:val="04A0" w:firstRow="1" w:lastRow="0" w:firstColumn="1" w:lastColumn="0" w:noHBand="0" w:noVBand="1"/>
      </w:tblPr>
      <w:tblGrid>
        <w:gridCol w:w="3402"/>
        <w:gridCol w:w="5670"/>
      </w:tblGrid>
      <w:tr w:rsidR="007C1E0B" w:rsidRPr="007C1E0B" w:rsidTr="00836A06">
        <w:trPr>
          <w:trHeight w:val="621"/>
        </w:trPr>
        <w:tc>
          <w:tcPr>
            <w:tcW w:w="3402"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Numune alınan kısmın büyüklüğü</w:t>
            </w:r>
          </w:p>
        </w:tc>
        <w:tc>
          <w:tcPr>
            <w:tcW w:w="5670"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Birincil numune alınması gereken paketlerin minimum sayısı (*)</w:t>
            </w:r>
          </w:p>
        </w:tc>
      </w:tr>
      <w:tr w:rsidR="007C1E0B" w:rsidRPr="007C1E0B" w:rsidTr="00836A06">
        <w:trPr>
          <w:trHeight w:val="328"/>
        </w:trPr>
        <w:tc>
          <w:tcPr>
            <w:tcW w:w="3402" w:type="dxa"/>
          </w:tcPr>
          <w:p w:rsidR="005055D2" w:rsidRPr="007C1E0B" w:rsidRDefault="005055D2" w:rsidP="00876D94">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1 il</w:t>
            </w:r>
            <w:r w:rsidR="00876D94" w:rsidRPr="007C1E0B">
              <w:rPr>
                <w:rFonts w:ascii="Times New Roman" w:hAnsi="Times New Roman" w:cs="Times New Roman"/>
                <w:sz w:val="20"/>
                <w:szCs w:val="20"/>
              </w:rPr>
              <w:t>e</w:t>
            </w:r>
            <w:r w:rsidRPr="007C1E0B">
              <w:rPr>
                <w:rFonts w:ascii="Times New Roman" w:hAnsi="Times New Roman" w:cs="Times New Roman"/>
                <w:sz w:val="20"/>
                <w:szCs w:val="20"/>
              </w:rPr>
              <w:t xml:space="preserve"> 20 paket</w:t>
            </w:r>
            <w:r w:rsidR="00876D94" w:rsidRPr="007C1E0B">
              <w:rPr>
                <w:rFonts w:ascii="Times New Roman" w:hAnsi="Times New Roman" w:cs="Times New Roman"/>
                <w:sz w:val="20"/>
                <w:szCs w:val="20"/>
              </w:rPr>
              <w:t xml:space="preserve"> arası</w:t>
            </w:r>
          </w:p>
        </w:tc>
        <w:tc>
          <w:tcPr>
            <w:tcW w:w="5670"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1 Paketten(**)</w:t>
            </w:r>
          </w:p>
        </w:tc>
      </w:tr>
      <w:tr w:rsidR="007C1E0B" w:rsidRPr="007C1E0B" w:rsidTr="00836A06">
        <w:trPr>
          <w:trHeight w:val="309"/>
        </w:trPr>
        <w:tc>
          <w:tcPr>
            <w:tcW w:w="3402" w:type="dxa"/>
          </w:tcPr>
          <w:p w:rsidR="005055D2" w:rsidRPr="007C1E0B" w:rsidRDefault="005055D2" w:rsidP="00876D94">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21 il</w:t>
            </w:r>
            <w:r w:rsidR="00876D94" w:rsidRPr="007C1E0B">
              <w:rPr>
                <w:rFonts w:ascii="Times New Roman" w:hAnsi="Times New Roman" w:cs="Times New Roman"/>
                <w:sz w:val="20"/>
                <w:szCs w:val="20"/>
              </w:rPr>
              <w:t>e</w:t>
            </w:r>
            <w:r w:rsidRPr="007C1E0B">
              <w:rPr>
                <w:rFonts w:ascii="Times New Roman" w:hAnsi="Times New Roman" w:cs="Times New Roman"/>
                <w:sz w:val="20"/>
                <w:szCs w:val="20"/>
              </w:rPr>
              <w:t xml:space="preserve"> 150 paket</w:t>
            </w:r>
            <w:r w:rsidR="00876D94" w:rsidRPr="007C1E0B">
              <w:rPr>
                <w:rFonts w:ascii="Times New Roman" w:hAnsi="Times New Roman" w:cs="Times New Roman"/>
                <w:sz w:val="20"/>
                <w:szCs w:val="20"/>
              </w:rPr>
              <w:t xml:space="preserve"> arası</w:t>
            </w:r>
          </w:p>
        </w:tc>
        <w:tc>
          <w:tcPr>
            <w:tcW w:w="5670"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3 Paketten</w:t>
            </w:r>
            <w:r w:rsidRPr="007C1E0B" w:rsidDel="001D1E57">
              <w:rPr>
                <w:rFonts w:ascii="Times New Roman" w:hAnsi="Times New Roman" w:cs="Times New Roman"/>
                <w:sz w:val="20"/>
                <w:szCs w:val="20"/>
              </w:rPr>
              <w:t xml:space="preserve"> </w:t>
            </w:r>
            <w:r w:rsidRPr="007C1E0B">
              <w:rPr>
                <w:rFonts w:ascii="Times New Roman" w:hAnsi="Times New Roman" w:cs="Times New Roman"/>
                <w:sz w:val="20"/>
                <w:szCs w:val="20"/>
              </w:rPr>
              <w:t>(**)</w:t>
            </w:r>
          </w:p>
        </w:tc>
      </w:tr>
      <w:tr w:rsidR="007C1E0B" w:rsidRPr="007C1E0B" w:rsidTr="00836A06">
        <w:trPr>
          <w:trHeight w:val="309"/>
        </w:trPr>
        <w:tc>
          <w:tcPr>
            <w:tcW w:w="3402" w:type="dxa"/>
          </w:tcPr>
          <w:p w:rsidR="005055D2" w:rsidRPr="007C1E0B" w:rsidRDefault="005055D2" w:rsidP="00876D94">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151 il</w:t>
            </w:r>
            <w:r w:rsidR="00876D94" w:rsidRPr="007C1E0B">
              <w:rPr>
                <w:rFonts w:ascii="Times New Roman" w:hAnsi="Times New Roman" w:cs="Times New Roman"/>
                <w:sz w:val="20"/>
                <w:szCs w:val="20"/>
              </w:rPr>
              <w:t>e</w:t>
            </w:r>
            <w:r w:rsidRPr="007C1E0B">
              <w:rPr>
                <w:rFonts w:ascii="Times New Roman" w:hAnsi="Times New Roman" w:cs="Times New Roman"/>
                <w:sz w:val="20"/>
                <w:szCs w:val="20"/>
              </w:rPr>
              <w:t xml:space="preserve"> 400 paket</w:t>
            </w:r>
            <w:r w:rsidR="00876D94" w:rsidRPr="007C1E0B">
              <w:rPr>
                <w:rFonts w:ascii="Times New Roman" w:hAnsi="Times New Roman" w:cs="Times New Roman"/>
                <w:sz w:val="20"/>
                <w:szCs w:val="20"/>
              </w:rPr>
              <w:t xml:space="preserve"> arası</w:t>
            </w:r>
          </w:p>
        </w:tc>
        <w:tc>
          <w:tcPr>
            <w:tcW w:w="5670"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5 Paketten</w:t>
            </w:r>
            <w:r w:rsidRPr="007C1E0B" w:rsidDel="001D1E57">
              <w:rPr>
                <w:rFonts w:ascii="Times New Roman" w:hAnsi="Times New Roman" w:cs="Times New Roman"/>
                <w:sz w:val="20"/>
                <w:szCs w:val="20"/>
              </w:rPr>
              <w:t xml:space="preserve"> </w:t>
            </w:r>
            <w:r w:rsidRPr="007C1E0B">
              <w:rPr>
                <w:rFonts w:ascii="Times New Roman" w:hAnsi="Times New Roman" w:cs="Times New Roman"/>
                <w:sz w:val="20"/>
                <w:szCs w:val="20"/>
              </w:rPr>
              <w:t>(**)</w:t>
            </w:r>
          </w:p>
        </w:tc>
      </w:tr>
      <w:tr w:rsidR="007C1E0B" w:rsidRPr="007C1E0B" w:rsidTr="00836A06">
        <w:trPr>
          <w:trHeight w:val="1417"/>
        </w:trPr>
        <w:tc>
          <w:tcPr>
            <w:tcW w:w="3402" w:type="dxa"/>
          </w:tcPr>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&gt; 400 paket</w:t>
            </w:r>
          </w:p>
        </w:tc>
        <w:tc>
          <w:tcPr>
            <w:tcW w:w="5670" w:type="dxa"/>
          </w:tcPr>
          <w:p w:rsidR="005055D2" w:rsidRPr="007C1E0B" w:rsidRDefault="005055D2">
            <w:pPr>
              <w:tabs>
                <w:tab w:val="left" w:pos="426"/>
                <w:tab w:val="left" w:pos="709"/>
              </w:tabs>
              <w:spacing w:after="200" w:line="276" w:lineRule="auto"/>
              <w:jc w:val="both"/>
              <w:rPr>
                <w:rFonts w:ascii="Times New Roman" w:hAnsi="Times New Roman" w:cs="Times New Roman"/>
                <w:iCs/>
                <w:sz w:val="20"/>
                <w:szCs w:val="20"/>
              </w:rPr>
            </w:pPr>
            <w:r w:rsidRPr="007C1E0B">
              <w:rPr>
                <w:rFonts w:ascii="Times New Roman" w:hAnsi="Times New Roman" w:cs="Times New Roman"/>
                <w:iCs/>
                <w:sz w:val="20"/>
                <w:szCs w:val="20"/>
              </w:rPr>
              <w:t xml:space="preserve">Numune alınan partideki paket sayısının karekökünün dörtte biri kadar. </w:t>
            </w:r>
            <w:r w:rsidRPr="007C1E0B">
              <w:rPr>
                <w:rFonts w:ascii="Times New Roman" w:hAnsi="Times New Roman" w:cs="Times New Roman"/>
                <w:sz w:val="20"/>
                <w:szCs w:val="20"/>
              </w:rPr>
              <w:t>(*)</w:t>
            </w:r>
            <w:r w:rsidRPr="007C1E0B">
              <w:rPr>
                <w:rFonts w:ascii="Times New Roman" w:hAnsi="Times New Roman" w:cs="Times New Roman"/>
                <w:iCs/>
                <w:sz w:val="20"/>
                <w:szCs w:val="20"/>
              </w:rPr>
              <w:t xml:space="preserve"> (***)</w:t>
            </w:r>
          </w:p>
          <w:p w:rsidR="005055D2" w:rsidRPr="007C1E0B" w:rsidRDefault="005055D2">
            <w:pPr>
              <w:spacing w:after="200" w:line="276" w:lineRule="auto"/>
              <w:jc w:val="both"/>
              <w:rPr>
                <w:rFonts w:ascii="Times New Roman" w:hAnsi="Times New Roman" w:cs="Times New Roman"/>
                <w:sz w:val="20"/>
                <w:szCs w:val="20"/>
              </w:rPr>
            </w:pPr>
            <w:r w:rsidRPr="007C1E0B">
              <w:rPr>
                <w:rFonts w:ascii="Times New Roman" w:hAnsi="Times New Roman" w:cs="Times New Roman"/>
                <w:iCs/>
                <w:sz w:val="20"/>
                <w:szCs w:val="20"/>
              </w:rPr>
              <w:t>En fazla 40 paketten birincil numune alınır.</w:t>
            </w:r>
          </w:p>
        </w:tc>
      </w:tr>
    </w:tbl>
    <w:p w:rsidR="005055D2" w:rsidRPr="007C1E0B" w:rsidRDefault="005055D2" w:rsidP="001B722B">
      <w:pPr>
        <w:spacing w:after="0" w:line="240" w:lineRule="auto"/>
        <w:jc w:val="both"/>
        <w:rPr>
          <w:rFonts w:ascii="Times New Roman" w:hAnsi="Times New Roman" w:cs="Times New Roman"/>
          <w:sz w:val="16"/>
          <w:szCs w:val="20"/>
        </w:rPr>
      </w:pPr>
      <w:r w:rsidRPr="007C1E0B">
        <w:rPr>
          <w:rFonts w:ascii="Times New Roman" w:hAnsi="Times New Roman" w:cs="Times New Roman"/>
          <w:sz w:val="16"/>
          <w:szCs w:val="20"/>
        </w:rPr>
        <w:t>(*) Bir paketin (ör. bozulabilir yaş yemler) açılmasının analizi etkileyebileceği durumlarda açılmayan paket birincil numune olarak kabul edilir.</w:t>
      </w:r>
    </w:p>
    <w:p w:rsidR="005055D2" w:rsidRPr="007C1E0B" w:rsidRDefault="005055D2" w:rsidP="001B722B">
      <w:pPr>
        <w:spacing w:after="0" w:line="240" w:lineRule="auto"/>
        <w:jc w:val="both"/>
        <w:rPr>
          <w:rFonts w:ascii="Times New Roman" w:hAnsi="Times New Roman" w:cs="Times New Roman"/>
          <w:sz w:val="16"/>
          <w:szCs w:val="20"/>
        </w:rPr>
      </w:pPr>
      <w:r w:rsidRPr="007C1E0B">
        <w:rPr>
          <w:rFonts w:ascii="Times New Roman" w:hAnsi="Times New Roman" w:cs="Times New Roman"/>
          <w:sz w:val="16"/>
          <w:szCs w:val="20"/>
        </w:rPr>
        <w:t>(**) Miktarı 1 kg veya 1 litreyi geçmeyen paketler için bir orijinal paket miktarı birincil numune olarak kabul edilir.</w:t>
      </w:r>
    </w:p>
    <w:p w:rsidR="005055D2" w:rsidRPr="007C1E0B" w:rsidRDefault="005055D2" w:rsidP="001B722B">
      <w:pPr>
        <w:jc w:val="both"/>
        <w:rPr>
          <w:rFonts w:ascii="Times New Roman" w:hAnsi="Times New Roman" w:cs="Times New Roman"/>
          <w:sz w:val="16"/>
          <w:szCs w:val="20"/>
        </w:rPr>
      </w:pPr>
      <w:r w:rsidRPr="007C1E0B">
        <w:rPr>
          <w:rFonts w:ascii="Times New Roman" w:hAnsi="Times New Roman" w:cs="Times New Roman"/>
          <w:sz w:val="16"/>
          <w:szCs w:val="20"/>
        </w:rPr>
        <w:t>(***) Elde edilen sayı kesirliyse en yakın üst tamsayıya yuvarlanır.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3.1.4. Blok yem ve mineral yalama taşları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üniteden oluşan her parti için bir blok veya bir yalama taşı alınır. En çok dört blok veya yalama taşı alınır. Her biri 1 kg’dan az olan blok veya yalama taşları için, bir blok veya bir yalama taşı ağırlığı birincil numune kabul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3.1.5.   Kaba yem</w:t>
      </w:r>
    </w:p>
    <w:tbl>
      <w:tblPr>
        <w:tblStyle w:val="TabloKlavuzu"/>
        <w:tblW w:w="8999" w:type="dxa"/>
        <w:tblInd w:w="108" w:type="dxa"/>
        <w:tblLayout w:type="fixed"/>
        <w:tblLook w:val="04A0" w:firstRow="1" w:lastRow="0" w:firstColumn="1" w:lastColumn="0" w:noHBand="0" w:noVBand="1"/>
      </w:tblPr>
      <w:tblGrid>
        <w:gridCol w:w="3176"/>
        <w:gridCol w:w="5823"/>
      </w:tblGrid>
      <w:tr w:rsidR="007C1E0B" w:rsidRPr="007C1E0B" w:rsidTr="00836A06">
        <w:trPr>
          <w:trHeight w:val="298"/>
        </w:trPr>
        <w:tc>
          <w:tcPr>
            <w:tcW w:w="3176"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Numune alınan kısmın büyüklüğü</w:t>
            </w:r>
          </w:p>
        </w:tc>
        <w:tc>
          <w:tcPr>
            <w:tcW w:w="5823"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Alınacak en az birincil numune sayısı (*)</w:t>
            </w:r>
          </w:p>
        </w:tc>
      </w:tr>
      <w:tr w:rsidR="007C1E0B" w:rsidRPr="007C1E0B" w:rsidTr="00836A06">
        <w:trPr>
          <w:trHeight w:val="239"/>
        </w:trPr>
        <w:tc>
          <w:tcPr>
            <w:tcW w:w="3176"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5 ton</w:t>
            </w:r>
          </w:p>
        </w:tc>
        <w:tc>
          <w:tcPr>
            <w:tcW w:w="5823"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5</w:t>
            </w:r>
          </w:p>
        </w:tc>
      </w:tr>
      <w:tr w:rsidR="007C1E0B" w:rsidRPr="007C1E0B" w:rsidTr="00836A06">
        <w:trPr>
          <w:trHeight w:val="471"/>
        </w:trPr>
        <w:tc>
          <w:tcPr>
            <w:tcW w:w="3176"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&gt; 5 ton</w:t>
            </w:r>
          </w:p>
        </w:tc>
        <w:tc>
          <w:tcPr>
            <w:tcW w:w="5823" w:type="dxa"/>
          </w:tcPr>
          <w:p w:rsidR="00385A7C" w:rsidRPr="007C1E0B" w:rsidRDefault="008F593F" w:rsidP="00385A7C">
            <w:pPr>
              <w:spacing w:after="200" w:line="276" w:lineRule="auto"/>
              <w:jc w:val="both"/>
              <w:rPr>
                <w:rFonts w:ascii="Times New Roman" w:hAnsi="Times New Roman" w:cs="Times New Roman"/>
                <w:sz w:val="20"/>
                <w:szCs w:val="20"/>
              </w:rPr>
            </w:pPr>
            <w:r w:rsidRPr="007C1E0B">
              <w:rPr>
                <w:rFonts w:ascii="Times New Roman" w:hAnsi="Times New Roman" w:cs="Times New Roman"/>
                <w:sz w:val="20"/>
                <w:szCs w:val="20"/>
              </w:rPr>
              <w:t>Numune alınan parti miktarının (ton) 5 katının karekökü alınarak elde edilen sayı kadar</w:t>
            </w:r>
            <w:r w:rsidR="00385A7C" w:rsidRPr="007C1E0B">
              <w:rPr>
                <w:rFonts w:ascii="Times New Roman" w:hAnsi="Times New Roman" w:cs="Times New Roman"/>
                <w:sz w:val="20"/>
                <w:szCs w:val="20"/>
              </w:rPr>
              <w:t>.</w:t>
            </w:r>
            <w:r w:rsidRPr="007C1E0B">
              <w:rPr>
                <w:rFonts w:ascii="Times New Roman" w:hAnsi="Times New Roman" w:cs="Times New Roman"/>
                <w:sz w:val="20"/>
                <w:szCs w:val="20"/>
              </w:rPr>
              <w:t xml:space="preserve"> (**) </w:t>
            </w:r>
          </w:p>
          <w:p w:rsidR="008F593F" w:rsidRPr="007C1E0B" w:rsidRDefault="008F593F" w:rsidP="00385A7C">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En fazla 40 birincil numune alınır.</w:t>
            </w:r>
          </w:p>
        </w:tc>
      </w:tr>
    </w:tbl>
    <w:p w:rsidR="008F593F" w:rsidRPr="007C1E0B" w:rsidRDefault="008F593F" w:rsidP="0043651D">
      <w:pPr>
        <w:spacing w:after="0"/>
        <w:jc w:val="both"/>
        <w:rPr>
          <w:rFonts w:ascii="Times New Roman" w:hAnsi="Times New Roman" w:cs="Times New Roman"/>
          <w:sz w:val="16"/>
          <w:szCs w:val="20"/>
        </w:rPr>
      </w:pPr>
      <w:r w:rsidRPr="007C1E0B">
        <w:rPr>
          <w:rFonts w:ascii="Times New Roman" w:hAnsi="Times New Roman" w:cs="Times New Roman"/>
          <w:sz w:val="16"/>
          <w:szCs w:val="20"/>
        </w:rPr>
        <w:t xml:space="preserve"> (*) Bazı yemlerden (ör. silajlar), partiye kabul edilemez bir zarar vermeksizin birincil numunelerin alması mümkün olmayabilir. Bu durumlarda alternatif numune alma metotları uygulanabilir ve bu tür partilerden numune almak için bir kılavuz hazırlanabilir.</w:t>
      </w:r>
    </w:p>
    <w:p w:rsidR="008F593F" w:rsidRPr="007C1E0B" w:rsidRDefault="008F593F" w:rsidP="0043651D">
      <w:pPr>
        <w:spacing w:after="120"/>
        <w:jc w:val="both"/>
        <w:rPr>
          <w:rFonts w:ascii="Times New Roman" w:hAnsi="Times New Roman" w:cs="Times New Roman"/>
          <w:sz w:val="16"/>
          <w:szCs w:val="20"/>
        </w:rPr>
      </w:pPr>
      <w:r w:rsidRPr="007C1E0B">
        <w:rPr>
          <w:rFonts w:ascii="Times New Roman" w:hAnsi="Times New Roman" w:cs="Times New Roman"/>
          <w:sz w:val="16"/>
          <w:szCs w:val="20"/>
        </w:rPr>
        <w:t>(**)Elde edilen sayı kesirliyse en yakın üst tamsayıya yuvarlanır.</w:t>
      </w:r>
    </w:p>
    <w:p w:rsidR="008F593F" w:rsidRPr="007C1E0B" w:rsidRDefault="008F593F" w:rsidP="0043651D">
      <w:pPr>
        <w:spacing w:after="120"/>
        <w:jc w:val="both"/>
        <w:rPr>
          <w:rFonts w:ascii="Times New Roman" w:hAnsi="Times New Roman" w:cs="Times New Roman"/>
          <w:sz w:val="20"/>
          <w:szCs w:val="20"/>
        </w:rPr>
      </w:pPr>
      <w:r w:rsidRPr="007C1E0B">
        <w:rPr>
          <w:rFonts w:ascii="Times New Roman" w:hAnsi="Times New Roman" w:cs="Times New Roman"/>
          <w:sz w:val="20"/>
          <w:szCs w:val="20"/>
        </w:rPr>
        <w:t>3.2. Yemde içerisinde homojen dağılım göstermeyen bileşen veya maddelerin kontrolüne ilişkin birincil numuneler hakkında miktar gereklilikleri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lastRenderedPageBreak/>
        <w:t>Birincil numunelere ilişkin miktar gereklilikleri aşağıdaki durumlarda uygulanır:</w:t>
      </w:r>
    </w:p>
    <w:p w:rsidR="008F593F" w:rsidRPr="007C1E0B" w:rsidRDefault="008F593F" w:rsidP="000748B1">
      <w:pPr>
        <w:pStyle w:val="ListeParagraf"/>
        <w:numPr>
          <w:ilvl w:val="0"/>
          <w:numId w:val="13"/>
        </w:numPr>
        <w:jc w:val="both"/>
        <w:rPr>
          <w:sz w:val="20"/>
          <w:szCs w:val="20"/>
        </w:rPr>
      </w:pPr>
      <w:r w:rsidRPr="007C1E0B">
        <w:rPr>
          <w:sz w:val="20"/>
          <w:szCs w:val="20"/>
        </w:rPr>
        <w:t>Yem maddelerinde aflatoksinler, çavdarmahmuzu, diğer mikotoksinler ve zararlı botanik bulaşıklıkların kontrolü;</w:t>
      </w:r>
    </w:p>
    <w:p w:rsidR="008F593F" w:rsidRPr="007C1E0B" w:rsidRDefault="008F593F" w:rsidP="000748B1">
      <w:pPr>
        <w:pStyle w:val="ListeParagraf"/>
        <w:numPr>
          <w:ilvl w:val="0"/>
          <w:numId w:val="13"/>
        </w:numPr>
        <w:spacing w:after="120"/>
        <w:jc w:val="both"/>
        <w:rPr>
          <w:sz w:val="20"/>
          <w:szCs w:val="20"/>
        </w:rPr>
      </w:pPr>
      <w:r w:rsidRPr="007C1E0B">
        <w:rPr>
          <w:sz w:val="20"/>
          <w:szCs w:val="20"/>
        </w:rPr>
        <w:t>GDO’lu materyaller de dahil olmak üzere, bir bileşen veya maddenin yem maddesinde homojen dağılım göstermeyen şekilde çapraz kontaminasyonun kontrolü.</w:t>
      </w:r>
    </w:p>
    <w:p w:rsidR="008F593F" w:rsidRPr="007C1E0B" w:rsidRDefault="008F593F" w:rsidP="0043651D">
      <w:pPr>
        <w:spacing w:after="120"/>
        <w:jc w:val="both"/>
        <w:rPr>
          <w:rFonts w:ascii="Times New Roman" w:hAnsi="Times New Roman" w:cs="Times New Roman"/>
          <w:sz w:val="20"/>
          <w:szCs w:val="20"/>
        </w:rPr>
      </w:pPr>
      <w:r w:rsidRPr="007C1E0B">
        <w:rPr>
          <w:rFonts w:ascii="Times New Roman" w:hAnsi="Times New Roman" w:cs="Times New Roman"/>
          <w:sz w:val="20"/>
          <w:szCs w:val="20"/>
        </w:rPr>
        <w:t>Kontrol yetkilisinin karma yemdeki bir bileşen veya maddeyle çapraz kontaminasyon durumunda da homojen dağılım görülmediğine dair güçlü bir şüphesi varsa, aşağıdaki tabloda verilen miktar gereklilikleri uygulanabilir.</w:t>
      </w:r>
    </w:p>
    <w:p w:rsidR="00601495" w:rsidRPr="007C1E0B" w:rsidRDefault="00601495" w:rsidP="0043651D">
      <w:pPr>
        <w:spacing w:after="120"/>
        <w:jc w:val="both"/>
        <w:rPr>
          <w:rFonts w:ascii="Times New Roman" w:hAnsi="Times New Roman" w:cs="Times New Roman"/>
          <w:sz w:val="20"/>
          <w:szCs w:val="20"/>
        </w:rPr>
      </w:pPr>
    </w:p>
    <w:tbl>
      <w:tblPr>
        <w:tblStyle w:val="TabloKlavuzu"/>
        <w:tblW w:w="9208" w:type="dxa"/>
        <w:tblInd w:w="108" w:type="dxa"/>
        <w:tblLayout w:type="fixed"/>
        <w:tblLook w:val="04A0" w:firstRow="1" w:lastRow="0" w:firstColumn="1" w:lastColumn="0" w:noHBand="0" w:noVBand="1"/>
      </w:tblPr>
      <w:tblGrid>
        <w:gridCol w:w="2844"/>
        <w:gridCol w:w="6364"/>
      </w:tblGrid>
      <w:tr w:rsidR="007C1E0B" w:rsidRPr="007C1E0B" w:rsidTr="00836A06">
        <w:trPr>
          <w:trHeight w:val="505"/>
        </w:trPr>
        <w:tc>
          <w:tcPr>
            <w:tcW w:w="284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Numune alınan kısmın büyüklüğü</w:t>
            </w:r>
          </w:p>
        </w:tc>
        <w:tc>
          <w:tcPr>
            <w:tcW w:w="636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Alınacak en az birincil numune sayısı</w:t>
            </w:r>
          </w:p>
        </w:tc>
      </w:tr>
      <w:tr w:rsidR="007C1E0B" w:rsidRPr="007C1E0B" w:rsidTr="00836A06">
        <w:trPr>
          <w:trHeight w:val="476"/>
        </w:trPr>
        <w:tc>
          <w:tcPr>
            <w:tcW w:w="284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&lt; 80 ton</w:t>
            </w:r>
          </w:p>
        </w:tc>
        <w:tc>
          <w:tcPr>
            <w:tcW w:w="6364" w:type="dxa"/>
          </w:tcPr>
          <w:p w:rsidR="008F593F" w:rsidRPr="007C1E0B" w:rsidRDefault="005030C2">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3</w:t>
            </w:r>
            <w:r w:rsidR="008F593F" w:rsidRPr="007C1E0B">
              <w:rPr>
                <w:rFonts w:ascii="Times New Roman" w:hAnsi="Times New Roman" w:cs="Times New Roman"/>
                <w:sz w:val="20"/>
                <w:szCs w:val="20"/>
              </w:rPr>
              <w:t>.1’deki miktar gerekliliklerine bakınız. Alınacak birincil numune sayısı 2,5 ile çarpılmalıdır.</w:t>
            </w:r>
          </w:p>
        </w:tc>
      </w:tr>
      <w:tr w:rsidR="008F593F" w:rsidRPr="007C1E0B" w:rsidTr="00836A06">
        <w:trPr>
          <w:trHeight w:val="168"/>
        </w:trPr>
        <w:tc>
          <w:tcPr>
            <w:tcW w:w="284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80 ton</w:t>
            </w:r>
          </w:p>
        </w:tc>
        <w:tc>
          <w:tcPr>
            <w:tcW w:w="636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100</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w:t>
      </w:r>
      <w:r w:rsidR="0043651D" w:rsidRPr="007C1E0B">
        <w:rPr>
          <w:rFonts w:ascii="Times New Roman" w:hAnsi="Times New Roman" w:cs="Times New Roman"/>
          <w:sz w:val="20"/>
          <w:szCs w:val="20"/>
        </w:rPr>
        <w:t xml:space="preserve">  </w:t>
      </w:r>
      <w:r w:rsidRPr="007C1E0B">
        <w:rPr>
          <w:rFonts w:ascii="Times New Roman" w:hAnsi="Times New Roman" w:cs="Times New Roman"/>
          <w:sz w:val="20"/>
          <w:szCs w:val="20"/>
        </w:rPr>
        <w:t>Çok büyük partiler için birincil numunelere ilişkin miktar gereklilikleri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alınan büyük parti için (numune alınan parti &gt; 500 ton), alınması gereken birincil numune sayısı;</w:t>
      </w:r>
    </w:p>
    <w:p w:rsidR="008F593F" w:rsidRPr="007C1E0B" w:rsidRDefault="008F593F" w:rsidP="000748B1">
      <w:pPr>
        <w:pStyle w:val="ListeParagraf"/>
        <w:numPr>
          <w:ilvl w:val="0"/>
          <w:numId w:val="14"/>
        </w:numPr>
        <w:jc w:val="both"/>
        <w:rPr>
          <w:sz w:val="20"/>
          <w:szCs w:val="20"/>
        </w:rPr>
      </w:pPr>
      <w:r w:rsidRPr="007C1E0B">
        <w:rPr>
          <w:sz w:val="20"/>
          <w:szCs w:val="20"/>
        </w:rPr>
        <w:t xml:space="preserve">Yem içerisinde homojen dağılım gösteren maddelerin veya ürünlerin kontrolü için alınacak birincil numune sayısı= Numune alınan parti miktarının karekökü alınarak elde edilen sayıya 40 eklenir </w:t>
      </w:r>
    </w:p>
    <w:p w:rsidR="008F593F" w:rsidRPr="007C1E0B" w:rsidRDefault="008F593F" w:rsidP="000748B1">
      <w:pPr>
        <w:pStyle w:val="ListeParagraf"/>
        <w:numPr>
          <w:ilvl w:val="0"/>
          <w:numId w:val="14"/>
        </w:numPr>
        <w:spacing w:after="120"/>
        <w:jc w:val="both"/>
        <w:rPr>
          <w:sz w:val="20"/>
          <w:szCs w:val="20"/>
        </w:rPr>
      </w:pPr>
      <w:r w:rsidRPr="007C1E0B">
        <w:rPr>
          <w:sz w:val="20"/>
          <w:szCs w:val="20"/>
        </w:rPr>
        <w:t>Yem içerisinde homojen dağılım göstermeyen bileşen veya maddelerin kontrolü için alınacak birincil numune sayısı= Numune alınan parti miktarının karekökü alınarak elde edilen sayıya 100 eklenir</w:t>
      </w:r>
    </w:p>
    <w:p w:rsidR="006A043F" w:rsidRPr="007C1E0B" w:rsidRDefault="006A043F" w:rsidP="006A043F">
      <w:pPr>
        <w:pStyle w:val="ListeParagraf"/>
        <w:spacing w:after="120"/>
        <w:jc w:val="both"/>
        <w:rPr>
          <w:sz w:val="20"/>
          <w:szCs w:val="20"/>
        </w:rPr>
      </w:pPr>
    </w:p>
    <w:p w:rsidR="008F593F" w:rsidRPr="007C1E0B" w:rsidRDefault="008F593F" w:rsidP="0043651D">
      <w:pPr>
        <w:spacing w:after="120"/>
        <w:jc w:val="both"/>
        <w:rPr>
          <w:rFonts w:ascii="Times New Roman" w:hAnsi="Times New Roman" w:cs="Times New Roman"/>
          <w:b/>
          <w:sz w:val="20"/>
          <w:szCs w:val="20"/>
        </w:rPr>
      </w:pPr>
      <w:r w:rsidRPr="007C1E0B">
        <w:rPr>
          <w:rFonts w:ascii="Times New Roman" w:hAnsi="Times New Roman" w:cs="Times New Roman"/>
          <w:b/>
          <w:sz w:val="20"/>
          <w:szCs w:val="20"/>
        </w:rPr>
        <w:t>4. PAÇAL NUMUNELERDE MİKTAR GEREKLİLİKLERİ</w:t>
      </w:r>
    </w:p>
    <w:tbl>
      <w:tblPr>
        <w:tblStyle w:val="TabloKlavuzu"/>
        <w:tblW w:w="9064" w:type="dxa"/>
        <w:tblInd w:w="108" w:type="dxa"/>
        <w:tblLayout w:type="fixed"/>
        <w:tblLook w:val="04A0" w:firstRow="1" w:lastRow="0" w:firstColumn="1" w:lastColumn="0" w:noHBand="0" w:noVBand="1"/>
      </w:tblPr>
      <w:tblGrid>
        <w:gridCol w:w="1288"/>
        <w:gridCol w:w="4037"/>
        <w:gridCol w:w="3739"/>
      </w:tblGrid>
      <w:tr w:rsidR="007C1E0B" w:rsidRPr="007C1E0B" w:rsidTr="00836A06">
        <w:trPr>
          <w:trHeight w:val="299"/>
        </w:trPr>
        <w:tc>
          <w:tcPr>
            <w:tcW w:w="9064" w:type="dxa"/>
            <w:gridSpan w:val="3"/>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Numune alınan kısım başına tek bir paçal numune gereklidir.</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Yemin türü</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En az paçal numune miktarı(*),(**)</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4.1.</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Dökme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 kg</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4.2.</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Ambalajlı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 kg (***)</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4.3.</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Sıvı veya yarı sıvı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 lt</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4.4.</w:t>
            </w:r>
          </w:p>
        </w:tc>
        <w:tc>
          <w:tcPr>
            <w:tcW w:w="7776" w:type="dxa"/>
            <w:gridSpan w:val="2"/>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Blok yem veya mineral yalama taşları</w:t>
            </w:r>
          </w:p>
        </w:tc>
      </w:tr>
      <w:tr w:rsidR="007C1E0B" w:rsidRPr="007C1E0B" w:rsidTr="006A043F">
        <w:trPr>
          <w:trHeight w:val="299"/>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4.4.1.</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1 kg’den fazla olan her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 kg</w:t>
            </w:r>
          </w:p>
        </w:tc>
      </w:tr>
      <w:tr w:rsidR="007C1E0B" w:rsidRPr="007C1E0B" w:rsidTr="006A043F">
        <w:trPr>
          <w:trHeight w:val="315"/>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4.4.2.</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1 kg’den fazla olmayan her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Dört blok yem veya yalama taşı ağırlığı</w:t>
            </w:r>
          </w:p>
        </w:tc>
      </w:tr>
      <w:tr w:rsidR="007C1E0B" w:rsidRPr="007C1E0B" w:rsidTr="006A043F">
        <w:trPr>
          <w:trHeight w:val="282"/>
        </w:trPr>
        <w:tc>
          <w:tcPr>
            <w:tcW w:w="128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4.5.</w:t>
            </w:r>
          </w:p>
        </w:tc>
        <w:tc>
          <w:tcPr>
            <w:tcW w:w="4037"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Kaba yem</w:t>
            </w:r>
          </w:p>
        </w:tc>
        <w:tc>
          <w:tcPr>
            <w:tcW w:w="3739"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4 kg (****)</w:t>
            </w:r>
          </w:p>
        </w:tc>
      </w:tr>
    </w:tbl>
    <w:p w:rsidR="008F593F" w:rsidRPr="007C1E0B" w:rsidRDefault="008F593F" w:rsidP="0043651D">
      <w:pPr>
        <w:spacing w:after="0"/>
        <w:jc w:val="both"/>
        <w:rPr>
          <w:rFonts w:ascii="Times New Roman" w:hAnsi="Times New Roman" w:cs="Times New Roman"/>
          <w:sz w:val="16"/>
          <w:szCs w:val="20"/>
        </w:rPr>
      </w:pPr>
      <w:r w:rsidRPr="007C1E0B">
        <w:rPr>
          <w:rFonts w:ascii="Times New Roman" w:hAnsi="Times New Roman" w:cs="Times New Roman"/>
          <w:sz w:val="16"/>
          <w:szCs w:val="20"/>
        </w:rPr>
        <w:t>(*) Numune alınan yemin yüksek değerli olması halinde, numune alma raporunda tanımlanmak ve belgelenmek koşuluyla paçal numune daha düşük bir miktarda alınabilir.</w:t>
      </w:r>
    </w:p>
    <w:p w:rsidR="008F593F" w:rsidRPr="007C1E0B" w:rsidRDefault="008F593F" w:rsidP="0043651D">
      <w:pPr>
        <w:spacing w:after="0"/>
        <w:jc w:val="both"/>
        <w:rPr>
          <w:rFonts w:ascii="Times New Roman" w:hAnsi="Times New Roman" w:cs="Times New Roman"/>
          <w:sz w:val="16"/>
          <w:szCs w:val="20"/>
        </w:rPr>
      </w:pPr>
      <w:r w:rsidRPr="007C1E0B">
        <w:rPr>
          <w:rFonts w:ascii="Times New Roman" w:hAnsi="Times New Roman" w:cs="Times New Roman"/>
          <w:sz w:val="16"/>
          <w:szCs w:val="20"/>
        </w:rPr>
        <w:t>(**) Genetiği değiştirilmiş materyalin varlığının kontrolü için alınacak olan paçal numune en a</w:t>
      </w:r>
      <w:r w:rsidR="00385A7C" w:rsidRPr="007C1E0B">
        <w:rPr>
          <w:rFonts w:ascii="Times New Roman" w:hAnsi="Times New Roman" w:cs="Times New Roman"/>
          <w:sz w:val="16"/>
          <w:szCs w:val="20"/>
        </w:rPr>
        <w:t>z</w:t>
      </w:r>
      <w:r w:rsidRPr="007C1E0B">
        <w:rPr>
          <w:rFonts w:ascii="Times New Roman" w:hAnsi="Times New Roman" w:cs="Times New Roman"/>
          <w:sz w:val="16"/>
          <w:szCs w:val="20"/>
        </w:rPr>
        <w:t xml:space="preserve"> 35 000 tohum/dane içermelidir. Buna göre, mısır için paçal numune büyüklüğü en az 10,5 kg</w:t>
      </w:r>
      <w:r w:rsidR="00CA47E6" w:rsidRPr="007C1E0B">
        <w:rPr>
          <w:rFonts w:ascii="Times New Roman" w:hAnsi="Times New Roman" w:cs="Times New Roman"/>
          <w:sz w:val="16"/>
          <w:szCs w:val="20"/>
        </w:rPr>
        <w:t>,</w:t>
      </w:r>
      <w:r w:rsidR="00385A7C" w:rsidRPr="007C1E0B">
        <w:rPr>
          <w:rFonts w:ascii="Times New Roman" w:hAnsi="Times New Roman" w:cs="Times New Roman"/>
          <w:sz w:val="16"/>
          <w:szCs w:val="20"/>
        </w:rPr>
        <w:t xml:space="preserve"> </w:t>
      </w:r>
      <w:r w:rsidRPr="007C1E0B">
        <w:rPr>
          <w:rFonts w:ascii="Times New Roman" w:hAnsi="Times New Roman" w:cs="Times New Roman"/>
          <w:sz w:val="16"/>
          <w:szCs w:val="20"/>
        </w:rPr>
        <w:t>soya için ise 7 kg olmalıdır. Arpa, darı, yulaf, pirinç</w:t>
      </w:r>
      <w:r w:rsidR="00CA47E6" w:rsidRPr="007C1E0B">
        <w:rPr>
          <w:rFonts w:ascii="Times New Roman" w:hAnsi="Times New Roman" w:cs="Times New Roman"/>
          <w:sz w:val="16"/>
          <w:szCs w:val="20"/>
        </w:rPr>
        <w:t>,</w:t>
      </w:r>
      <w:r w:rsidRPr="007C1E0B">
        <w:rPr>
          <w:rFonts w:ascii="Times New Roman" w:hAnsi="Times New Roman" w:cs="Times New Roman"/>
          <w:sz w:val="16"/>
          <w:szCs w:val="20"/>
        </w:rPr>
        <w:t xml:space="preserve"> çavdar, buğday ve keten tohumu gibi diğer tohum ve daneler için 4 kg’lık paçal numune büyüklüğü 35 000’den daha fazla daneye karşılık gelmektedir.</w:t>
      </w:r>
    </w:p>
    <w:p w:rsidR="008F593F" w:rsidRPr="007C1E0B" w:rsidRDefault="008F593F" w:rsidP="0043651D">
      <w:pPr>
        <w:spacing w:after="0"/>
        <w:jc w:val="both"/>
        <w:rPr>
          <w:rFonts w:ascii="Times New Roman" w:hAnsi="Times New Roman" w:cs="Times New Roman"/>
          <w:sz w:val="16"/>
          <w:szCs w:val="20"/>
        </w:rPr>
      </w:pPr>
      <w:r w:rsidRPr="007C1E0B">
        <w:rPr>
          <w:rFonts w:ascii="Times New Roman" w:hAnsi="Times New Roman" w:cs="Times New Roman"/>
          <w:sz w:val="16"/>
          <w:szCs w:val="20"/>
        </w:rPr>
        <w:t xml:space="preserve">(***) Ambalajlı yemde tekli birimlerin büyüklüğüne bağlı olarak </w:t>
      </w:r>
      <w:r w:rsidR="00A232B3" w:rsidRPr="007C1E0B">
        <w:rPr>
          <w:rFonts w:ascii="Times New Roman" w:hAnsi="Times New Roman" w:cs="Times New Roman"/>
          <w:sz w:val="16"/>
          <w:szCs w:val="20"/>
        </w:rPr>
        <w:t>paçal</w:t>
      </w:r>
      <w:r w:rsidRPr="007C1E0B">
        <w:rPr>
          <w:rFonts w:ascii="Times New Roman" w:hAnsi="Times New Roman" w:cs="Times New Roman"/>
          <w:sz w:val="16"/>
          <w:szCs w:val="20"/>
        </w:rPr>
        <w:t xml:space="preserve"> numune için 4 kg’lık büyüklüğe ulaşmak mümkün olmayabilir.</w:t>
      </w:r>
    </w:p>
    <w:p w:rsidR="008F593F" w:rsidRPr="007C1E0B" w:rsidRDefault="008F593F" w:rsidP="0043651D">
      <w:pPr>
        <w:spacing w:after="120"/>
        <w:jc w:val="both"/>
        <w:rPr>
          <w:rFonts w:ascii="Times New Roman" w:hAnsi="Times New Roman" w:cs="Times New Roman"/>
          <w:sz w:val="16"/>
          <w:szCs w:val="20"/>
        </w:rPr>
      </w:pPr>
      <w:r w:rsidRPr="007C1E0B">
        <w:rPr>
          <w:rFonts w:ascii="Times New Roman" w:hAnsi="Times New Roman" w:cs="Times New Roman"/>
          <w:sz w:val="16"/>
          <w:szCs w:val="20"/>
        </w:rPr>
        <w:t>(****) Düşük özgül ağırlığa sahip kaba yeme (ör. sap, saman) ilişkin olarak</w:t>
      </w:r>
      <w:r w:rsidR="00A232B3" w:rsidRPr="007C1E0B">
        <w:rPr>
          <w:rFonts w:ascii="Times New Roman" w:hAnsi="Times New Roman" w:cs="Times New Roman"/>
          <w:sz w:val="16"/>
          <w:szCs w:val="20"/>
        </w:rPr>
        <w:t xml:space="preserve"> paçal</w:t>
      </w:r>
      <w:r w:rsidR="00542817" w:rsidRPr="007C1E0B">
        <w:rPr>
          <w:rFonts w:ascii="Times New Roman" w:hAnsi="Times New Roman" w:cs="Times New Roman"/>
          <w:sz w:val="16"/>
          <w:szCs w:val="20"/>
        </w:rPr>
        <w:t xml:space="preserve"> </w:t>
      </w:r>
      <w:r w:rsidRPr="007C1E0B">
        <w:rPr>
          <w:rFonts w:ascii="Times New Roman" w:hAnsi="Times New Roman" w:cs="Times New Roman"/>
          <w:sz w:val="16"/>
          <w:szCs w:val="20"/>
        </w:rPr>
        <w:t>numune en az 1 kg büyüklüğe sahip olmalıdır.</w:t>
      </w:r>
    </w:p>
    <w:p w:rsidR="00E278DE" w:rsidRPr="007C1E0B" w:rsidRDefault="00E278DE" w:rsidP="0043651D">
      <w:pPr>
        <w:spacing w:after="120"/>
        <w:jc w:val="both"/>
        <w:rPr>
          <w:rFonts w:ascii="Times New Roman" w:hAnsi="Times New Roman" w:cs="Times New Roman"/>
          <w:b/>
          <w:sz w:val="20"/>
          <w:szCs w:val="20"/>
        </w:rPr>
      </w:pPr>
    </w:p>
    <w:p w:rsidR="008F593F" w:rsidRPr="007C1E0B" w:rsidRDefault="008F593F" w:rsidP="0043651D">
      <w:pPr>
        <w:spacing w:after="120"/>
        <w:jc w:val="both"/>
        <w:rPr>
          <w:rFonts w:ascii="Times New Roman" w:hAnsi="Times New Roman" w:cs="Times New Roman"/>
          <w:b/>
          <w:sz w:val="20"/>
          <w:szCs w:val="20"/>
        </w:rPr>
      </w:pPr>
      <w:r w:rsidRPr="007C1E0B">
        <w:rPr>
          <w:rFonts w:ascii="Times New Roman" w:hAnsi="Times New Roman" w:cs="Times New Roman"/>
          <w:b/>
          <w:sz w:val="20"/>
          <w:szCs w:val="20"/>
        </w:rPr>
        <w:t>5. NİHAİ NUMUNELERE İLİŞKİN MİKTAR GEREKLİLİKLERİ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5.1</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Nihai numuneler</w:t>
      </w:r>
    </w:p>
    <w:p w:rsidR="008F593F" w:rsidRPr="007C1E0B" w:rsidRDefault="008F593F" w:rsidP="0043651D">
      <w:pPr>
        <w:spacing w:after="120"/>
        <w:jc w:val="both"/>
        <w:rPr>
          <w:rFonts w:ascii="Times New Roman" w:hAnsi="Times New Roman" w:cs="Times New Roman"/>
          <w:sz w:val="20"/>
          <w:szCs w:val="20"/>
        </w:rPr>
      </w:pPr>
      <w:r w:rsidRPr="007C1E0B">
        <w:rPr>
          <w:rFonts w:ascii="Times New Roman" w:hAnsi="Times New Roman" w:cs="Times New Roman"/>
          <w:sz w:val="20"/>
          <w:szCs w:val="20"/>
        </w:rPr>
        <w:t>En az bir nihai numunenin analizi gereklidir. Analiz için nihai numunedeki miktar aşağıdakilerden daha az olamaz:</w:t>
      </w:r>
    </w:p>
    <w:tbl>
      <w:tblPr>
        <w:tblStyle w:val="TabloKlavuzu"/>
        <w:tblW w:w="9072" w:type="dxa"/>
        <w:tblInd w:w="108" w:type="dxa"/>
        <w:tblLayout w:type="fixed"/>
        <w:tblLook w:val="04A0" w:firstRow="1" w:lastRow="0" w:firstColumn="1" w:lastColumn="0" w:noHBand="0" w:noVBand="1"/>
      </w:tblPr>
      <w:tblGrid>
        <w:gridCol w:w="4048"/>
        <w:gridCol w:w="5024"/>
      </w:tblGrid>
      <w:tr w:rsidR="007C1E0B" w:rsidRPr="007C1E0B" w:rsidTr="00836A06">
        <w:trPr>
          <w:trHeight w:val="326"/>
        </w:trPr>
        <w:tc>
          <w:tcPr>
            <w:tcW w:w="4048" w:type="dxa"/>
          </w:tcPr>
          <w:p w:rsidR="008F593F" w:rsidRPr="007C1E0B" w:rsidRDefault="008F593F" w:rsidP="0043651D">
            <w:pPr>
              <w:spacing w:after="12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Katı yem</w:t>
            </w:r>
          </w:p>
        </w:tc>
        <w:tc>
          <w:tcPr>
            <w:tcW w:w="5024" w:type="dxa"/>
          </w:tcPr>
          <w:p w:rsidR="008F593F" w:rsidRPr="007C1E0B" w:rsidRDefault="008F593F" w:rsidP="0043651D">
            <w:pPr>
              <w:spacing w:after="12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500 g (*) (**) (***)</w:t>
            </w:r>
          </w:p>
        </w:tc>
      </w:tr>
      <w:tr w:rsidR="007C1E0B" w:rsidRPr="007C1E0B" w:rsidTr="00836A06">
        <w:trPr>
          <w:trHeight w:val="326"/>
        </w:trPr>
        <w:tc>
          <w:tcPr>
            <w:tcW w:w="4048"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Sıvı veya yarı sıvı yem</w:t>
            </w:r>
          </w:p>
        </w:tc>
        <w:tc>
          <w:tcPr>
            <w:tcW w:w="5024" w:type="dxa"/>
          </w:tcPr>
          <w:p w:rsidR="008F593F" w:rsidRPr="007C1E0B" w:rsidRDefault="008F593F">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500 ml (*)</w:t>
            </w:r>
          </w:p>
        </w:tc>
      </w:tr>
    </w:tbl>
    <w:p w:rsidR="008F593F" w:rsidRPr="007C1E0B" w:rsidRDefault="008F593F" w:rsidP="0034045A">
      <w:pPr>
        <w:spacing w:after="0"/>
        <w:jc w:val="both"/>
        <w:rPr>
          <w:rFonts w:ascii="Times New Roman" w:hAnsi="Times New Roman" w:cs="Times New Roman"/>
          <w:sz w:val="16"/>
          <w:szCs w:val="20"/>
        </w:rPr>
      </w:pPr>
      <w:r w:rsidRPr="007C1E0B">
        <w:rPr>
          <w:rFonts w:ascii="Times New Roman" w:hAnsi="Times New Roman" w:cs="Times New Roman"/>
          <w:sz w:val="16"/>
          <w:szCs w:val="20"/>
        </w:rPr>
        <w:t xml:space="preserve">(*) Genetiği değiştirilmiş materyalin varlığının kontrolü için alınacak numune en az 10 000 tohum/dane içermelidir. Buna göre, mısır için nihai numune büyüklüğü en az 3 000 g, soya için ise 2 000 g olmalıdır. Arpa, darı, yulaf, pirinç, çavdar, buğday ve keten tohumu gibi diğer tohum ve daneler için 500 g’lık nihai numune büyüklüğü 10 000’den fazla daneye karşılık gelmektedir. </w:t>
      </w:r>
    </w:p>
    <w:p w:rsidR="008F593F" w:rsidRPr="007C1E0B" w:rsidRDefault="008F593F" w:rsidP="0034045A">
      <w:pPr>
        <w:spacing w:after="0"/>
        <w:jc w:val="both"/>
        <w:rPr>
          <w:rFonts w:ascii="Times New Roman" w:hAnsi="Times New Roman" w:cs="Times New Roman"/>
          <w:sz w:val="16"/>
          <w:szCs w:val="20"/>
        </w:rPr>
      </w:pPr>
      <w:r w:rsidRPr="007C1E0B">
        <w:rPr>
          <w:rFonts w:ascii="Times New Roman" w:hAnsi="Times New Roman" w:cs="Times New Roman"/>
          <w:sz w:val="16"/>
          <w:szCs w:val="20"/>
        </w:rPr>
        <w:t xml:space="preserve">(**) </w:t>
      </w:r>
      <w:r w:rsidR="00FE6487" w:rsidRPr="007C1E0B">
        <w:rPr>
          <w:rFonts w:ascii="Times New Roman" w:hAnsi="Times New Roman" w:cs="Times New Roman"/>
          <w:sz w:val="16"/>
          <w:szCs w:val="20"/>
        </w:rPr>
        <w:t>Paçal</w:t>
      </w:r>
      <w:r w:rsidR="00CA47E6" w:rsidRPr="007C1E0B">
        <w:rPr>
          <w:rFonts w:ascii="Times New Roman" w:hAnsi="Times New Roman" w:cs="Times New Roman"/>
          <w:sz w:val="16"/>
          <w:szCs w:val="20"/>
        </w:rPr>
        <w:t xml:space="preserve"> </w:t>
      </w:r>
      <w:r w:rsidRPr="007C1E0B">
        <w:rPr>
          <w:rFonts w:ascii="Times New Roman" w:hAnsi="Times New Roman" w:cs="Times New Roman"/>
          <w:sz w:val="16"/>
          <w:szCs w:val="20"/>
        </w:rPr>
        <w:t xml:space="preserve">numunenin 4 kg veya litreden önemli derecede küçük olması halinde, numune alma raporunda tanımlanmak ve belgelenmek koşuluyla </w:t>
      </w:r>
      <w:r w:rsidR="00FE6487" w:rsidRPr="007C1E0B">
        <w:rPr>
          <w:rFonts w:ascii="Times New Roman" w:hAnsi="Times New Roman" w:cs="Times New Roman"/>
          <w:sz w:val="16"/>
          <w:szCs w:val="20"/>
        </w:rPr>
        <w:t>paçal</w:t>
      </w:r>
      <w:r w:rsidRPr="007C1E0B">
        <w:rPr>
          <w:rFonts w:ascii="Times New Roman" w:hAnsi="Times New Roman" w:cs="Times New Roman"/>
          <w:sz w:val="16"/>
          <w:szCs w:val="20"/>
        </w:rPr>
        <w:t xml:space="preserve"> numuneden daha düşük bir miktarda alınabilir.</w:t>
      </w:r>
    </w:p>
    <w:p w:rsidR="008F593F" w:rsidRPr="007C1E0B" w:rsidRDefault="008F593F" w:rsidP="0034045A">
      <w:pPr>
        <w:spacing w:after="120"/>
        <w:jc w:val="both"/>
        <w:rPr>
          <w:rFonts w:ascii="Times New Roman" w:hAnsi="Times New Roman" w:cs="Times New Roman"/>
          <w:sz w:val="16"/>
          <w:szCs w:val="20"/>
        </w:rPr>
      </w:pPr>
      <w:r w:rsidRPr="007C1E0B">
        <w:rPr>
          <w:rFonts w:ascii="Times New Roman" w:hAnsi="Times New Roman" w:cs="Times New Roman"/>
          <w:sz w:val="16"/>
          <w:szCs w:val="20"/>
        </w:rPr>
        <w:t>(***) 15 Ağustos 2011 tarihli ve 28026 sayılı Resmi Gazete’de yayımlanan Türk Gıda Kodeksi Gıdalarda Pestisit Kalıntılarının Resmi Kontrolü İçin Numune Alma Tebliği hükümleriyle uyumlu olarak baklagiller, tahıl daneleri ve ağaç yemişlerinden pestisit kalıntıları bakımından numune alınması durumunda, nihai numunenin asgari büyüklüğü 1 kg olacaktır.</w:t>
      </w:r>
    </w:p>
    <w:p w:rsidR="008F593F" w:rsidRPr="007C1E0B" w:rsidRDefault="008F593F" w:rsidP="0034045A">
      <w:pPr>
        <w:spacing w:after="120"/>
        <w:jc w:val="both"/>
        <w:rPr>
          <w:rFonts w:ascii="Times New Roman" w:hAnsi="Times New Roman" w:cs="Times New Roman"/>
          <w:b/>
          <w:sz w:val="20"/>
          <w:szCs w:val="20"/>
        </w:rPr>
      </w:pPr>
      <w:r w:rsidRPr="007C1E0B">
        <w:rPr>
          <w:rFonts w:ascii="Times New Roman" w:hAnsi="Times New Roman" w:cs="Times New Roman"/>
          <w:b/>
          <w:sz w:val="20"/>
          <w:szCs w:val="20"/>
        </w:rPr>
        <w:t xml:space="preserve">6.  ÇOK BÜYÜK PARTİLER VEYA PARTİ İÇERİSİNDE NUMUNE ALMANIN MÜMKÜN OLMAYACAĞI ŞEKİLDE </w:t>
      </w:r>
      <w:r w:rsidR="001F715D" w:rsidRPr="007C1E0B">
        <w:rPr>
          <w:rFonts w:ascii="Times New Roman" w:hAnsi="Times New Roman" w:cs="Times New Roman"/>
          <w:b/>
          <w:sz w:val="20"/>
          <w:szCs w:val="20"/>
        </w:rPr>
        <w:t xml:space="preserve">DEPOLANAN </w:t>
      </w:r>
      <w:r w:rsidRPr="007C1E0B">
        <w:rPr>
          <w:rFonts w:ascii="Times New Roman" w:hAnsi="Times New Roman" w:cs="Times New Roman"/>
          <w:b/>
          <w:sz w:val="20"/>
          <w:szCs w:val="20"/>
        </w:rPr>
        <w:t xml:space="preserve">VEYA TAŞINAN PARTİLER İÇİN NUMUNE ALMA </w:t>
      </w:r>
      <w:r w:rsidR="00381839" w:rsidRPr="007C1E0B">
        <w:rPr>
          <w:rFonts w:ascii="Times New Roman" w:hAnsi="Times New Roman" w:cs="Times New Roman"/>
          <w:b/>
          <w:sz w:val="20"/>
          <w:szCs w:val="20"/>
        </w:rPr>
        <w:t>METOT</w:t>
      </w:r>
      <w:r w:rsidRPr="007C1E0B">
        <w:rPr>
          <w:rFonts w:ascii="Times New Roman" w:hAnsi="Times New Roman" w:cs="Times New Roman"/>
          <w:b/>
          <w:sz w:val="20"/>
          <w:szCs w:val="20"/>
        </w:rPr>
        <w:t>L</w:t>
      </w:r>
      <w:r w:rsidR="00DD29C2" w:rsidRPr="007C1E0B">
        <w:rPr>
          <w:rFonts w:ascii="Times New Roman" w:hAnsi="Times New Roman" w:cs="Times New Roman"/>
          <w:b/>
          <w:sz w:val="20"/>
          <w:szCs w:val="20"/>
        </w:rPr>
        <w:t>ARI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6.1. Genel ilkeler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partinin taşınma veya saklanma biçimi partinin tümünde birincil numune alınmasına olanak sağlamazsa, bu tür partilerden numune alınması tercihen partinin akış halinde olduğu sırada yapılmalıdır.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Yemlerin depolanmasının amaçlandığı büyük depolarda, işletmeciler</w:t>
      </w:r>
      <w:r w:rsidR="00C008ED" w:rsidRPr="007C1E0B">
        <w:rPr>
          <w:rFonts w:ascii="Times New Roman" w:hAnsi="Times New Roman" w:cs="Times New Roman"/>
          <w:sz w:val="20"/>
          <w:szCs w:val="20"/>
        </w:rPr>
        <w:t xml:space="preserve">in otomatik numune alma </w:t>
      </w:r>
      <w:r w:rsidRPr="007C1E0B">
        <w:rPr>
          <w:rFonts w:ascii="Times New Roman" w:hAnsi="Times New Roman" w:cs="Times New Roman"/>
          <w:sz w:val="20"/>
          <w:szCs w:val="20"/>
        </w:rPr>
        <w:t xml:space="preserve">ekipmanın depoya kurulması yönünde teşvik </w:t>
      </w:r>
      <w:r w:rsidR="00C008ED" w:rsidRPr="007C1E0B">
        <w:rPr>
          <w:rFonts w:ascii="Times New Roman" w:hAnsi="Times New Roman" w:cs="Times New Roman"/>
          <w:sz w:val="20"/>
          <w:szCs w:val="20"/>
        </w:rPr>
        <w:t>edilmelidir. B</w:t>
      </w:r>
      <w:r w:rsidRPr="007C1E0B">
        <w:rPr>
          <w:rFonts w:ascii="Times New Roman" w:hAnsi="Times New Roman" w:cs="Times New Roman"/>
          <w:sz w:val="20"/>
          <w:szCs w:val="20"/>
        </w:rPr>
        <w:t>u sayede saklanan partilerin tümünden (otomatik) numune alınmasına olanak sağlanabilir.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bölümde bahsedilen numune alma prosedürlerinin uygulanması halinde, işletmeci veya temsilcisi numune alma prosedürü hakkında bilgilendirilmelidir. Bu numune alma prosedürüne işletmeci veya temsilcisi tarafından itiraz edilmesi halinde, masrafları kendileri tarafından karşılanmak üzere söz konusu kişiler yetkili makamın tüm partiden numune almasına olanak sağlarlar.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   Gemiyle taşınan büyük partiler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6.2.1 Gemiyle taşınan büyük partilerden dinamik (hareket halinde) numune alınması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Gemilerdeki büyük partilerden numune alınması tercihen ürünün akış halinde olduğu sırada yapılmalıdır. </w:t>
      </w:r>
    </w:p>
    <w:p w:rsidR="008950C7" w:rsidRPr="007C1E0B" w:rsidRDefault="008950C7" w:rsidP="001B722B">
      <w:pPr>
        <w:jc w:val="both"/>
        <w:rPr>
          <w:rFonts w:ascii="Times New Roman" w:hAnsi="Times New Roman" w:cs="Times New Roman"/>
          <w:sz w:val="20"/>
          <w:szCs w:val="20"/>
        </w:rPr>
      </w:pPr>
      <w:r w:rsidRPr="007C1E0B">
        <w:rPr>
          <w:rFonts w:ascii="Times New Roman" w:hAnsi="Times New Roman" w:cs="Times New Roman"/>
          <w:sz w:val="20"/>
          <w:szCs w:val="20"/>
        </w:rPr>
        <w:t>Numune alma işlemi fiziksel olarak ayrılabilen ürünlerin olduğu her ambarda yapılır. Bununla birlikte Başlangıçtaki fiziksel ayrım saklama tesislerine aktarımdan sonra geçerli olmaz, çünkü fiziksel olarak ayrılabilen ambarlar kısmen birbiri ardında boşaltılır. Bu nedenle numune alma işlemi ilk fiziksel ayırma işleminde veya depolama tesisine taşındıktan sonra ayırma işleminde yapılabilir.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geminin boşaltılması birkaç gün sürebilir. Normalde numune alma işleminin boşaltmanın tümü sırasında belirli aralıklarla yapılması gerekir. Ancak resmi bir kontrol görevlisinin tüm boşaltma işlemi boyunca numune almak için hazır bulunması mümkün veya uygun olmayabilir. Bu nedenle tüm partinin belirli bir kısmından (numune alınan kısım) numune alınmasına izin verilir. Birincil numunelerin sayısı numune alınan kısmın büyüklüğü dikkate alınarak belirlenir.</w:t>
      </w:r>
    </w:p>
    <w:p w:rsidR="008F593F" w:rsidRPr="007C1E0B" w:rsidRDefault="007D6DA8" w:rsidP="001B722B">
      <w:pPr>
        <w:jc w:val="both"/>
        <w:rPr>
          <w:rFonts w:ascii="Times New Roman" w:hAnsi="Times New Roman" w:cs="Times New Roman"/>
          <w:sz w:val="20"/>
          <w:szCs w:val="20"/>
        </w:rPr>
      </w:pPr>
      <w:r w:rsidRPr="007C1E0B">
        <w:rPr>
          <w:rFonts w:ascii="Times New Roman" w:hAnsi="Times New Roman" w:cs="Times New Roman"/>
          <w:sz w:val="20"/>
          <w:szCs w:val="20"/>
        </w:rPr>
        <w:t>Aynı sınıf veya tanımdaki bir yem partisinin bir kısmından numune alındığı ve partinin söz konusu bu kısmının mevzuat gerekliliklerini karşılamadığı durumda, geri kalanı ile ilgili yapılan daha kapsamlı değerlendirme sonucunda güvenilir olduğu ispat edilemez ise, o seri, parti veya sevkiyattaki aynı sınıf veya çeşidin tamamının mevzuata uygun olmadığına karar verilir.</w:t>
      </w:r>
      <w:r w:rsidR="008F593F"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Resmi numune otomatik olarak alınsa bile bir denetleyicinin hazır bulunması gereklidir. Bununla birlikte otomatik numune alma işleminin önceden belirlenmiş ve numune alma sırasında değiştirilemeyen parametrelerle yapılması ve birincil numunelerin kapalı bir kapta toplanarak olası bir sahteciliğin önüne geçilmesi söz konusu olduğu takdirde, bir denetleyicinin sadece numune alma süreci başında ve sonunda kaplar değiştirilirken hazır bulunması gereklidir.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6.2.2. Gemiyle taşınan partilerden statik numune alınması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alınmasının statik olarak yapılması durumunda yukarıdan erişimin mümkün olduğu depolar (silolar) için öngörülen prosedürün aynısı uygulanmalıdır (bkz. 6.4.1).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alma işleminin partinin/fiziksel olarak ayrılabilen biriminin erişilebilir kısmından (üst) yapılması gereklidir. Birincil numunelerin sayısı numune alınan kısmın büyüklüğü dikkate alınarak belirlenir. </w:t>
      </w:r>
      <w:r w:rsidR="007D6DA8" w:rsidRPr="007C1E0B">
        <w:rPr>
          <w:rFonts w:ascii="Times New Roman" w:hAnsi="Times New Roman" w:cs="Times New Roman"/>
          <w:sz w:val="20"/>
          <w:szCs w:val="20"/>
        </w:rPr>
        <w:t>Aynı sınıf veya tanımdaki bir yem partisinin bir kısmından numune alındığı ve partinin söz konusu bu kısmının mevzuat gerekliliklerini karşılamadığı durumda, geri kalanı ile ilgili yapılan daha kapsamlı değerlendirme sonucunda güvenilir olduğu ispat edilemez ise, o seri, parti veya sevkiyattaki aynı sınıf veya çeşidin tamamının mevzuata uygun olmadığına karar verilir.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6.3. Depolarda saklanan büyük partilerden numune alma</w:t>
      </w:r>
    </w:p>
    <w:p w:rsidR="007D6DA8"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partinin erişilebilir kısmından alınmalıdır. Birincil numunelerin sayısı numune alınan kısmın büyüklüğü dikkate alınarak belirlenir. </w:t>
      </w:r>
      <w:r w:rsidR="007D6DA8" w:rsidRPr="007C1E0B">
        <w:rPr>
          <w:rFonts w:ascii="Times New Roman" w:hAnsi="Times New Roman" w:cs="Times New Roman"/>
          <w:sz w:val="20"/>
          <w:szCs w:val="20"/>
        </w:rPr>
        <w:t>Aynı sınıf veya tanımdaki bir yem partisinin bir kısmından numune alındığı ve partinin söz konusu bu kısmının mevzuat gerekliliklerini karşılamadığı durumda, geri kalanı ile ilgili yapılan daha kapsamlı değerlendirme sonucunda güvenilir olduğu ispat edilemez ise, o seri, parti veya sevkiyattaki aynı sınıf veya çeşidin tamamının mevzuata uygun olmadığına karar verilir.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 Saklama tesislerinden (silolar) numune alma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6.4.1. Yukarıdan kolayca erişilebilen silolardan numune alma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partinin erişilebilir kısmından alınmalıdır. Birincil numunelerin sayısı numune alınan kısmın büyüklüğü dikkate alınarak belirlenir. </w:t>
      </w:r>
      <w:r w:rsidR="00C6597D" w:rsidRPr="007C1E0B">
        <w:rPr>
          <w:rFonts w:ascii="Times New Roman" w:hAnsi="Times New Roman" w:cs="Times New Roman"/>
          <w:sz w:val="20"/>
          <w:szCs w:val="20"/>
        </w:rPr>
        <w:t>Aynı sınıf veya tanımdaki bir yem partisinin bir kısmından numune alındığı ve partinin söz konusu bu kısmının mevzuat gerekliliklerini karşılamadığı durumda, geri kalanı ile ilgili yapılan daha kapsamlı değerlendirme sonucunda güvenilir olduğu ispat edilemez ise, o seri, parti veya sevkiyattaki aynı sınıf veya çeşidin tamamının mevzuata uygun olmadığına karar verilir.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6.4.2. Yukarıdan erişilemeyen silolardan (kapalı silolar) numune alma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6.4.2.1 Yukarıdan erişilemeyen (kapalı) silolar (&gt; 100 ton)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Silolarda saklanan yemlerden statik şekilde numune alınması mümkün değildir. Bu nedenle silodaki yemden numune alınması gerektiği ve sevkiyatın hareket ettirilmesinin mümkün olmadığı durumda, silo boşaltılacağı zaman yemin akış halinde olduğu sırada numune alınmasının sağlanması için işletmecinin denetleyici bilgilendirmesi gerekir.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6.4.2.2. Yukarıdan erişilemeyen (kapalı) silolar (&lt; 100 ton)</w:t>
      </w:r>
    </w:p>
    <w:p w:rsidR="00AA204C"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w:t>
      </w:r>
      <w:r w:rsidR="00297995" w:rsidRPr="007C1E0B">
        <w:rPr>
          <w:rFonts w:ascii="Times New Roman" w:hAnsi="Times New Roman" w:cs="Times New Roman"/>
          <w:sz w:val="20"/>
          <w:szCs w:val="20"/>
        </w:rPr>
        <w:t xml:space="preserve"> alma prosedürü 50 il</w:t>
      </w:r>
      <w:r w:rsidR="006E1B34" w:rsidRPr="007C1E0B">
        <w:rPr>
          <w:rFonts w:ascii="Times New Roman" w:hAnsi="Times New Roman" w:cs="Times New Roman"/>
          <w:sz w:val="20"/>
          <w:szCs w:val="20"/>
        </w:rPr>
        <w:t>e</w:t>
      </w:r>
      <w:r w:rsidR="00297995" w:rsidRPr="007C1E0B">
        <w:rPr>
          <w:rFonts w:ascii="Times New Roman" w:hAnsi="Times New Roman" w:cs="Times New Roman"/>
          <w:sz w:val="20"/>
          <w:szCs w:val="20"/>
        </w:rPr>
        <w:t xml:space="preserve"> 100 kg</w:t>
      </w:r>
      <w:r w:rsidR="006E1B34" w:rsidRPr="007C1E0B">
        <w:rPr>
          <w:rFonts w:ascii="Times New Roman" w:hAnsi="Times New Roman" w:cs="Times New Roman"/>
          <w:sz w:val="20"/>
          <w:szCs w:val="20"/>
        </w:rPr>
        <w:t xml:space="preserve"> arasındaki</w:t>
      </w:r>
      <w:r w:rsidRPr="007C1E0B">
        <w:rPr>
          <w:rFonts w:ascii="Times New Roman" w:hAnsi="Times New Roman" w:cs="Times New Roman"/>
          <w:sz w:val="20"/>
          <w:szCs w:val="20"/>
        </w:rPr>
        <w:t xml:space="preserve"> miktarın bir kaba alınması ve buradan numune alınmasını kapsar. Paçal numune büyüklüğü tüm partiye karşılık gelir ve birincil numunelerin sayısı numune alınması amacıyla bir kaba alınan silonun büyüklüğüyle ilişkilidir. Aynı sınıf veya tanımdaki bir yem partisinin bir kısmından numune alındığı ve partinin söz konusu bu kısmının mevzuat gerekliliklerini karşılamadığı durumda,</w:t>
      </w:r>
      <w:r w:rsidR="00AA204C" w:rsidRPr="007C1E0B">
        <w:rPr>
          <w:rFonts w:ascii="Times New Roman" w:hAnsi="Times New Roman" w:cs="Times New Roman"/>
          <w:sz w:val="20"/>
          <w:szCs w:val="20"/>
        </w:rPr>
        <w:t xml:space="preserve"> geri kalanı ile ilgili yapılan daha kapsamlı değerlendirme sonucunda güvenilir olduğu ispat edilemez ise, o seri, parti veya sevkiyattaki aynı sınıf veya çeşidin tamamının mevzuata uygun olmadığı</w:t>
      </w:r>
      <w:r w:rsidR="00890387" w:rsidRPr="007C1E0B">
        <w:rPr>
          <w:rFonts w:ascii="Times New Roman" w:hAnsi="Times New Roman" w:cs="Times New Roman"/>
          <w:sz w:val="20"/>
          <w:szCs w:val="20"/>
        </w:rPr>
        <w:t>na karar verilir.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6.5. Büyük kapalı konteynırlardaki dökme yemlerden numune alma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tür partilerden genellikle boşaltma işleminin ardından numune alınır. Belirli durumlarda ithalat veya kontrol noktasında boşaltma mümkün olmayabilir, bu nedenle numune alma işlemi söz konusu konteynırlar boşaltıldığı zaman yapılmalıdır.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7. NUMUNE ALINMASI, HAZIRLANMASI VE AMBALAJLANMASINA İLİŞKİN TALİMATLAR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 Hükümler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Numuneler gereksiz gecikmeye meydan vermeden alınmalı ve hazırlanmalıdır. Ayrıca ürünün değiştirilmesi veya kontamine olması söz konusu olmayacak şekilde gerekli önlem alınmalıdır. Araçlar ve yüzeyler ile numunelerin alınacağı kaplar temiz ve kuru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Birincil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Birincil numuneler numune alınacak kısmı</w:t>
      </w:r>
      <w:r w:rsidR="003831A3" w:rsidRPr="007C1E0B">
        <w:rPr>
          <w:rFonts w:ascii="Times New Roman" w:hAnsi="Times New Roman" w:cs="Times New Roman"/>
          <w:sz w:val="20"/>
          <w:szCs w:val="20"/>
        </w:rPr>
        <w:t>n tamamını</w:t>
      </w:r>
      <w:r w:rsidR="009A4970" w:rsidRPr="007C1E0B">
        <w:rPr>
          <w:rFonts w:ascii="Times New Roman" w:hAnsi="Times New Roman" w:cs="Times New Roman"/>
          <w:sz w:val="20"/>
          <w:szCs w:val="20"/>
        </w:rPr>
        <w:t xml:space="preserve"> temsil edecek şekilde </w:t>
      </w:r>
      <w:r w:rsidRPr="007C1E0B">
        <w:rPr>
          <w:rFonts w:ascii="Times New Roman" w:hAnsi="Times New Roman" w:cs="Times New Roman"/>
          <w:sz w:val="20"/>
          <w:szCs w:val="20"/>
        </w:rPr>
        <w:t xml:space="preserve">rastgele alınmalı ve yaklaşık olarak aynı büyüklükte olmalıdır.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Birincil numune büyüklüğü en az 100 g veya düşük özgül ağırlığa sahip kaba yem için 25 gram olmalıdır. </w:t>
      </w:r>
    </w:p>
    <w:p w:rsidR="008F593F" w:rsidRPr="007C1E0B" w:rsidRDefault="00297995" w:rsidP="001B722B">
      <w:pPr>
        <w:jc w:val="both"/>
        <w:rPr>
          <w:rFonts w:ascii="Times New Roman" w:hAnsi="Times New Roman" w:cs="Times New Roman"/>
          <w:sz w:val="20"/>
          <w:szCs w:val="20"/>
        </w:rPr>
      </w:pPr>
      <w:r w:rsidRPr="007C1E0B">
        <w:rPr>
          <w:rFonts w:ascii="Times New Roman" w:hAnsi="Times New Roman" w:cs="Times New Roman"/>
          <w:sz w:val="20"/>
          <w:szCs w:val="20"/>
        </w:rPr>
        <w:t>6 ncı</w:t>
      </w:r>
      <w:r w:rsidR="008F593F" w:rsidRPr="007C1E0B">
        <w:rPr>
          <w:rFonts w:ascii="Times New Roman" w:hAnsi="Times New Roman" w:cs="Times New Roman"/>
          <w:sz w:val="20"/>
          <w:szCs w:val="20"/>
        </w:rPr>
        <w:t xml:space="preserve"> maddede belirtilen hükümler kapsamında 40 birincil numuneden daha az numune alınması gerektiğinde birincil numunelerin ağırlığı, alınacak paçal numunenin ağırlığını belirleyen 4 üncü madde ile uyumlu olarak belirlenmelidir.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Miktar gerekliliklerine göre sınırlı sayıda birincil numune alınması gerektiği zaman küçük ambalajlı yem partilerinden numune alınması durumunda birincil numunenin miktarı 1 kg veya 1 litreyi geçmeyen bir orijinal birim kadar olmalıdır.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Küçük birimlerden (ör. &lt;250 g) oluşan ambalajlı yemden numune alınması durumunda birincil numunenin büyüklüğü ambalajın büyüklüğüne bağlıdır.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7.2.1.</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Dökme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Gerektiğinde numune alınan kısım hareket ettirilmeden (yükleme veya boşaltma) numune alma işlemi yapılabilir.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7.2.2.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Ambalajlı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inci maddede belirtildiği üzere numune alma için gerekli sayıda paketin seçilmesinin ardından her bir paketin bir kısmı bir sonda veya kürek kullanılarak alınabilir. Gerektiğinde numuneler paketlerin ayrı ayrı boşaltılmasından sonra alınabilir.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7.2.3.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Homojen veya homojenize edilebilir sıvı veya yarı sıvı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inci maddede belirtildiği üzere numune alma için yeterli sayıda paketin seçilmesinin ardından, içerikler karıştırılabilir ve her paketten bir miktar alınabilir.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İçerikler boşaltıldıktan sonra birincil numuneler alınabilir.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7.2.4.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Homojenize edilemeyen sıvı veya yarı sıvı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34045A" w:rsidRPr="007C1E0B">
        <w:rPr>
          <w:rFonts w:ascii="Times New Roman" w:hAnsi="Times New Roman" w:cs="Times New Roman"/>
          <w:sz w:val="20"/>
          <w:szCs w:val="20"/>
        </w:rPr>
        <w:t>üncü</w:t>
      </w:r>
      <w:r w:rsidRPr="007C1E0B">
        <w:rPr>
          <w:rFonts w:ascii="Times New Roman" w:hAnsi="Times New Roman" w:cs="Times New Roman"/>
          <w:sz w:val="20"/>
          <w:szCs w:val="20"/>
        </w:rPr>
        <w:t xml:space="preserve"> maddede belirtildiği üzere numune alma için gerekli sayıda paketin seçilmesinin ardından numuneler farklı düzeylerden alınabilir.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İçerikler boşaltılırken de numuneler alınabilir fakat bunların ilk kısımları 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iki durumda da alınması gereken toplam hacim 10 litreden az olmamalıdır.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7.2.5. Blok yemler ve mineral yalama taşları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34045A" w:rsidRPr="007C1E0B">
        <w:rPr>
          <w:rFonts w:ascii="Times New Roman" w:hAnsi="Times New Roman" w:cs="Times New Roman"/>
          <w:sz w:val="20"/>
          <w:szCs w:val="20"/>
        </w:rPr>
        <w:t>üncü</w:t>
      </w:r>
      <w:r w:rsidRPr="007C1E0B">
        <w:rPr>
          <w:rFonts w:ascii="Times New Roman" w:hAnsi="Times New Roman" w:cs="Times New Roman"/>
          <w:sz w:val="20"/>
          <w:szCs w:val="20"/>
        </w:rPr>
        <w:t xml:space="preserve"> maddede belirtildiği üzere, numune alma amacıyla gerekli sayıda blok veya yalama taşının seçilmesinin ardından her blok veya yalama taşından bir kısım alınabilir. Homojen olmayan bir blok veya yalama taşının bulunma ihtimaline karşı numune olarak blok veya yalama taşının tümü alınabilir.</w:t>
      </w:r>
    </w:p>
    <w:p w:rsidR="008F593F" w:rsidRPr="007C1E0B" w:rsidRDefault="00297995" w:rsidP="001B722B">
      <w:pPr>
        <w:jc w:val="both"/>
        <w:rPr>
          <w:rFonts w:ascii="Times New Roman" w:hAnsi="Times New Roman" w:cs="Times New Roman"/>
          <w:sz w:val="20"/>
          <w:szCs w:val="20"/>
        </w:rPr>
      </w:pPr>
      <w:r w:rsidRPr="007C1E0B">
        <w:rPr>
          <w:rFonts w:ascii="Times New Roman" w:hAnsi="Times New Roman" w:cs="Times New Roman"/>
          <w:sz w:val="20"/>
          <w:szCs w:val="20"/>
        </w:rPr>
        <w:t>1 kg’da</w:t>
      </w:r>
      <w:r w:rsidR="008F593F" w:rsidRPr="007C1E0B">
        <w:rPr>
          <w:rFonts w:ascii="Times New Roman" w:hAnsi="Times New Roman" w:cs="Times New Roman"/>
          <w:sz w:val="20"/>
          <w:szCs w:val="20"/>
        </w:rPr>
        <w:t xml:space="preserve">n büyük olmayan blok veya yalama taşları için </w:t>
      </w:r>
      <w:r w:rsidRPr="007C1E0B">
        <w:rPr>
          <w:rFonts w:ascii="Times New Roman" w:hAnsi="Times New Roman" w:cs="Times New Roman"/>
          <w:sz w:val="20"/>
          <w:szCs w:val="20"/>
        </w:rPr>
        <w:t>birincil numune</w:t>
      </w:r>
      <w:r w:rsidR="008F593F" w:rsidRPr="007C1E0B">
        <w:rPr>
          <w:rFonts w:ascii="Times New Roman" w:hAnsi="Times New Roman" w:cs="Times New Roman"/>
          <w:sz w:val="20"/>
          <w:szCs w:val="20"/>
        </w:rPr>
        <w:t xml:space="preserve"> bir blok veya yalama taşı içeriklerinden oluşur.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 Paçal numunelerin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Birincil numuneler karıştırılarak tek bir paçal numune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 Nihai numunelerin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Paçal numunedeki materyal dikkatle karıştırılmalıdır(</w:t>
      </w:r>
      <w:r w:rsidRPr="007C1E0B">
        <w:rPr>
          <w:rStyle w:val="DipnotBavurusu"/>
          <w:rFonts w:ascii="Times New Roman" w:hAnsi="Times New Roman" w:cs="Times New Roman"/>
          <w:sz w:val="20"/>
          <w:szCs w:val="20"/>
        </w:rPr>
        <w:footnoteReference w:id="1"/>
      </w:r>
      <w:r w:rsidRPr="007C1E0B">
        <w:rPr>
          <w:rFonts w:ascii="Times New Roman" w:hAnsi="Times New Roman" w:cs="Times New Roman"/>
          <w:sz w:val="20"/>
          <w:szCs w:val="20"/>
        </w:rPr>
        <w:t>).</w:t>
      </w:r>
    </w:p>
    <w:p w:rsidR="008F593F" w:rsidRPr="007C1E0B" w:rsidRDefault="008F593F" w:rsidP="00E40C9F">
      <w:pPr>
        <w:pStyle w:val="ListeParagraf"/>
        <w:numPr>
          <w:ilvl w:val="0"/>
          <w:numId w:val="16"/>
        </w:numPr>
        <w:spacing w:before="120" w:after="120"/>
        <w:contextualSpacing w:val="0"/>
        <w:jc w:val="both"/>
        <w:rPr>
          <w:sz w:val="20"/>
          <w:szCs w:val="20"/>
        </w:rPr>
      </w:pPr>
      <w:r w:rsidRPr="007C1E0B">
        <w:rPr>
          <w:sz w:val="20"/>
          <w:szCs w:val="20"/>
        </w:rPr>
        <w:t>Her numune uygun bir konteynır/kap içerisine koyulmalıdır. Taşıma veya saklama sırasında numune bileşiminde oluşabilecek değişiklik veya kontaminasyon ya da sahteciliğin önlenmesi amacıyla gereken tüm önlemler alınmalıdır.</w:t>
      </w:r>
    </w:p>
    <w:p w:rsidR="008F593F" w:rsidRPr="007C1E0B" w:rsidRDefault="008F593F" w:rsidP="00E40C9F">
      <w:pPr>
        <w:pStyle w:val="ListeParagraf"/>
        <w:numPr>
          <w:ilvl w:val="0"/>
          <w:numId w:val="16"/>
        </w:numPr>
        <w:spacing w:before="120" w:after="120"/>
        <w:contextualSpacing w:val="0"/>
        <w:jc w:val="both"/>
        <w:rPr>
          <w:sz w:val="20"/>
          <w:szCs w:val="20"/>
        </w:rPr>
      </w:pPr>
      <w:r w:rsidRPr="007C1E0B">
        <w:rPr>
          <w:sz w:val="20"/>
          <w:szCs w:val="20"/>
        </w:rPr>
        <w:t xml:space="preserve">Yemde homojen şekilde dağılmış bileşen veya maddelerin kontrolü amacıyla </w:t>
      </w:r>
      <w:r w:rsidR="00A232B3" w:rsidRPr="007C1E0B">
        <w:rPr>
          <w:sz w:val="16"/>
          <w:szCs w:val="20"/>
        </w:rPr>
        <w:t>paçal</w:t>
      </w:r>
      <w:r w:rsidRPr="007C1E0B">
        <w:rPr>
          <w:sz w:val="20"/>
          <w:szCs w:val="20"/>
        </w:rPr>
        <w:t xml:space="preserve"> numune tercihen bir mekanik ya da otomatik bölücü yoluyla en az 2,0 kg veya 2,0 litreye temsili şekilde azaltılabilir (azaltılmış numune)(</w:t>
      </w:r>
      <w:r w:rsidRPr="007C1E0B">
        <w:rPr>
          <w:rStyle w:val="DipnotBavurusu"/>
          <w:sz w:val="20"/>
          <w:szCs w:val="20"/>
        </w:rPr>
        <w:footnoteReference w:id="2"/>
      </w:r>
      <w:r w:rsidRPr="007C1E0B">
        <w:rPr>
          <w:sz w:val="20"/>
          <w:szCs w:val="20"/>
        </w:rPr>
        <w:t xml:space="preserve"> ). Baklagiller, tahıl daneleri ve ağaç yemişlerinde pestisit kalıntılarının kontrolü amacıyla azaltılmış numunenin asgari büyüklüğü 3 kg olmalıdır. Yemin yapısının bölücü kullanımına imkan sağlamaması veya bölücünün mevcut olmaması durumunda, numune çeyrekleme </w:t>
      </w:r>
      <w:r w:rsidR="00381839" w:rsidRPr="007C1E0B">
        <w:rPr>
          <w:sz w:val="20"/>
          <w:szCs w:val="20"/>
        </w:rPr>
        <w:t>metot</w:t>
      </w:r>
      <w:r w:rsidR="00DD29C2" w:rsidRPr="007C1E0B">
        <w:rPr>
          <w:sz w:val="20"/>
          <w:szCs w:val="20"/>
        </w:rPr>
        <w:t>lar</w:t>
      </w:r>
      <w:r w:rsidR="00DA6A85" w:rsidRPr="007C1E0B">
        <w:rPr>
          <w:sz w:val="20"/>
          <w:szCs w:val="20"/>
        </w:rPr>
        <w:t>ı</w:t>
      </w:r>
      <w:r w:rsidR="00DD29C2" w:rsidRPr="007C1E0B">
        <w:rPr>
          <w:sz w:val="20"/>
          <w:szCs w:val="20"/>
        </w:rPr>
        <w:t>yla</w:t>
      </w:r>
      <w:r w:rsidRPr="007C1E0B">
        <w:rPr>
          <w:sz w:val="20"/>
          <w:szCs w:val="20"/>
        </w:rPr>
        <w:t xml:space="preserve"> azaltılabilir. Azaltılan numunelerle (Asıl, şahit ve firma numunesi olarak) yaklaşık olarak aynı miktarda ve 5 </w:t>
      </w:r>
      <w:r w:rsidR="00297995" w:rsidRPr="007C1E0B">
        <w:rPr>
          <w:sz w:val="20"/>
          <w:szCs w:val="20"/>
        </w:rPr>
        <w:t>i</w:t>
      </w:r>
      <w:r w:rsidRPr="007C1E0B">
        <w:rPr>
          <w:sz w:val="20"/>
          <w:szCs w:val="20"/>
        </w:rPr>
        <w:t xml:space="preserve">nci maddedeki miktar gerekliliklerine uygun olarak nihai numuneler alınır. Genetiği değiştirilmiş materyaller de dahil olmak üzere bileşenlerin kontrolü durumunda, </w:t>
      </w:r>
      <w:r w:rsidR="00A232B3" w:rsidRPr="007C1E0B">
        <w:rPr>
          <w:sz w:val="20"/>
          <w:szCs w:val="20"/>
        </w:rPr>
        <w:t>Paçal</w:t>
      </w:r>
      <w:r w:rsidRPr="007C1E0B">
        <w:rPr>
          <w:sz w:val="20"/>
          <w:szCs w:val="20"/>
        </w:rPr>
        <w:t xml:space="preserve"> numune:</w:t>
      </w:r>
    </w:p>
    <w:p w:rsidR="008F593F" w:rsidRPr="007C1E0B" w:rsidRDefault="008F593F" w:rsidP="00E40C9F">
      <w:pPr>
        <w:pStyle w:val="ListeParagraf"/>
        <w:numPr>
          <w:ilvl w:val="0"/>
          <w:numId w:val="16"/>
        </w:numPr>
        <w:spacing w:before="120" w:after="120"/>
        <w:contextualSpacing w:val="0"/>
        <w:jc w:val="both"/>
        <w:rPr>
          <w:sz w:val="20"/>
          <w:szCs w:val="20"/>
        </w:rPr>
      </w:pPr>
      <w:r w:rsidRPr="007C1E0B">
        <w:rPr>
          <w:sz w:val="20"/>
          <w:szCs w:val="20"/>
        </w:rPr>
        <w:t>Tamamen homojenize edilir ve sonrasında nihai numunelere bölünür ya da</w:t>
      </w:r>
    </w:p>
    <w:p w:rsidR="008F593F" w:rsidRPr="007C1E0B" w:rsidRDefault="008F593F" w:rsidP="00E40C9F">
      <w:pPr>
        <w:pStyle w:val="ListeParagraf"/>
        <w:numPr>
          <w:ilvl w:val="0"/>
          <w:numId w:val="16"/>
        </w:numPr>
        <w:spacing w:before="120" w:after="120"/>
        <w:contextualSpacing w:val="0"/>
        <w:jc w:val="both"/>
        <w:rPr>
          <w:sz w:val="20"/>
          <w:szCs w:val="20"/>
        </w:rPr>
      </w:pPr>
      <w:r w:rsidRPr="007C1E0B">
        <w:rPr>
          <w:sz w:val="20"/>
          <w:szCs w:val="20"/>
        </w:rPr>
        <w:t>Mekanik veya otomatik bir bölücü kullanılarak en az 2 kg veya 2 litreye(</w:t>
      </w:r>
      <w:r w:rsidRPr="007C1E0B">
        <w:rPr>
          <w:rStyle w:val="DipnotBavurusu"/>
          <w:sz w:val="20"/>
          <w:szCs w:val="20"/>
        </w:rPr>
        <w:footnoteReference w:id="3"/>
      </w:r>
      <w:r w:rsidRPr="007C1E0B">
        <w:rPr>
          <w:sz w:val="20"/>
          <w:szCs w:val="20"/>
        </w:rPr>
        <w:t xml:space="preserve">) azaltılır. Sadece yemin yapısının bölücü kullanımına olanak sağlamadığı durumda, gerek duyulması halinde numune çeyrekleme </w:t>
      </w:r>
      <w:r w:rsidR="00381839" w:rsidRPr="007C1E0B">
        <w:rPr>
          <w:sz w:val="20"/>
          <w:szCs w:val="20"/>
        </w:rPr>
        <w:t>meto</w:t>
      </w:r>
      <w:r w:rsidR="00DD29C2" w:rsidRPr="007C1E0B">
        <w:rPr>
          <w:sz w:val="20"/>
          <w:szCs w:val="20"/>
        </w:rPr>
        <w:t>duyla</w:t>
      </w:r>
      <w:r w:rsidRPr="007C1E0B">
        <w:rPr>
          <w:sz w:val="20"/>
          <w:szCs w:val="20"/>
        </w:rPr>
        <w:t xml:space="preserve"> azaltılabilir. Genetiği değiştirilmiş materyalin varlığının kontrolü amacıyla azaltılmış numune en az 10000 tohumun/dane içermelidir (4 üncü maddedeki dipnot (**) ve 7 nci madde</w:t>
      </w:r>
      <w:r w:rsidR="00297995" w:rsidRPr="007C1E0B">
        <w:rPr>
          <w:sz w:val="20"/>
          <w:szCs w:val="20"/>
        </w:rPr>
        <w:t>de</w:t>
      </w:r>
      <w:r w:rsidRPr="007C1E0B">
        <w:rPr>
          <w:sz w:val="20"/>
          <w:szCs w:val="20"/>
        </w:rPr>
        <w:t>ki dipnota (*) bakınız).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7.5.</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Numunelerin ambalajlanması</w:t>
      </w:r>
    </w:p>
    <w:p w:rsidR="006D5084" w:rsidRPr="007C1E0B" w:rsidRDefault="00F27C0A">
      <w:pPr>
        <w:jc w:val="both"/>
        <w:rPr>
          <w:rFonts w:ascii="Times New Roman" w:hAnsi="Times New Roman" w:cs="Times New Roman"/>
          <w:sz w:val="20"/>
          <w:szCs w:val="20"/>
        </w:rPr>
      </w:pPr>
      <w:r w:rsidRPr="007C1E0B">
        <w:rPr>
          <w:rFonts w:ascii="Times New Roman" w:hAnsi="Times New Roman" w:cs="Times New Roman"/>
          <w:sz w:val="20"/>
          <w:szCs w:val="20"/>
        </w:rPr>
        <w:t>Resmî kontroller için alınan numuneler, mühürlenir ve etiketlenir. Numunenin konulduğu kap veya ambalajın mühürleme işlemi, numunenin güvenliğini temin etmek amacıyla mühür bozulmadan paket açılamayacak şekilde yapılır.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7.6.</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Numunelerin laboratuvara gönderilmesi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analizi yapacak kişi için gerekli bilgilerle beraber tayin edilen analiz laboratuvarına gecikme olmaksızın gönderilmelidir.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8. NUMUNE ALMA KAYDI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numunenin kaydı tutulmalı, numune alınan her kısmın ve numune büyüklüğünün açıkça tanımlanmasına olanak sağlanmalıdır.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Kayıtta aynı zamanda bu Yönetmelikte sunulan numune alma prosedüründen sapma varsa belirtilmelidir.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Kayıt altına alınan numune resmi kontrol laboratuvarına gönderilir.</w:t>
      </w:r>
    </w:p>
    <w:p w:rsidR="008F593F" w:rsidRPr="007C1E0B" w:rsidRDefault="0039089F" w:rsidP="0034045A">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w:t>
      </w:r>
      <w:r w:rsidR="0034045A" w:rsidRPr="007C1E0B">
        <w:rPr>
          <w:rFonts w:ascii="Times New Roman" w:hAnsi="Times New Roman" w:cs="Times New Roman"/>
          <w:b/>
          <w:sz w:val="20"/>
          <w:szCs w:val="20"/>
        </w:rPr>
        <w:t>-</w:t>
      </w:r>
      <w:r w:rsidR="008F593F" w:rsidRPr="007C1E0B">
        <w:rPr>
          <w:rFonts w:ascii="Times New Roman" w:hAnsi="Times New Roman" w:cs="Times New Roman"/>
          <w:b/>
          <w:sz w:val="20"/>
          <w:szCs w:val="20"/>
        </w:rPr>
        <w:t>2</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YEM</w:t>
      </w:r>
      <w:r w:rsidR="00A600A9" w:rsidRPr="007C1E0B">
        <w:rPr>
          <w:rFonts w:ascii="Times New Roman" w:hAnsi="Times New Roman" w:cs="Times New Roman"/>
          <w:b/>
          <w:sz w:val="20"/>
          <w:szCs w:val="20"/>
        </w:rPr>
        <w:t xml:space="preserve">LERİN </w:t>
      </w:r>
      <w:r w:rsidRPr="007C1E0B">
        <w:rPr>
          <w:rFonts w:ascii="Times New Roman" w:hAnsi="Times New Roman" w:cs="Times New Roman"/>
          <w:b/>
          <w:sz w:val="20"/>
          <w:szCs w:val="20"/>
        </w:rPr>
        <w:t>ANALİZ METOTLARINA İLİŞKİN GENEL HÜKÜMLER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A. NUMUNELERİN ANALİZ İÇİN HAZIRLANMASI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 belirtilen prosedürler E</w:t>
      </w:r>
      <w:r w:rsidR="0034045A" w:rsidRPr="007C1E0B">
        <w:rPr>
          <w:rFonts w:ascii="Times New Roman" w:hAnsi="Times New Roman" w:cs="Times New Roman"/>
          <w:sz w:val="20"/>
          <w:szCs w:val="20"/>
        </w:rPr>
        <w:t>K-</w:t>
      </w:r>
      <w:r w:rsidRPr="007C1E0B">
        <w:rPr>
          <w:rFonts w:ascii="Times New Roman" w:hAnsi="Times New Roman" w:cs="Times New Roman"/>
          <w:sz w:val="20"/>
          <w:szCs w:val="20"/>
        </w:rPr>
        <w:t>1’de belirtilen hükümlere uygun olarak yapılan numune alma işleminin ardından kontrol laboratuvarlarına gönderilen numunelerin analize hazırlanması amacıyla belirlenmiştir.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Analize alınacak numuneler hazırlanırken tartılan miktarlar analiz metotları kısmında belirtildiği üzere homojen ve nihai numuneleri temsil edecek şekilde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34045A" w:rsidRPr="007C1E0B">
        <w:rPr>
          <w:rFonts w:ascii="Times New Roman" w:hAnsi="Times New Roman" w:cs="Times New Roman"/>
          <w:sz w:val="20"/>
          <w:szCs w:val="20"/>
        </w:rPr>
        <w:t xml:space="preserve"> </w:t>
      </w:r>
      <w:r w:rsidRPr="007C1E0B">
        <w:rPr>
          <w:rFonts w:ascii="Times New Roman" w:hAnsi="Times New Roman" w:cs="Times New Roman"/>
          <w:sz w:val="20"/>
          <w:szCs w:val="20"/>
        </w:rPr>
        <w:t>Alınacak tedbirler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İzlenecek numune hazırlama prosedürü, kullanılacak analiz metotlarına ve kontrol edilecek bileşen ve maddelere bağlıdır. Bu nedenle aşağıdaki numune hazırlama prosedürü, kullanılan analiz metodu ve kontrol edilecek bileşen veya maddeler için uygun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Gerekli tüm işlemler, numunenin olası kontaminasyonunu ve numune bileşimindeki değişikliği mümkün olduğunca önleyecek şekilde yapılmalıdır. Öğütme, karıştırma ve elekten geçirme işlemleri numunenin hava ve ışığa en az düzeyde maruz kalmasına dikkat edilerek gecikme olmaksızın yapılmalıdır. Numune ısısını </w:t>
      </w:r>
      <w:r w:rsidR="00297995" w:rsidRPr="007C1E0B">
        <w:rPr>
          <w:rFonts w:ascii="Times New Roman" w:hAnsi="Times New Roman" w:cs="Times New Roman"/>
          <w:sz w:val="20"/>
          <w:szCs w:val="20"/>
        </w:rPr>
        <w:t>artırabilecek değirmen</w:t>
      </w:r>
      <w:r w:rsidRPr="007C1E0B">
        <w:rPr>
          <w:rFonts w:ascii="Times New Roman" w:hAnsi="Times New Roman" w:cs="Times New Roman"/>
          <w:sz w:val="20"/>
          <w:szCs w:val="20"/>
        </w:rPr>
        <w:t xml:space="preserve"> ve öğütücüler kullanılmamalıdır.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Isıya özellikle duyarlı olan yemler için manuel öğütme tavsiye edilmektedir. Bunun dışında kullanılan aparatın bir kontaminasyon kaynağı olmamasını sağlamak için özen gösterilmelidir.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Hazırlama işlemi, numunenin nem düzeyinde önemli değişiklik olmaksızın gerçekleştirilemiyorsa, hazırlık öncesi ve sonrasında </w:t>
      </w:r>
      <w:r w:rsidR="00031476" w:rsidRPr="007C1E0B">
        <w:rPr>
          <w:rFonts w:ascii="Times New Roman" w:hAnsi="Times New Roman" w:cs="Times New Roman"/>
          <w:sz w:val="20"/>
          <w:szCs w:val="20"/>
        </w:rPr>
        <w:t xml:space="preserve">EK-3’ün A Bölümünde </w:t>
      </w:r>
      <w:r w:rsidRPr="007C1E0B">
        <w:rPr>
          <w:rFonts w:ascii="Times New Roman" w:hAnsi="Times New Roman" w:cs="Times New Roman"/>
          <w:sz w:val="20"/>
          <w:szCs w:val="20"/>
        </w:rPr>
        <w:t>belirtilen metoda göre nem düzeyi belirlenmelidir.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031476"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Prosedür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Genel prosedür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analiz için hazırlanırken uygun ayırma teknikleri kullanılarak analiz ve referans için yeterli alt numunelere bölünür. Alt numunelere bölünürken konileme ve çeyrekleme metotları kullanılmaz.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3.1.1. Ön işlemsiz öğütülebilen 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Elenen numune karıştırılır, temiz, kuru, hava sızdırmayan uygun bir kaba alınır. Analiz yapılmak üzere numune alınacağı zaman, numune tartılmadan hemen önce homojenizasyon sağlamak amacıyla tekrar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6915B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Kurutmanın ardından öğütülebilen yemler </w:t>
      </w:r>
    </w:p>
    <w:p w:rsidR="006E1B34"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Analiz metodunda farklı bir şekil belirtilmemişse numune, EK-3’ün </w:t>
      </w:r>
      <w:r w:rsidR="00031476" w:rsidRPr="007C1E0B">
        <w:rPr>
          <w:rFonts w:ascii="Times New Roman" w:hAnsi="Times New Roman" w:cs="Times New Roman"/>
          <w:sz w:val="20"/>
          <w:szCs w:val="20"/>
        </w:rPr>
        <w:t xml:space="preserve">A Bölümünün </w:t>
      </w:r>
      <w:r w:rsidRPr="007C1E0B">
        <w:rPr>
          <w:rFonts w:ascii="Times New Roman" w:hAnsi="Times New Roman" w:cs="Times New Roman"/>
          <w:sz w:val="20"/>
          <w:szCs w:val="20"/>
        </w:rPr>
        <w:t>4.3’ünde belirtilen metottaki ön kurutma işlemine uygun olarak, nem içeriği % 8 – 12 aralığına düşünceye kadar kurutulur. Bundan sonraki işlemler, 3.1.1’de belirtildiği şekilde yapılır.</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6915B0"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veya yarı sıvı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temiz, kuru ve hava sızdırmayan uygun bir kaba alınır. Analiz yapılmak üzere numune alınacağı zaman, numune tartılmadan hemen önce homojenizasyon sağlamak amacıyla karıştırılır.</w:t>
      </w:r>
    </w:p>
    <w:p w:rsidR="006A043F" w:rsidRPr="007C1E0B" w:rsidRDefault="006A043F" w:rsidP="001B722B">
      <w:pPr>
        <w:jc w:val="both"/>
        <w:rPr>
          <w:rFonts w:ascii="Times New Roman" w:hAnsi="Times New Roman" w:cs="Times New Roman"/>
          <w:sz w:val="20"/>
          <w:szCs w:val="20"/>
        </w:rPr>
      </w:pPr>
    </w:p>
    <w:p w:rsidR="006A043F" w:rsidRPr="007C1E0B" w:rsidRDefault="006A04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3.1.4. </w:t>
      </w:r>
      <w:r w:rsidR="006915B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Diğer yemler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Yemlerin özelliğine göre, yukarıda belirtilen şekillerde hazırlanması mümkün olmayan diğer yemlerin hazırlanmasında farklı </w:t>
      </w:r>
      <w:r w:rsidR="00381839" w:rsidRPr="007C1E0B">
        <w:rPr>
          <w:rFonts w:ascii="Times New Roman" w:hAnsi="Times New Roman" w:cs="Times New Roman"/>
          <w:sz w:val="20"/>
          <w:szCs w:val="20"/>
        </w:rPr>
        <w:t>metot</w:t>
      </w:r>
      <w:r w:rsidRPr="007C1E0B">
        <w:rPr>
          <w:rFonts w:ascii="Times New Roman" w:hAnsi="Times New Roman" w:cs="Times New Roman"/>
          <w:sz w:val="20"/>
          <w:szCs w:val="20"/>
        </w:rPr>
        <w:t>l</w:t>
      </w:r>
      <w:r w:rsidR="00DD29C2" w:rsidRPr="007C1E0B">
        <w:rPr>
          <w:rFonts w:ascii="Times New Roman" w:hAnsi="Times New Roman" w:cs="Times New Roman"/>
          <w:sz w:val="20"/>
          <w:szCs w:val="20"/>
        </w:rPr>
        <w:t>a</w:t>
      </w:r>
      <w:r w:rsidRPr="007C1E0B">
        <w:rPr>
          <w:rFonts w:ascii="Times New Roman" w:hAnsi="Times New Roman" w:cs="Times New Roman"/>
          <w:sz w:val="20"/>
          <w:szCs w:val="20"/>
        </w:rPr>
        <w:t>r uygulanabilir. Ancak, analiz için alınan miktar, homojen ve numuneyi temsil edecek şekilde olmalıdır.</w:t>
      </w:r>
    </w:p>
    <w:p w:rsidR="008F593F" w:rsidRPr="007C1E0B" w:rsidRDefault="008F593F" w:rsidP="000748B1">
      <w:pPr>
        <w:pStyle w:val="ListeParagraf"/>
        <w:numPr>
          <w:ilvl w:val="0"/>
          <w:numId w:val="2"/>
        </w:numPr>
        <w:jc w:val="both"/>
        <w:rPr>
          <w:sz w:val="20"/>
          <w:szCs w:val="20"/>
        </w:rPr>
      </w:pPr>
      <w:r w:rsidRPr="007C1E0B">
        <w:rPr>
          <w:sz w:val="20"/>
          <w:szCs w:val="20"/>
        </w:rPr>
        <w:t>Görsel inceleme veya mikroskopi yoluyla muayene ya da numunenin tümünün homojenize edildiği durumlara ilişkin prosedür.</w:t>
      </w:r>
    </w:p>
    <w:p w:rsidR="008F593F" w:rsidRPr="007C1E0B" w:rsidRDefault="008F593F" w:rsidP="000748B1">
      <w:pPr>
        <w:pStyle w:val="ListeParagraf"/>
        <w:numPr>
          <w:ilvl w:val="0"/>
          <w:numId w:val="2"/>
        </w:numPr>
        <w:jc w:val="both"/>
        <w:rPr>
          <w:sz w:val="20"/>
          <w:szCs w:val="20"/>
        </w:rPr>
      </w:pPr>
      <w:r w:rsidRPr="007C1E0B">
        <w:rPr>
          <w:sz w:val="20"/>
          <w:szCs w:val="20"/>
        </w:rPr>
        <w:t>Görsel incelemeyle muayene durumunda (mikroskop kullanmaksızın), muayene amacıyla laboratuvar numunesinin tümü kullanılır.</w:t>
      </w:r>
    </w:p>
    <w:p w:rsidR="008F593F" w:rsidRPr="007C1E0B" w:rsidRDefault="008F593F" w:rsidP="000748B1">
      <w:pPr>
        <w:pStyle w:val="ListeParagraf"/>
        <w:numPr>
          <w:ilvl w:val="0"/>
          <w:numId w:val="2"/>
        </w:numPr>
        <w:jc w:val="both"/>
        <w:rPr>
          <w:sz w:val="20"/>
          <w:szCs w:val="20"/>
        </w:rPr>
      </w:pPr>
      <w:r w:rsidRPr="007C1E0B">
        <w:rPr>
          <w:sz w:val="20"/>
          <w:szCs w:val="20"/>
        </w:rPr>
        <w:t>Mikroskopla muayene durumunda, laboratuvar numuneyi azaltabilir.</w:t>
      </w:r>
    </w:p>
    <w:p w:rsidR="008F593F" w:rsidRPr="007C1E0B" w:rsidRDefault="008F593F" w:rsidP="000748B1">
      <w:pPr>
        <w:pStyle w:val="ListeParagraf"/>
        <w:numPr>
          <w:ilvl w:val="0"/>
          <w:numId w:val="2"/>
        </w:numPr>
        <w:jc w:val="both"/>
        <w:rPr>
          <w:sz w:val="20"/>
          <w:szCs w:val="20"/>
        </w:rPr>
      </w:pPr>
      <w:r w:rsidRPr="007C1E0B">
        <w:rPr>
          <w:sz w:val="20"/>
          <w:szCs w:val="20"/>
        </w:rPr>
        <w:t>Numunenin homojenize olduğu durumda, nihai numune homojenize olan numuneden alınır.</w:t>
      </w:r>
    </w:p>
    <w:p w:rsidR="00812E61" w:rsidRPr="007C1E0B" w:rsidRDefault="00812E61" w:rsidP="00812E61">
      <w:pPr>
        <w:pStyle w:val="ListeParagraf"/>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12E61"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Numunelerin saklanması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Numuneler bileşenlerinin değişmeyeceği bir sıcaklıkta saklanmalıdır. Işığa özellikle duyarlı olan vitamin veya diğer maddelerin analizi için alınan numuneler, ışıktan olumsuz etkilenmeyecek koşullarda saklanmalıdır.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B. </w:t>
      </w:r>
      <w:r w:rsidR="00812E61"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ANALİZLERDE KULLANILAN REAKTİFLER VE APARATLARA İLİŞKİN HÜKÜMLER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12E61"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Analiz metodunda farklı bir şekil belirtilmemişse, kullanılan kimyasalların analitik olarak saf olması gerekir. Eser miktardaki maddelerin analizinde kullanılan kimyasalların saflığı, kör test ile kontrol edilir. Elde edilen sonuçlara göre kimyasalların daha da saflaştırılması gerekebilir.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12E61" w:rsidRPr="007C1E0B">
        <w:rPr>
          <w:rFonts w:ascii="Times New Roman" w:hAnsi="Times New Roman" w:cs="Times New Roman"/>
          <w:sz w:val="20"/>
          <w:szCs w:val="20"/>
        </w:rPr>
        <w:t xml:space="preserve"> </w:t>
      </w:r>
      <w:r w:rsidRPr="007C1E0B">
        <w:rPr>
          <w:rFonts w:ascii="Times New Roman" w:hAnsi="Times New Roman" w:cs="Times New Roman"/>
          <w:sz w:val="20"/>
          <w:szCs w:val="20"/>
        </w:rPr>
        <w:t>Kullanılan solvent veya dilue</w:t>
      </w:r>
      <w:r w:rsidR="00297995" w:rsidRPr="007C1E0B">
        <w:rPr>
          <w:rFonts w:ascii="Times New Roman" w:hAnsi="Times New Roman" w:cs="Times New Roman"/>
          <w:sz w:val="20"/>
          <w:szCs w:val="20"/>
        </w:rPr>
        <w:t>n</w:t>
      </w:r>
      <w:r w:rsidRPr="007C1E0B">
        <w:rPr>
          <w:rFonts w:ascii="Times New Roman" w:hAnsi="Times New Roman" w:cs="Times New Roman"/>
          <w:sz w:val="20"/>
          <w:szCs w:val="20"/>
        </w:rPr>
        <w:t xml:space="preserve">tin yapısı belirtilmeksizin analiz metotlarında belirtilen çözelti hazırlanması, seyreltme, durulama veya yıkamayı içeren herhangi bir işlem suyun kullanılmasını gerektirir. Genel bir kural olarak su demineralize veya distile olmalıdır. Analiz metotlarında belirtilen bazı durumlar dışında bu </w:t>
      </w:r>
      <w:r w:rsidR="00381839" w:rsidRPr="007C1E0B">
        <w:rPr>
          <w:rFonts w:ascii="Times New Roman" w:hAnsi="Times New Roman" w:cs="Times New Roman"/>
          <w:sz w:val="20"/>
          <w:szCs w:val="20"/>
        </w:rPr>
        <w:t>metot</w:t>
      </w:r>
      <w:r w:rsidRPr="007C1E0B">
        <w:rPr>
          <w:rFonts w:ascii="Times New Roman" w:hAnsi="Times New Roman" w:cs="Times New Roman"/>
          <w:sz w:val="20"/>
          <w:szCs w:val="20"/>
        </w:rPr>
        <w:t xml:space="preserve"> özel saflaştırma prosedürlerine tabi olmalıdır.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Analiz metotlarında, kontrol laboratuvarlarında normal olarak bulunan ekipmandan, sadece özel olan veya özel bir kullanım gerektiren araç ve aparatlara atıf yapılmıştır. Özellikle küçük miktarlardaki maddelerin belirlenmesi gerektiği zaman bu araç ve aparatlar temiz olmalıdır.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C.  ANALİZ METOTLARININ UYGULANMASI VE SONUÇLARIN İFADESİ</w:t>
      </w:r>
      <w:r w:rsidR="00515A20" w:rsidRPr="007C1E0B">
        <w:rPr>
          <w:rFonts w:ascii="Times New Roman" w:hAnsi="Times New Roman" w:cs="Times New Roman"/>
          <w:b/>
          <w:sz w:val="20"/>
          <w:szCs w:val="20"/>
        </w:rPr>
        <w:t>NE İLİŞKİN HUSUSLAR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r w:rsidR="00B6137D"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prosedürü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Ekstraksiyon işleminde değişik metotlar uygulanabilir. Genel bir kural olarak, metotta atıfta bulunulan prosedür dışındaki ekstraksiyon prosedürleri uygulanabilir. Bunun uygulanabilmesi için kullanılan ekstraksiyon prosedürünün analiz edilen matriks için metotta belirtilen prosedüre denk bir ekstraksiyon verimine sahip olduğunun ortaya konulması gerekir.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r w:rsidR="00B6137D" w:rsidRPr="007C1E0B">
        <w:rPr>
          <w:rFonts w:ascii="Times New Roman" w:hAnsi="Times New Roman" w:cs="Times New Roman"/>
          <w:sz w:val="20"/>
          <w:szCs w:val="20"/>
        </w:rPr>
        <w:t xml:space="preserve">  </w:t>
      </w:r>
      <w:r w:rsidRPr="007C1E0B">
        <w:rPr>
          <w:rFonts w:ascii="Times New Roman" w:hAnsi="Times New Roman" w:cs="Times New Roman"/>
          <w:sz w:val="20"/>
          <w:szCs w:val="20"/>
        </w:rPr>
        <w:t>Temizleme prosedürü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Temizleme </w:t>
      </w:r>
      <w:r w:rsidR="00297995" w:rsidRPr="007C1E0B">
        <w:rPr>
          <w:rFonts w:ascii="Times New Roman" w:hAnsi="Times New Roman" w:cs="Times New Roman"/>
          <w:sz w:val="20"/>
          <w:szCs w:val="20"/>
        </w:rPr>
        <w:t>prosedürü farklı metotlarla</w:t>
      </w:r>
      <w:r w:rsidRPr="007C1E0B">
        <w:rPr>
          <w:rFonts w:ascii="Times New Roman" w:hAnsi="Times New Roman" w:cs="Times New Roman"/>
          <w:sz w:val="20"/>
          <w:szCs w:val="20"/>
        </w:rPr>
        <w:t xml:space="preserve"> yapılabilir. Genel bir kural olarak metotta atıfta bulunulan prosedür dışındaki temizleme prosedürleri uygulanabilir. Bunun uygulanabilmesi için, kullanılan prosedürün analiz edilen matriks için metotta belirtilen prosedüre denk bir temizleme verimine sahip olduğu ortaya koyulmalıdır.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3.Tespitlerin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İstenmeyen maddeler yönünden analiz yapılıyorsa kalite prosedürlerine uyulmuş olması koşuluyla, çalışılan ilk örnekte belirlenen analiz sonucunda elde edilen değer, spesifikasyonda belirtilen değerin yarısından düşükse ikinci bir çalışmaya gerek yoktur. Diğer durumlarda numunenin iç çapraz kontaminasyonu ya da kazara karışma olasılığını dışarıda bırakmak için çift analiz (ikinci bir tespit) gereklidir. Ölçüm belirsizliği göz önüne alınarak söz konusu iki tespitin ortalaması, uyumun doğrulaması için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maddenin içeriğinin veya beyan edilen değerin kontrolünde, kalite prosedürlerine uyulmuş olması koşuluyla, çalışılan ilk örnekte belirlenen analiz sonucu, beyan edilen değeri ve içeriği doğruluyor ve kabul edilebilir tolerans değerleri (aralığı) bulunuyorsa ikin</w:t>
      </w:r>
      <w:r w:rsidR="00453E75" w:rsidRPr="007C1E0B">
        <w:rPr>
          <w:rFonts w:ascii="Times New Roman" w:hAnsi="Times New Roman" w:cs="Times New Roman"/>
          <w:sz w:val="20"/>
          <w:szCs w:val="20"/>
        </w:rPr>
        <w:t xml:space="preserve">ci bir çalışmaya gerek yoktur. </w:t>
      </w:r>
      <w:r w:rsidRPr="007C1E0B">
        <w:rPr>
          <w:rFonts w:ascii="Times New Roman" w:hAnsi="Times New Roman" w:cs="Times New Roman"/>
          <w:sz w:val="20"/>
          <w:szCs w:val="20"/>
        </w:rPr>
        <w:t xml:space="preserve">Diğer durumlarda numunenin iç çapraz kontaminasyonu ya da kazara karışma olasılığını dışarıda bırakmak için çift analiz (ikinci bir tespit) gereklidir. Ölçüm belirsizliği göz önüne alınarak söz konusu iki tespitin ortalaması, uyumun doğrulaması için kullanılır.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Yemin bileşen değeri, etiketinde belirtilen bileşen değerinden farklı bulunduğunda ‘Yemlerin Piyasaya Arzı ve Kullanımı Hakkında Yönetmelik’ ve ‘Hayvan Beslemede Kullanılan Yem Katkı Maddeleri Hakkında Yönetmelik’ ile belirlenen tolerans değerleri uygulanır.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r w:rsidR="00343A68" w:rsidRPr="007C1E0B">
        <w:rPr>
          <w:rFonts w:ascii="Times New Roman" w:hAnsi="Times New Roman" w:cs="Times New Roman"/>
          <w:sz w:val="20"/>
          <w:szCs w:val="20"/>
        </w:rPr>
        <w:t xml:space="preserve">  </w:t>
      </w:r>
      <w:r w:rsidRPr="007C1E0B">
        <w:rPr>
          <w:rFonts w:ascii="Times New Roman" w:hAnsi="Times New Roman" w:cs="Times New Roman"/>
          <w:sz w:val="20"/>
          <w:szCs w:val="20"/>
        </w:rPr>
        <w:t>Kullanılan analiz metodunun raporlaması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raporunda kullanılan analiz metodu belirtilmelidir.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w:t>
      </w:r>
      <w:r w:rsidR="00343A68"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sonucunun raporlaması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sonucu, analiz metodunda belirti</w:t>
      </w:r>
      <w:r w:rsidR="006D4B47" w:rsidRPr="007C1E0B">
        <w:rPr>
          <w:rFonts w:ascii="Times New Roman" w:hAnsi="Times New Roman" w:cs="Times New Roman"/>
          <w:sz w:val="20"/>
          <w:szCs w:val="20"/>
        </w:rPr>
        <w:t xml:space="preserve">len basamak </w:t>
      </w:r>
      <w:r w:rsidR="00297995" w:rsidRPr="007C1E0B">
        <w:rPr>
          <w:rFonts w:ascii="Times New Roman" w:hAnsi="Times New Roman" w:cs="Times New Roman"/>
          <w:sz w:val="20"/>
          <w:szCs w:val="20"/>
        </w:rPr>
        <w:t>sayısı kadar</w:t>
      </w:r>
      <w:r w:rsidR="006D4B4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anlamlı rakamlarla </w:t>
      </w:r>
      <w:r w:rsidR="00297995" w:rsidRPr="007C1E0B">
        <w:rPr>
          <w:rFonts w:ascii="Times New Roman" w:hAnsi="Times New Roman" w:cs="Times New Roman"/>
          <w:sz w:val="20"/>
          <w:szCs w:val="20"/>
        </w:rPr>
        <w:t>yazılır. Eğer</w:t>
      </w:r>
      <w:r w:rsidR="006D4B47" w:rsidRPr="007C1E0B">
        <w:rPr>
          <w:rFonts w:ascii="Times New Roman" w:hAnsi="Times New Roman" w:cs="Times New Roman"/>
          <w:sz w:val="20"/>
          <w:szCs w:val="20"/>
        </w:rPr>
        <w:t xml:space="preserve"> g</w:t>
      </w:r>
      <w:r w:rsidRPr="007C1E0B">
        <w:rPr>
          <w:rFonts w:ascii="Times New Roman" w:hAnsi="Times New Roman" w:cs="Times New Roman"/>
          <w:sz w:val="20"/>
          <w:szCs w:val="20"/>
        </w:rPr>
        <w:t>erek</w:t>
      </w:r>
      <w:r w:rsidR="006D4B47" w:rsidRPr="007C1E0B">
        <w:rPr>
          <w:rFonts w:ascii="Times New Roman" w:hAnsi="Times New Roman" w:cs="Times New Roman"/>
          <w:sz w:val="20"/>
          <w:szCs w:val="20"/>
        </w:rPr>
        <w:t xml:space="preserve">li </w:t>
      </w:r>
      <w:r w:rsidR="00297995" w:rsidRPr="007C1E0B">
        <w:rPr>
          <w:rFonts w:ascii="Times New Roman" w:hAnsi="Times New Roman" w:cs="Times New Roman"/>
          <w:sz w:val="20"/>
          <w:szCs w:val="20"/>
        </w:rPr>
        <w:t>ise numune</w:t>
      </w:r>
      <w:r w:rsidR="006D4B47" w:rsidRPr="007C1E0B">
        <w:rPr>
          <w:rFonts w:ascii="Times New Roman" w:hAnsi="Times New Roman" w:cs="Times New Roman"/>
          <w:sz w:val="20"/>
          <w:szCs w:val="20"/>
        </w:rPr>
        <w:t xml:space="preserve"> analize hazırlanmadan önce belirlenen nem içeriğine göre </w:t>
      </w:r>
      <w:r w:rsidRPr="007C1E0B">
        <w:rPr>
          <w:rFonts w:ascii="Times New Roman" w:hAnsi="Times New Roman" w:cs="Times New Roman"/>
          <w:sz w:val="20"/>
          <w:szCs w:val="20"/>
        </w:rPr>
        <w:t>sonuçta düzeltme yapılır.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r w:rsidR="00343A68" w:rsidRPr="007C1E0B">
        <w:rPr>
          <w:rFonts w:ascii="Times New Roman" w:hAnsi="Times New Roman" w:cs="Times New Roman"/>
          <w:sz w:val="20"/>
          <w:szCs w:val="20"/>
        </w:rPr>
        <w:t xml:space="preserve">  </w:t>
      </w:r>
      <w:r w:rsidRPr="007C1E0B">
        <w:rPr>
          <w:rFonts w:ascii="Times New Roman" w:hAnsi="Times New Roman" w:cs="Times New Roman"/>
          <w:sz w:val="20"/>
          <w:szCs w:val="20"/>
        </w:rPr>
        <w:t>İstenmeyen maddelerin analizinde ölçüm belirsizliği ve geri kazanım oranı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Yemlerde İstenmeyen Maddeler Hakkında Tebliğ kapsamındaki istenmeyen maddelerin yemlerde tespiti ve değerlendirilmesi, genişletilmiş ölçüm belirsizliği, geri kazanım ve %</w:t>
      </w:r>
      <w:r w:rsidR="00343A6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12 nem düzeyi düzeltmesi hesaba katılarak yapılır. İstenmeyen maddelerin analiz sonucu belirlenen maksimum düzeyi aşıyorsa bu yem uygun olmayan yem olarak değerlendirilir. Geri kazanım ve % 12 nem düzeltmesi yapılmış analiz sonucu genişletilmiş ölçüm belirsizliği ile raporlandırılır. Uygunluk değerlendirmesi genişletilmiş ölçüm belirsizliği düşülerek yapılır. Bu prosedür sadece analiz </w:t>
      </w:r>
      <w:r w:rsidR="007C3E92" w:rsidRPr="007C1E0B">
        <w:rPr>
          <w:rFonts w:ascii="Times New Roman" w:hAnsi="Times New Roman" w:cs="Times New Roman"/>
          <w:sz w:val="20"/>
          <w:szCs w:val="20"/>
        </w:rPr>
        <w:t>metodunun</w:t>
      </w:r>
      <w:r w:rsidRPr="007C1E0B">
        <w:rPr>
          <w:rFonts w:ascii="Times New Roman" w:hAnsi="Times New Roman" w:cs="Times New Roman"/>
          <w:sz w:val="20"/>
          <w:szCs w:val="20"/>
        </w:rPr>
        <w:t xml:space="preserve"> ölçüm belirsizliği ve geri kazanım düzeltmesi tahminine olanak sağladığı durumlarda geçerlidir. Bu şekildeki değerlendirme mikroskobik analizler için uygun olmadığından yapılmaz. Analiz sonucunun raporlanmasında ölçüm belirsizliği ve geri kazanım oranı aşağıdaki şekilde belirtilir: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Geri kazanım için yapılan düzeltmede, geri kazanım seviyesi belirlenir. Geri kazanım için yapılan düzeltme % 90 ile % 110 arasında olduğu durumlarda gerekli değildir.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‘x +/- U’ eşitliğinde, “x” analiz sonucunu, “U” genişletilmiş ölçüm belirsizliğini ifade eder. Yaklaşık % 95 güven aralığı için, kapsam faktörü 2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Ancak kalite prosedürlerine uyulmuş olması koşuluyla, belirlenen analiz sonucu elde edilen değer, spesifikasyonda belirtilen değerin yarısından düşükse, analiz sonuç raporunda ölçüm belirsizliği ve geri kazanım düzeltmesinin belirtilmesine gerek yoktur.</w:t>
      </w:r>
    </w:p>
    <w:p w:rsidR="008F593F" w:rsidRPr="007C1E0B" w:rsidRDefault="008F593F"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B92A17" w:rsidRPr="007C1E0B" w:rsidRDefault="00B92A17" w:rsidP="001B722B">
      <w:pPr>
        <w:jc w:val="both"/>
        <w:rPr>
          <w:rFonts w:ascii="Times New Roman" w:hAnsi="Times New Roman" w:cs="Times New Roman"/>
          <w:sz w:val="20"/>
          <w:szCs w:val="20"/>
        </w:rPr>
      </w:pPr>
    </w:p>
    <w:p w:rsidR="008F593F" w:rsidRPr="007C1E0B" w:rsidRDefault="0039089F">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EK-3</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YEM MADDELERİ VE KARMA YEMLERİN BİLEŞİMİNİN KONTROL</w:t>
      </w:r>
      <w:r w:rsidR="0035571C" w:rsidRPr="007C1E0B">
        <w:rPr>
          <w:rFonts w:ascii="Times New Roman" w:hAnsi="Times New Roman" w:cs="Times New Roman"/>
          <w:b/>
          <w:sz w:val="20"/>
          <w:szCs w:val="20"/>
        </w:rPr>
        <w:t>ÜNE YÖNELİK</w:t>
      </w:r>
      <w:r w:rsidRPr="007C1E0B">
        <w:rPr>
          <w:rFonts w:ascii="Times New Roman" w:hAnsi="Times New Roman" w:cs="Times New Roman"/>
          <w:b/>
          <w:sz w:val="20"/>
          <w:szCs w:val="20"/>
        </w:rPr>
        <w:t xml:space="preserve"> ANALİZ METOTLARI</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A.  NEM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nem içeriğinin tayinini mümkün kılar. Yemin organik asitler gibi uçucu maddeler içermesi durumunda,  önemli miktarda uçucu maddenin de nem içeriği ile birlikte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 maddeleri olarak kullanılan süt ürünlerinin analizini, mineral maddelerin ve çoğunlukla mineral maddelerden oluşan karışımların analizini, hayvansal ve bitkisel yağların analizini ya da yağlı tohumlar ve yağlı meyvelerin analizini kapsamaz.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yemin yapısına göre değişen, </w:t>
      </w:r>
      <w:r w:rsidR="00192719" w:rsidRPr="007C1E0B">
        <w:rPr>
          <w:rFonts w:ascii="Times New Roman" w:hAnsi="Times New Roman" w:cs="Times New Roman"/>
          <w:sz w:val="20"/>
          <w:szCs w:val="20"/>
        </w:rPr>
        <w:t xml:space="preserve">belirlenmiş </w:t>
      </w:r>
      <w:r w:rsidRPr="007C1E0B">
        <w:rPr>
          <w:rFonts w:ascii="Times New Roman" w:hAnsi="Times New Roman" w:cs="Times New Roman"/>
          <w:sz w:val="20"/>
          <w:szCs w:val="20"/>
        </w:rPr>
        <w:t>koşullar altında kurutulur. Ağırlıktaki kayıp tartılarak tayin edilir. Yüksek nem içeriğine sahip katı yem söz konusu olduğunda, birincil kurutma işlemi gereklidir.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Cihaz</w:t>
      </w:r>
    </w:p>
    <w:p w:rsidR="008F593F" w:rsidRPr="007C1E0B" w:rsidRDefault="008F593F" w:rsidP="002107EE">
      <w:pPr>
        <w:spacing w:line="240" w:lineRule="auto"/>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503BDF" w:rsidRPr="007C1E0B">
        <w:rPr>
          <w:rFonts w:ascii="Times New Roman" w:hAnsi="Times New Roman" w:cs="Times New Roman"/>
          <w:sz w:val="20"/>
          <w:szCs w:val="20"/>
        </w:rPr>
        <w:t>Nem absorbe etmeyen materyallerden üretilmiş, öğütme esnasında nem kaybına neden olacak kadar ısınmayan</w:t>
      </w:r>
      <w:r w:rsidR="002107EE" w:rsidRPr="007C1E0B">
        <w:rPr>
          <w:rFonts w:ascii="Times New Roman" w:hAnsi="Times New Roman" w:cs="Times New Roman"/>
          <w:sz w:val="20"/>
          <w:szCs w:val="20"/>
        </w:rPr>
        <w:t xml:space="preserve"> </w:t>
      </w:r>
      <w:r w:rsidR="00503BDF" w:rsidRPr="007C1E0B">
        <w:rPr>
          <w:rFonts w:ascii="Times New Roman" w:hAnsi="Times New Roman" w:cs="Times New Roman"/>
          <w:sz w:val="20"/>
          <w:szCs w:val="20"/>
        </w:rPr>
        <w:t>temizlenmesi kolay hızlı ve homojen ezme işlemine olanak tanıyan, dışarıdaki havayla teması olabildiğince önleyen ve 4.1.1. ile 4.1.2.’deki gereklilikleri karşılayan</w:t>
      </w:r>
      <w:r w:rsidR="002107EE" w:rsidRPr="007C1E0B">
        <w:rPr>
          <w:rFonts w:ascii="Times New Roman" w:hAnsi="Times New Roman" w:cs="Times New Roman"/>
          <w:sz w:val="20"/>
          <w:szCs w:val="20"/>
        </w:rPr>
        <w:t xml:space="preserve"> ezici </w:t>
      </w:r>
      <w:r w:rsidR="00503BDF" w:rsidRPr="007C1E0B">
        <w:rPr>
          <w:rFonts w:ascii="Times New Roman" w:hAnsi="Times New Roman" w:cs="Times New Roman"/>
          <w:sz w:val="20"/>
          <w:szCs w:val="20"/>
        </w:rPr>
        <w:t>(örneğin çekiç ya da su soğutmalı mikro eziciler, katlanabilir konik değirmenler, yavaş hareket eden ya da dişli eziciler).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Analitik terazi, 1 mg hassaslığında.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Hava sızdırmaz kapaklı, çalışma yüzeyi, test numunesinin yaklaşık 0,3 g/cm</w:t>
      </w:r>
      <w:r w:rsidRPr="007C1E0B">
        <w:rPr>
          <w:rFonts w:ascii="Times New Roman" w:hAnsi="Times New Roman" w:cs="Times New Roman"/>
          <w:sz w:val="20"/>
          <w:szCs w:val="20"/>
          <w:vertAlign w:val="superscript"/>
        </w:rPr>
        <w:t>2</w:t>
      </w:r>
      <w:r w:rsidRPr="007C1E0B">
        <w:rPr>
          <w:rFonts w:ascii="Times New Roman" w:hAnsi="Times New Roman" w:cs="Times New Roman"/>
          <w:sz w:val="20"/>
          <w:szCs w:val="20"/>
        </w:rPr>
        <w:t>’ye yayılmasını sağlayan aşınmaz metal ya da camdan yapılmış kuru kaplar.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Uygun havalandır</w:t>
      </w:r>
      <w:r w:rsidR="001445DC" w:rsidRPr="007C1E0B">
        <w:rPr>
          <w:rFonts w:ascii="Times New Roman" w:hAnsi="Times New Roman" w:cs="Times New Roman"/>
          <w:sz w:val="20"/>
          <w:szCs w:val="20"/>
        </w:rPr>
        <w:t xml:space="preserve">ma sistemi </w:t>
      </w:r>
      <w:r w:rsidR="00297995" w:rsidRPr="007C1E0B">
        <w:rPr>
          <w:rFonts w:ascii="Times New Roman" w:hAnsi="Times New Roman" w:cs="Times New Roman"/>
          <w:sz w:val="20"/>
          <w:szCs w:val="20"/>
        </w:rPr>
        <w:t>olan ve</w:t>
      </w:r>
      <w:r w:rsidRPr="007C1E0B">
        <w:rPr>
          <w:rFonts w:ascii="Times New Roman" w:hAnsi="Times New Roman" w:cs="Times New Roman"/>
          <w:sz w:val="20"/>
          <w:szCs w:val="20"/>
        </w:rPr>
        <w:t xml:space="preserve"> hızlı sıcaklık düzenlemesi sağlayan elektrik ısıtmalı izotermal etüv.  (± 2°C) (</w:t>
      </w:r>
      <w:r w:rsidRPr="007C1E0B">
        <w:rPr>
          <w:rStyle w:val="DipnotBavurusu"/>
          <w:rFonts w:ascii="Times New Roman" w:hAnsi="Times New Roman" w:cs="Times New Roman"/>
          <w:sz w:val="20"/>
          <w:szCs w:val="20"/>
        </w:rPr>
        <w:footnoteReference w:id="4"/>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Bir yağ pompası takılmış ve sıcak kurutulmuş havanın girişi için bir mekanizma ya da bir nem çekici madde (kalsiyum oksit gibi) içeren ayarlanabilir elektrik ısıtmalı vakumlu etüv.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Kalın, delikli metal ya da porselen tablalı, uygun bir nem çekici içeren desikatör.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Metot</w:t>
      </w:r>
    </w:p>
    <w:p w:rsidR="006A04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bölümde açıklanan işlemler numune paketleri açıldıktan hemen sonra gerçekleştirilmelidir. Analiz en az iki paralel olarak gerçekleştirilmelidir.</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8311F6" w:rsidRPr="007C1E0B">
        <w:rPr>
          <w:rFonts w:ascii="Times New Roman" w:hAnsi="Times New Roman" w:cs="Times New Roman"/>
          <w:sz w:val="20"/>
          <w:szCs w:val="20"/>
        </w:rPr>
        <w:t>Hazırlama</w:t>
      </w:r>
      <w:r w:rsidR="008311F6" w:rsidRPr="007C1E0B">
        <w:rPr>
          <w:rFonts w:ascii="Times New Roman" w:hAnsi="Times New Roman" w:cs="Times New Roman"/>
          <w:sz w:val="20"/>
          <w:szCs w:val="20"/>
        </w:rPr>
        <w:cr/>
        <w:t xml:space="preserve">4.1.1.  </w:t>
      </w:r>
      <w:r w:rsidRPr="007C1E0B">
        <w:rPr>
          <w:rFonts w:ascii="Times New Roman" w:hAnsi="Times New Roman" w:cs="Times New Roman"/>
          <w:sz w:val="20"/>
          <w:szCs w:val="20"/>
        </w:rPr>
        <w:t xml:space="preserve">4.1.2 ve 4.1.3 </w:t>
      </w:r>
      <w:r w:rsidR="009B6E2C" w:rsidRPr="007C1E0B">
        <w:rPr>
          <w:rFonts w:ascii="Times New Roman" w:hAnsi="Times New Roman" w:cs="Times New Roman"/>
          <w:sz w:val="20"/>
          <w:szCs w:val="20"/>
        </w:rPr>
        <w:t>kapsamı dışındaki 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En az 50 g numune alınır. Gerekiyorsa, nem içeriğinde herhangi bir </w:t>
      </w:r>
      <w:r w:rsidR="00F52DA3" w:rsidRPr="007C1E0B">
        <w:rPr>
          <w:rFonts w:ascii="Times New Roman" w:hAnsi="Times New Roman" w:cs="Times New Roman"/>
          <w:sz w:val="20"/>
          <w:szCs w:val="20"/>
        </w:rPr>
        <w:t>değişimi</w:t>
      </w:r>
      <w:r w:rsidRPr="007C1E0B">
        <w:rPr>
          <w:rFonts w:ascii="Times New Roman" w:hAnsi="Times New Roman" w:cs="Times New Roman"/>
          <w:sz w:val="20"/>
          <w:szCs w:val="20"/>
        </w:rPr>
        <w:t xml:space="preserve"> önleyecek şekilde ezilir ya da bölünür. (bakınız 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4.1.2. Tahıllar ve Ürünleri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 az 50 g numune alınır. En az %</w:t>
      </w:r>
      <w:r w:rsidR="008311F6" w:rsidRPr="007C1E0B">
        <w:rPr>
          <w:rFonts w:ascii="Times New Roman" w:hAnsi="Times New Roman" w:cs="Times New Roman"/>
          <w:sz w:val="20"/>
          <w:szCs w:val="20"/>
        </w:rPr>
        <w:t xml:space="preserve"> </w:t>
      </w:r>
      <w:r w:rsidRPr="007C1E0B">
        <w:rPr>
          <w:rFonts w:ascii="Times New Roman" w:hAnsi="Times New Roman" w:cs="Times New Roman"/>
          <w:sz w:val="20"/>
          <w:szCs w:val="20"/>
        </w:rPr>
        <w:t>50’sinin 0,5 mm gözlü bir elekten geçeceği ve en fazla %</w:t>
      </w:r>
      <w:r w:rsidR="008311F6" w:rsidRPr="007C1E0B">
        <w:rPr>
          <w:rFonts w:ascii="Times New Roman" w:hAnsi="Times New Roman" w:cs="Times New Roman"/>
          <w:sz w:val="20"/>
          <w:szCs w:val="20"/>
        </w:rPr>
        <w:t xml:space="preserve"> </w:t>
      </w:r>
      <w:r w:rsidRPr="007C1E0B">
        <w:rPr>
          <w:rFonts w:ascii="Times New Roman" w:hAnsi="Times New Roman" w:cs="Times New Roman"/>
          <w:sz w:val="20"/>
          <w:szCs w:val="20"/>
        </w:rPr>
        <w:t>10’unun 1 mm yuvarlak gözlü elekte kalacağı şekilde öğütülür.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4.1.3. Sıvı ya da ezme biçimindeki yüksek yoğunlukta </w:t>
      </w:r>
      <w:r w:rsidR="00297995" w:rsidRPr="007C1E0B">
        <w:rPr>
          <w:rFonts w:ascii="Times New Roman" w:hAnsi="Times New Roman" w:cs="Times New Roman"/>
          <w:sz w:val="20"/>
          <w:szCs w:val="20"/>
        </w:rPr>
        <w:t>yağ içeren</w:t>
      </w:r>
      <w:r w:rsidRPr="007C1E0B">
        <w:rPr>
          <w:rFonts w:ascii="Times New Roman" w:hAnsi="Times New Roman" w:cs="Times New Roman"/>
          <w:sz w:val="20"/>
          <w:szCs w:val="20"/>
        </w:rPr>
        <w:t xml:space="preserve"> yemler</w:t>
      </w:r>
    </w:p>
    <w:p w:rsidR="008F593F" w:rsidRPr="007C1E0B" w:rsidRDefault="002C2319"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Yaklaşık 25 </w:t>
      </w:r>
      <w:r w:rsidR="008F593F" w:rsidRPr="007C1E0B">
        <w:rPr>
          <w:rFonts w:ascii="Times New Roman" w:hAnsi="Times New Roman" w:cs="Times New Roman"/>
          <w:sz w:val="20"/>
          <w:szCs w:val="20"/>
        </w:rPr>
        <w:t>g numune alınır, 10 mg hassasiyetle tartılır, tartılan numuneye uygun miktarda daha önce etüvde kurutulmuş kuvars kumu 10 mg hassasiyetle tartılır ve eklenir, homojen bir karışım elde edilene kadar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  Kurutma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4.2.1.   4.2.2 ve 4.2.3 kapsamı dışındaki 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Kapağı ile birlikte bir kap (3.3) 1 mg hassasiyetle tartılır. Tartılan kaba 1 mg hassasiyetle yaklaşık 5 g numune tartılır ve eşit olarak yayılır. Kap, kapağı açık olarak önceden 103°C’ye ısıtılmış etüve konulur.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Etüv sıcaklığının aşırı düşmesini önlemek için kap olabildiğince hızlı yerleştirilir. Etüv sıcaklığının 103°C’ye ulaştığı saatten itibaren dört saat boyunca kurumaya bırakılır. Kapak kabın üstüne yerleştirilir, kap etüvden çıkartılır, desikatör (3.6) içinde 30-45 dakika soğumaya bırakılır 1 mg hassasiyetle tartılır.</w:t>
      </w:r>
    </w:p>
    <w:p w:rsidR="006A04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Yağ içeriği yüksek olan yemler, 130°C’de ek olarak 30 dakika daha etüvde kurutulur. İki tartım arasındaki fark en fazla, nemin %</w:t>
      </w:r>
      <w:r w:rsidR="001816A3" w:rsidRPr="007C1E0B">
        <w:rPr>
          <w:rFonts w:ascii="Times New Roman" w:hAnsi="Times New Roman" w:cs="Times New Roman"/>
          <w:sz w:val="20"/>
          <w:szCs w:val="20"/>
        </w:rPr>
        <w:t xml:space="preserve"> </w:t>
      </w:r>
      <w:r w:rsidRPr="007C1E0B">
        <w:rPr>
          <w:rFonts w:ascii="Times New Roman" w:hAnsi="Times New Roman" w:cs="Times New Roman"/>
          <w:sz w:val="20"/>
          <w:szCs w:val="20"/>
        </w:rPr>
        <w:t>0,1’i olmalıdır.</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4.2.2. Tahıllar ve ürünleri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Kapağı ile birlikte bir kap (3.3) 0,5 mg hassasiyetle tartılır. Tartılan kaba 1 mg hassasiyetle yaklaşık 5 g öğütülmüş numune tartılır ve eşit olarak yayılır. Kap, kapağı açık olarak önceden 130°C’deki etüve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Etüv sıcaklığının aşırı düşmesini önlemek için kap olabildiğince hızlı yerleştirilir.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Etüv sıcaklığının 130°C’ye ulaşmasından itibaren iki saat boyunca kurumaya bırakılır. Kapak kabın üstüne yerleştirilir, kap etüvden çıkartılır, desikatör (3.6) içinde </w:t>
      </w:r>
      <w:r w:rsidR="00297995" w:rsidRPr="007C1E0B">
        <w:rPr>
          <w:rFonts w:ascii="Times New Roman" w:hAnsi="Times New Roman" w:cs="Times New Roman"/>
          <w:sz w:val="20"/>
          <w:szCs w:val="20"/>
        </w:rPr>
        <w:t>30 – 45</w:t>
      </w:r>
      <w:r w:rsidRPr="007C1E0B">
        <w:rPr>
          <w:rFonts w:ascii="Times New Roman" w:hAnsi="Times New Roman" w:cs="Times New Roman"/>
          <w:sz w:val="20"/>
          <w:szCs w:val="20"/>
        </w:rPr>
        <w:t xml:space="preserve"> dakika soğumaya bırakılır ve 1 mg hassasiyetle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4.2.3.   %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4’ten fazla sakkaroz ya da laktoz içeren karma yem: Keçiboynuzu, hidrolize hububat ürünleri, malt tohumları, kurutulmuş pancar posası, balık ve şeker çözünürleri gibi yem materyalleri; kristalleşen suyu da dahil %</w:t>
      </w:r>
      <w:r w:rsidR="001816A3" w:rsidRPr="007C1E0B">
        <w:rPr>
          <w:rFonts w:ascii="Times New Roman" w:hAnsi="Times New Roman" w:cs="Times New Roman"/>
          <w:sz w:val="20"/>
          <w:szCs w:val="20"/>
        </w:rPr>
        <w:t xml:space="preserve"> </w:t>
      </w:r>
      <w:r w:rsidRPr="007C1E0B">
        <w:rPr>
          <w:rFonts w:ascii="Times New Roman" w:hAnsi="Times New Roman" w:cs="Times New Roman"/>
          <w:sz w:val="20"/>
          <w:szCs w:val="20"/>
        </w:rPr>
        <w:t>25’ten fazla mineral tuz içeren karma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Kapağı ile birlikte bir kap (3.3) 0,5 mg hassasiyetle tartılır. Tartılan kaba 1 mg hassasiyetle yaklaşık 5 g numune tartılır ve eşit olarak yayılır.  Kabı, kapağı açık olarak önceden 80°C - 85°C’ye ısıtılmış vakumlu etüve (3.5) ko</w:t>
      </w:r>
      <w:r w:rsidR="00F00BC8" w:rsidRPr="007C1E0B">
        <w:rPr>
          <w:rFonts w:ascii="Times New Roman" w:hAnsi="Times New Roman" w:cs="Times New Roman"/>
          <w:sz w:val="20"/>
          <w:szCs w:val="20"/>
        </w:rPr>
        <w:t>nur</w:t>
      </w:r>
      <w:r w:rsidRPr="007C1E0B">
        <w:rPr>
          <w:rFonts w:ascii="Times New Roman" w:hAnsi="Times New Roman" w:cs="Times New Roman"/>
          <w:sz w:val="20"/>
          <w:szCs w:val="20"/>
        </w:rPr>
        <w:t>. Etüv sıcaklığının aşırı düşmesini önlemek için kap olabildiğince hızlı yerleştirilir.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Basınç 100 Torr’a getirilir ve bu basınçta, sıcak ve kuru bir hava akımında ya da bir nem çekici madde (20 numune için yaklaşık 300 g) kullanarak dört saat kurumaya bırakılır. Sonraki işlemde, belirtilen basınca erişildiğinde vakum pompası çıkartılır. Etüv sıcaklığının 80°C - 85°C’ye ulaştığı andaki kurutma süresi kaydedilir. Etüv dikkatle yeniden atmosfer basıncına getirilir. Etüv açılır, kapağı hemen kabın üstüne yerleştirilir, kap etüvden çıkartılır, desikatör (3.6) içinde 30- 45 dakika soğumaya bırakılır ve 1 mg hassasiyetle tartılır. 80°C - 85°C’deki vakumlu etüvde 30 dakika daha kurutulur ve yeniden tartılır. İki tartım arasındaki fark en fazla nemin % 0,1’ini aşmamalıdır.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A52554" w:rsidRPr="007C1E0B">
        <w:rPr>
          <w:rFonts w:ascii="Times New Roman" w:hAnsi="Times New Roman" w:cs="Times New Roman"/>
          <w:sz w:val="20"/>
          <w:szCs w:val="20"/>
        </w:rPr>
        <w:t>Ö</w:t>
      </w:r>
      <w:r w:rsidRPr="007C1E0B">
        <w:rPr>
          <w:rFonts w:ascii="Times New Roman" w:hAnsi="Times New Roman" w:cs="Times New Roman"/>
          <w:sz w:val="20"/>
          <w:szCs w:val="20"/>
        </w:rPr>
        <w:t>n kurutma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4.3.1.  4.3.2 kapsamı dışındaki 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Parçalama işlemini zorlaştıran, yüksek nem içerikli katı yemler aşağıdaki şekilde ön kurutma işlemine tabi tutulmalıdır:</w:t>
      </w:r>
      <w:r w:rsidR="00946104" w:rsidRPr="007C1E0B">
        <w:rPr>
          <w:rFonts w:ascii="Times New Roman" w:hAnsi="Times New Roman" w:cs="Times New Roman"/>
          <w:sz w:val="20"/>
          <w:szCs w:val="20"/>
        </w:rPr>
        <w:t xml:space="preserve"> </w:t>
      </w:r>
      <w:r w:rsidRPr="007C1E0B">
        <w:rPr>
          <w:rFonts w:ascii="Times New Roman" w:hAnsi="Times New Roman" w:cs="Times New Roman"/>
          <w:sz w:val="20"/>
          <w:szCs w:val="20"/>
        </w:rPr>
        <w:t>50 g parçalanmamış numune uygun bir kaba (örneğin 20 × 12 cm boyutlarında ve 0,5 cm kenarlı alüminyum tepsi )  10 mg hassasiyetle tartılır (gerekiyorsa, sıkıştırılmış ya da yığılmış yem kabaca bölünebilir). 60°C ile 70°C arasındaki bir etüvde, nem içeriği %</w:t>
      </w:r>
      <w:r w:rsidR="001816A3" w:rsidRPr="007C1E0B">
        <w:rPr>
          <w:rFonts w:ascii="Times New Roman" w:hAnsi="Times New Roman" w:cs="Times New Roman"/>
          <w:sz w:val="20"/>
          <w:szCs w:val="20"/>
        </w:rPr>
        <w:t xml:space="preserve"> </w:t>
      </w:r>
      <w:r w:rsidRPr="007C1E0B">
        <w:rPr>
          <w:rFonts w:ascii="Times New Roman" w:hAnsi="Times New Roman" w:cs="Times New Roman"/>
          <w:sz w:val="20"/>
          <w:szCs w:val="20"/>
        </w:rPr>
        <w:t>8-%</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12’ye azalıncaya kadar kurumaya bırakılır. Etüvden çıkartılır, laboratuvarda kapaksız olarak bir saat soğumaya bırakılır ve 10 mg hassasiyetle tartılır. Hemen 4.1.1.’de belirtildiği gibi parçalanır ve yemin yapısına göre 4.2.1 ya da 4.2.3’te belirtildiği gibi kurutulur.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4.3.2. Tahıllar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17’nin üzerinde nem içeriği olan taneler aşağıdaki şekilde ön kurutma işlemine tabi tutulmalıdır: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g öğütülmemiş tane uygun bir kapta (</w:t>
      </w:r>
      <w:r w:rsidR="00297995" w:rsidRPr="007C1E0B">
        <w:rPr>
          <w:rFonts w:ascii="Times New Roman" w:hAnsi="Times New Roman" w:cs="Times New Roman"/>
          <w:sz w:val="20"/>
          <w:szCs w:val="20"/>
        </w:rPr>
        <w:t>ör</w:t>
      </w:r>
      <w:r w:rsidRPr="007C1E0B">
        <w:rPr>
          <w:rFonts w:ascii="Times New Roman" w:hAnsi="Times New Roman" w:cs="Times New Roman"/>
          <w:sz w:val="20"/>
          <w:szCs w:val="20"/>
        </w:rPr>
        <w:t xml:space="preserve">. 20 × 12 cm boyutlarında ve 0,5 cm kenarlı alüminyum tepsi) 10 mg hassasiyetle tartılır. 130°C’deki etüvde 5-7 dakika kurumaya bırakılır. Etüvden çıkartılır,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da kapaksız olarak iki saat soğumaya bırakılır ve 10 mg hassasiyetle tartılır. Hemen 4.1.2.’de belirtildiği gibi öğütülür ve 4.2.2.’de belirtildiği gibi kurutulur.</w:t>
      </w:r>
    </w:p>
    <w:p w:rsidR="008F593F" w:rsidRPr="007C1E0B" w:rsidRDefault="00026E5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8F593F" w:rsidRPr="007C1E0B">
        <w:rPr>
          <w:rFonts w:ascii="Times New Roman" w:hAnsi="Times New Roman" w:cs="Times New Roman"/>
          <w:sz w:val="20"/>
          <w:szCs w:val="20"/>
        </w:rPr>
        <w:t>Sonuçların hesaplanması</w:t>
      </w:r>
    </w:p>
    <w:p w:rsidR="006A04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Nem içeriği (X), numunenin yüzdesi olarak aşağıdaki formülle hesaplanır: </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5.1. Ön kurutmasız kurutma</w:t>
      </w:r>
    </w:p>
    <w:p w:rsidR="008F593F" w:rsidRPr="007C1E0B" w:rsidRDefault="008F593F" w:rsidP="001B722B">
      <w:pPr>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x=</m:t>
          </m:r>
          <m:f>
            <m:fPr>
              <m:ctrlPr>
                <w:rPr>
                  <w:rFonts w:ascii="Cambria Math" w:hAnsi="Cambria Math" w:cs="Times New Roman"/>
                  <w:i/>
                  <w:sz w:val="20"/>
                  <w:szCs w:val="20"/>
                </w:rPr>
              </m:ctrlPr>
            </m:fPr>
            <m:num>
              <m:r>
                <w:rPr>
                  <w:rFonts w:ascii="Cambria Math" w:hAnsi="Cambria Math" w:cs="Times New Roman"/>
                  <w:sz w:val="20"/>
                  <w:szCs w:val="20"/>
                </w:rPr>
                <m:t>(m-</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0</m:t>
                  </m:r>
                </m:sub>
              </m:sSub>
              <m:r>
                <w:rPr>
                  <w:rFonts w:ascii="Cambria Math" w:hAnsi="Cambria Math" w:cs="Times New Roman"/>
                  <w:sz w:val="20"/>
                  <w:szCs w:val="20"/>
                </w:rPr>
                <m:t>)</m:t>
              </m:r>
            </m:num>
            <m:den>
              <m:r>
                <w:rPr>
                  <w:rFonts w:ascii="Cambria Math" w:hAnsi="Cambria Math" w:cs="Times New Roman"/>
                  <w:sz w:val="20"/>
                  <w:szCs w:val="20"/>
                </w:rPr>
                <m:t>m</m:t>
              </m:r>
            </m:den>
          </m:f>
          <m:r>
            <w:rPr>
              <w:rFonts w:ascii="Cambria Math" w:hAnsi="Cambria Math" w:cs="Times New Roman"/>
              <w:sz w:val="20"/>
              <w:szCs w:val="20"/>
            </w:rPr>
            <m:t>X100</m:t>
          </m:r>
        </m:oMath>
      </m:oMathPara>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gram cinsinden ilk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Kuru test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 Ön kurutmalı kurutma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noProof/>
          <w:sz w:val="20"/>
          <w:szCs w:val="20"/>
        </w:rPr>
        <w:drawing>
          <wp:inline distT="0" distB="0" distL="0" distR="0" wp14:anchorId="1EB830D0" wp14:editId="1B3555A2">
            <wp:extent cx="3829685" cy="61209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9652" cy="623275"/>
                    </a:xfrm>
                    <a:prstGeom prst="rect">
                      <a:avLst/>
                    </a:prstGeom>
                    <a:noFill/>
                    <a:ln>
                      <a:noFill/>
                    </a:ln>
                  </pic:spPr>
                </pic:pic>
              </a:graphicData>
            </a:graphic>
          </wp:inline>
        </w:drawing>
      </w:r>
      <m:oMath>
        <m:r>
          <m:rPr>
            <m:sty m:val="p"/>
          </m:rPr>
          <w:rPr>
            <w:rFonts w:ascii="Cambria Math" w:hAnsi="Cambria Math" w:cs="Times New Roman"/>
            <w:sz w:val="20"/>
            <w:szCs w:val="20"/>
          </w:rPr>
          <w:br/>
        </m:r>
      </m:oMath>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gram cinsinden ilk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Ön kurutmadan sonra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Kırma ya da öğütmeden sonra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Kuru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mutlak nem değerinin % 0,2’sini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 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Kırma işlemi gerekiyorsa ve bu işlem ürünün nem içeriğini değiştirecek gibi görünüyorsa, yem bileşenlerinin analiz sonuçları, numunenin ilk durumundaki nem içeriği esas alınarak düzeltilmelidir.</w:t>
      </w:r>
    </w:p>
    <w:p w:rsidR="007845D8" w:rsidRPr="007C1E0B" w:rsidRDefault="007845D8" w:rsidP="001B722B">
      <w:pPr>
        <w:jc w:val="both"/>
        <w:rPr>
          <w:rFonts w:ascii="Times New Roman" w:hAnsi="Times New Roman" w:cs="Times New Roman"/>
          <w:b/>
          <w:sz w:val="20"/>
          <w:szCs w:val="20"/>
        </w:rPr>
      </w:pPr>
    </w:p>
    <w:p w:rsidR="007845D8" w:rsidRPr="007C1E0B" w:rsidRDefault="007845D8" w:rsidP="001B722B">
      <w:pPr>
        <w:jc w:val="both"/>
        <w:rPr>
          <w:rFonts w:ascii="Times New Roman" w:hAnsi="Times New Roman" w:cs="Times New Roman"/>
          <w:b/>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B. </w:t>
      </w:r>
      <w:r w:rsidR="00CB2E56"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HAYVANSAL VE BİTKİSEL YAĞLARDA NEM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hayvansal ve bitkisel yağlardaki nem ve uçucu madde içeriğinin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103°C’de sabit ağırlığa ulaşana kadar kurutulur. İki tartım arasındaki ağırlık kaybı 1 mg’a eşit ya da daha az olmalıdır. Ağırlıktaki kayıp tartılarak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Aşınmaya dirençli malzemeden üretilmiş, 8 - 9 cm çapında ve yaklaşık 3 cm yüksekliğinde düztabanlı kurutma kabı.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Güçlendirişmiş ampullü ve üst ucunda genleşme tüpü olan, yaklaşık 80°C ile en az 110°C’ye kadar ölçüm yapabilen ve yaklaşık 10 cm uzunluğunda termometre.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Kum banyosu ya da elektrikli ısıtıcı tabla.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Etkin bir nem çekici içeren desikatör.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Analitik terazi.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Yaklaşık 20 g homojen numune 1 mg hassasiyetle, termometre (3.2) içeren kuru tartılmış bir kapta (3.1) tartılır. Sıcak Kum banyosu ya da elektrikli ısıtıcı tabla  (3.3) üstünde ısıtılır, termometre ile devamlı karıştırılarak yaklaşık 7 dakikada </w:t>
      </w:r>
      <w:r w:rsidR="00297995" w:rsidRPr="007C1E0B">
        <w:rPr>
          <w:rFonts w:ascii="Times New Roman" w:hAnsi="Times New Roman" w:cs="Times New Roman"/>
          <w:sz w:val="20"/>
          <w:szCs w:val="20"/>
        </w:rPr>
        <w:t>sıcaklık 90</w:t>
      </w:r>
      <w:r w:rsidRPr="007C1E0B">
        <w:rPr>
          <w:rFonts w:ascii="Times New Roman" w:hAnsi="Times New Roman" w:cs="Times New Roman"/>
          <w:sz w:val="20"/>
          <w:szCs w:val="20"/>
        </w:rPr>
        <w:t xml:space="preserve">°C’ye ulaştırılır.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Isı düşürülür, kabın tabanından yükselen kabarcıkların sıklığı izlenir. Sıcaklık en fazla 105°C olmalıdır. Kabarcıkların oluşması durana kadar, kabın dibini kazıyarak karıştırmaya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Nemin ortadan kaldırılmasını tamamlamak için birkaç kez 103°C ± 2°C’ye tekrar ısıtılır, ardışık ısıtma arasında 93°C’ye soğutulur. Ardından desikatörün (3.4) içinde oda sıcaklığında soğumaya bırakılır ve tartılır. Bu işlem iki ardışık tartım arasındaki ağırlık kaybı en fazla 2 mg olana kadar yinelenir.</w:t>
      </w:r>
    </w:p>
    <w:p w:rsidR="008F593F" w:rsidRPr="007C1E0B" w:rsidRDefault="00A47369"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Yinelenen ısıtma işleminden sonra numunenin ağırlığındaki bir artış yağın oksitlendiğini gösterir, bu durumda sonucun hesaplanmasında, ağırlığın artmaya başlamasından hemen önce gerçekleştirilen tartım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Nem içeriği (X), numunenin yüzdesi olarak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noProof/>
          <w:sz w:val="20"/>
          <w:szCs w:val="20"/>
        </w:rPr>
        <w:drawing>
          <wp:inline distT="0" distB="0" distL="0" distR="0" wp14:anchorId="6822F8EC" wp14:editId="20B4641B">
            <wp:extent cx="1706880" cy="487680"/>
            <wp:effectExtent l="0" t="0" r="762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880" cy="4876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Isıtma öncesinde kabın içindekilerle birlikte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Isıtma sonrasında kabın içindekilerle birlikte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0,05’in altındaki sonuçlar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0,05’ten düşük’ olarak kaydedilmelidir.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nem farkı mutlak değerin % 0,05’ini geçmemelidir.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C. </w:t>
      </w:r>
      <w:r w:rsidR="00CB2E56"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HAM PROTEİN İÇERİĞİNİN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Kjeldahl metodu ile tayin edilen azot içeriğine dayanarak yemdeki ham protein içeriğinin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CB2E56"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560002" w:rsidRPr="007C1E0B" w:rsidRDefault="008F593F" w:rsidP="00560002">
      <w:pPr>
        <w:jc w:val="both"/>
        <w:rPr>
          <w:rFonts w:ascii="Times New Roman" w:hAnsi="Times New Roman" w:cs="Times New Roman"/>
          <w:sz w:val="20"/>
          <w:szCs w:val="20"/>
        </w:rPr>
      </w:pPr>
      <w:r w:rsidRPr="007C1E0B">
        <w:rPr>
          <w:rFonts w:ascii="Times New Roman" w:hAnsi="Times New Roman" w:cs="Times New Roman"/>
          <w:sz w:val="20"/>
          <w:szCs w:val="20"/>
        </w:rPr>
        <w:t>Numune, bir katalizör varlığında sülfürik asit tarafından parçalanır. Asit çözeltisi, sodyum hidroksit çözeltisi tarafından bazik hale getirilir. Amonyak damıtılır ve miktarı belli olan sülfürik asit içine alınır, geri kalanı standart bir sodyum hidroksit çözeltisiyle titre edilir.</w:t>
      </w:r>
    </w:p>
    <w:p w:rsidR="00560002" w:rsidRPr="007C1E0B" w:rsidRDefault="00560002" w:rsidP="00560002">
      <w:pPr>
        <w:jc w:val="both"/>
        <w:rPr>
          <w:rFonts w:ascii="Times New Roman" w:hAnsi="Times New Roman" w:cs="Times New Roman"/>
          <w:sz w:val="20"/>
          <w:szCs w:val="20"/>
        </w:rPr>
      </w:pPr>
      <w:r w:rsidRPr="007C1E0B">
        <w:rPr>
          <w:rFonts w:ascii="Times New Roman" w:hAnsi="Times New Roman" w:cs="Times New Roman"/>
          <w:sz w:val="20"/>
          <w:szCs w:val="20"/>
        </w:rPr>
        <w:t>Alternatif olarak, açığa çıkan amonyak daha fazla miktarda bulunan borik asit çözeltisine damıtılır, ardından hidroklorik asit ya da sülfürik asit çözeltisi ile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Potasyum sülfat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Katalizör: bakır (II) oksit (CuO) ya da bakır (II) sülfat pentahidrat (CuSO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.5H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Granül çinko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Sülfürik asit, ρ20 = 1,84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Sülfürik asit, standart hacimsel çözelti, c(H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 0,25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Sülfürik asit, standart hacimsel çözelti, c(</w:t>
      </w:r>
      <w:r w:rsidR="00DB48AC" w:rsidRPr="007C1E0B">
        <w:rPr>
          <w:rFonts w:ascii="Times New Roman" w:hAnsi="Times New Roman" w:cs="Times New Roman"/>
          <w:sz w:val="20"/>
          <w:szCs w:val="20"/>
        </w:rPr>
        <w:t>H</w:t>
      </w:r>
      <w:r w:rsidR="00DB48AC" w:rsidRPr="007C1E0B">
        <w:rPr>
          <w:rFonts w:ascii="Times New Roman" w:hAnsi="Times New Roman" w:cs="Times New Roman"/>
          <w:sz w:val="20"/>
          <w:szCs w:val="20"/>
          <w:vertAlign w:val="subscript"/>
        </w:rPr>
        <w:t>2</w:t>
      </w:r>
      <w:r w:rsidR="00DB48AC" w:rsidRPr="007C1E0B">
        <w:rPr>
          <w:rFonts w:ascii="Times New Roman" w:hAnsi="Times New Roman" w:cs="Times New Roman"/>
          <w:sz w:val="20"/>
          <w:szCs w:val="20"/>
        </w:rPr>
        <w:t>SO</w:t>
      </w:r>
      <w:r w:rsidR="00DB48AC"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 0,10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 Sülfürik asit, standart hacimsel çözelti, c(</w:t>
      </w:r>
      <w:r w:rsidR="00DB48AC" w:rsidRPr="007C1E0B">
        <w:rPr>
          <w:rFonts w:ascii="Times New Roman" w:hAnsi="Times New Roman" w:cs="Times New Roman"/>
          <w:sz w:val="20"/>
          <w:szCs w:val="20"/>
        </w:rPr>
        <w:t>H</w:t>
      </w:r>
      <w:r w:rsidR="00DB48AC" w:rsidRPr="007C1E0B">
        <w:rPr>
          <w:rFonts w:ascii="Times New Roman" w:hAnsi="Times New Roman" w:cs="Times New Roman"/>
          <w:sz w:val="20"/>
          <w:szCs w:val="20"/>
          <w:vertAlign w:val="subscript"/>
        </w:rPr>
        <w:t>2</w:t>
      </w:r>
      <w:r w:rsidR="00DB48AC" w:rsidRPr="007C1E0B">
        <w:rPr>
          <w:rFonts w:ascii="Times New Roman" w:hAnsi="Times New Roman" w:cs="Times New Roman"/>
          <w:sz w:val="20"/>
          <w:szCs w:val="20"/>
        </w:rPr>
        <w:t>SO</w:t>
      </w:r>
      <w:r w:rsidR="00DB48AC"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 0,05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 Metil kırmızısı indikatörü; 300 mg metil kırmızısını 100 ml etanol içinde çözündürülür, σ =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95-%</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96 (v/v)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3.9. Sodyum hidroksit çözeltisi (Teknik dereceli kullanılabilir) β = 40 g/100 ml (m/v: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40)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3.10. Sodyum hidroksit, standart hacimsel çözelti, c(NaOH) = 0,25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3.11. Sodyum hidroksit, standart hacimsel çözelti, c(NaOH) = 0,10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3.12. Granül kaynama taşı, hidroklorik asit içinde yıkanmış ve yakılmış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3.13. Asetanilid (erime noktası = 114°C, Azot -içeriği=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10,36)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3.14. Sakkaroz  (azot içermeyen)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3.15. Borik asit (H</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BO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3.16. Metil kırmızısı indikatör çözeltisi: 100 mg metil kırmızısı 100 ml etanol ya da metanol içinde çözdürülür.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3.17. Bromkrezol yeşili çözeltisi: 100 mg bromkrezol yeşili 100 ml etanol ya da metanol içinde çözdürülür.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3.18.  Borik asit çözeltisi (kullanılan cihaza göre 10 g/l - 40 g/l)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Kolorimetrik olarak dönüm noktası belirleneceği zaman metil kırmızısı ve bromkrezol indikatörleri borik asit çözeltisine eklenmelidir. 1 litre borik asit çözeltisi hazırlanırsa, hacmi tamamlanmadan önce 7 ml metil kırmızısı indikatör çözeltisi (3.16) ve 10 ml bromkrezol yeşili çözeltisi (3.17) eklenmelidir.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Kullanılan suya bağlı olarak borik asit çözeltisinin pH’</w:t>
      </w:r>
      <w:r w:rsidR="00297995" w:rsidRPr="007C1E0B">
        <w:rPr>
          <w:rFonts w:ascii="Times New Roman" w:hAnsi="Times New Roman" w:cs="Times New Roman"/>
          <w:sz w:val="20"/>
          <w:szCs w:val="20"/>
        </w:rPr>
        <w:t>s</w:t>
      </w:r>
      <w:r w:rsidRPr="007C1E0B">
        <w:rPr>
          <w:rFonts w:ascii="Times New Roman" w:hAnsi="Times New Roman" w:cs="Times New Roman"/>
          <w:sz w:val="20"/>
          <w:szCs w:val="20"/>
        </w:rPr>
        <w:t>ı partiden partiye değişebilir. Genelde küçük hacimde alkali içeren bir ayarlama, pozitif kör elde etmek için gereklidir.</w:t>
      </w:r>
    </w:p>
    <w:p w:rsidR="008F593F" w:rsidRPr="007C1E0B" w:rsidRDefault="009970F2" w:rsidP="001B722B">
      <w:pPr>
        <w:jc w:val="both"/>
        <w:rPr>
          <w:rFonts w:ascii="Times New Roman" w:hAnsi="Times New Roman" w:cs="Times New Roman"/>
          <w:sz w:val="20"/>
          <w:szCs w:val="20"/>
        </w:rPr>
      </w:pPr>
      <w:r w:rsidRPr="007C1E0B">
        <w:rPr>
          <w:rFonts w:ascii="Times New Roman" w:hAnsi="Times New Roman" w:cs="Times New Roman"/>
          <w:sz w:val="20"/>
          <w:szCs w:val="20"/>
        </w:rPr>
        <w:t>Not:</w:t>
      </w:r>
      <w:r w:rsidR="00134E15"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Yaklaşık 3 ml-4 ml NaOH’nin (3.11) 1 litre 10 g/l borik aside eklenmesi genelde iyi ayarlamalar verir. Çözelti oda sıcaklığında depolanır ve depolama süresince ışıktan ve amonyak dumanı kaynağından korunur.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3.19. Hidroklorik asit standart hacimsel çözeltisi c</w:t>
      </w:r>
      <w:r w:rsidR="000E1957" w:rsidRPr="007C1E0B">
        <w:rPr>
          <w:rFonts w:ascii="Times New Roman" w:hAnsi="Times New Roman" w:cs="Times New Roman"/>
          <w:sz w:val="20"/>
          <w:szCs w:val="20"/>
        </w:rPr>
        <w:t xml:space="preserve"> </w:t>
      </w:r>
      <w:r w:rsidRPr="007C1E0B">
        <w:rPr>
          <w:rFonts w:ascii="Times New Roman" w:hAnsi="Times New Roman" w:cs="Times New Roman"/>
          <w:sz w:val="20"/>
          <w:szCs w:val="20"/>
        </w:rPr>
        <w:t>(HCl) = 0,10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Not: Hesaplamalar için düzeltilmişse diğer hacimsel çözelti konsantrasyonları (3.5, 3.6, 3.7, 3.10, 3.11 ve 3.19) kullanılabilir. Konsantrasyonlar her zaman dört ondalık haneye kadar ifade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Kjeldahl metoduna göre yaş yakma, damıtma ve titrasyona uygun 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5.1. Yaş yakma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g numune 0,001 g hassasiyetle tartılır ve kjeldahl balonuna aktarılır.  15 g potasyum sülfat (3.1), uygun miktarda katalizör (3.2) (0,3 - 0,4 g bakır (II) oksit veya 0,9-1,2 g bakır (II) sülfat pentahidrat), 25 ml sülfürik asit (3.4) ve gerekiyorsa granül kaynama taşı (3.12) eklenir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Kjeldahl balonu önce yavaşça ısıtılır, kütle karbonize olana ve köpük kaybolana kadar gerekiyorsa ara sıra döndürerek karıştırılır, ardından sıvı sürekli kaynayana kadar daha yoğun şekilde ısıtılır. Kaynayan asit cam balonun çeperinde yoğunlaşıyorsa ısıtma yeterlidir. Çeperin aşırı ısınması ve organik parçacıkların bunlara yapışması önlenir.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Çözelti berrak ve açık yeşil olduğunda iki saat daha kaynatmaya devam edilir, ardından soğumaya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 Damıtma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Sülfatların tümüyle çözünmesini sağlamak için dikkatle yeterli miktarda su eklenir (yaklaşık 150-200 ml). Soğumaya bırakılır ve ardından gerekiyorsa birkaç granül çinko (3.3) eklenir. 5.2.1. ya da 5.2.2.’ye göre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5.2.1. Sülfürik aside damıtma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Damıtma cihazının toplama erlenine varsayılan azot içeriğine göre tam olarak ölçülmüş 25 ml sülfürik asit (3.5 ya da 3.7) eklenir. Birkaç damla metil kırmızısı indikatörü (3.8)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Kjeldahl Balon damıtma cihazının yoğunlaştırıcısına bağlanır ve yoğunlaştırıcının ucu toplama erleni içindeki sıvıya en az 1 cm derinliğinde batırılır. (bakınız 8.3). 100 ml sodyum hidroksit çözeltisi (3.9) yavaşça balona amonyak kaybı olmadan eklenir (bakınız 8.1) Balon amonyak damıtma işlemi tamamlanana kadar ısıtılır.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Borik aside damıtma</w:t>
      </w:r>
    </w:p>
    <w:p w:rsidR="00641DFD" w:rsidRPr="007C1E0B" w:rsidRDefault="00641DFD" w:rsidP="00641DFD">
      <w:pPr>
        <w:jc w:val="both"/>
        <w:rPr>
          <w:rFonts w:ascii="Times New Roman" w:hAnsi="Times New Roman" w:cs="Times New Roman"/>
          <w:sz w:val="20"/>
          <w:szCs w:val="20"/>
        </w:rPr>
      </w:pPr>
      <w:r w:rsidRPr="007C1E0B">
        <w:rPr>
          <w:rFonts w:ascii="Times New Roman" w:hAnsi="Times New Roman" w:cs="Times New Roman"/>
          <w:sz w:val="20"/>
          <w:szCs w:val="20"/>
        </w:rPr>
        <w:t xml:space="preserve">Damıtık üründeki amonyağın titrasyonu elle </w:t>
      </w:r>
      <w:r w:rsidR="00297995" w:rsidRPr="007C1E0B">
        <w:rPr>
          <w:rFonts w:ascii="Times New Roman" w:hAnsi="Times New Roman" w:cs="Times New Roman"/>
          <w:sz w:val="20"/>
          <w:szCs w:val="20"/>
        </w:rPr>
        <w:t>yapılıyorsa aşağıda</w:t>
      </w:r>
      <w:r w:rsidRPr="007C1E0B">
        <w:rPr>
          <w:rFonts w:ascii="Times New Roman" w:hAnsi="Times New Roman" w:cs="Times New Roman"/>
          <w:sz w:val="20"/>
          <w:szCs w:val="20"/>
        </w:rPr>
        <w:t xml:space="preserve"> bahsedilen metot uygulanır. Damıtma ünitesi amonyak içeriğinin </w:t>
      </w:r>
      <w:r w:rsidR="00297995" w:rsidRPr="007C1E0B">
        <w:rPr>
          <w:rFonts w:ascii="Times New Roman" w:hAnsi="Times New Roman" w:cs="Times New Roman"/>
          <w:sz w:val="20"/>
          <w:szCs w:val="20"/>
        </w:rPr>
        <w:t>titrasyonunu da</w:t>
      </w:r>
      <w:r w:rsidRPr="007C1E0B">
        <w:rPr>
          <w:rFonts w:ascii="Times New Roman" w:hAnsi="Times New Roman" w:cs="Times New Roman"/>
          <w:sz w:val="20"/>
          <w:szCs w:val="20"/>
        </w:rPr>
        <w:t xml:space="preserve"> kapsayacak </w:t>
      </w:r>
      <w:r w:rsidR="00297995" w:rsidRPr="007C1E0B">
        <w:rPr>
          <w:rFonts w:ascii="Times New Roman" w:hAnsi="Times New Roman" w:cs="Times New Roman"/>
          <w:sz w:val="20"/>
          <w:szCs w:val="20"/>
        </w:rPr>
        <w:t>şekilde tam</w:t>
      </w:r>
      <w:r w:rsidRPr="007C1E0B">
        <w:rPr>
          <w:rFonts w:ascii="Times New Roman" w:hAnsi="Times New Roman" w:cs="Times New Roman"/>
          <w:sz w:val="20"/>
          <w:szCs w:val="20"/>
        </w:rPr>
        <w:t xml:space="preserve"> otomatik ise,   cihaz üreticisi firmanın kullanım </w:t>
      </w:r>
      <w:r w:rsidR="00297995" w:rsidRPr="007C1E0B">
        <w:rPr>
          <w:rFonts w:ascii="Times New Roman" w:hAnsi="Times New Roman" w:cs="Times New Roman"/>
          <w:sz w:val="20"/>
          <w:szCs w:val="20"/>
        </w:rPr>
        <w:t>talimatları uygulanır</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25 ml ila 30 ml borik asit çözeltisi (3.18) içeren bir toplama erleni, iletim borusunun </w:t>
      </w:r>
      <w:r w:rsidR="0058397D"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borik asit çözeltisinin yüzeyi altında olacağı şekilde yoğunlaştırıcının altına yerleştirilir. Damıtma cihazı 50 ml sodyum hidroksit çözeltisini (3.9) dağıtacak şekilde ayarlanır. Damıtma cihazı üreticinin talimatlarına göre kullanılır ve sodyum hidroksit çözeltisi eklenmesiyle açığa çıkan amonyak damıtılır. Distilat borik asit toplama çözeltisinde toplanır. Distilatın miktarı (buhar damıtma süresi), numunedeki azot miktarına göre değişir. Üreticinin talimatlarını izlenir.</w:t>
      </w:r>
    </w:p>
    <w:p w:rsidR="008F593F" w:rsidRPr="007C1E0B" w:rsidRDefault="00560002" w:rsidP="001B722B">
      <w:pPr>
        <w:jc w:val="both"/>
        <w:rPr>
          <w:rFonts w:ascii="Times New Roman" w:hAnsi="Times New Roman" w:cs="Times New Roman"/>
          <w:sz w:val="20"/>
          <w:szCs w:val="20"/>
        </w:rPr>
      </w:pPr>
      <w:r w:rsidRPr="007C1E0B">
        <w:rPr>
          <w:rFonts w:ascii="Times New Roman" w:hAnsi="Times New Roman" w:cs="Times New Roman"/>
          <w:sz w:val="20"/>
          <w:szCs w:val="20"/>
        </w:rPr>
        <w:t>Not:</w:t>
      </w:r>
      <w:r w:rsidRPr="007C1E0B">
        <w:rPr>
          <w:i/>
          <w:sz w:val="18"/>
          <w:szCs w:val="18"/>
        </w:rPr>
        <w:t xml:space="preserve"> </w:t>
      </w:r>
      <w:r w:rsidR="008F593F" w:rsidRPr="007C1E0B">
        <w:rPr>
          <w:rFonts w:ascii="Times New Roman" w:hAnsi="Times New Roman" w:cs="Times New Roman"/>
          <w:sz w:val="20"/>
          <w:szCs w:val="20"/>
        </w:rPr>
        <w:t xml:space="preserve">Yarı otomatik bir damıtma cihazında, </w:t>
      </w:r>
      <w:r w:rsidR="0058397D" w:rsidRPr="007C1E0B">
        <w:rPr>
          <w:rFonts w:ascii="Times New Roman" w:hAnsi="Times New Roman" w:cs="Times New Roman"/>
          <w:sz w:val="20"/>
          <w:szCs w:val="20"/>
        </w:rPr>
        <w:t xml:space="preserve">yüksek </w:t>
      </w:r>
      <w:r w:rsidR="008F593F" w:rsidRPr="007C1E0B">
        <w:rPr>
          <w:rFonts w:ascii="Times New Roman" w:hAnsi="Times New Roman" w:cs="Times New Roman"/>
          <w:sz w:val="20"/>
          <w:szCs w:val="20"/>
        </w:rPr>
        <w:t>sodyum hidroksitin eklenmesi ve buhar damıtma işlemi otomatik olarak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Titrasyon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5.3.1. ya da 5.3.2.’ye göre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Kullanılan sülfrik asidin konsantrasyonuna bağlı olarak, toplama kabı içindeki </w:t>
      </w:r>
      <w:r w:rsidR="00297995" w:rsidRPr="007C1E0B">
        <w:rPr>
          <w:rFonts w:ascii="Times New Roman" w:hAnsi="Times New Roman" w:cs="Times New Roman"/>
          <w:sz w:val="20"/>
          <w:szCs w:val="20"/>
        </w:rPr>
        <w:t>sülfürik</w:t>
      </w:r>
      <w:r w:rsidRPr="007C1E0B">
        <w:rPr>
          <w:rFonts w:ascii="Times New Roman" w:hAnsi="Times New Roman" w:cs="Times New Roman"/>
          <w:sz w:val="20"/>
          <w:szCs w:val="20"/>
        </w:rPr>
        <w:t xml:space="preserve"> asidin fazlası, sodyum hidroksit çözeltisi ile (3.10 ya da 3.11) dönüm noktasına ulaşılıncaya kadar titre edilir</w:t>
      </w:r>
      <w:r w:rsidR="006E1B34"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Borik asit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Toplama şişesinin içeriği bir büret kullanılarak hidroklorik asit standart volumetrik çözeltisi (3.19) ya da sülfürik asit standart volumetrik çözeltisi (3.6) ile titre edilir ve kullanılan miktar okunur.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Dönüm noktasına, içerikte pembe rengin ilk görüldüğü yerde ulaşılır. Büret, en yakın 0,05 ml’ye okuyarak tahmin edilir. Aydınlatmalı bir manyetik karıştırma plakası ya da fotometrik bir de</w:t>
      </w:r>
      <w:r w:rsidR="006E1B34" w:rsidRPr="007C1E0B">
        <w:rPr>
          <w:rFonts w:ascii="Times New Roman" w:hAnsi="Times New Roman" w:cs="Times New Roman"/>
          <w:sz w:val="20"/>
          <w:szCs w:val="20"/>
        </w:rPr>
        <w:t>d</w:t>
      </w:r>
      <w:r w:rsidRPr="007C1E0B">
        <w:rPr>
          <w:rFonts w:ascii="Times New Roman" w:hAnsi="Times New Roman" w:cs="Times New Roman"/>
          <w:sz w:val="20"/>
          <w:szCs w:val="20"/>
        </w:rPr>
        <w:t>ektör dönüm noktasının görülmesine yardımcı olabilir. Bu, otomatik titrasyonlu buhar damıtıcı kullanılarak otomatik olarak yapılabilir. Özel damıtıcı ya da damıtıcı/titre edicinin kullanımı için üreticinin talimatları izlenir.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Not: Otomatik titrasyon sistemi kullanıldığında, titrasyon, damıtma işlemi başladıktan hemen sonra başlar ve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1 borik asit çözeltisi (3.18)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Tam otomatik bir damıtma cihazının kullanıldığı yerde, ayrıca amonyağın otomatik titrasyonu da bir potansiyometrik pH sistemi kullanan dönüm noktası tespiti ile yürütülebilir. Bu durumda pH metreli bir otomatik titre edici kullanılır. pH metre, normal laboratuvar pH kalibrasyon metotları izlenerek pH 4 ve pH 7 değerlerinde düzgün olarak kalibre edilmelidir. Titrasyonun pH dönüm noktasına pH 4,6’da erişilir.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testi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Ayıraçların azot içermediğini doğrulamak amacıyla numune yerine 1 g sakkaroz (3.14) kullanılarak kör testi (yaş yakma, damıtma ve titrasyon) uygulanır.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Hesaplamalar 6.1 ya da 6.2’ye göre gerçekleştirilir.</w:t>
      </w:r>
    </w:p>
    <w:p w:rsidR="008F593F" w:rsidRPr="007C1E0B" w:rsidRDefault="004813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8F593F" w:rsidRPr="007C1E0B">
        <w:rPr>
          <w:rFonts w:ascii="Times New Roman" w:hAnsi="Times New Roman" w:cs="Times New Roman"/>
          <w:sz w:val="20"/>
          <w:szCs w:val="20"/>
        </w:rPr>
        <w:t>5.3.1’e göre titrasyon hesabı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Ağırlıkça yüzde olarak ifade edilen ham protein içeriği, aşağıdaki formülden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057A8F" w:rsidRPr="007C1E0B">
        <w:rPr>
          <w:rFonts w:ascii="Times New Roman" w:hAnsi="Times New Roman" w:cs="Times New Roman"/>
          <w:noProof/>
          <w:sz w:val="20"/>
          <w:szCs w:val="20"/>
        </w:rPr>
        <w:drawing>
          <wp:inline distT="0" distB="0" distL="0" distR="0" wp14:anchorId="437128A4" wp14:editId="6730E455">
            <wp:extent cx="2651760" cy="601980"/>
            <wp:effectExtent l="0" t="0" r="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1760" cy="6019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Kör testinde kullanılan NaOH (3.10 ya da 3.11)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 xml:space="preserve">1 </w:t>
      </w:r>
      <w:r w:rsidRPr="007C1E0B">
        <w:rPr>
          <w:rFonts w:ascii="Times New Roman" w:hAnsi="Times New Roman" w:cs="Times New Roman"/>
          <w:sz w:val="20"/>
          <w:szCs w:val="20"/>
        </w:rPr>
        <w:t>= Numune titrasyonunda kullanılan NaOH (3.10 ya da 3.11)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Sodyum hidroksit (3.10 ya da 3.11) konsantrasyonu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    5.3.2’ye göre titrasyon hesabı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6.2.1. Hidroklorik asitle titrasyon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Ağırlıkça yüzde olarak ifade edilen ham protein içeriği, aşağıdaki formülden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057A8F" w:rsidRPr="007C1E0B">
        <w:rPr>
          <w:rFonts w:ascii="Times New Roman" w:hAnsi="Times New Roman" w:cs="Times New Roman"/>
          <w:noProof/>
          <w:sz w:val="20"/>
          <w:szCs w:val="20"/>
        </w:rPr>
        <w:drawing>
          <wp:inline distT="0" distB="0" distL="0" distR="0" wp14:anchorId="59B47907" wp14:editId="7B93EDD0">
            <wp:extent cx="1897380" cy="449580"/>
            <wp:effectExtent l="0" t="0" r="7620"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380" cy="4495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Standart volumetrik hidroklorik asit (3.19) çözeltisinin konsantrasyonu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Kör testinde kullanılan hidroklorik asidin (ml cinsinden)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için kullanılan hidroklorik asidin (ml cinsinden) hacmi</w:t>
      </w:r>
    </w:p>
    <w:p w:rsidR="00481327" w:rsidRPr="007C1E0B" w:rsidRDefault="00481327"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6.2.2. Sülfürik asitle titrasyon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Ağırlıkça yüzde olarak ifade edilen ham protein içeriği, aşağıdaki formülden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057A8F" w:rsidRPr="007C1E0B">
        <w:rPr>
          <w:rFonts w:ascii="Times New Roman" w:hAnsi="Times New Roman" w:cs="Times New Roman"/>
          <w:noProof/>
          <w:sz w:val="20"/>
          <w:szCs w:val="20"/>
        </w:rPr>
        <w:drawing>
          <wp:inline distT="0" distB="0" distL="0" distR="0" wp14:anchorId="75173075" wp14:editId="15AAE7ED">
            <wp:extent cx="1851660" cy="449580"/>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1660" cy="4495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standart volumetrik sülfürik asit (3.6) çözeltisinin konsantrasyonu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kör testinde kullanılan sülfürik asidin (3.6) (ml cinsinden)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için kullanılan sülfürik asidin (3.6) (ml cinsinden)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 Metodun doğrulanması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20’den az ham protein içeriği için mutlak değer olarak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0,2,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20 ila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40 ham protein içeriği için bulunan en yüksek değerin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1,0’i kadar,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40’tan fazla ham protein içeriği için mutlak değer olarak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0,4.</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 Doğruluk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(yaş yakma, damıtma ve titrasyon) 1 g sakkaroz (3.14) varlığında, 1,5 ila 2,0 g asetanilid (3.13) üzerinde gerçekleştirilir. 1 g asetanilid 14,80 ml sülfürik asit (3.5) tüketir. Geri kazanım en az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99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481327"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8.1. Cihaz manuel, yarı otomatik ya da otomatik tip olabilir. Yaş yakma ve damıtma adımları arasında makine aktarım gerektiriyorsa, bu aktarım kayıpsız gerçekleştirilmelidir. Damıtma cihazının şişesine damlama hunisi takılmamışsa, kjeldahl balonu yoğunlaştırıcıya bağlanmadan hemen önce sodyum hidroksit yavaşça kenardan dökülerek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8.2. Yaş yakmaya tabi tutulan madde katılaşırsa, yukarıda belirtilenden daha fazla miktarda sülfürik asit (3.4) kullanarak analiz yeniden başlatılır.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8.3. Düşük azot içeriği olan ürünler için toplama erlenine koyulacak sülfürik asit (3.7) hacmi gerekiyorsa 10 ya da 15 ml’ye azaltılabilir ve su ile 25 ml’ye kadar tamamlanabilir.</w:t>
      </w:r>
    </w:p>
    <w:p w:rsidR="009C4F8A" w:rsidRPr="007C1E0B" w:rsidRDefault="008F593F" w:rsidP="00421084">
      <w:pPr>
        <w:jc w:val="both"/>
        <w:rPr>
          <w:rFonts w:ascii="Times New Roman" w:hAnsi="Times New Roman" w:cs="Times New Roman"/>
          <w:sz w:val="20"/>
          <w:szCs w:val="20"/>
        </w:rPr>
      </w:pPr>
      <w:r w:rsidRPr="007C1E0B">
        <w:rPr>
          <w:rFonts w:ascii="Times New Roman" w:hAnsi="Times New Roman" w:cs="Times New Roman"/>
          <w:sz w:val="20"/>
          <w:szCs w:val="20"/>
        </w:rPr>
        <w:t>8.4. Rutin analizlerde, ham protein tayini için alternatif analiz metotları uygulanabilir, ancak bu Bölüm C’de açıklanan Kjeldahl metodu referans metottur. Alternatif metotla (DUMAS gibi) elde edilen ve referans metot ile karşılaştırılan sonuçların eşdeğerliği her matriks için ayrı ayrı gösterilmelidir. Alternatif bir metotla elde edilen sonuçlar, eşdeğerlikleri doğrulanmış olsa bile referans metot ile elde edilen sonuçlardan biraz sapabildiğinden, ham protein tayini için kullanılan analiz metodundan analitik raporda bahsedilmesi gereklidir.</w:t>
      </w:r>
    </w:p>
    <w:p w:rsidR="00023CAD" w:rsidRPr="007C1E0B" w:rsidRDefault="009C4F8A"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8.4.’te adı geçen DUMAS metodu, </w:t>
      </w:r>
      <w:r w:rsidR="00297995" w:rsidRPr="007C1E0B">
        <w:rPr>
          <w:rFonts w:ascii="Times New Roman" w:hAnsi="Times New Roman" w:cs="Times New Roman"/>
          <w:sz w:val="20"/>
          <w:szCs w:val="20"/>
        </w:rPr>
        <w:t>AOÇ’de</w:t>
      </w:r>
      <w:r w:rsidRPr="007C1E0B">
        <w:rPr>
          <w:rFonts w:ascii="Times New Roman" w:hAnsi="Times New Roman" w:cs="Times New Roman"/>
          <w:sz w:val="20"/>
          <w:szCs w:val="20"/>
        </w:rPr>
        <w:t xml:space="preserve"> yayımlanmış metoda göre yapılabilir.</w:t>
      </w:r>
    </w:p>
    <w:p w:rsidR="006A043F" w:rsidRPr="007C1E0B" w:rsidRDefault="006A043F" w:rsidP="001B722B">
      <w:pPr>
        <w:jc w:val="both"/>
        <w:rPr>
          <w:rFonts w:ascii="Times New Roman" w:hAnsi="Times New Roman" w:cs="Times New Roman"/>
          <w:sz w:val="20"/>
          <w:szCs w:val="20"/>
        </w:rPr>
      </w:pPr>
    </w:p>
    <w:p w:rsidR="008F593F" w:rsidRPr="007C1E0B" w:rsidRDefault="00057A8F" w:rsidP="001B722B">
      <w:pPr>
        <w:jc w:val="both"/>
        <w:rPr>
          <w:rFonts w:ascii="Times New Roman" w:hAnsi="Times New Roman" w:cs="Times New Roman"/>
          <w:b/>
          <w:sz w:val="20"/>
          <w:szCs w:val="20"/>
        </w:rPr>
      </w:pPr>
      <w:r w:rsidRPr="007C1E0B">
        <w:rPr>
          <w:rFonts w:ascii="Times New Roman" w:hAnsi="Times New Roman" w:cs="Times New Roman"/>
          <w:b/>
          <w:sz w:val="20"/>
          <w:szCs w:val="20"/>
        </w:rPr>
        <w:t>Ç. ÜRE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üre seviyesinin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F51409"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berraklaştırma çözeltileriyle su içinde süspansiyon haline getirilir. Süspansiyon süzülür. Süzüntünün üre içeriği 4-dimetilaminobenzaldehid (4-DMAB) eklendikten sonra 420 nm dalga boyundaki optik yoğunluk ölçülerek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F51409"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4-dimetilaminobenzaldehid çözeltisi: 1,6 g 4-DMAB’yi 100 ml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96 etanol içinde çözündürülür ve 10 ml hidroklorik asit (ρ20 1,19 g/ml) eklenir. Bu ayıraç, en fazla iki hafta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Carrez çözeltisi I: Su içinde 21,9 g çinko asetat </w:t>
      </w:r>
      <w:r w:rsidR="00057A8F" w:rsidRPr="007C1E0B">
        <w:rPr>
          <w:rFonts w:ascii="Times New Roman" w:hAnsi="Times New Roman" w:cs="Times New Roman"/>
          <w:sz w:val="20"/>
          <w:szCs w:val="20"/>
        </w:rPr>
        <w:t>Zn(CH</w:t>
      </w:r>
      <w:r w:rsidR="00057A8F" w:rsidRPr="007C1E0B">
        <w:rPr>
          <w:rFonts w:ascii="Times New Roman" w:hAnsi="Times New Roman" w:cs="Times New Roman"/>
          <w:sz w:val="20"/>
          <w:szCs w:val="20"/>
          <w:vertAlign w:val="subscript"/>
        </w:rPr>
        <w:t>3</w:t>
      </w:r>
      <w:r w:rsidR="00057A8F" w:rsidRPr="007C1E0B">
        <w:rPr>
          <w:rFonts w:ascii="Times New Roman" w:hAnsi="Times New Roman" w:cs="Times New Roman"/>
          <w:sz w:val="20"/>
          <w:szCs w:val="20"/>
        </w:rPr>
        <w:t>COO)</w:t>
      </w:r>
      <w:r w:rsidR="00057A8F" w:rsidRPr="007C1E0B">
        <w:rPr>
          <w:rFonts w:ascii="Times New Roman" w:hAnsi="Times New Roman" w:cs="Times New Roman"/>
          <w:sz w:val="20"/>
          <w:szCs w:val="20"/>
          <w:vertAlign w:val="subscript"/>
        </w:rPr>
        <w:t>2</w:t>
      </w:r>
      <w:r w:rsidR="00057A8F" w:rsidRPr="007C1E0B">
        <w:rPr>
          <w:rFonts w:ascii="Times New Roman" w:hAnsi="Times New Roman" w:cs="Times New Roman"/>
          <w:sz w:val="20"/>
          <w:szCs w:val="20"/>
        </w:rPr>
        <w:t xml:space="preserve"> 2H</w:t>
      </w:r>
      <w:r w:rsidR="00057A8F" w:rsidRPr="007C1E0B">
        <w:rPr>
          <w:rFonts w:ascii="Times New Roman" w:hAnsi="Times New Roman" w:cs="Times New Roman"/>
          <w:sz w:val="20"/>
          <w:szCs w:val="20"/>
          <w:vertAlign w:val="subscript"/>
        </w:rPr>
        <w:t>2</w:t>
      </w:r>
      <w:r w:rsidR="00057A8F" w:rsidRPr="007C1E0B">
        <w:rPr>
          <w:rFonts w:ascii="Times New Roman" w:hAnsi="Times New Roman" w:cs="Times New Roman"/>
          <w:sz w:val="20"/>
          <w:szCs w:val="20"/>
        </w:rPr>
        <w:t xml:space="preserve">O </w:t>
      </w:r>
      <w:r w:rsidRPr="007C1E0B">
        <w:rPr>
          <w:rFonts w:ascii="Times New Roman" w:hAnsi="Times New Roman" w:cs="Times New Roman"/>
          <w:sz w:val="20"/>
          <w:szCs w:val="20"/>
        </w:rPr>
        <w:t>ve 3 g glasiyal asetik asit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Carrez çözeltisi II: Su içinde 10,6 g potasyum ferrosiyanid </w:t>
      </w:r>
      <w:r w:rsidR="00057A8F" w:rsidRPr="007C1E0B">
        <w:rPr>
          <w:rFonts w:ascii="Times New Roman" w:hAnsi="Times New Roman" w:cs="Times New Roman"/>
          <w:sz w:val="20"/>
          <w:szCs w:val="20"/>
        </w:rPr>
        <w:t>K</w:t>
      </w:r>
      <w:r w:rsidR="00057A8F" w:rsidRPr="007C1E0B">
        <w:rPr>
          <w:rFonts w:ascii="Times New Roman" w:hAnsi="Times New Roman" w:cs="Times New Roman"/>
          <w:sz w:val="20"/>
          <w:szCs w:val="20"/>
          <w:vertAlign w:val="subscript"/>
        </w:rPr>
        <w:t>4</w:t>
      </w:r>
      <w:r w:rsidR="00057A8F" w:rsidRPr="007C1E0B">
        <w:rPr>
          <w:rFonts w:ascii="Times New Roman" w:hAnsi="Times New Roman" w:cs="Times New Roman"/>
          <w:sz w:val="20"/>
          <w:szCs w:val="20"/>
        </w:rPr>
        <w:t xml:space="preserve"> Fe (CN)</w:t>
      </w:r>
      <w:r w:rsidR="00057A8F" w:rsidRPr="007C1E0B">
        <w:rPr>
          <w:rFonts w:ascii="Times New Roman" w:hAnsi="Times New Roman" w:cs="Times New Roman"/>
          <w:sz w:val="20"/>
          <w:szCs w:val="20"/>
          <w:vertAlign w:val="subscript"/>
        </w:rPr>
        <w:t>6</w:t>
      </w:r>
      <w:r w:rsidR="00057A8F" w:rsidRPr="007C1E0B">
        <w:rPr>
          <w:rFonts w:ascii="Times New Roman" w:hAnsi="Times New Roman" w:cs="Times New Roman"/>
          <w:sz w:val="20"/>
          <w:szCs w:val="20"/>
        </w:rPr>
        <w:t xml:space="preserve"> 3H</w:t>
      </w:r>
      <w:r w:rsidR="00057A8F" w:rsidRPr="007C1E0B">
        <w:rPr>
          <w:rFonts w:ascii="Times New Roman" w:hAnsi="Times New Roman" w:cs="Times New Roman"/>
          <w:sz w:val="20"/>
          <w:szCs w:val="20"/>
          <w:vertAlign w:val="subscript"/>
        </w:rPr>
        <w:t>2</w:t>
      </w:r>
      <w:r w:rsidR="00057A8F" w:rsidRPr="007C1E0B">
        <w:rPr>
          <w:rFonts w:ascii="Times New Roman" w:hAnsi="Times New Roman" w:cs="Times New Roman"/>
          <w:sz w:val="20"/>
          <w:szCs w:val="20"/>
        </w:rPr>
        <w:t xml:space="preserve">O </w:t>
      </w:r>
      <w:r w:rsidRPr="007C1E0B">
        <w:rPr>
          <w:rFonts w:ascii="Times New Roman" w:hAnsi="Times New Roman" w:cs="Times New Roman"/>
          <w:sz w:val="20"/>
          <w:szCs w:val="20"/>
        </w:rPr>
        <w:t>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Üre absorbe etmeyen aktif karbon kullanılmalıdır. (Kontrol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Üre,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0,1 çözelti (w/v)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Karıştırıcı: yaklaşık 35 ila 40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 Test tüpleri: 160 × 16 mm, şilifli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 Spektrofotometre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Numunenin analizi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g numune 1 mg hassasiyetle tartılır ve 1 g aktif karbon (3.4) ile 500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400 ml su ve 5 ml Carrez I çözeltisi (3.2) eklenir, yaklaşık 30 saniye karıştırılır ve 5 ml Carrez II çözeltisi (3.3) eklenir. Karıştırıcıda 30 dakika karıştırılır. Su ile gereken hacme tamamlanır, çalkalanır ve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ml şeffaf renksiz filtratı alınır, şilifli test tüplerine koyulur, 5 ml 4-DMAB çözeltisi eklenir (3.1) ve karıştırılır. Tüpler 20°C’deki (+/- 4°C) bir su banyosuna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15 dakika sonra, 420 nm’de spektrofotometrede numune çözeltisinin optik yoğunluğu ölçülür. Ayıraçlar aynı şekilde kullanılarak numunesiz kör deneme çalışması yapılır ve hesaplamalarda dikkate alınır.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 Kalibrasyon eğrisi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2, 4, 5 ve 10 ml’lik hacimlerde üre çözeltisi (3.5) alınır, 100 ml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su ile gereken hacme tamamlanır. Her bir çözeltiden 5 ml alınır, bunların her birine 5 ml 4-DMAB çözeltisi (3.1) eklenir, homojen hale getirir, 5 ml 4-DMAB ve 5 ml üre içermeyen su ihtiva eden bir kontrol çözeltisi ile karşılaştırılarak optik yoğunluğu yukarıda gösterildiği gibi ölçülür, kalibrasyon eğrisi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 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eğrisi kullanılarak numunedeki üre miktarı tayin edilir. Sonuçlar numunenin yüzdesi olarak ifade edilir. Üre hesaplanması için aşağıdaki formül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Üre(%): c x f x100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m x 1000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Burada;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Kalibrasyon eğrisinden hesaplanan üre miktarı(mg)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 Seyreltme faktörü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Numune miktarı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 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 Üre içeriğinin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3’ü geçmesi halinde numune 1 g’a azaltılır ya da orijinal çözelti, 500 ml’de en fazla 50 mg üre olacak şekilde seyreltilir.</w:t>
      </w:r>
    </w:p>
    <w:p w:rsidR="00816386"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 Üre içeriğinin düşük olması durumunda, süzüntü şeffaf ve renksiz kalana kadar numune artırılır.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 Numune, amino asitler gibi basit azot bileşikleri içeriyorsa, optik yoğunluk 435 nm’de ölçülmelidir.</w:t>
      </w:r>
    </w:p>
    <w:p w:rsidR="008F593F" w:rsidRPr="007C1E0B" w:rsidRDefault="00057A8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D. </w:t>
      </w:r>
      <w:r w:rsidR="00773639"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UÇUCU AZOTLU BAZLARIN TAYİNİ</w:t>
      </w:r>
    </w:p>
    <w:p w:rsidR="008F593F" w:rsidRPr="007C1E0B" w:rsidRDefault="00E4238A"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I. </w:t>
      </w:r>
      <w:r w:rsidR="00297995" w:rsidRPr="007C1E0B">
        <w:rPr>
          <w:rFonts w:ascii="Times New Roman" w:hAnsi="Times New Roman" w:cs="Times New Roman"/>
          <w:sz w:val="20"/>
          <w:szCs w:val="20"/>
        </w:rPr>
        <w:t>MİKRO DİFÜZYON</w:t>
      </w:r>
      <w:r w:rsidRPr="007C1E0B">
        <w:rPr>
          <w:rFonts w:ascii="Times New Roman" w:hAnsi="Times New Roman" w:cs="Times New Roman"/>
          <w:sz w:val="20"/>
          <w:szCs w:val="20"/>
        </w:rPr>
        <w:t xml:space="preserve"> METODUYLA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73639"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amonyak olarak ifade edilen uçucu azotlu bazların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su ile ekstrakte edilir ve çözelti berraklaştırılıp süzülür. Uçucu azotlu bazlar, bir potasyum karbonat çözeltisi kullanılarak mikro difüzyon yoluyla çıkartılır, borik asit çözeltisinde toplanır ve sülfürik asit ile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Trikloroasetik asit,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20 (w/v)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İndikatör: 33 mg bromokrezol yeşili ve 65 mg metil kırmızısı 100 ml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95 ila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96 (v/v) etanol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Borik asit çözeltisi: 1 litrelik balon jojede 10 g borik asit 200 ml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95 ila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96 (v/v) etanol ve 700 ml su içinde çözündürülür. 10 ml indikatör (3.2) eklenir. Karıştırılır ve gerekiyorsa çözeltinin rengi bir sodyum hidroksit çözeltisi ekleyerek açık kırmızıya ayarlanır. Bu çözeltinin 1 ml’si en fazla 300 μg NH</w:t>
      </w:r>
      <w:r w:rsidRPr="007C1E0B">
        <w:rPr>
          <w:rFonts w:ascii="Times New Roman" w:hAnsi="Times New Roman" w:cs="Times New Roman"/>
          <w:sz w:val="20"/>
          <w:szCs w:val="20"/>
          <w:vertAlign w:val="subscript"/>
        </w:rPr>
        <w:t xml:space="preserve">3 </w:t>
      </w:r>
      <w:r w:rsidRPr="007C1E0B">
        <w:rPr>
          <w:rFonts w:ascii="Times New Roman" w:hAnsi="Times New Roman" w:cs="Times New Roman"/>
          <w:sz w:val="20"/>
          <w:szCs w:val="20"/>
        </w:rPr>
        <w:t>bağlayacaktır.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Doymuş potasyum karbonat çözeltisi: 100 g potasyum karbonat 100 ml kaynar suda çözündürülür. Soğumaya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Sülfürik asit 0,01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4.1. Karıştırıcı: yaklaşık 35 ila 40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4.2. Cam ya da plastik Conway hücreleri (bakınız şekil)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 1/100 ml derecelendirilmiş mikro büretler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g numune 1 mg hassasiyetle tartılır ve 100 ml su ile 200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30 dakika boyunca karıştırıcıda karıştırılır. 50 ml trikloroasetik asit çözeltisi (3.1) eklenir, su ile gereken hacme tamamlanır, kuvvetlice çalkalanır ve katlı bir süzgeç kağıdı ile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pipet kullanarak 1 ml borik asit çözeltisi (3.3) Conway hücresinin ortasına ve 1 ml numune süzüntüsü hücrenin başlığına eklenir. Yağlanmış kapakla kısmen kapatılır. 1 ml doymuş potasyum karbonat çözeltisi (3.4) hızlı bir şekilde başlığa damlatılır ve kapağı hücrenin hava almayacağı şekilde kapatılır. Hücre, iki ayıracın karışacağı şekilde dikkatle yatay bir düzlemde döndürerek çevrilir. Oda sıcaklığında en az dört saat ya da 40°C’de bir saat inkübe edilmeye bırakılır. </w:t>
      </w:r>
    </w:p>
    <w:p w:rsidR="00A557CA"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mikro büret (4.3) kullanılarak uçucu bazları borik asit çözeltisi içinde sülfürik asit (3.5) ile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Analiz edilecek bir numune olmadan aynı metot kullanılarak kör testi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 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ml </w:t>
      </w:r>
      <w:r w:rsidR="00297995" w:rsidRPr="007C1E0B">
        <w:rPr>
          <w:rFonts w:ascii="Times New Roman" w:hAnsi="Times New Roman" w:cs="Times New Roman"/>
          <w:sz w:val="20"/>
          <w:szCs w:val="20"/>
        </w:rPr>
        <w:t>H</w:t>
      </w:r>
      <w:r w:rsidR="00297995" w:rsidRPr="007C1E0B">
        <w:rPr>
          <w:rFonts w:ascii="Times New Roman" w:hAnsi="Times New Roman" w:cs="Times New Roman"/>
          <w:sz w:val="20"/>
          <w:szCs w:val="20"/>
          <w:vertAlign w:val="subscript"/>
        </w:rPr>
        <w:t>2</w:t>
      </w:r>
      <w:r w:rsidR="00297995" w:rsidRPr="007C1E0B">
        <w:rPr>
          <w:rFonts w:ascii="Times New Roman" w:hAnsi="Times New Roman" w:cs="Times New Roman"/>
          <w:sz w:val="20"/>
          <w:szCs w:val="20"/>
        </w:rPr>
        <w:t>SO</w:t>
      </w:r>
      <w:r w:rsidR="00297995" w:rsidRPr="007C1E0B">
        <w:rPr>
          <w:rFonts w:ascii="Times New Roman" w:hAnsi="Times New Roman" w:cs="Times New Roman"/>
          <w:sz w:val="20"/>
          <w:szCs w:val="20"/>
          <w:vertAlign w:val="subscript"/>
        </w:rPr>
        <w:t>4</w:t>
      </w:r>
      <w:r w:rsidR="00297995" w:rsidRPr="007C1E0B">
        <w:rPr>
          <w:rFonts w:ascii="Times New Roman" w:hAnsi="Times New Roman" w:cs="Times New Roman"/>
          <w:sz w:val="20"/>
          <w:szCs w:val="20"/>
        </w:rPr>
        <w:t xml:space="preserve"> 0</w:t>
      </w:r>
      <w:r w:rsidRPr="007C1E0B">
        <w:rPr>
          <w:rFonts w:ascii="Times New Roman" w:hAnsi="Times New Roman" w:cs="Times New Roman"/>
          <w:sz w:val="20"/>
          <w:szCs w:val="20"/>
        </w:rPr>
        <w:t>,01 mol/l, 0,34 mg amonyağa karşılık gelir. Sonuçlar numunenin yüzdesi olarak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AB4B90"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farkı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1’den az amonyak içeriği için bağıl değer olarak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10,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1 ya da daha fazla amonyak içeriği için mutlak değer olarak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0,1</w:t>
      </w:r>
    </w:p>
    <w:p w:rsidR="007845D8" w:rsidRPr="007C1E0B" w:rsidRDefault="007845D8"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 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amonyak içeriği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0,6’dan fazla ise başlangıç süzüntüsü seyreltilir.</w:t>
      </w:r>
    </w:p>
    <w:p w:rsidR="007845D8" w:rsidRPr="007C1E0B" w:rsidRDefault="007845D8" w:rsidP="001B722B">
      <w:pPr>
        <w:jc w:val="both"/>
        <w:rPr>
          <w:rFonts w:ascii="Times New Roman" w:hAnsi="Times New Roman" w:cs="Times New Roman"/>
          <w:sz w:val="20"/>
          <w:szCs w:val="20"/>
        </w:rPr>
      </w:pPr>
    </w:p>
    <w:p w:rsidR="00057A8F" w:rsidRPr="007C1E0B" w:rsidRDefault="00057A8F" w:rsidP="001B722B">
      <w:pPr>
        <w:autoSpaceDE w:val="0"/>
        <w:autoSpaceDN w:val="0"/>
        <w:adjustRightInd w:val="0"/>
        <w:spacing w:before="120"/>
        <w:jc w:val="both"/>
        <w:outlineLvl w:val="0"/>
        <w:rPr>
          <w:rFonts w:eastAsiaTheme="minorHAnsi"/>
          <w:b/>
          <w:sz w:val="18"/>
          <w:szCs w:val="18"/>
          <w:lang w:eastAsia="en-US"/>
        </w:rPr>
      </w:pPr>
      <w:r w:rsidRPr="007C1E0B">
        <w:rPr>
          <w:rFonts w:eastAsiaTheme="minorHAnsi"/>
          <w:b/>
          <w:sz w:val="18"/>
          <w:szCs w:val="18"/>
          <w:lang w:eastAsia="en-US"/>
        </w:rPr>
        <w:t>Şekil:</w:t>
      </w:r>
      <w:r w:rsidR="00AB4B90" w:rsidRPr="007C1E0B">
        <w:rPr>
          <w:rFonts w:eastAsiaTheme="minorHAnsi"/>
          <w:b/>
          <w:sz w:val="18"/>
          <w:szCs w:val="18"/>
          <w:lang w:eastAsia="en-US"/>
        </w:rPr>
        <w:t xml:space="preserve"> </w:t>
      </w:r>
      <w:r w:rsidRPr="007C1E0B">
        <w:rPr>
          <w:rFonts w:eastAsiaTheme="minorHAnsi"/>
          <w:b/>
          <w:sz w:val="18"/>
          <w:szCs w:val="18"/>
          <w:lang w:eastAsia="en-US"/>
        </w:rPr>
        <w:t xml:space="preserve"> Conway Hücresi</w:t>
      </w:r>
    </w:p>
    <w:p w:rsidR="00057A8F" w:rsidRPr="007C1E0B" w:rsidRDefault="00057A8F" w:rsidP="001B722B">
      <w:pPr>
        <w:autoSpaceDE w:val="0"/>
        <w:autoSpaceDN w:val="0"/>
        <w:adjustRightInd w:val="0"/>
        <w:spacing w:before="120"/>
        <w:jc w:val="both"/>
        <w:outlineLvl w:val="0"/>
        <w:rPr>
          <w:rFonts w:eastAsiaTheme="minorHAnsi"/>
          <w:b/>
          <w:sz w:val="18"/>
          <w:szCs w:val="18"/>
          <w:lang w:eastAsia="en-US"/>
        </w:rPr>
      </w:pPr>
      <w:r w:rsidRPr="007C1E0B">
        <w:rPr>
          <w:rFonts w:eastAsiaTheme="minorHAnsi"/>
          <w:b/>
          <w:sz w:val="18"/>
          <w:szCs w:val="18"/>
          <w:lang w:eastAsia="en-US"/>
        </w:rPr>
        <w:t>Ölçek 1/1</w:t>
      </w:r>
    </w:p>
    <w:p w:rsidR="00057A8F" w:rsidRPr="007C1E0B" w:rsidRDefault="00057A8F" w:rsidP="001B722B">
      <w:pPr>
        <w:autoSpaceDE w:val="0"/>
        <w:autoSpaceDN w:val="0"/>
        <w:adjustRightInd w:val="0"/>
        <w:spacing w:before="120"/>
        <w:jc w:val="both"/>
        <w:rPr>
          <w:rFonts w:eastAsiaTheme="minorHAnsi"/>
          <w:sz w:val="18"/>
          <w:szCs w:val="18"/>
          <w:lang w:eastAsia="en-US"/>
        </w:rPr>
        <w:sectPr w:rsidR="00057A8F" w:rsidRPr="007C1E0B" w:rsidSect="00AE5307">
          <w:footerReference w:type="default" r:id="rId13"/>
          <w:pgSz w:w="11907" w:h="16840" w:code="9"/>
          <w:pgMar w:top="1417" w:right="1417" w:bottom="1417" w:left="1417" w:header="709" w:footer="709" w:gutter="0"/>
          <w:pgNumType w:start="1"/>
          <w:cols w:space="708"/>
          <w:noEndnote/>
          <w:docGrid w:linePitch="326"/>
        </w:sectPr>
      </w:pPr>
    </w:p>
    <w:p w:rsidR="00057A8F" w:rsidRPr="007C1E0B" w:rsidRDefault="00057A8F" w:rsidP="001B722B">
      <w:pPr>
        <w:autoSpaceDE w:val="0"/>
        <w:autoSpaceDN w:val="0"/>
        <w:adjustRightInd w:val="0"/>
        <w:spacing w:before="120"/>
        <w:jc w:val="both"/>
        <w:rPr>
          <w:rFonts w:eastAsiaTheme="minorHAnsi"/>
          <w:sz w:val="18"/>
          <w:szCs w:val="18"/>
          <w:lang w:eastAsia="en-US"/>
        </w:rPr>
      </w:pPr>
      <w:r w:rsidRPr="007C1E0B">
        <w:rPr>
          <w:rFonts w:eastAsiaTheme="minorHAnsi"/>
          <w:noProof/>
          <w:sz w:val="18"/>
          <w:szCs w:val="18"/>
        </w:rPr>
        <w:drawing>
          <wp:anchor distT="0" distB="0" distL="114300" distR="114300" simplePos="0" relativeHeight="251652096" behindDoc="0" locked="1" layoutInCell="1" allowOverlap="0" wp14:anchorId="58902678" wp14:editId="2D20AC5A">
            <wp:simplePos x="0" y="0"/>
            <wp:positionH relativeFrom="column">
              <wp:posOffset>99060</wp:posOffset>
            </wp:positionH>
            <wp:positionV relativeFrom="paragraph">
              <wp:posOffset>71120</wp:posOffset>
            </wp:positionV>
            <wp:extent cx="2794000" cy="1485900"/>
            <wp:effectExtent l="0" t="0" r="635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40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E0B">
        <w:rPr>
          <w:rFonts w:eastAsiaTheme="minorHAnsi"/>
          <w:noProof/>
          <w:sz w:val="18"/>
          <w:szCs w:val="18"/>
        </w:rPr>
        <mc:AlternateContent>
          <mc:Choice Requires="wps">
            <w:drawing>
              <wp:anchor distT="0" distB="0" distL="114300" distR="114300" simplePos="0" relativeHeight="251655168" behindDoc="0" locked="0" layoutInCell="1" allowOverlap="1" wp14:anchorId="5980BB9B" wp14:editId="3AAA0B04">
                <wp:simplePos x="0" y="0"/>
                <wp:positionH relativeFrom="column">
                  <wp:posOffset>3048000</wp:posOffset>
                </wp:positionH>
                <wp:positionV relativeFrom="paragraph">
                  <wp:posOffset>787400</wp:posOffset>
                </wp:positionV>
                <wp:extent cx="1905000" cy="278130"/>
                <wp:effectExtent l="5715" t="7620" r="13335" b="952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78130"/>
                        </a:xfrm>
                        <a:prstGeom prst="rect">
                          <a:avLst/>
                        </a:prstGeom>
                        <a:solidFill>
                          <a:srgbClr val="FFFFFF"/>
                        </a:solidFill>
                        <a:ln w="9525">
                          <a:solidFill>
                            <a:srgbClr val="000000"/>
                          </a:solidFill>
                          <a:miter lim="800000"/>
                          <a:headEnd/>
                          <a:tailEnd/>
                        </a:ln>
                      </wps:spPr>
                      <wps:txbx>
                        <w:txbxContent>
                          <w:p w:rsidR="00626E47" w:rsidRPr="00FA103E" w:rsidRDefault="00626E47" w:rsidP="00057A8F">
                            <w:pPr>
                              <w:autoSpaceDE w:val="0"/>
                              <w:autoSpaceDN w:val="0"/>
                              <w:adjustRightInd w:val="0"/>
                              <w:rPr>
                                <w:rFonts w:ascii="Arial" w:hAnsi="Arial"/>
                                <w:sz w:val="17"/>
                              </w:rPr>
                            </w:pPr>
                            <w:r w:rsidRPr="00FA103E">
                              <w:rPr>
                                <w:rFonts w:ascii="Arial" w:hAnsi="Arial"/>
                                <w:sz w:val="17"/>
                              </w:rPr>
                              <w:t>Kapağın S</w:t>
                            </w:r>
                            <w:r w:rsidRPr="00FA103E">
                              <w:rPr>
                                <w:rFonts w:ascii="Arial" w:hAnsi="Arial"/>
                                <w:sz w:val="17"/>
                                <w:vertAlign w:val="subscript"/>
                              </w:rPr>
                              <w:t xml:space="preserve"> </w:t>
                            </w:r>
                            <w:r w:rsidRPr="00FA103E">
                              <w:rPr>
                                <w:rFonts w:ascii="Arial" w:hAnsi="Arial"/>
                                <w:sz w:val="17"/>
                              </w:rPr>
                              <w:t>S</w:t>
                            </w:r>
                            <w:r w:rsidRPr="00FA103E">
                              <w:rPr>
                                <w:rFonts w:ascii="Arial" w:hAnsi="Arial"/>
                                <w:sz w:val="17"/>
                                <w:vertAlign w:val="subscript"/>
                              </w:rPr>
                              <w:t xml:space="preserve">1 </w:t>
                            </w:r>
                            <w:r w:rsidRPr="00FA103E">
                              <w:rPr>
                                <w:rFonts w:ascii="Arial" w:hAnsi="Arial"/>
                                <w:sz w:val="17"/>
                              </w:rPr>
                              <w:t>kesiti</w:t>
                            </w:r>
                          </w:p>
                          <w:p w:rsidR="00626E47" w:rsidRDefault="00626E47" w:rsidP="00057A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BB9B" id="_x0000_t202" coordsize="21600,21600" o:spt="202" path="m,l,21600r21600,l21600,xe">
                <v:stroke joinstyle="miter"/>
                <v:path gradientshapeok="t" o:connecttype="rect"/>
              </v:shapetype>
              <v:shape id="Metin Kutusu 6" o:spid="_x0000_s1026" type="#_x0000_t202" style="position:absolute;left:0;text-align:left;margin-left:240pt;margin-top:62pt;width:150pt;height:2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">
                <v:textbox>
                  <w:txbxContent>
                    <w:p w:rsidR="00626E47" w:rsidRPr="00FA103E" w:rsidRDefault="00626E47" w:rsidP="00057A8F">
                      <w:pPr>
                        <w:autoSpaceDE w:val="0"/>
                        <w:autoSpaceDN w:val="0"/>
                        <w:adjustRightInd w:val="0"/>
                        <w:rPr>
                          <w:rFonts w:ascii="Arial" w:hAnsi="Arial"/>
                          <w:sz w:val="17"/>
                        </w:rPr>
                      </w:pPr>
                      <w:r w:rsidRPr="00FA103E">
                        <w:rPr>
                          <w:rFonts w:ascii="Arial" w:hAnsi="Arial"/>
                          <w:sz w:val="17"/>
                        </w:rPr>
                        <w:t>Kapağın S</w:t>
                      </w:r>
                      <w:r w:rsidRPr="00FA103E">
                        <w:rPr>
                          <w:rFonts w:ascii="Arial" w:hAnsi="Arial"/>
                          <w:sz w:val="17"/>
                          <w:vertAlign w:val="subscript"/>
                        </w:rPr>
                        <w:t xml:space="preserve"> </w:t>
                      </w:r>
                      <w:r w:rsidRPr="00FA103E">
                        <w:rPr>
                          <w:rFonts w:ascii="Arial" w:hAnsi="Arial"/>
                          <w:sz w:val="17"/>
                        </w:rPr>
                        <w:t>S</w:t>
                      </w:r>
                      <w:r w:rsidRPr="00FA103E">
                        <w:rPr>
                          <w:rFonts w:ascii="Arial" w:hAnsi="Arial"/>
                          <w:sz w:val="17"/>
                          <w:vertAlign w:val="subscript"/>
                        </w:rPr>
                        <w:t xml:space="preserve">1 </w:t>
                      </w:r>
                      <w:r w:rsidRPr="00FA103E">
                        <w:rPr>
                          <w:rFonts w:ascii="Arial" w:hAnsi="Arial"/>
                          <w:sz w:val="17"/>
                        </w:rPr>
                        <w:t>kesiti</w:t>
                      </w:r>
                    </w:p>
                    <w:p w:rsidR="00626E47" w:rsidRDefault="00626E47" w:rsidP="00057A8F"/>
                  </w:txbxContent>
                </v:textbox>
              </v:shape>
            </w:pict>
          </mc:Fallback>
        </mc:AlternateContent>
      </w:r>
      <w:r w:rsidRPr="007C1E0B">
        <w:rPr>
          <w:rFonts w:eastAsiaTheme="minorHAnsi"/>
          <w:noProof/>
          <w:sz w:val="18"/>
          <w:szCs w:val="18"/>
        </w:rPr>
        <mc:AlternateContent>
          <mc:Choice Requires="wps">
            <w:drawing>
              <wp:anchor distT="0" distB="0" distL="114300" distR="114300" simplePos="0" relativeHeight="251657216" behindDoc="0" locked="0" layoutInCell="1" allowOverlap="1" wp14:anchorId="28756CE6" wp14:editId="3BDF823B">
                <wp:simplePos x="0" y="0"/>
                <wp:positionH relativeFrom="column">
                  <wp:posOffset>3048000</wp:posOffset>
                </wp:positionH>
                <wp:positionV relativeFrom="paragraph">
                  <wp:posOffset>166370</wp:posOffset>
                </wp:positionV>
                <wp:extent cx="1905000" cy="295910"/>
                <wp:effectExtent l="5715" t="5715" r="13335" b="1270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95910"/>
                        </a:xfrm>
                        <a:prstGeom prst="rect">
                          <a:avLst/>
                        </a:prstGeom>
                        <a:solidFill>
                          <a:srgbClr val="FFFFFF"/>
                        </a:solidFill>
                        <a:ln w="9525">
                          <a:solidFill>
                            <a:srgbClr val="000000"/>
                          </a:solidFill>
                          <a:miter lim="800000"/>
                          <a:headEnd/>
                          <a:tailEnd/>
                        </a:ln>
                      </wps:spPr>
                      <wps:txbx>
                        <w:txbxContent>
                          <w:p w:rsidR="00626E47" w:rsidRPr="00FA103E" w:rsidRDefault="00626E47" w:rsidP="00057A8F">
                            <w:pPr>
                              <w:autoSpaceDE w:val="0"/>
                              <w:autoSpaceDN w:val="0"/>
                              <w:adjustRightInd w:val="0"/>
                              <w:rPr>
                                <w:rFonts w:ascii="Arial" w:hAnsi="Arial"/>
                                <w:sz w:val="17"/>
                              </w:rPr>
                            </w:pPr>
                            <w:r w:rsidRPr="00FA103E">
                              <w:rPr>
                                <w:rFonts w:ascii="Arial" w:hAnsi="Arial"/>
                                <w:sz w:val="17"/>
                              </w:rPr>
                              <w:t>Kapağın S</w:t>
                            </w:r>
                            <w:r w:rsidRPr="00FA103E">
                              <w:rPr>
                                <w:rFonts w:ascii="Arial" w:hAnsi="Arial"/>
                                <w:sz w:val="17"/>
                                <w:vertAlign w:val="subscript"/>
                              </w:rPr>
                              <w:t>2</w:t>
                            </w:r>
                            <w:r w:rsidRPr="00FA103E">
                              <w:rPr>
                                <w:rFonts w:ascii="Arial" w:hAnsi="Arial"/>
                                <w:sz w:val="17"/>
                              </w:rPr>
                              <w:t>S</w:t>
                            </w:r>
                            <w:r w:rsidRPr="00FA103E">
                              <w:rPr>
                                <w:rFonts w:ascii="Arial" w:hAnsi="Arial"/>
                                <w:sz w:val="17"/>
                                <w:vertAlign w:val="subscript"/>
                              </w:rPr>
                              <w:t xml:space="preserve">3 </w:t>
                            </w:r>
                            <w:r w:rsidRPr="00FA103E">
                              <w:rPr>
                                <w:rFonts w:ascii="Arial" w:hAnsi="Arial"/>
                                <w:sz w:val="17"/>
                              </w:rPr>
                              <w:t>kesiti</w:t>
                            </w:r>
                          </w:p>
                          <w:p w:rsidR="00626E47" w:rsidRDefault="00626E47" w:rsidP="00057A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56CE6" id="Metin Kutusu 7" o:spid="_x0000_s1027" type="#_x0000_t202" style="position:absolute;left:0;text-align:left;margin-left:240pt;margin-top:13.1pt;width:150pt;height:2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">
                <v:textbox>
                  <w:txbxContent>
                    <w:p w:rsidR="00626E47" w:rsidRPr="00FA103E" w:rsidRDefault="00626E47" w:rsidP="00057A8F">
                      <w:pPr>
                        <w:autoSpaceDE w:val="0"/>
                        <w:autoSpaceDN w:val="0"/>
                        <w:adjustRightInd w:val="0"/>
                        <w:rPr>
                          <w:rFonts w:ascii="Arial" w:hAnsi="Arial"/>
                          <w:sz w:val="17"/>
                        </w:rPr>
                      </w:pPr>
                      <w:r w:rsidRPr="00FA103E">
                        <w:rPr>
                          <w:rFonts w:ascii="Arial" w:hAnsi="Arial"/>
                          <w:sz w:val="17"/>
                        </w:rPr>
                        <w:t>Kapağın S</w:t>
                      </w:r>
                      <w:r w:rsidRPr="00FA103E">
                        <w:rPr>
                          <w:rFonts w:ascii="Arial" w:hAnsi="Arial"/>
                          <w:sz w:val="17"/>
                          <w:vertAlign w:val="subscript"/>
                        </w:rPr>
                        <w:t>2</w:t>
                      </w:r>
                      <w:r w:rsidRPr="00FA103E">
                        <w:rPr>
                          <w:rFonts w:ascii="Arial" w:hAnsi="Arial"/>
                          <w:sz w:val="17"/>
                        </w:rPr>
                        <w:t>S</w:t>
                      </w:r>
                      <w:r w:rsidRPr="00FA103E">
                        <w:rPr>
                          <w:rFonts w:ascii="Arial" w:hAnsi="Arial"/>
                          <w:sz w:val="17"/>
                          <w:vertAlign w:val="subscript"/>
                        </w:rPr>
                        <w:t xml:space="preserve">3 </w:t>
                      </w:r>
                      <w:r w:rsidRPr="00FA103E">
                        <w:rPr>
                          <w:rFonts w:ascii="Arial" w:hAnsi="Arial"/>
                          <w:sz w:val="17"/>
                        </w:rPr>
                        <w:t>kesiti</w:t>
                      </w:r>
                    </w:p>
                    <w:p w:rsidR="00626E47" w:rsidRDefault="00626E47" w:rsidP="00057A8F"/>
                  </w:txbxContent>
                </v:textbox>
              </v:shape>
            </w:pict>
          </mc:Fallback>
        </mc:AlternateContent>
      </w: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r w:rsidRPr="007C1E0B">
        <w:rPr>
          <w:rFonts w:eastAsiaTheme="minorHAnsi"/>
          <w:noProof/>
          <w:sz w:val="18"/>
          <w:szCs w:val="18"/>
        </w:rPr>
        <w:drawing>
          <wp:anchor distT="0" distB="0" distL="114300" distR="114300" simplePos="0" relativeHeight="251649024" behindDoc="0" locked="1" layoutInCell="1" allowOverlap="0" wp14:anchorId="0893E0A3" wp14:editId="2C1D8078">
            <wp:simplePos x="0" y="0"/>
            <wp:positionH relativeFrom="column">
              <wp:posOffset>1494790</wp:posOffset>
            </wp:positionH>
            <wp:positionV relativeFrom="paragraph">
              <wp:posOffset>-15240</wp:posOffset>
            </wp:positionV>
            <wp:extent cx="2080260" cy="4000500"/>
            <wp:effectExtent l="0" t="0" r="0" b="0"/>
            <wp:wrapNone/>
            <wp:docPr id="9" name="Resim 9" descr="fa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fati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0260" cy="400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E0B">
        <w:rPr>
          <w:rFonts w:eastAsiaTheme="minorHAnsi"/>
          <w:sz w:val="18"/>
          <w:szCs w:val="18"/>
          <w:lang w:eastAsia="en-US"/>
        </w:rPr>
        <w:t xml:space="preserve">                                                                        </w:t>
      </w: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r w:rsidRPr="007C1E0B">
        <w:rPr>
          <w:rFonts w:eastAsiaTheme="minorHAnsi"/>
          <w:sz w:val="18"/>
          <w:szCs w:val="18"/>
          <w:lang w:eastAsia="en-US"/>
        </w:rPr>
        <w:t xml:space="preserve">                                                                                               Hücrenin üstten görünümü </w:t>
      </w: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B92A17" w:rsidRPr="007C1E0B" w:rsidRDefault="00B92A17" w:rsidP="001B722B">
      <w:pPr>
        <w:autoSpaceDE w:val="0"/>
        <w:autoSpaceDN w:val="0"/>
        <w:adjustRightInd w:val="0"/>
        <w:spacing w:before="120"/>
        <w:jc w:val="both"/>
        <w:rPr>
          <w:rFonts w:eastAsiaTheme="minorHAnsi"/>
          <w:sz w:val="18"/>
          <w:szCs w:val="18"/>
          <w:lang w:eastAsia="en-US"/>
        </w:rPr>
      </w:pPr>
    </w:p>
    <w:p w:rsidR="00B92A17" w:rsidRPr="007C1E0B" w:rsidRDefault="00B92A17" w:rsidP="001B722B">
      <w:pPr>
        <w:autoSpaceDE w:val="0"/>
        <w:autoSpaceDN w:val="0"/>
        <w:adjustRightInd w:val="0"/>
        <w:spacing w:before="120"/>
        <w:jc w:val="both"/>
        <w:rPr>
          <w:rFonts w:eastAsiaTheme="minorHAnsi"/>
          <w:sz w:val="18"/>
          <w:szCs w:val="18"/>
          <w:lang w:eastAsia="en-US"/>
        </w:rPr>
      </w:pPr>
    </w:p>
    <w:p w:rsidR="00B92A17" w:rsidRPr="007C1E0B" w:rsidRDefault="00B92A17"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both"/>
        <w:rPr>
          <w:rFonts w:eastAsiaTheme="minorHAnsi"/>
          <w:sz w:val="18"/>
          <w:szCs w:val="18"/>
          <w:lang w:eastAsia="en-US"/>
        </w:rPr>
      </w:pPr>
    </w:p>
    <w:p w:rsidR="00057A8F" w:rsidRPr="007C1E0B" w:rsidRDefault="00057A8F" w:rsidP="001B722B">
      <w:pPr>
        <w:autoSpaceDE w:val="0"/>
        <w:autoSpaceDN w:val="0"/>
        <w:adjustRightInd w:val="0"/>
        <w:spacing w:before="120"/>
        <w:jc w:val="center"/>
        <w:rPr>
          <w:rFonts w:eastAsiaTheme="minorHAnsi"/>
          <w:sz w:val="18"/>
          <w:szCs w:val="18"/>
          <w:lang w:eastAsia="en-US"/>
        </w:rPr>
      </w:pPr>
      <w:r w:rsidRPr="007C1E0B">
        <w:rPr>
          <w:rFonts w:eastAsiaTheme="minorHAnsi"/>
          <w:sz w:val="18"/>
          <w:szCs w:val="18"/>
          <w:lang w:eastAsia="en-US"/>
        </w:rPr>
        <w:t>Şilifli cam kapağın üstten görünümü</w:t>
      </w:r>
    </w:p>
    <w:p w:rsidR="00057A8F" w:rsidRPr="007C1E0B" w:rsidRDefault="00057A8F" w:rsidP="001B722B">
      <w:pPr>
        <w:autoSpaceDE w:val="0"/>
        <w:autoSpaceDN w:val="0"/>
        <w:adjustRightInd w:val="0"/>
        <w:spacing w:before="120"/>
        <w:jc w:val="both"/>
        <w:rPr>
          <w:rFonts w:eastAsiaTheme="minorHAnsi"/>
          <w:b/>
          <w:sz w:val="18"/>
          <w:szCs w:val="18"/>
          <w:lang w:eastAsia="en-US"/>
        </w:rPr>
        <w:sectPr w:rsidR="00057A8F" w:rsidRPr="007C1E0B" w:rsidSect="00AE5307">
          <w:type w:val="continuous"/>
          <w:pgSz w:w="11907" w:h="16840" w:code="9"/>
          <w:pgMar w:top="1417" w:right="1417" w:bottom="1417" w:left="1417" w:header="709" w:footer="709" w:gutter="0"/>
          <w:cols w:space="708"/>
          <w:noEndnote/>
          <w:docGrid w:linePitch="326"/>
        </w:sectPr>
      </w:pPr>
    </w:p>
    <w:p w:rsidR="00BF0184" w:rsidRPr="007C1E0B" w:rsidRDefault="00E4238A" w:rsidP="00BF0184">
      <w:pPr>
        <w:jc w:val="both"/>
        <w:rPr>
          <w:rFonts w:ascii="Times New Roman" w:hAnsi="Times New Roman" w:cs="Times New Roman"/>
          <w:sz w:val="20"/>
          <w:szCs w:val="20"/>
        </w:rPr>
      </w:pPr>
      <w:r w:rsidRPr="007C1E0B">
        <w:rPr>
          <w:rFonts w:ascii="Times New Roman" w:hAnsi="Times New Roman" w:cs="Times New Roman"/>
          <w:sz w:val="20"/>
          <w:szCs w:val="20"/>
        </w:rPr>
        <w:t>II.  DAMITMA METODUYLA</w:t>
      </w:r>
    </w:p>
    <w:p w:rsidR="00023CAD" w:rsidRPr="007C1E0B" w:rsidRDefault="00BF0184" w:rsidP="00BF0184">
      <w:pPr>
        <w:pStyle w:val="ListeParagraf"/>
        <w:ind w:left="0"/>
        <w:jc w:val="both"/>
        <w:rPr>
          <w:sz w:val="20"/>
          <w:szCs w:val="20"/>
        </w:rPr>
      </w:pPr>
      <w:r w:rsidRPr="007C1E0B">
        <w:rPr>
          <w:sz w:val="20"/>
          <w:szCs w:val="20"/>
        </w:rPr>
        <w:t xml:space="preserve">1.  </w:t>
      </w:r>
      <w:r w:rsidR="008F593F" w:rsidRPr="007C1E0B">
        <w:rPr>
          <w:sz w:val="20"/>
          <w:szCs w:val="20"/>
        </w:rPr>
        <w:t>Amaç ve Kapsam</w:t>
      </w:r>
    </w:p>
    <w:p w:rsidR="00BF0184" w:rsidRPr="007C1E0B" w:rsidRDefault="00BF0184" w:rsidP="00BF0184">
      <w:pPr>
        <w:pStyle w:val="ListeParagraf"/>
        <w:jc w:val="both"/>
        <w:rPr>
          <w:sz w:val="20"/>
          <w:szCs w:val="20"/>
        </w:rPr>
      </w:pPr>
    </w:p>
    <w:p w:rsidR="00023CAD" w:rsidRPr="007C1E0B" w:rsidRDefault="00023CAD" w:rsidP="00023CAD">
      <w:pPr>
        <w:pStyle w:val="ListeParagraf"/>
        <w:spacing w:after="120"/>
        <w:ind w:left="0"/>
        <w:jc w:val="both"/>
        <w:rPr>
          <w:rFonts w:eastAsiaTheme="minorEastAsia"/>
          <w:sz w:val="20"/>
          <w:szCs w:val="20"/>
        </w:rPr>
      </w:pPr>
      <w:r w:rsidRPr="007C1E0B">
        <w:rPr>
          <w:rFonts w:eastAsiaTheme="minorEastAsia"/>
          <w:sz w:val="20"/>
          <w:szCs w:val="20"/>
        </w:rPr>
        <w:t>Bu metot; üre içermeyen balık ununda, amonyak olarak ifade edilen uçucu azotlu bazların tayinini mümkün kılar. Bu, yalnızca %</w:t>
      </w:r>
      <w:r w:rsidR="00A857B3" w:rsidRPr="007C1E0B">
        <w:rPr>
          <w:rFonts w:eastAsiaTheme="minorEastAsia"/>
          <w:sz w:val="20"/>
          <w:szCs w:val="20"/>
        </w:rPr>
        <w:t xml:space="preserve"> </w:t>
      </w:r>
      <w:r w:rsidRPr="007C1E0B">
        <w:rPr>
          <w:rFonts w:eastAsiaTheme="minorEastAsia"/>
          <w:sz w:val="20"/>
          <w:szCs w:val="20"/>
        </w:rPr>
        <w:t>0,25’ten az amonyak içeriği için geçerlidir.</w:t>
      </w:r>
    </w:p>
    <w:p w:rsidR="008F593F" w:rsidRPr="007C1E0B" w:rsidRDefault="008F593F" w:rsidP="00023CAD">
      <w:pPr>
        <w:spacing w:after="120"/>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su ile ekstrakte edilir ve çözelti berraklaştırılıp süzülür. Uçucu azotlu bazlar kaynama noktasında magnezyum oksit eklenerek çıkartılır ve belirli miktardaki sülfürik asit içinde toplanır, fazla miktarı sodyum hidroksit çözeltisi ile geri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Trikloroasetik asit,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20 (w/v)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Magnezyum 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Köpürmeyi önleyici emülsiyon (silikon gibi)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0,05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hidroksit çözeltisi,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95 ile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96 (v/v) etanol içinde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0,3 metil kırmızısı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Karıştırıcı: yaklaşık 35 ile 40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Kjeldahl tipi damıtma cihazı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g numune 1 mg hassasiyetle tartılır ve 100 ml su ile 200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30 dakika boyunca karıştırıcıda karıştırılır. 50 ml trikloroasetik asit çözeltisi (3.1) eklenir, su ile gereken hacme tamamlanır, kuvvetlice çalkalanır ve katlı bir süzgeç kağıdı ile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Varsayılan uçucu azotlu baz içeriği için uygun miktarda berrak süzüntü alınır. (100 ml genelde uygundur) 200 ml’ye seyreltilir ve 2 g magnezyum oksit (3.2) ile birkaç damla köpürmeyi önleyici emülsiyonu (3.3) eklenir. Çözelti turnusol kağıdına göre alkali olmalıdır, değilse biraz magnezyum oksit (3.2) eklenir. Ham protein içeriğinin tayini için analiz metodunun 5.2 ve 5.3 maddelerine göre devam edilir. (Bakınız Bölüm C).</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olmadan aynı metot kullanarak kör testi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ml </w:t>
      </w:r>
      <w:r w:rsidR="00D34305" w:rsidRPr="007C1E0B">
        <w:rPr>
          <w:rFonts w:ascii="Times New Roman" w:hAnsi="Times New Roman" w:cs="Times New Roman"/>
          <w:sz w:val="20"/>
          <w:szCs w:val="20"/>
        </w:rPr>
        <w:t>H</w:t>
      </w:r>
      <w:r w:rsidR="00D34305" w:rsidRPr="007C1E0B">
        <w:rPr>
          <w:rFonts w:ascii="Times New Roman" w:hAnsi="Times New Roman" w:cs="Times New Roman"/>
          <w:sz w:val="20"/>
          <w:szCs w:val="20"/>
          <w:vertAlign w:val="subscript"/>
        </w:rPr>
        <w:t>2</w:t>
      </w:r>
      <w:r w:rsidR="00D34305" w:rsidRPr="007C1E0B">
        <w:rPr>
          <w:rFonts w:ascii="Times New Roman" w:hAnsi="Times New Roman" w:cs="Times New Roman"/>
          <w:sz w:val="20"/>
          <w:szCs w:val="20"/>
        </w:rPr>
        <w:t>SO</w:t>
      </w:r>
      <w:r w:rsidR="00D34305"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xml:space="preserve"> 0,05 mol/l, 1,7 mg amonyağa karşılık gelir. Sonuçlar yüzde olarak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AB4B90"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bağıl değer olarak en fazla amonyağın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10’u olmalıdır.</w:t>
      </w:r>
    </w:p>
    <w:p w:rsidR="00B92A17" w:rsidRPr="007C1E0B" w:rsidRDefault="00B92A17" w:rsidP="001B722B">
      <w:pPr>
        <w:jc w:val="both"/>
        <w:rPr>
          <w:rFonts w:ascii="Times New Roman" w:hAnsi="Times New Roman" w:cs="Times New Roman"/>
          <w:sz w:val="20"/>
          <w:szCs w:val="20"/>
        </w:rPr>
      </w:pPr>
    </w:p>
    <w:p w:rsidR="008E5240" w:rsidRPr="007C1E0B" w:rsidRDefault="008E5240" w:rsidP="001B722B">
      <w:pPr>
        <w:jc w:val="both"/>
        <w:rPr>
          <w:rFonts w:ascii="Times New Roman" w:hAnsi="Times New Roman" w:cs="Times New Roman"/>
          <w:sz w:val="20"/>
          <w:szCs w:val="20"/>
        </w:rPr>
      </w:pPr>
    </w:p>
    <w:p w:rsidR="00596E6F" w:rsidRPr="007C1E0B" w:rsidRDefault="00596E6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E.</w:t>
      </w:r>
      <w:r w:rsidR="00AB4B90"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 AMİNO ASİTLERİN (TRİPTOFAN HARİÇ)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metot, amino asit analizörü kullanarak yemdeki serbest (sentetik ve doğal) ve toplam (peptid bağlı ve serbest) amino asitlerin tayinini mümkün kılar. Sistein, metiyonin, lizin, treonin, alanin, arjinin, aspartik asit, glutamik asit, glisin, histidin, izolöysin, löysin, fenilalanin, prolin, serin, tirozin ve valin amino asitleri için geçerlidir.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Metot, amino asit tuzlarını ayırt etmez ve amino asitlerin D ve L formları arasında ayrım yapmaz. Triptofan ya da amino asitlerin hidroksi analoglarının tayini için geçerli değildir.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Serbest amino asitler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Serbest amino asitler seyreltilmiş hidroklorik asit ile ekstrakte edilir. Beraber ekstrakte edilmiş azotlu makro moleküller sülfosalisilik asit ile çökeltilir ve süzülür. Süzüntünün pH’ı 2,20’ye ayarlanır. Amino asitler iyon değişim kromatografisi ile ayrılır ve ninhidrin ile reaksiyona sokularak fotometrede 570 nm dalga boyunda tespit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 Toplam amino asitler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Seçilen metot inceleme altındaki amino asitlere göre değişir. Sistein ve metiyonin hidrolizden önce sırasıyla sisteik aside ve metiyonin sülfona okside edilmelidir. Tirozin, oksitlenmemiş numunelerin hidrolizatlarında tayin edilmelidir. Amaç ve kapsamda listelenen diğer tüm amino asitler oksitlenmiş ya da oksitlenmemiş numunede tayin edilebilir.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Oksidasyon 0°C’de performik asit/fenol karışımı ile gerçekleştirilir. Oksitlenme ayıracının fazlası sodyum disülfit ile ayrıştırılır. Oksitlenmiş ya da oksitlenmemiş numune, hidroklorik asit (3.20) ile 23 saat boyunca hidrolize edilir. Hidrolizat pH 2,20’ye ayarlanır. Amino asitler iyon değişim kromatografisi ile ayrılır ve ninhidrin ile reaksiyona sokularak fotometrede 570 nm (prolin için 440 nm) dalga boyunda tespit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İki kere distile edilmiş su ya da eşdeğer nitelikte su kullanılmalıdır. (iletkenlik &lt; 10 μS).</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Hidrojen peroksit, a (a/a) =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30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Formik asit, a (a/a) =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98 -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100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Fenol.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disülfit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Sodyum hidroksit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5-Sülfosalisilik asit dihidrat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yaklaşık yoğunluğu 1,18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Tri-Sodyum sitrat dihidrat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2,2'-Tiyodietanol (tiyodiglikol)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klorür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Ninhidrin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3.12.</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Petrol eteri, kaynama aralığı 40-60°C</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Norlöysin ya da başka bir bileşik iç standart olarak kullanılmaya uygundur.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3.14.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Azot gazı (&lt; 10 ppm oksijen)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3.15.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1-Oktanol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3.16.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Amino asitler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3.16.1. Standard maddeler paragraf 1 altında listelenmiştir. Saf bileşikler kristalizasyon suyu içermezler. Kullanmadan önce bir hafta boyunca P</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5</w:t>
      </w:r>
      <w:r w:rsidRPr="007C1E0B">
        <w:rPr>
          <w:rFonts w:ascii="Times New Roman" w:hAnsi="Times New Roman" w:cs="Times New Roman"/>
          <w:sz w:val="20"/>
          <w:szCs w:val="20"/>
        </w:rPr>
        <w:t xml:space="preserve"> ya da 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xml:space="preserve"> üzerinde vakum altında kurutulur.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3.16.2.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Sisteik asit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3.16.3.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Metiyonin sülfat.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3.17.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hidroksit çözeltisi, c = 7,5 mol/l, (300 g NaOH (3.5) su içinde çözündürülür ve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3.18. Sodyum hidroksit çözeltisi, c = 1 mol/l, (40 g NaOH (3.5) su içinde çözündürülür ve 1 litreye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3.19.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Formik asit— fenol çözeltisi, (889 g formik asidi (3.2)  111 g su ile karıştırılır ve 4,73 g fenol (3.3)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3.20.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Hidroliz karışımı, c = 6 mol/l HCl (1 g/l fenol içeren), (492 ml HCI (3,7) içine 1 g fenol eklenir ve suyla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karışımı, c = 0,1 mol/l HCl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2 tiodiglikol içeren) (8,2 ml HCl (3.7) alınır, yaklaşık 900 ml su ile seyreltilir, 20 ml tiodiglikol (3.9) eklenir ve su ile 1 litreye tamamlanır) (3.7 ve 3.9. doğrudan karıştırılmaz).</w:t>
      </w:r>
    </w:p>
    <w:p w:rsidR="008F593F" w:rsidRPr="007C1E0B" w:rsidRDefault="00AB4B9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3.22.  </w:t>
      </w:r>
      <w:r w:rsidR="008F593F" w:rsidRPr="007C1E0B">
        <w:rPr>
          <w:rFonts w:ascii="Times New Roman" w:hAnsi="Times New Roman" w:cs="Times New Roman"/>
          <w:sz w:val="20"/>
          <w:szCs w:val="20"/>
        </w:rPr>
        <w:t>5- Sülfosalisilik asit, ß = %</w:t>
      </w:r>
      <w:r w:rsidR="003A1B28"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6, (60 g 5- sülfosalisilik asidi (3.6) su içinde çözündürülür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3.23.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Oksidasyon karışımı (Performik asit— fenol) (0,5 ml hidrojen peroksidi (3.1) 4,5 ml formik asit-fenol çözeltisi (3.19) ile küçük bir beherde karıştırılır. Performik asit oluşturmak için 20-30°C’de 1 saat boyunca inkübe edilir. Numuneyi eklemeden önce (15 dakika) buz-su banyosunda soğutulur.)</w:t>
      </w:r>
    </w:p>
    <w:p w:rsidR="008F593F" w:rsidRPr="007C1E0B" w:rsidRDefault="00C30458" w:rsidP="001B722B">
      <w:pPr>
        <w:jc w:val="both"/>
        <w:rPr>
          <w:rFonts w:ascii="Times New Roman" w:hAnsi="Times New Roman" w:cs="Times New Roman"/>
          <w:sz w:val="20"/>
          <w:szCs w:val="20"/>
        </w:rPr>
      </w:pPr>
      <w:r w:rsidRPr="007C1E0B">
        <w:rPr>
          <w:rFonts w:ascii="Times New Roman" w:hAnsi="Times New Roman" w:cs="Times New Roman"/>
          <w:sz w:val="20"/>
          <w:szCs w:val="20"/>
        </w:rPr>
        <w:t>Not</w:t>
      </w:r>
      <w:r w:rsidR="008F593F" w:rsidRPr="007C1E0B">
        <w:rPr>
          <w:rFonts w:ascii="Times New Roman" w:hAnsi="Times New Roman" w:cs="Times New Roman"/>
          <w:sz w:val="20"/>
          <w:szCs w:val="20"/>
        </w:rPr>
        <w:t>: Deriyle temasından sakınılır ve koruyucu giysiler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3.24.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Sitrat tamponu, c = 0,2 mol/l Na+, pH 2,20 (19,61 g sodyum sitrat (3.8), 5 ml tiodiglikol (3.9), 1 g fenol (3.3) ve 16,50 ml HCI’yi (3.7) yaklaşık 800 ml su içinde çözündürülür. pH’sı 2,20’ye ayarlanır.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3.25.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Elüsyon tamponları, kullanılan analizör koşullarına göre hazırlanır (4.9)</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3.26.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Ninhidrin ayıracı, analizör koşullarına göre hazırlanır (4.9)</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3.27.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Amino asitlerin standart çözeltileri. Bu çözeltiler 5°C’de saklanmalıdır.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3.27.1. </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Amino asitlerin stok standart çözeltileri (3.16.1)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b/>
        <w:t>c = 2,5 μmol/ml (Her birinin hidroklorik asit içindeki çözeltisi. Ticari olarakta bulunur.)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3.27.2.</w:t>
      </w:r>
      <w:r w:rsidR="00AB4B9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Sisteik asit ve metiyonin sülfatın stok standart çözeltileri, c = 1,25 μmol/ml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0,2115 g sisteik asit (3.16.2) ve 0,2265 g metiyonin sülfatı (3.16.3)1 litrelik balon jojede sitrat tamponu içerisinde çözündürülür ve sitrat tamponu ile işaretine kadar tamamlanır. 5°C’nin altında ve en fazla 12 ay saklanır. Bu çözelti, stok standart çözeltisi (3.27.1) sisteik asit ve metiyonin sülfat içeriyorsa kullanılmaz.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3.27.3.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İç standardın stok standart çözeltisi, örneğin norlöysin, c = 20 μmol/ml</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0,6560 g norlöysin (3.13) balon jojede sitrat tamponu (3.24) içinde çözündürülür ve sitrat tamponu ile 250 ml’ye tamamlanır. 5°C’nin altında en fazla 6 ay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3.27.4.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Hidrolizatlar ile kullanılmak üzere standart amino asitlerin kalibrasyon çözeltileri, c = 5 nmol/50 μl, sisteik asit ve metiyonin sülfat ve c = 10 nmol/50 μl diğer amino asitler. 2,2 g sodyum klorit (3.10) 100 ml’lik beher içinde 30 ml sitrat tamponu (3.24)  ile çözündürülür. 4,00 ml amino asit stok standart çözeltisi (3.27.1), 4,00 ml sisteik asit ve metiyonin sülfatın stok standart çözeltisi (3.27.2) ve eğer kullanılıyorsa 0,50 ml iç standardın stok standart çözeltisi (3.27.3) eklenir. Sodyum hidroksit (3.18) ile pH’sı 2,20’ye ayarlanır.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Hazırlanan kısım 50 ml’lik balon jojeye aktarılır ve sitrat tamponu (3.24) ile işarete kadar tamamlayıp karıştırılır. 5°C’nin altında en fazla 3 ay saklanır. (Bakınız gözlem 9.1.)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3.27.5.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Hidrolizatlarla kullanılmak üzere standart amino asitlerin kalibrasyon çözeltileri paragraf 5.3.3.1.’e göre ve ekstraktlarla (5.2) birlikte kullanılmak üzere hazırlanır. Kalibrasyon çözeltisi 3.27.4.’e göre hazırlanır ancak sodyum klorür ilave edilmez. 5°C’nin altında en fazla 3 ay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soğutucu  takılmış 100 ila 250 ml’lik yuvarlak tabanlı balon joje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Etüv kullanımı için kauçuk/teflon astarlı vida kapaklı 100 ml’lik borosilikat cam şişe (örneğin Duran, Schott)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Havalandırmalı ve ± 2°C’den daha iyi bir hassasiyette sıcaklık düzenleyicili etüv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pH-metre (üç ondalık haneli)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(0,22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Santrifüj</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Rotary vakum evaporatör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Mekanik çalkalayıcı ya da manyetik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4.9.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Amino asit analizörü ya da iyon değişimi kolonlu HPLC cihazı, ninhidrin için gereç, kolon sonrası türevlendirme ve fotometrik de</w:t>
      </w:r>
      <w:r w:rsidR="00A557CA" w:rsidRPr="007C1E0B">
        <w:rPr>
          <w:rFonts w:ascii="Times New Roman" w:hAnsi="Times New Roman" w:cs="Times New Roman"/>
          <w:sz w:val="20"/>
          <w:szCs w:val="20"/>
        </w:rPr>
        <w:t>d</w:t>
      </w:r>
      <w:r w:rsidRPr="007C1E0B">
        <w:rPr>
          <w:rFonts w:ascii="Times New Roman" w:hAnsi="Times New Roman" w:cs="Times New Roman"/>
          <w:sz w:val="20"/>
          <w:szCs w:val="20"/>
        </w:rPr>
        <w:t>ektör.</w:t>
      </w:r>
    </w:p>
    <w:p w:rsidR="008F593F" w:rsidRPr="007C1E0B" w:rsidRDefault="00F679B4" w:rsidP="001B722B">
      <w:pPr>
        <w:jc w:val="both"/>
        <w:rPr>
          <w:rFonts w:ascii="Times New Roman" w:hAnsi="Times New Roman" w:cs="Times New Roman"/>
          <w:sz w:val="20"/>
          <w:szCs w:val="20"/>
        </w:rPr>
      </w:pPr>
      <w:r w:rsidRPr="007C1E0B">
        <w:rPr>
          <w:rFonts w:ascii="Times New Roman" w:hAnsi="Times New Roman" w:cs="Times New Roman"/>
          <w:sz w:val="20"/>
          <w:szCs w:val="20"/>
        </w:rPr>
        <w:t>Kolon,</w:t>
      </w:r>
      <w:r w:rsidR="00CC5C8D" w:rsidRPr="007C1E0B">
        <w:rPr>
          <w:rFonts w:ascii="Times New Roman" w:hAnsi="Times New Roman" w:cs="Times New Roman"/>
          <w:sz w:val="20"/>
          <w:szCs w:val="20"/>
        </w:rPr>
        <w:t xml:space="preserve"> a</w:t>
      </w:r>
      <w:r w:rsidR="008F593F" w:rsidRPr="007C1E0B">
        <w:rPr>
          <w:rFonts w:ascii="Times New Roman" w:hAnsi="Times New Roman" w:cs="Times New Roman"/>
          <w:sz w:val="20"/>
          <w:szCs w:val="20"/>
        </w:rPr>
        <w:t>mino asitleri birbirinden ve diğer ninhidrin-pozitif materyallerden ayırabilecek kapasitede sülfonlu polistren reçineleri ile doldurul</w:t>
      </w:r>
      <w:r w:rsidR="00CC5C8D" w:rsidRPr="007C1E0B">
        <w:rPr>
          <w:rFonts w:ascii="Times New Roman" w:hAnsi="Times New Roman" w:cs="Times New Roman"/>
          <w:sz w:val="20"/>
          <w:szCs w:val="20"/>
        </w:rPr>
        <w:t>ur</w:t>
      </w:r>
      <w:r w:rsidR="008F593F" w:rsidRPr="007C1E0B">
        <w:rPr>
          <w:rFonts w:ascii="Times New Roman" w:hAnsi="Times New Roman" w:cs="Times New Roman"/>
          <w:sz w:val="20"/>
          <w:szCs w:val="20"/>
        </w:rPr>
        <w:t>. Tampon ve ninhidrin hatlarındaki akış</w:t>
      </w:r>
      <w:r w:rsidR="00CC5C8D" w:rsidRPr="007C1E0B">
        <w:rPr>
          <w:rFonts w:ascii="Times New Roman" w:hAnsi="Times New Roman" w:cs="Times New Roman"/>
          <w:sz w:val="20"/>
          <w:szCs w:val="20"/>
        </w:rPr>
        <w:t>,</w:t>
      </w:r>
      <w:r w:rsidR="008F593F" w:rsidRPr="007C1E0B">
        <w:rPr>
          <w:rFonts w:ascii="Times New Roman" w:hAnsi="Times New Roman" w:cs="Times New Roman"/>
          <w:sz w:val="20"/>
          <w:szCs w:val="20"/>
        </w:rPr>
        <w:t xml:space="preserve"> hem standart kalibrasyon çalışması ve hem de numune analizini kapsayan süreç boyunca ± %</w:t>
      </w:r>
      <w:r w:rsidR="009A145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0,5 akış stabilitesi olan pompalarla sağlanır.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Bazı amino asit analizörleri ile birlikte; hidrolizatın c = 0,8 mol/l sodyum konsantrasyonuna sahip olduğu ve oksidasyon basamağından kalan tüm formik asidi içerdiği durumlarda hidroliz metotları kullanılabilir. Hidrolizat </w:t>
      </w:r>
      <w:r w:rsidR="0058397D"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formik asit ve/veya yüksek sodyum iyon konsantrasyonları içerirse, diğerleri belirli amino asitlerde tatmin edici bir ayırım sağlamaz. Bu durumda, asit hacmi hidrolizden sonra ve pH ayarlamasından önce buharlaştırma ile yaklaşık 5 ml’ye azaltılır. Buharlaştırma vakum altında en fazla 40°C’de yapılmalıdır.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0,5 mm’lik elekten geçecek şekilde öğütülür. Nem oranı yüksek numuneler işlemden önce ya 50°C’yi aşmayacak sıcaklıkta hava ile kurutulmalı ya da dondurularak kurutulmalıdır. Yüksek yağ oranlı numuneler işlemden önce petrol eteri ile ekstrakte edilmelidir (3.12).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Yem ve </w:t>
      </w:r>
      <w:r w:rsidR="00B67FEE" w:rsidRPr="007C1E0B">
        <w:rPr>
          <w:rFonts w:ascii="Times New Roman" w:hAnsi="Times New Roman" w:cs="Times New Roman"/>
          <w:sz w:val="20"/>
          <w:szCs w:val="20"/>
        </w:rPr>
        <w:t xml:space="preserve">premikslerde </w:t>
      </w:r>
      <w:r w:rsidRPr="007C1E0B">
        <w:rPr>
          <w:rFonts w:ascii="Times New Roman" w:hAnsi="Times New Roman" w:cs="Times New Roman"/>
          <w:sz w:val="20"/>
          <w:szCs w:val="20"/>
        </w:rPr>
        <w:t>serbest amino asitlerin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Hazırlanan numuneden 0,2 mg hassasiyetle uygun bir miktar (1-5 g) (5.1) erlene tartılır ve ekstraksiyon çözeltisinden 100 ml eklenir (3.21). Mekanik bir çalkalayıcı ya da manyetik bir karıştırıcı kullanarak karışım 60 dakika boyunca çalkalanır (4.8). Çökeltinin çökmesi beklenir ve 100 ml’lik bir behere süpernatant çözeltiden 10 ml pipetlenir.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5,0 ml sülfosalisilik asit çözeltisi (3.22), karıştırılarak eklenir ve manyetik karıştırıcı yardımı ile 5 dakika boyunca karıştırmaya devam edilir. Çökeltiyi ayırmak için süpernatant süzülür ya da santrifüje tabi tutulur. Elde edilen çözeltiden 10 ml, 100 ml’lik bir behere alınırak sodyum hidroksit çözeltisi (3.18) eklenir pH’ı 2,20’ye ayarlanır, sitrat tamponu (3.24) kullanarak uygun hacimdeki balon jojeye aktarılır ve tampon çözeltisi (3.24) ile işarete kadar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iç standart kullanılacaksa, her 100 ml nihai çözelti için 1ml iç standart (3.27.3.) eklenir ve tampon çözeltisi (3.24) ile işarete kadar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5.4.’e göre kromatografi işlemine geçilir.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Ekstraktlar aynı gün incelenmeyecekse 5°C’nin altında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Toplam amino asitlerin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Oksidasyon</w:t>
      </w:r>
    </w:p>
    <w:p w:rsidR="008F593F" w:rsidRPr="007C1E0B" w:rsidRDefault="008F593F" w:rsidP="001B722B">
      <w:pPr>
        <w:spacing w:before="120" w:after="0"/>
        <w:jc w:val="both"/>
        <w:rPr>
          <w:rFonts w:ascii="Times New Roman" w:hAnsi="Times New Roman" w:cs="Times New Roman"/>
          <w:sz w:val="20"/>
          <w:szCs w:val="20"/>
        </w:rPr>
      </w:pPr>
      <w:r w:rsidRPr="007C1E0B">
        <w:rPr>
          <w:rFonts w:ascii="Times New Roman" w:hAnsi="Times New Roman" w:cs="Times New Roman"/>
          <w:sz w:val="20"/>
          <w:szCs w:val="20"/>
        </w:rPr>
        <w:t xml:space="preserve">Hazırlanan numuneden (5.1)  0,2 mg hassasiyetle 0,1 ile 1 g’ı, </w:t>
      </w:r>
    </w:p>
    <w:p w:rsidR="008F593F" w:rsidRPr="007C1E0B" w:rsidRDefault="008F593F" w:rsidP="000748B1">
      <w:pPr>
        <w:pStyle w:val="ListeParagraf"/>
        <w:numPr>
          <w:ilvl w:val="0"/>
          <w:numId w:val="2"/>
        </w:numPr>
        <w:spacing w:before="120"/>
        <w:jc w:val="both"/>
        <w:rPr>
          <w:sz w:val="20"/>
          <w:szCs w:val="20"/>
        </w:rPr>
      </w:pPr>
      <w:r w:rsidRPr="007C1E0B">
        <w:rPr>
          <w:sz w:val="20"/>
          <w:szCs w:val="20"/>
        </w:rPr>
        <w:t>Açık hidroliz (5.3.2.3) için 100 ml’lik yuvarlak tabanlı balon (4.1) içine ya da,</w:t>
      </w:r>
    </w:p>
    <w:p w:rsidR="008F593F" w:rsidRPr="007C1E0B" w:rsidRDefault="008F593F" w:rsidP="000748B1">
      <w:pPr>
        <w:pStyle w:val="ListeParagraf"/>
        <w:numPr>
          <w:ilvl w:val="0"/>
          <w:numId w:val="2"/>
        </w:numPr>
        <w:spacing w:before="120"/>
        <w:jc w:val="both"/>
        <w:rPr>
          <w:sz w:val="20"/>
          <w:szCs w:val="20"/>
        </w:rPr>
      </w:pPr>
      <w:r w:rsidRPr="007C1E0B">
        <w:rPr>
          <w:sz w:val="20"/>
          <w:szCs w:val="20"/>
        </w:rPr>
        <w:t>Düşük sodyum konsantrasyonu gerekiyorsa (5.3.3.1) 250 ml’lik yuvarlak tabanlı balon (4.1)içine ya da,</w:t>
      </w:r>
    </w:p>
    <w:p w:rsidR="008F593F" w:rsidRPr="007C1E0B" w:rsidRDefault="008F593F" w:rsidP="000748B1">
      <w:pPr>
        <w:pStyle w:val="ListeParagraf"/>
        <w:numPr>
          <w:ilvl w:val="0"/>
          <w:numId w:val="2"/>
        </w:numPr>
        <w:spacing w:before="120"/>
        <w:jc w:val="both"/>
        <w:rPr>
          <w:sz w:val="20"/>
          <w:szCs w:val="20"/>
        </w:rPr>
      </w:pPr>
      <w:r w:rsidRPr="007C1E0B">
        <w:rPr>
          <w:sz w:val="20"/>
          <w:szCs w:val="20"/>
        </w:rPr>
        <w:t>Kapalı hidroliz (5.3.2.4) için 100 ml’lik vidalı kapaklı şişe (4.2) içine tartılır.</w:t>
      </w:r>
    </w:p>
    <w:p w:rsidR="008F593F" w:rsidRPr="007C1E0B" w:rsidRDefault="008F593F" w:rsidP="001B722B">
      <w:pPr>
        <w:spacing w:before="120" w:after="0"/>
        <w:jc w:val="both"/>
        <w:rPr>
          <w:rFonts w:ascii="Times New Roman" w:hAnsi="Times New Roman" w:cs="Times New Roman"/>
          <w:sz w:val="20"/>
          <w:szCs w:val="20"/>
        </w:rPr>
      </w:pPr>
      <w:r w:rsidRPr="007C1E0B">
        <w:rPr>
          <w:rFonts w:ascii="Times New Roman" w:hAnsi="Times New Roman" w:cs="Times New Roman"/>
          <w:sz w:val="20"/>
          <w:szCs w:val="20"/>
        </w:rPr>
        <w:t>Tartılan numune yaklaşık 10 mg azot içeriğine sahip olmalı ve su miktarı100 mg aşmamalıdır.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Balon/şişe buz-su banyosu içine yerleştirilir ve 0˚C’ye soğutulur, 5 ml oksidasyon karışımı (3.23) eklenir ve eğik uçlu bir cam spatula ile karıştırılır. </w:t>
      </w:r>
      <w:r w:rsidR="00C231F5" w:rsidRPr="007C1E0B">
        <w:rPr>
          <w:rFonts w:ascii="Times New Roman" w:hAnsi="Times New Roman" w:cs="Times New Roman"/>
          <w:sz w:val="20"/>
          <w:szCs w:val="20"/>
        </w:rPr>
        <w:t>B</w:t>
      </w:r>
      <w:r w:rsidRPr="007C1E0B">
        <w:rPr>
          <w:rFonts w:ascii="Times New Roman" w:hAnsi="Times New Roman" w:cs="Times New Roman"/>
          <w:sz w:val="20"/>
          <w:szCs w:val="20"/>
        </w:rPr>
        <w:t xml:space="preserve">alon/şişe </w:t>
      </w:r>
      <w:r w:rsidR="00CC5C8D" w:rsidRPr="007C1E0B">
        <w:rPr>
          <w:rFonts w:ascii="Times New Roman" w:hAnsi="Times New Roman" w:cs="Times New Roman"/>
          <w:sz w:val="20"/>
          <w:szCs w:val="20"/>
        </w:rPr>
        <w:t xml:space="preserve">spatula ile birlikte </w:t>
      </w:r>
      <w:r w:rsidRPr="007C1E0B">
        <w:rPr>
          <w:rFonts w:ascii="Times New Roman" w:hAnsi="Times New Roman" w:cs="Times New Roman"/>
          <w:sz w:val="20"/>
          <w:szCs w:val="20"/>
        </w:rPr>
        <w:t xml:space="preserve">hava geçirmez bir filmle kapatılır, buz-su banyosu </w:t>
      </w:r>
      <w:r w:rsidR="00CC5C8D" w:rsidRPr="007C1E0B">
        <w:rPr>
          <w:rFonts w:ascii="Times New Roman" w:hAnsi="Times New Roman" w:cs="Times New Roman"/>
          <w:sz w:val="20"/>
          <w:szCs w:val="20"/>
        </w:rPr>
        <w:t xml:space="preserve">içindeki </w:t>
      </w:r>
      <w:r w:rsidR="00610D7A" w:rsidRPr="007C1E0B">
        <w:rPr>
          <w:rFonts w:ascii="Times New Roman" w:hAnsi="Times New Roman" w:cs="Times New Roman"/>
          <w:sz w:val="20"/>
          <w:szCs w:val="20"/>
        </w:rPr>
        <w:t xml:space="preserve">filmle </w:t>
      </w:r>
      <w:r w:rsidR="00CC5C8D" w:rsidRPr="007C1E0B">
        <w:rPr>
          <w:rFonts w:ascii="Times New Roman" w:hAnsi="Times New Roman" w:cs="Times New Roman"/>
          <w:sz w:val="20"/>
          <w:szCs w:val="20"/>
        </w:rPr>
        <w:t xml:space="preserve">kapatılmış </w:t>
      </w:r>
      <w:r w:rsidR="00610D7A" w:rsidRPr="007C1E0B">
        <w:rPr>
          <w:rFonts w:ascii="Times New Roman" w:hAnsi="Times New Roman" w:cs="Times New Roman"/>
          <w:sz w:val="20"/>
          <w:szCs w:val="20"/>
        </w:rPr>
        <w:t xml:space="preserve">balon/şişe ile birlikte </w:t>
      </w:r>
      <w:r w:rsidRPr="007C1E0B">
        <w:rPr>
          <w:rFonts w:ascii="Times New Roman" w:hAnsi="Times New Roman" w:cs="Times New Roman"/>
          <w:sz w:val="20"/>
          <w:szCs w:val="20"/>
        </w:rPr>
        <w:t xml:space="preserve">0 ˚C’deki buzdolabına yerleştirilir ve 16 saat bekletilir. 16 saatten sonra buzdolabından çıkarılır ve 0,84 g sodyum disülfür (3.4) ekleyerek fazla oksidasyon ayıracı </w:t>
      </w:r>
      <w:r w:rsidR="00641DFD" w:rsidRPr="007C1E0B">
        <w:rPr>
          <w:rFonts w:ascii="Times New Roman" w:hAnsi="Times New Roman"/>
          <w:sz w:val="20"/>
          <w:szCs w:val="20"/>
        </w:rPr>
        <w:t>ayrıştırılır.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5.3.2.1’e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Hidroliz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5.3.2.1.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Oksitlenmiş numunelerin hidrolizi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5.3.1.’e göre hazırlanmış oksitlenmiş numuneye, 25 ml hidroliz karışımı (3.20) kabın ve spatulanın üzerine yapışmış tüm numune kalıntılarını yıkamaya özen göstererek eklenir.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Kullanılan hidroliz meto</w:t>
      </w:r>
      <w:r w:rsidR="00DD29C2" w:rsidRPr="007C1E0B">
        <w:rPr>
          <w:rFonts w:ascii="Times New Roman" w:hAnsi="Times New Roman" w:cs="Times New Roman"/>
          <w:sz w:val="20"/>
          <w:szCs w:val="20"/>
        </w:rPr>
        <w:t>d</w:t>
      </w:r>
      <w:r w:rsidRPr="007C1E0B">
        <w:rPr>
          <w:rFonts w:ascii="Times New Roman" w:hAnsi="Times New Roman" w:cs="Times New Roman"/>
          <w:sz w:val="20"/>
          <w:szCs w:val="20"/>
        </w:rPr>
        <w:t>una bağlı olarak, 5.3.2.3 ya da 5.3.2.4.’e göre ilerlenir.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5.3.2.2. </w:t>
      </w:r>
      <w:r w:rsidR="009A145F" w:rsidRPr="007C1E0B">
        <w:rPr>
          <w:rFonts w:ascii="Times New Roman" w:hAnsi="Times New Roman" w:cs="Times New Roman"/>
          <w:sz w:val="20"/>
          <w:szCs w:val="20"/>
        </w:rPr>
        <w:t xml:space="preserve"> </w:t>
      </w:r>
      <w:r w:rsidRPr="007C1E0B">
        <w:rPr>
          <w:rFonts w:ascii="Times New Roman" w:hAnsi="Times New Roman" w:cs="Times New Roman"/>
          <w:sz w:val="20"/>
          <w:szCs w:val="20"/>
        </w:rPr>
        <w:t>Oksitlenmemiş numunelerin hidrolizi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Hazırlanan numuneden (5.1)  0,2 mg hassasiyetle 0,1 ile 1 g arasında 100 ya da 250 ml’lik yuvarlak tabanlı balona (4.1) ya da 100 ml’lik vidalı kapaklı şişeye (4.2) tartılır. Tartılan numune yaklaşık 10 mg’lık bir azot içeriğine sahip olmalıdır. 25 ml hidroliz karışımı (3.20) dikkatlice eklenir ve numuneyle karıştırılır. 5.3.2.3 ya da 5.3.2.4.’e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5.3.2.3.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Açık hidroliz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Balondaki karışıma (5.3.2.1 ya da 5.3.2.2’ye göre hazırlanmış) 3 kaynama boncuğu eklenir ve geri soğutucu altında 23 saat boyunca sürekli kabartarak kaynatılır. Hidroliz tamamlandığında, yoğunlaştırıcı 5 ml sitrat tamponu (3.24) ile yıkanır. Cam balon ayırılır ve buz banyosu içinde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5.3.3.’e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5.3.2.4.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Kapalı hidroliz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5.3.2.1 ya da 5.3.2.2.’e göre hazırlanmış karışımı içeren şişe 110˚C’deki etüve (4.3)  yerleştirilir. İlk bir saat içinde basınç oluşumunu engellemek için (gaz halindeki maddelerin oluşumundan kaynaklanan) ve patlamayı önlemek için, şişenin üstüne vidalı kapak yerleştirilir. Şişe kapakla kapatılmamalıdır. Bir saatten sonra şişe kapak ile kapatılır ve etüv (4.3) içinde 23 saat boyunca bırakılır. Hidroliz tamamlandığında, şişe etüvden çıkarılır, şişenin kapağı dikkatlice açılır ve buz-su banyosuna yerleştirilir. Soğumaya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pH ayarlama metoduna (5.3.3) bağlı olarak, hazırlanan kısım şişenin içeriği 250 ml’lik bir behere ya da 250 ml’lik yuvarlak tabanlı bir balona sitrat tamponu (3.24) kullanarak aktarılır.</w:t>
      </w:r>
      <w:r w:rsidR="00BE5B0B"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5.3.3.’e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5.3.3. pH’ın ayarlanması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Amino asit analizörünün (4.9) sodyum toleransına bağlı olarak pH ayarlaması için 5.3.3.1 ya da 5.3.3.2.’ye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5.3.3.1.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Düşük sodyum konsantrasyonu gerektiren kromatografik sistemler (4.9)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Düşük bir sodyum konsantrasyonu gerektiren amino asit analizörleri kullanıldığında (asit hacmi düşürüldüğünde), bir iç stok standardı (3.27.3) kullanılması önerilir.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durumda buharlaştırmadan önce hidrolizata 2 ml iç stok standardı (3.27.3)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Alınan hidrolizata 5.3.2.3 ya da 5.3.2.4’e göre 2 damla 1-oktanol (3.15)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Rotary evaporatör (4.7) kullanarak hacim vakum altında 40˚C’de 5-10 ml’ye düşürülür. Kazayla hacim 5 ml’nin altına düşürülürse, hidrolizat atılır ve analiz baştan başlatılır.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Sodyum hidroksit çözeltisi (3.18) ile pH 2,20’ye ayarlanır ve paragraf 5.3.4’e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5.3.3.2.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Tüm diğer amino asit analizörleri için ( 4.9 )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5.3.2.3 ya da 5.3.2.4.’e göre elde edilen hidrolizatlar alınır ve 17 ml sodyum hidroksit çözeltisi (3.17) karıştırılarak eklenir kısmen nötrleştilir, bu durumda sıcaklık 40˚C’ın altında olmalıdır.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Oda sıcaklığında sodyum hidroksit çözeltisi (3.17) ve sonra diğer sodyum hidroksit çözeltisi (3.18) ekleyerek pH 2,20’ye ayarlanır. 5.3.4’e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5.3.4.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Kromatografi için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pH’sı ayarlanmış hidrolizat (5.3.3.1 ya da 5.3.3.2) sitrat tamponu (3.24) ile birlikte 200 ml’lik balon jojeye aktarılır ve tamponla (3.24) işarete kadar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İç standart henüz kullanılmadıysa, 2 ml iç standart (3.27.3) eklenir ve sitrat tamponuyla (3.24) işarete kadar tamamlanır. İyice karıştırılır.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Kromatografi basamağına (5.4)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Numune çözeltileri aynı gün içinde incelenmeyecekse, 5˚C’nin altında saklanmalıdır.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Kromatografi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Kromatografiden önce ekstrakt (5.2) ya da hidrolizat (5.3.4) oda sıcaklığına getirilir, karışım çalkalanır ve uygun bir miktar 0,22 μm membran filtreden (4.5) süzülür. Elde edilen berrak çözelti, amino asit analizörü (4.9) kullanılarak iyon değişim kromatografisine enjekte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Enjeksiyon elle ya da otomatik olarak uygulanabilir. Bir iç standart kullanıldığı durumlar dışında standartlar ve numunelerin analizi için kolona aynı miktarda ±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0,5 çözelti eklenmesi önemlidir ve standartlarla numune çözeltileri içindeki sodyum/amino asit oranları benzerdir.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Genel olarak uygulanan kalibrasyon sıklığı ninhidrin ayıracının stabilitesine ve analitik sisteme bağlıdır. Numune amino asit pik alanının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30-200’ü oranında bir standart pik alanı vermesi için standart ya da numune sitrat tamponu (3.24) ile seyreltilir.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Amino asitlerin kromatografisi kullanılan analizör türüne ve kullanılan reçineye göre çok az değişim gösterebilir. Kullanılan sistem amino asitleri birbirinden ve diğer ninhidrin-pozitif materyallerden ayırabilecek kapasitede olmalıdır. Çalışma aralığında kromatografik sistem, kolona eklenen amino asitlerin miktarlarındaki değişime doğrusal bir tepki vermelidir.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Kromatografi basamağında; eşmolar bir çözelti (belirlenen aminoasitlerin) analiz edildiğinde aşağıda bahsedilen çukur/pik yükseklik oranları uygulanır. Bu eşmolar çözelti amino asit analizör sistemi (4.9) ile hassas bir biçimde ölçülebilecek olan her bir amino asidin en azından %</w:t>
      </w:r>
      <w:r w:rsidR="003A1B2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30’unu içermelidir.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Treonin-serin ayırımı için kromatogramdaki iki çakışan amino asidin daha düşüğünün çukur:pik yüksekliği oranı 2:10’u geçmemelidir. (Sistein, metiyonin, treonin ve lizin belirlenecekse, birleşik piklerden kaynaklanan yetersiz ayırım belirlemeyi olumsuz etkiler). Tüm diğer amino asitlerin ayırımı 1:10’dan daha iyi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Sistemde lizinin, lizin benzeri maddelerden ve ornitinden ayrıldığına emin olunmalıdır.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E5B0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ve standart pik alanları her bir amino asit için ayrı ayrı ölçülür ve miktar(X), her bir kilograma düşen amino asit miktarı g</w:t>
      </w:r>
      <w:r w:rsidR="00D8136B" w:rsidRPr="007C1E0B">
        <w:rPr>
          <w:rFonts w:ascii="Times New Roman" w:hAnsi="Times New Roman" w:cs="Times New Roman"/>
          <w:sz w:val="20"/>
          <w:szCs w:val="20"/>
        </w:rPr>
        <w:t>ram</w:t>
      </w:r>
      <w:r w:rsidRPr="007C1E0B">
        <w:rPr>
          <w:rFonts w:ascii="Times New Roman" w:hAnsi="Times New Roman" w:cs="Times New Roman"/>
          <w:sz w:val="20"/>
          <w:szCs w:val="20"/>
        </w:rPr>
        <w:t xml:space="preserve"> olarak aşağıdaki gibi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2211C6" w:rsidRPr="007C1E0B">
        <w:rPr>
          <w:rFonts w:ascii="Times New Roman" w:hAnsi="Times New Roman" w:cs="Times New Roman"/>
          <w:noProof/>
          <w:sz w:val="20"/>
          <w:szCs w:val="20"/>
        </w:rPr>
        <w:drawing>
          <wp:inline distT="0" distB="0" distL="0" distR="0" wp14:anchorId="02D6385D" wp14:editId="6F3D072C">
            <wp:extent cx="1555750" cy="462915"/>
            <wp:effectExtent l="0" t="0" r="635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5750" cy="46291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iç standart kullanılacaksa D/C ile çarpılır.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 Pik alanı, hidrolizat ya da ekstrakt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 = Pik alanı, kalibrasyon standart çözeltisi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C = Pik alanı, hidrolizat ya da ekstrakt içinde iç standart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 = Pik alanı, iç standart, kalibrasyon standart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Belirlenen amino asidin mol ağırlığı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c = μmol/ml cinsinden standardın yoğunluğu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 ağırlığı (g) (kurutulmuşsa ya da yağı çıkarılmışsa orijinal ağırlığına göre düzeltilmelidir)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Toplam hidrolizat (5.3.4) ya da ekstraktın ml cinsinden hesaplanan toplam seyrelti hacmi (6.1)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Hem sistin hem de sistein, oksitlenmiş numunenin hidrolizatlarındaki sisteik asit olarak belirlenir</w:t>
      </w:r>
      <w:r w:rsidR="00D8136B" w:rsidRPr="007C1E0B">
        <w:rPr>
          <w:rFonts w:ascii="Times New Roman" w:hAnsi="Times New Roman" w:cs="Times New Roman"/>
          <w:sz w:val="20"/>
          <w:szCs w:val="20"/>
        </w:rPr>
        <w:t>. A</w:t>
      </w:r>
      <w:r w:rsidRPr="007C1E0B">
        <w:rPr>
          <w:rFonts w:ascii="Times New Roman" w:hAnsi="Times New Roman" w:cs="Times New Roman"/>
          <w:sz w:val="20"/>
          <w:szCs w:val="20"/>
        </w:rPr>
        <w:t>ncak mol ağırlığı M =120,15 g/mol (= 0,5 x 240,30 g/mol) kullanılarak sistin olarak hesaplanır (</w:t>
      </w:r>
      <w:r w:rsidR="002211C6" w:rsidRPr="007C1E0B">
        <w:rPr>
          <w:rFonts w:ascii="Times New Roman" w:hAnsi="Times New Roman" w:cs="Times New Roman"/>
          <w:sz w:val="20"/>
          <w:szCs w:val="20"/>
        </w:rPr>
        <w:t>(C</w:t>
      </w:r>
      <w:r w:rsidR="002211C6" w:rsidRPr="007C1E0B">
        <w:rPr>
          <w:rFonts w:ascii="Times New Roman" w:hAnsi="Times New Roman" w:cs="Times New Roman"/>
          <w:sz w:val="20"/>
          <w:szCs w:val="20"/>
          <w:vertAlign w:val="subscript"/>
        </w:rPr>
        <w:t>6</w:t>
      </w:r>
      <w:r w:rsidR="002211C6" w:rsidRPr="007C1E0B">
        <w:rPr>
          <w:rFonts w:ascii="Times New Roman" w:hAnsi="Times New Roman" w:cs="Times New Roman"/>
          <w:sz w:val="20"/>
          <w:szCs w:val="20"/>
        </w:rPr>
        <w:t>H</w:t>
      </w:r>
      <w:r w:rsidR="002211C6" w:rsidRPr="007C1E0B">
        <w:rPr>
          <w:rFonts w:ascii="Times New Roman" w:hAnsi="Times New Roman" w:cs="Times New Roman"/>
          <w:sz w:val="20"/>
          <w:szCs w:val="20"/>
          <w:vertAlign w:val="subscript"/>
        </w:rPr>
        <w:t>12</w:t>
      </w:r>
      <w:r w:rsidR="002211C6" w:rsidRPr="007C1E0B">
        <w:rPr>
          <w:rFonts w:ascii="Times New Roman" w:hAnsi="Times New Roman" w:cs="Times New Roman"/>
          <w:sz w:val="20"/>
          <w:szCs w:val="20"/>
        </w:rPr>
        <w:t>N</w:t>
      </w:r>
      <w:r w:rsidR="002211C6" w:rsidRPr="007C1E0B">
        <w:rPr>
          <w:rFonts w:ascii="Times New Roman" w:hAnsi="Times New Roman" w:cs="Times New Roman"/>
          <w:sz w:val="20"/>
          <w:szCs w:val="20"/>
          <w:vertAlign w:val="subscript"/>
        </w:rPr>
        <w:t>2</w:t>
      </w:r>
      <w:r w:rsidR="002211C6" w:rsidRPr="007C1E0B">
        <w:rPr>
          <w:rFonts w:ascii="Times New Roman" w:hAnsi="Times New Roman" w:cs="Times New Roman"/>
          <w:sz w:val="20"/>
          <w:szCs w:val="20"/>
        </w:rPr>
        <w:t>O</w:t>
      </w:r>
      <w:r w:rsidR="002211C6" w:rsidRPr="007C1E0B">
        <w:rPr>
          <w:rFonts w:ascii="Times New Roman" w:hAnsi="Times New Roman" w:cs="Times New Roman"/>
          <w:sz w:val="20"/>
          <w:szCs w:val="20"/>
          <w:vertAlign w:val="subscript"/>
        </w:rPr>
        <w:t>4</w:t>
      </w:r>
      <w:r w:rsidR="002211C6" w:rsidRPr="007C1E0B">
        <w:rPr>
          <w:rFonts w:ascii="Times New Roman" w:hAnsi="Times New Roman" w:cs="Times New Roman"/>
          <w:sz w:val="20"/>
          <w:szCs w:val="20"/>
        </w:rPr>
        <w:t>S</w:t>
      </w:r>
      <w:r w:rsidR="002211C6" w:rsidRPr="007C1E0B">
        <w:rPr>
          <w:rFonts w:ascii="Times New Roman" w:hAnsi="Times New Roman" w:cs="Times New Roman"/>
          <w:sz w:val="20"/>
          <w:szCs w:val="20"/>
          <w:vertAlign w:val="subscript"/>
        </w:rPr>
        <w:t>2</w:t>
      </w:r>
      <w:r w:rsidR="002211C6" w:rsidRPr="007C1E0B">
        <w:rPr>
          <w:rFonts w:ascii="Times New Roman" w:hAnsi="Times New Roman" w:cs="Times New Roman"/>
          <w:sz w:val="20"/>
          <w:szCs w:val="20"/>
        </w:rPr>
        <w:t>,</w:t>
      </w:r>
      <w:r w:rsidRPr="007C1E0B">
        <w:rPr>
          <w:rFonts w:ascii="Times New Roman" w:hAnsi="Times New Roman" w:cs="Times New Roman"/>
          <w:sz w:val="20"/>
          <w:szCs w:val="20"/>
        </w:rPr>
        <w:t xml:space="preserve"> M 240,30 g/mol)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Oksitlenmiş numunenin hidrolizatlarındaki metiyonin, metiyonin sülfon olarak belirlenir, ancak metiyoninin mol ağırlığı M’149,21 g/ kullanılarak metiyonin olarak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Metiyonin ekstraksiyonundan sonra ilave edilen serbest metiyonin belirlenir</w:t>
      </w:r>
      <w:r w:rsidR="00D8136B"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r w:rsidR="00D8136B" w:rsidRPr="007C1E0B">
        <w:rPr>
          <w:rFonts w:ascii="Times New Roman" w:hAnsi="Times New Roman" w:cs="Times New Roman"/>
          <w:sz w:val="20"/>
          <w:szCs w:val="20"/>
        </w:rPr>
        <w:t>H</w:t>
      </w:r>
      <w:r w:rsidRPr="007C1E0B">
        <w:rPr>
          <w:rFonts w:ascii="Times New Roman" w:hAnsi="Times New Roman" w:cs="Times New Roman"/>
          <w:sz w:val="20"/>
          <w:szCs w:val="20"/>
        </w:rPr>
        <w:t>esaplanması için aynı mol ağırlık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D51E6A" w:rsidRPr="007C1E0B">
        <w:rPr>
          <w:rFonts w:ascii="Times New Roman" w:hAnsi="Times New Roman" w:cs="Times New Roman"/>
          <w:sz w:val="20"/>
          <w:szCs w:val="20"/>
        </w:rPr>
        <w:t xml:space="preserve"> </w:t>
      </w:r>
      <w:r w:rsidRPr="007C1E0B">
        <w:rPr>
          <w:rFonts w:ascii="Times New Roman" w:hAnsi="Times New Roman" w:cs="Times New Roman"/>
          <w:sz w:val="20"/>
          <w:szCs w:val="20"/>
        </w:rPr>
        <w:t>Serbest amino asitlerin (5.2) belirlenmesi için ekstraktların (F) toplam seyrelti hacmi aşağıdaki gibi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2211C6" w:rsidRPr="007C1E0B">
        <w:rPr>
          <w:rFonts w:ascii="Times New Roman" w:hAnsi="Times New Roman" w:cs="Times New Roman"/>
          <w:noProof/>
          <w:sz w:val="20"/>
          <w:szCs w:val="20"/>
        </w:rPr>
        <w:drawing>
          <wp:inline distT="0" distB="0" distL="0" distR="0" wp14:anchorId="13491674" wp14:editId="75EF2718">
            <wp:extent cx="2541270" cy="62928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1270" cy="62928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Nihai ekstraktın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D51E6A" w:rsidRPr="007C1E0B">
        <w:rPr>
          <w:rFonts w:ascii="Times New Roman" w:hAnsi="Times New Roman" w:cs="Times New Roman"/>
          <w:sz w:val="20"/>
          <w:szCs w:val="20"/>
        </w:rPr>
        <w:t xml:space="preserve"> </w:t>
      </w:r>
      <w:r w:rsidR="00381839" w:rsidRPr="007C1E0B">
        <w:rPr>
          <w:rFonts w:ascii="Times New Roman" w:hAnsi="Times New Roman" w:cs="Times New Roman"/>
          <w:sz w:val="20"/>
          <w:szCs w:val="20"/>
        </w:rPr>
        <w:t>Meto</w:t>
      </w:r>
      <w:r w:rsidR="00DD29C2" w:rsidRPr="007C1E0B">
        <w:rPr>
          <w:rFonts w:ascii="Times New Roman" w:hAnsi="Times New Roman" w:cs="Times New Roman"/>
          <w:sz w:val="20"/>
          <w:szCs w:val="20"/>
        </w:rPr>
        <w:t>dun</w:t>
      </w:r>
      <w:r w:rsidRPr="007C1E0B">
        <w:rPr>
          <w:rFonts w:ascii="Times New Roman" w:hAnsi="Times New Roman" w:cs="Times New Roman"/>
          <w:sz w:val="20"/>
          <w:szCs w:val="20"/>
        </w:rPr>
        <w:t xml:space="preserve"> değerlendirilmesi </w:t>
      </w:r>
    </w:p>
    <w:p w:rsidR="008F593F" w:rsidRPr="007C1E0B" w:rsidRDefault="00381839" w:rsidP="001B722B">
      <w:pPr>
        <w:jc w:val="both"/>
        <w:rPr>
          <w:rFonts w:ascii="Times New Roman" w:hAnsi="Times New Roman" w:cs="Times New Roman"/>
          <w:sz w:val="20"/>
          <w:szCs w:val="20"/>
        </w:rPr>
      </w:pPr>
      <w:r w:rsidRPr="007C1E0B">
        <w:rPr>
          <w:rFonts w:ascii="Times New Roman" w:hAnsi="Times New Roman" w:cs="Times New Roman"/>
          <w:sz w:val="20"/>
          <w:szCs w:val="20"/>
        </w:rPr>
        <w:t>Metot</w:t>
      </w:r>
      <w:r w:rsidR="008F593F" w:rsidRPr="007C1E0B">
        <w:rPr>
          <w:rFonts w:ascii="Times New Roman" w:hAnsi="Times New Roman" w:cs="Times New Roman"/>
          <w:sz w:val="20"/>
          <w:szCs w:val="20"/>
        </w:rPr>
        <w:t xml:space="preserve"> dört farklı yem (</w:t>
      </w:r>
      <w:r w:rsidR="00803F9C" w:rsidRPr="007C1E0B">
        <w:rPr>
          <w:rFonts w:ascii="Times New Roman" w:hAnsi="Times New Roman"/>
          <w:sz w:val="20"/>
          <w:szCs w:val="20"/>
        </w:rPr>
        <w:t>domuz yemi, etlik piliç  yemi, protein konsantresi,  premix</w:t>
      </w:r>
      <w:r w:rsidR="008F593F" w:rsidRPr="007C1E0B">
        <w:rPr>
          <w:rFonts w:ascii="Times New Roman" w:hAnsi="Times New Roman" w:cs="Times New Roman"/>
          <w:sz w:val="20"/>
          <w:szCs w:val="20"/>
        </w:rPr>
        <w:t>) kullanılarak 1990 yılında uluslar arası düzeyde yapılan döngülü karşılaştırılma içinde test edilmiştir. Aykırı değerlerin elemesinden sonra; sonuçların anlamı ve standart sapma aşağıdaki tabloda verilmiştir:</w:t>
      </w:r>
    </w:p>
    <w:tbl>
      <w:tblPr>
        <w:tblW w:w="91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73"/>
        <w:gridCol w:w="1652"/>
        <w:gridCol w:w="1412"/>
        <w:gridCol w:w="1886"/>
        <w:gridCol w:w="1400"/>
      </w:tblGrid>
      <w:tr w:rsidR="007C1E0B" w:rsidRPr="007C1E0B" w:rsidTr="00803CA9">
        <w:trPr>
          <w:trHeight w:val="206"/>
        </w:trPr>
        <w:tc>
          <w:tcPr>
            <w:tcW w:w="2773" w:type="dxa"/>
            <w:vMerge w:val="restart"/>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Referans materyal</w:t>
            </w:r>
          </w:p>
        </w:tc>
        <w:tc>
          <w:tcPr>
            <w:tcW w:w="6349" w:type="dxa"/>
            <w:gridSpan w:val="4"/>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Amino Asit</w:t>
            </w:r>
          </w:p>
        </w:tc>
      </w:tr>
      <w:tr w:rsidR="007C1E0B" w:rsidRPr="007C1E0B" w:rsidTr="00803CA9">
        <w:trPr>
          <w:trHeight w:val="198"/>
        </w:trPr>
        <w:tc>
          <w:tcPr>
            <w:tcW w:w="2773" w:type="dxa"/>
            <w:vMerge/>
            <w:vAlign w:val="center"/>
          </w:tcPr>
          <w:p w:rsidR="002211C6" w:rsidRPr="007C1E0B" w:rsidRDefault="002211C6" w:rsidP="001B722B">
            <w:pPr>
              <w:autoSpaceDE w:val="0"/>
              <w:autoSpaceDN w:val="0"/>
              <w:adjustRightInd w:val="0"/>
              <w:jc w:val="both"/>
              <w:rPr>
                <w:rFonts w:ascii="Arial" w:hAnsi="Arial" w:cs="Arial"/>
                <w:sz w:val="17"/>
                <w:szCs w:val="17"/>
              </w:rPr>
            </w:pPr>
          </w:p>
        </w:tc>
        <w:tc>
          <w:tcPr>
            <w:tcW w:w="165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 xml:space="preserve">Treonin </w:t>
            </w:r>
          </w:p>
        </w:tc>
        <w:tc>
          <w:tcPr>
            <w:tcW w:w="141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Sist(e)in</w:t>
            </w:r>
          </w:p>
        </w:tc>
        <w:tc>
          <w:tcPr>
            <w:tcW w:w="1886"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 xml:space="preserve">Metionin </w:t>
            </w:r>
          </w:p>
        </w:tc>
        <w:tc>
          <w:tcPr>
            <w:tcW w:w="1398"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Lisin</w:t>
            </w:r>
          </w:p>
        </w:tc>
      </w:tr>
      <w:tr w:rsidR="007C1E0B" w:rsidRPr="007C1E0B" w:rsidTr="00803CA9">
        <w:trPr>
          <w:trHeight w:val="493"/>
        </w:trPr>
        <w:tc>
          <w:tcPr>
            <w:tcW w:w="2773" w:type="dxa"/>
            <w:vAlign w:val="center"/>
          </w:tcPr>
          <w:p w:rsidR="002211C6" w:rsidRPr="007C1E0B" w:rsidRDefault="00803F9C" w:rsidP="00803F9C">
            <w:pPr>
              <w:autoSpaceDE w:val="0"/>
              <w:autoSpaceDN w:val="0"/>
              <w:adjustRightInd w:val="0"/>
              <w:jc w:val="both"/>
              <w:rPr>
                <w:rFonts w:ascii="Arial" w:hAnsi="Arial" w:cs="Arial"/>
                <w:sz w:val="17"/>
                <w:szCs w:val="17"/>
              </w:rPr>
            </w:pPr>
            <w:r w:rsidRPr="007C1E0B">
              <w:rPr>
                <w:rFonts w:ascii="Arial" w:hAnsi="Arial" w:cs="Arial"/>
                <w:sz w:val="17"/>
                <w:szCs w:val="17"/>
              </w:rPr>
              <w:t>D</w:t>
            </w:r>
            <w:r w:rsidR="002211C6" w:rsidRPr="007C1E0B">
              <w:rPr>
                <w:rFonts w:ascii="Arial" w:hAnsi="Arial" w:cs="Arial"/>
                <w:sz w:val="17"/>
                <w:szCs w:val="17"/>
              </w:rPr>
              <w:t>omuz yemi</w:t>
            </w:r>
          </w:p>
        </w:tc>
        <w:tc>
          <w:tcPr>
            <w:tcW w:w="165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6,94</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15</w:t>
            </w:r>
          </w:p>
        </w:tc>
        <w:tc>
          <w:tcPr>
            <w:tcW w:w="141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3,01</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17</w:t>
            </w:r>
          </w:p>
        </w:tc>
        <w:tc>
          <w:tcPr>
            <w:tcW w:w="1886"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3,27</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17</w:t>
            </w:r>
          </w:p>
        </w:tc>
        <w:tc>
          <w:tcPr>
            <w:tcW w:w="1398"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9,55</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13</w:t>
            </w:r>
          </w:p>
        </w:tc>
      </w:tr>
      <w:tr w:rsidR="007C1E0B" w:rsidRPr="007C1E0B" w:rsidTr="00803CA9">
        <w:trPr>
          <w:trHeight w:val="767"/>
        </w:trPr>
        <w:tc>
          <w:tcPr>
            <w:tcW w:w="2773" w:type="dxa"/>
            <w:vAlign w:val="center"/>
          </w:tcPr>
          <w:p w:rsidR="002211C6" w:rsidRPr="007C1E0B" w:rsidRDefault="00803F9C" w:rsidP="00E04E1E">
            <w:pPr>
              <w:autoSpaceDE w:val="0"/>
              <w:autoSpaceDN w:val="0"/>
              <w:adjustRightInd w:val="0"/>
              <w:jc w:val="both"/>
              <w:rPr>
                <w:rFonts w:ascii="Arial" w:hAnsi="Arial" w:cs="Arial"/>
                <w:sz w:val="17"/>
                <w:szCs w:val="17"/>
              </w:rPr>
            </w:pPr>
            <w:r w:rsidRPr="007C1E0B">
              <w:rPr>
                <w:rFonts w:ascii="Arial" w:hAnsi="Arial" w:cs="Arial"/>
                <w:sz w:val="17"/>
                <w:szCs w:val="17"/>
              </w:rPr>
              <w:t xml:space="preserve">Etlik </w:t>
            </w:r>
            <w:r w:rsidR="002211C6" w:rsidRPr="007C1E0B">
              <w:rPr>
                <w:rFonts w:ascii="Arial" w:hAnsi="Arial" w:cs="Arial"/>
                <w:sz w:val="17"/>
                <w:szCs w:val="17"/>
              </w:rPr>
              <w:t xml:space="preserve">Piliç </w:t>
            </w:r>
            <w:r w:rsidR="00486A19" w:rsidRPr="007C1E0B">
              <w:rPr>
                <w:rFonts w:ascii="Arial" w:hAnsi="Arial" w:cs="Arial"/>
                <w:sz w:val="17"/>
                <w:szCs w:val="17"/>
              </w:rPr>
              <w:t>Yemi</w:t>
            </w:r>
          </w:p>
        </w:tc>
        <w:tc>
          <w:tcPr>
            <w:tcW w:w="165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9,31</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c>
          <w:tcPr>
            <w:tcW w:w="141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3,92</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18</w:t>
            </w:r>
          </w:p>
        </w:tc>
        <w:tc>
          <w:tcPr>
            <w:tcW w:w="1886"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5,08</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18</w:t>
            </w:r>
          </w:p>
        </w:tc>
        <w:tc>
          <w:tcPr>
            <w:tcW w:w="1398"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13,93</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r>
      <w:tr w:rsidR="007C1E0B" w:rsidRPr="007C1E0B" w:rsidTr="00803CA9">
        <w:trPr>
          <w:trHeight w:val="779"/>
        </w:trPr>
        <w:tc>
          <w:tcPr>
            <w:tcW w:w="2773"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Protein konsantresi</w:t>
            </w:r>
          </w:p>
        </w:tc>
        <w:tc>
          <w:tcPr>
            <w:tcW w:w="165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22,32</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c>
          <w:tcPr>
            <w:tcW w:w="141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5,06</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17</w:t>
            </w:r>
          </w:p>
        </w:tc>
        <w:tc>
          <w:tcPr>
            <w:tcW w:w="1886"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12,01</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17</w:t>
            </w:r>
          </w:p>
        </w:tc>
        <w:tc>
          <w:tcPr>
            <w:tcW w:w="1398"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47,74</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15</w:t>
            </w:r>
          </w:p>
        </w:tc>
      </w:tr>
      <w:tr w:rsidR="007C1E0B" w:rsidRPr="007C1E0B" w:rsidTr="00803CA9">
        <w:trPr>
          <w:trHeight w:val="753"/>
        </w:trPr>
        <w:tc>
          <w:tcPr>
            <w:tcW w:w="2773" w:type="dxa"/>
            <w:vAlign w:val="center"/>
          </w:tcPr>
          <w:p w:rsidR="002211C6" w:rsidRPr="007C1E0B" w:rsidRDefault="00803F9C" w:rsidP="00FF036D">
            <w:pPr>
              <w:autoSpaceDE w:val="0"/>
              <w:autoSpaceDN w:val="0"/>
              <w:adjustRightInd w:val="0"/>
              <w:jc w:val="both"/>
              <w:rPr>
                <w:rFonts w:ascii="Arial" w:hAnsi="Arial" w:cs="Arial"/>
                <w:sz w:val="17"/>
                <w:szCs w:val="17"/>
              </w:rPr>
            </w:pPr>
            <w:r w:rsidRPr="007C1E0B">
              <w:rPr>
                <w:rFonts w:ascii="Arial" w:hAnsi="Arial" w:cs="Arial"/>
                <w:sz w:val="17"/>
                <w:szCs w:val="17"/>
              </w:rPr>
              <w:t>Premiks</w:t>
            </w:r>
          </w:p>
        </w:tc>
        <w:tc>
          <w:tcPr>
            <w:tcW w:w="165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58,42</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c>
          <w:tcPr>
            <w:tcW w:w="1412"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w:t>
            </w:r>
          </w:p>
        </w:tc>
        <w:tc>
          <w:tcPr>
            <w:tcW w:w="1886"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90,21</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c>
          <w:tcPr>
            <w:tcW w:w="1398" w:type="dxa"/>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98,03</w:t>
            </w:r>
          </w:p>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n = 16</w:t>
            </w:r>
          </w:p>
        </w:tc>
      </w:tr>
      <w:tr w:rsidR="002211C6" w:rsidRPr="007C1E0B" w:rsidTr="00803CA9">
        <w:trPr>
          <w:trHeight w:val="375"/>
        </w:trPr>
        <w:tc>
          <w:tcPr>
            <w:tcW w:w="9123" w:type="dxa"/>
            <w:gridSpan w:val="5"/>
            <w:vAlign w:val="center"/>
          </w:tcPr>
          <w:p w:rsidR="002211C6" w:rsidRPr="007C1E0B" w:rsidRDefault="002211C6" w:rsidP="001B722B">
            <w:pPr>
              <w:autoSpaceDE w:val="0"/>
              <w:autoSpaceDN w:val="0"/>
              <w:adjustRightInd w:val="0"/>
              <w:jc w:val="both"/>
              <w:rPr>
                <w:rFonts w:ascii="Arial" w:hAnsi="Arial" w:cs="Arial"/>
                <w:sz w:val="17"/>
                <w:szCs w:val="17"/>
              </w:rPr>
            </w:pPr>
            <w:r w:rsidRPr="007C1E0B">
              <w:rPr>
                <w:rFonts w:ascii="Arial" w:hAnsi="Arial" w:cs="Arial"/>
                <w:sz w:val="17"/>
                <w:szCs w:val="17"/>
              </w:rPr>
              <w:t xml:space="preserve">n= Katılan </w:t>
            </w:r>
            <w:r w:rsidR="00381839" w:rsidRPr="007C1E0B">
              <w:rPr>
                <w:rFonts w:ascii="Arial" w:hAnsi="Arial" w:cs="Arial"/>
                <w:sz w:val="17"/>
                <w:szCs w:val="17"/>
              </w:rPr>
              <w:t>laboratuvar</w:t>
            </w:r>
            <w:r w:rsidRPr="007C1E0B">
              <w:rPr>
                <w:rFonts w:ascii="Arial" w:hAnsi="Arial" w:cs="Arial"/>
                <w:sz w:val="17"/>
                <w:szCs w:val="17"/>
              </w:rPr>
              <w:t xml:space="preserve"> sayısı </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D51E6A"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r w:rsidRPr="007C1E0B">
        <w:rPr>
          <w:rFonts w:ascii="Times New Roman" w:hAnsi="Times New Roman" w:cs="Times New Roman"/>
          <w:sz w:val="20"/>
          <w:szCs w:val="20"/>
        </w:rPr>
        <w:t xml:space="preserve"> </w:t>
      </w:r>
    </w:p>
    <w:p w:rsidR="008F593F" w:rsidRPr="007C1E0B" w:rsidRDefault="00934C2F" w:rsidP="001B722B">
      <w:pPr>
        <w:jc w:val="both"/>
        <w:rPr>
          <w:rFonts w:ascii="Times New Roman" w:hAnsi="Times New Roman" w:cs="Times New Roman"/>
          <w:sz w:val="20"/>
          <w:szCs w:val="20"/>
        </w:rPr>
      </w:pPr>
      <w:r w:rsidRPr="007C1E0B">
        <w:rPr>
          <w:rFonts w:ascii="Times New Roman" w:hAnsi="Times New Roman" w:cs="Times New Roman"/>
          <w:sz w:val="20"/>
          <w:szCs w:val="20"/>
        </w:rPr>
        <w:t>Yukarıda belirtilen döngülü karşılaştırma ile elde edilen laboratuvar içi  standart sapma için elde edilen sonuçlar aşağıdaki tabloda verilmiştir</w:t>
      </w:r>
      <w:r w:rsidR="00D8136B"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8F593F" w:rsidRPr="007C1E0B" w:rsidRDefault="00381839" w:rsidP="001B722B">
      <w:pPr>
        <w:jc w:val="both"/>
        <w:rPr>
          <w:rFonts w:ascii="Times New Roman" w:hAnsi="Times New Roman" w:cs="Times New Roman"/>
          <w:sz w:val="20"/>
          <w:szCs w:val="20"/>
        </w:rPr>
      </w:pPr>
      <w:r w:rsidRPr="007C1E0B">
        <w:rPr>
          <w:rFonts w:ascii="Times New Roman" w:hAnsi="Times New Roman" w:cs="Times New Roman"/>
          <w:sz w:val="20"/>
          <w:szCs w:val="20"/>
        </w:rPr>
        <w:t>Laboratuvar</w:t>
      </w:r>
      <w:r w:rsidR="008F593F" w:rsidRPr="007C1E0B">
        <w:rPr>
          <w:rFonts w:ascii="Times New Roman" w:hAnsi="Times New Roman" w:cs="Times New Roman"/>
          <w:sz w:val="20"/>
          <w:szCs w:val="20"/>
        </w:rPr>
        <w:t xml:space="preserve"> </w:t>
      </w:r>
      <w:r w:rsidR="001911A7" w:rsidRPr="007C1E0B">
        <w:rPr>
          <w:rFonts w:ascii="Times New Roman" w:hAnsi="Times New Roman" w:cs="Times New Roman"/>
          <w:sz w:val="20"/>
          <w:szCs w:val="20"/>
        </w:rPr>
        <w:t xml:space="preserve">İçi </w:t>
      </w:r>
      <w:r w:rsidR="008F593F" w:rsidRPr="007C1E0B">
        <w:rPr>
          <w:rFonts w:ascii="Times New Roman" w:hAnsi="Times New Roman" w:cs="Times New Roman"/>
          <w:sz w:val="20"/>
          <w:szCs w:val="20"/>
        </w:rPr>
        <w:t>Standart Sapma (</w:t>
      </w:r>
      <w:r w:rsidR="00610D7A" w:rsidRPr="007C1E0B">
        <w:rPr>
          <w:rFonts w:ascii="Times New Roman" w:hAnsi="Times New Roman" w:cs="Times New Roman"/>
          <w:sz w:val="20"/>
          <w:szCs w:val="20"/>
        </w:rPr>
        <w:t>S</w:t>
      </w:r>
      <w:r w:rsidR="008F593F" w:rsidRPr="007C1E0B">
        <w:rPr>
          <w:rFonts w:ascii="Times New Roman" w:hAnsi="Times New Roman" w:cs="Times New Roman"/>
          <w:sz w:val="20"/>
          <w:szCs w:val="20"/>
        </w:rPr>
        <w:t>r) g/kg olarak</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19"/>
        <w:gridCol w:w="1228"/>
        <w:gridCol w:w="1432"/>
        <w:gridCol w:w="1432"/>
        <w:gridCol w:w="1569"/>
      </w:tblGrid>
      <w:tr w:rsidR="007C1E0B" w:rsidRPr="007C1E0B" w:rsidTr="00803CA9">
        <w:trPr>
          <w:trHeight w:val="247"/>
        </w:trPr>
        <w:tc>
          <w:tcPr>
            <w:tcW w:w="3519" w:type="dxa"/>
            <w:vMerge w:val="restart"/>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Referans materyal</w:t>
            </w:r>
          </w:p>
        </w:tc>
        <w:tc>
          <w:tcPr>
            <w:tcW w:w="5661" w:type="dxa"/>
            <w:gridSpan w:val="4"/>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Amino Asit</w:t>
            </w:r>
          </w:p>
        </w:tc>
      </w:tr>
      <w:tr w:rsidR="007C1E0B" w:rsidRPr="007C1E0B" w:rsidTr="00803CA9">
        <w:trPr>
          <w:trHeight w:val="256"/>
        </w:trPr>
        <w:tc>
          <w:tcPr>
            <w:tcW w:w="3519" w:type="dxa"/>
            <w:vMerge/>
            <w:vAlign w:val="center"/>
          </w:tcPr>
          <w:p w:rsidR="002211C6" w:rsidRPr="007C1E0B" w:rsidRDefault="002211C6" w:rsidP="001B722B">
            <w:pPr>
              <w:jc w:val="both"/>
              <w:rPr>
                <w:rFonts w:ascii="Times New Roman" w:hAnsi="Times New Roman" w:cs="Times New Roman"/>
                <w:sz w:val="20"/>
                <w:szCs w:val="20"/>
              </w:rPr>
            </w:pPr>
          </w:p>
        </w:tc>
        <w:tc>
          <w:tcPr>
            <w:tcW w:w="1228"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Treonin </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Sist(e)in</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Metionin </w:t>
            </w:r>
          </w:p>
        </w:tc>
        <w:tc>
          <w:tcPr>
            <w:tcW w:w="156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Lisin</w:t>
            </w:r>
          </w:p>
        </w:tc>
      </w:tr>
      <w:tr w:rsidR="007C1E0B" w:rsidRPr="007C1E0B" w:rsidTr="00803CA9">
        <w:trPr>
          <w:trHeight w:val="350"/>
        </w:trPr>
        <w:tc>
          <w:tcPr>
            <w:tcW w:w="3519" w:type="dxa"/>
            <w:vAlign w:val="center"/>
          </w:tcPr>
          <w:p w:rsidR="002211C6" w:rsidRPr="007C1E0B" w:rsidRDefault="00C25F9A" w:rsidP="00C25F9A">
            <w:pPr>
              <w:jc w:val="both"/>
              <w:rPr>
                <w:rFonts w:ascii="Times New Roman" w:hAnsi="Times New Roman" w:cs="Times New Roman"/>
                <w:sz w:val="20"/>
                <w:szCs w:val="20"/>
              </w:rPr>
            </w:pPr>
            <w:r w:rsidRPr="007C1E0B">
              <w:rPr>
                <w:rFonts w:ascii="Times New Roman" w:hAnsi="Times New Roman" w:cs="Times New Roman"/>
                <w:sz w:val="20"/>
                <w:szCs w:val="20"/>
              </w:rPr>
              <w:t>D</w:t>
            </w:r>
            <w:r w:rsidR="002211C6" w:rsidRPr="007C1E0B">
              <w:rPr>
                <w:rFonts w:ascii="Times New Roman" w:hAnsi="Times New Roman" w:cs="Times New Roman"/>
                <w:sz w:val="20"/>
                <w:szCs w:val="20"/>
              </w:rPr>
              <w:t>omuz yemi</w:t>
            </w:r>
          </w:p>
        </w:tc>
        <w:tc>
          <w:tcPr>
            <w:tcW w:w="1228"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56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0,26</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13</w:t>
            </w:r>
          </w:p>
        </w:tc>
      </w:tr>
      <w:tr w:rsidR="007C1E0B" w:rsidRPr="007C1E0B" w:rsidTr="00803CA9">
        <w:trPr>
          <w:trHeight w:val="167"/>
        </w:trPr>
        <w:tc>
          <w:tcPr>
            <w:tcW w:w="3519" w:type="dxa"/>
            <w:vAlign w:val="center"/>
          </w:tcPr>
          <w:p w:rsidR="002211C6" w:rsidRPr="007C1E0B" w:rsidRDefault="00C25F9A" w:rsidP="00E04E1E">
            <w:pPr>
              <w:jc w:val="both"/>
              <w:rPr>
                <w:rFonts w:ascii="Times New Roman" w:hAnsi="Times New Roman" w:cs="Times New Roman"/>
                <w:sz w:val="20"/>
                <w:szCs w:val="20"/>
              </w:rPr>
            </w:pPr>
            <w:r w:rsidRPr="007C1E0B">
              <w:rPr>
                <w:rFonts w:ascii="Times New Roman" w:hAnsi="Times New Roman" w:cs="Times New Roman"/>
                <w:sz w:val="20"/>
                <w:szCs w:val="20"/>
              </w:rPr>
              <w:t xml:space="preserve">Etlik </w:t>
            </w:r>
            <w:r w:rsidR="002211C6" w:rsidRPr="007C1E0B">
              <w:rPr>
                <w:rFonts w:ascii="Times New Roman" w:hAnsi="Times New Roman" w:cs="Times New Roman"/>
                <w:sz w:val="20"/>
                <w:szCs w:val="20"/>
              </w:rPr>
              <w:t xml:space="preserve">Piliç </w:t>
            </w:r>
            <w:r w:rsidR="00486A19" w:rsidRPr="007C1E0B">
              <w:rPr>
                <w:rFonts w:ascii="Times New Roman" w:hAnsi="Times New Roman" w:cs="Times New Roman"/>
                <w:sz w:val="20"/>
                <w:szCs w:val="20"/>
              </w:rPr>
              <w:t>Yemi</w:t>
            </w:r>
          </w:p>
        </w:tc>
        <w:tc>
          <w:tcPr>
            <w:tcW w:w="1228"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0,16</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56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7C1E0B" w:rsidRPr="007C1E0B" w:rsidTr="00803CA9">
        <w:trPr>
          <w:trHeight w:val="247"/>
        </w:trPr>
        <w:tc>
          <w:tcPr>
            <w:tcW w:w="351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Protein konsantresi</w:t>
            </w:r>
          </w:p>
        </w:tc>
        <w:tc>
          <w:tcPr>
            <w:tcW w:w="1228"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0,48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0,13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0,27</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56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0,99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r>
      <w:tr w:rsidR="007C1E0B" w:rsidRPr="007C1E0B" w:rsidTr="00803CA9">
        <w:trPr>
          <w:trHeight w:val="494"/>
        </w:trPr>
        <w:tc>
          <w:tcPr>
            <w:tcW w:w="3519" w:type="dxa"/>
            <w:vAlign w:val="center"/>
          </w:tcPr>
          <w:p w:rsidR="002211C6" w:rsidRPr="007C1E0B" w:rsidRDefault="00C25F9A" w:rsidP="00C25F9A">
            <w:pPr>
              <w:jc w:val="both"/>
              <w:rPr>
                <w:rFonts w:ascii="Times New Roman" w:hAnsi="Times New Roman" w:cs="Times New Roman"/>
                <w:sz w:val="20"/>
                <w:szCs w:val="20"/>
              </w:rPr>
            </w:pPr>
            <w:r w:rsidRPr="007C1E0B">
              <w:rPr>
                <w:rFonts w:ascii="Times New Roman" w:hAnsi="Times New Roman" w:cs="Times New Roman"/>
                <w:sz w:val="20"/>
                <w:szCs w:val="20"/>
              </w:rPr>
              <w:t>Premiks</w:t>
            </w:r>
          </w:p>
        </w:tc>
        <w:tc>
          <w:tcPr>
            <w:tcW w:w="1228"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1,30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2,19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569"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2,06</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2211C6" w:rsidRPr="007C1E0B" w:rsidTr="00803CA9">
        <w:trPr>
          <w:trHeight w:val="247"/>
        </w:trPr>
        <w:tc>
          <w:tcPr>
            <w:tcW w:w="9180" w:type="dxa"/>
            <w:gridSpan w:val="5"/>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Katılan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sayısı </w:t>
            </w:r>
          </w:p>
        </w:tc>
      </w:tr>
    </w:tbl>
    <w:p w:rsidR="008F593F" w:rsidRPr="007C1E0B" w:rsidRDefault="008F593F" w:rsidP="001B722B">
      <w:pPr>
        <w:jc w:val="both"/>
        <w:rPr>
          <w:rFonts w:ascii="Times New Roman" w:hAnsi="Times New Roman" w:cs="Times New Roman"/>
          <w:sz w:val="20"/>
          <w:szCs w:val="20"/>
        </w:rPr>
      </w:pPr>
    </w:p>
    <w:p w:rsidR="008F593F" w:rsidRPr="007C1E0B" w:rsidRDefault="00381839" w:rsidP="001B722B">
      <w:pPr>
        <w:jc w:val="both"/>
        <w:rPr>
          <w:rFonts w:ascii="Times New Roman" w:hAnsi="Times New Roman" w:cs="Times New Roman"/>
          <w:sz w:val="20"/>
          <w:szCs w:val="20"/>
        </w:rPr>
      </w:pPr>
      <w:r w:rsidRPr="007C1E0B">
        <w:rPr>
          <w:rFonts w:ascii="Times New Roman" w:hAnsi="Times New Roman" w:cs="Times New Roman"/>
          <w:sz w:val="20"/>
          <w:szCs w:val="20"/>
        </w:rPr>
        <w:t>Laboratuvar</w:t>
      </w:r>
      <w:r w:rsidR="008F593F" w:rsidRPr="007C1E0B">
        <w:rPr>
          <w:rFonts w:ascii="Times New Roman" w:hAnsi="Times New Roman" w:cs="Times New Roman"/>
          <w:sz w:val="20"/>
          <w:szCs w:val="20"/>
        </w:rPr>
        <w:t xml:space="preserve"> </w:t>
      </w:r>
      <w:r w:rsidR="00A126FA" w:rsidRPr="007C1E0B">
        <w:rPr>
          <w:rFonts w:ascii="Times New Roman" w:hAnsi="Times New Roman" w:cs="Times New Roman"/>
          <w:sz w:val="20"/>
          <w:szCs w:val="20"/>
        </w:rPr>
        <w:t xml:space="preserve">İçi </w:t>
      </w:r>
      <w:r w:rsidR="008F593F" w:rsidRPr="007C1E0B">
        <w:rPr>
          <w:rFonts w:ascii="Times New Roman" w:hAnsi="Times New Roman" w:cs="Times New Roman"/>
          <w:sz w:val="20"/>
          <w:szCs w:val="20"/>
        </w:rPr>
        <w:t>Standart Sapma (</w:t>
      </w:r>
      <w:r w:rsidR="00610D7A" w:rsidRPr="007C1E0B">
        <w:rPr>
          <w:rFonts w:ascii="Times New Roman" w:hAnsi="Times New Roman" w:cs="Times New Roman"/>
          <w:sz w:val="20"/>
          <w:szCs w:val="20"/>
        </w:rPr>
        <w:t>S</w:t>
      </w:r>
      <w:r w:rsidR="00BD6801" w:rsidRPr="007C1E0B">
        <w:rPr>
          <w:rFonts w:ascii="Times New Roman" w:hAnsi="Times New Roman" w:cs="Times New Roman"/>
          <w:sz w:val="20"/>
          <w:szCs w:val="20"/>
        </w:rPr>
        <w:t>r</w:t>
      </w:r>
      <w:r w:rsidR="008F593F" w:rsidRPr="007C1E0B">
        <w:rPr>
          <w:rFonts w:ascii="Times New Roman" w:hAnsi="Times New Roman" w:cs="Times New Roman"/>
          <w:sz w:val="20"/>
          <w:szCs w:val="20"/>
        </w:rPr>
        <w:t xml:space="preserve">) için </w:t>
      </w:r>
      <w:r w:rsidR="00610D7A" w:rsidRPr="007C1E0B">
        <w:rPr>
          <w:rFonts w:ascii="Times New Roman" w:hAnsi="Times New Roman" w:cs="Times New Roman"/>
          <w:sz w:val="20"/>
          <w:szCs w:val="20"/>
        </w:rPr>
        <w:t xml:space="preserve">Varyasyon </w:t>
      </w:r>
      <w:r w:rsidR="008F593F" w:rsidRPr="007C1E0B">
        <w:rPr>
          <w:rFonts w:ascii="Times New Roman" w:hAnsi="Times New Roman" w:cs="Times New Roman"/>
          <w:sz w:val="20"/>
          <w:szCs w:val="20"/>
        </w:rPr>
        <w:t xml:space="preserve"> Katsayısı </w:t>
      </w:r>
      <w:r w:rsidR="00610D7A" w:rsidRPr="007C1E0B">
        <w:rPr>
          <w:rFonts w:ascii="Times New Roman" w:hAnsi="Times New Roman" w:cs="Times New Roman"/>
          <w:sz w:val="20"/>
          <w:szCs w:val="20"/>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5"/>
        <w:gridCol w:w="1281"/>
        <w:gridCol w:w="1687"/>
        <w:gridCol w:w="1687"/>
        <w:gridCol w:w="2432"/>
      </w:tblGrid>
      <w:tr w:rsidR="007C1E0B" w:rsidRPr="007C1E0B" w:rsidTr="00803CA9">
        <w:trPr>
          <w:trHeight w:val="333"/>
        </w:trPr>
        <w:tc>
          <w:tcPr>
            <w:tcW w:w="1985" w:type="dxa"/>
            <w:vMerge w:val="restart"/>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Referans materyal</w:t>
            </w:r>
          </w:p>
        </w:tc>
        <w:tc>
          <w:tcPr>
            <w:tcW w:w="7087" w:type="dxa"/>
            <w:gridSpan w:val="4"/>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Amino Asit</w:t>
            </w:r>
          </w:p>
        </w:tc>
      </w:tr>
      <w:tr w:rsidR="007C1E0B" w:rsidRPr="007C1E0B" w:rsidTr="00803CA9">
        <w:trPr>
          <w:trHeight w:val="345"/>
        </w:trPr>
        <w:tc>
          <w:tcPr>
            <w:tcW w:w="1985" w:type="dxa"/>
            <w:vMerge/>
            <w:vAlign w:val="center"/>
          </w:tcPr>
          <w:p w:rsidR="002211C6" w:rsidRPr="007C1E0B" w:rsidRDefault="002211C6" w:rsidP="001B722B">
            <w:pPr>
              <w:jc w:val="both"/>
              <w:rPr>
                <w:rFonts w:ascii="Times New Roman" w:hAnsi="Times New Roman" w:cs="Times New Roman"/>
                <w:sz w:val="20"/>
                <w:szCs w:val="20"/>
              </w:rPr>
            </w:pPr>
          </w:p>
        </w:tc>
        <w:tc>
          <w:tcPr>
            <w:tcW w:w="1281"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Treonin </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Sist(e)in</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Metionin </w:t>
            </w:r>
          </w:p>
        </w:tc>
        <w:tc>
          <w:tcPr>
            <w:tcW w:w="2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Lisin</w:t>
            </w:r>
          </w:p>
        </w:tc>
      </w:tr>
      <w:tr w:rsidR="007C1E0B" w:rsidRPr="007C1E0B" w:rsidTr="00803CA9">
        <w:trPr>
          <w:trHeight w:val="667"/>
        </w:trPr>
        <w:tc>
          <w:tcPr>
            <w:tcW w:w="1985" w:type="dxa"/>
            <w:vAlign w:val="center"/>
          </w:tcPr>
          <w:p w:rsidR="002211C6" w:rsidRPr="007C1E0B" w:rsidRDefault="001911A7" w:rsidP="001911A7">
            <w:pPr>
              <w:jc w:val="both"/>
              <w:rPr>
                <w:rFonts w:ascii="Times New Roman" w:hAnsi="Times New Roman" w:cs="Times New Roman"/>
                <w:sz w:val="20"/>
                <w:szCs w:val="20"/>
              </w:rPr>
            </w:pPr>
            <w:r w:rsidRPr="007C1E0B">
              <w:rPr>
                <w:rFonts w:ascii="Times New Roman" w:hAnsi="Times New Roman" w:cs="Times New Roman"/>
                <w:sz w:val="20"/>
                <w:szCs w:val="20"/>
              </w:rPr>
              <w:t>D</w:t>
            </w:r>
            <w:r w:rsidR="002211C6" w:rsidRPr="007C1E0B">
              <w:rPr>
                <w:rFonts w:ascii="Times New Roman" w:hAnsi="Times New Roman" w:cs="Times New Roman"/>
                <w:sz w:val="20"/>
                <w:szCs w:val="20"/>
              </w:rPr>
              <w:t>omuz yemi</w:t>
            </w:r>
          </w:p>
        </w:tc>
        <w:tc>
          <w:tcPr>
            <w:tcW w:w="1281"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2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13</w:t>
            </w:r>
          </w:p>
        </w:tc>
      </w:tr>
      <w:tr w:rsidR="007C1E0B" w:rsidRPr="007C1E0B" w:rsidTr="00803CA9">
        <w:trPr>
          <w:trHeight w:val="678"/>
        </w:trPr>
        <w:tc>
          <w:tcPr>
            <w:tcW w:w="1985" w:type="dxa"/>
            <w:vAlign w:val="center"/>
          </w:tcPr>
          <w:p w:rsidR="002211C6" w:rsidRPr="007C1E0B" w:rsidRDefault="001911A7" w:rsidP="001911A7">
            <w:pPr>
              <w:jc w:val="both"/>
              <w:rPr>
                <w:rFonts w:ascii="Times New Roman" w:hAnsi="Times New Roman" w:cs="Times New Roman"/>
                <w:sz w:val="20"/>
                <w:szCs w:val="20"/>
              </w:rPr>
            </w:pPr>
            <w:r w:rsidRPr="007C1E0B">
              <w:rPr>
                <w:rFonts w:ascii="Times New Roman" w:hAnsi="Times New Roman" w:cs="Times New Roman"/>
                <w:sz w:val="20"/>
                <w:szCs w:val="20"/>
              </w:rPr>
              <w:t xml:space="preserve">Etlik </w:t>
            </w:r>
            <w:r w:rsidR="002211C6" w:rsidRPr="007C1E0B">
              <w:rPr>
                <w:rFonts w:ascii="Times New Roman" w:hAnsi="Times New Roman" w:cs="Times New Roman"/>
                <w:sz w:val="20"/>
                <w:szCs w:val="20"/>
              </w:rPr>
              <w:t xml:space="preserve">Piliç </w:t>
            </w:r>
            <w:r w:rsidRPr="007C1E0B">
              <w:rPr>
                <w:rFonts w:ascii="Times New Roman" w:hAnsi="Times New Roman" w:cs="Times New Roman"/>
                <w:sz w:val="20"/>
                <w:szCs w:val="20"/>
              </w:rPr>
              <w:t>yemi</w:t>
            </w:r>
          </w:p>
        </w:tc>
        <w:tc>
          <w:tcPr>
            <w:tcW w:w="1281"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2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7C1E0B" w:rsidRPr="007C1E0B" w:rsidTr="00803CA9">
        <w:trPr>
          <w:trHeight w:val="667"/>
        </w:trPr>
        <w:tc>
          <w:tcPr>
            <w:tcW w:w="198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Protein konsantresi</w:t>
            </w:r>
          </w:p>
        </w:tc>
        <w:tc>
          <w:tcPr>
            <w:tcW w:w="1281"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2,7</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2,6</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2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r>
      <w:tr w:rsidR="007C1E0B" w:rsidRPr="007C1E0B" w:rsidTr="00803CA9">
        <w:trPr>
          <w:trHeight w:val="667"/>
        </w:trPr>
        <w:tc>
          <w:tcPr>
            <w:tcW w:w="1985" w:type="dxa"/>
            <w:vAlign w:val="center"/>
          </w:tcPr>
          <w:p w:rsidR="002211C6" w:rsidRPr="007C1E0B" w:rsidRDefault="00A52554" w:rsidP="001B722B">
            <w:pPr>
              <w:jc w:val="both"/>
              <w:rPr>
                <w:rFonts w:ascii="Times New Roman" w:hAnsi="Times New Roman" w:cs="Times New Roman"/>
                <w:sz w:val="20"/>
                <w:szCs w:val="20"/>
              </w:rPr>
            </w:pPr>
            <w:r w:rsidRPr="007C1E0B">
              <w:rPr>
                <w:rFonts w:ascii="Times New Roman" w:hAnsi="Times New Roman" w:cs="Times New Roman"/>
                <w:sz w:val="20"/>
                <w:szCs w:val="20"/>
              </w:rPr>
              <w:t>Premiks</w:t>
            </w:r>
          </w:p>
        </w:tc>
        <w:tc>
          <w:tcPr>
            <w:tcW w:w="1281"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68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2432"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2211C6" w:rsidRPr="007C1E0B" w:rsidTr="00803CA9">
        <w:trPr>
          <w:trHeight w:val="333"/>
        </w:trPr>
        <w:tc>
          <w:tcPr>
            <w:tcW w:w="9072" w:type="dxa"/>
            <w:gridSpan w:val="5"/>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Katılan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sayısı </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D51E6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Tekrar </w:t>
      </w:r>
      <w:r w:rsidR="006F0D8C" w:rsidRPr="007C1E0B">
        <w:rPr>
          <w:rFonts w:ascii="Times New Roman" w:hAnsi="Times New Roman" w:cs="Times New Roman"/>
          <w:sz w:val="20"/>
          <w:szCs w:val="20"/>
        </w:rPr>
        <w:t>üretilebilirlik</w:t>
      </w:r>
    </w:p>
    <w:p w:rsidR="00C231F5" w:rsidRPr="007C1E0B" w:rsidRDefault="00934C2F" w:rsidP="001911A7">
      <w:pPr>
        <w:jc w:val="both"/>
        <w:rPr>
          <w:rFonts w:ascii="Times New Roman" w:hAnsi="Times New Roman" w:cs="Times New Roman"/>
          <w:sz w:val="20"/>
          <w:szCs w:val="20"/>
        </w:rPr>
      </w:pPr>
      <w:r w:rsidRPr="007C1E0B">
        <w:rPr>
          <w:rFonts w:ascii="Times New Roman" w:hAnsi="Times New Roman" w:cs="Times New Roman"/>
          <w:sz w:val="20"/>
          <w:szCs w:val="20"/>
        </w:rPr>
        <w:t>Yukarıda belirtilen döngülü karşılaştırma ile elde edilen laboratuvarlar arası standart sapma için elde edilen sonuçlar aşağıdaki tabloda verişlmiştir.</w:t>
      </w:r>
    </w:p>
    <w:p w:rsidR="001911A7" w:rsidRPr="007C1E0B" w:rsidRDefault="00934C2F" w:rsidP="001911A7">
      <w:pPr>
        <w:jc w:val="both"/>
        <w:rPr>
          <w:rFonts w:ascii="Times New Roman" w:hAnsi="Times New Roman"/>
          <w:sz w:val="20"/>
          <w:szCs w:val="20"/>
        </w:rPr>
      </w:pPr>
      <w:r w:rsidRPr="007C1E0B">
        <w:rPr>
          <w:rFonts w:ascii="Times New Roman" w:hAnsi="Times New Roman" w:cs="Times New Roman"/>
          <w:sz w:val="20"/>
          <w:szCs w:val="20"/>
        </w:rPr>
        <w:t xml:space="preserve"> </w:t>
      </w:r>
      <w:r w:rsidR="001911A7" w:rsidRPr="007C1E0B">
        <w:rPr>
          <w:rFonts w:ascii="Times New Roman" w:hAnsi="Times New Roman"/>
          <w:sz w:val="20"/>
          <w:szCs w:val="20"/>
        </w:rPr>
        <w:t>Laboratuvarlar arası Standart Sapma (S</w:t>
      </w:r>
      <w:r w:rsidR="001911A7" w:rsidRPr="007C1E0B">
        <w:rPr>
          <w:rFonts w:ascii="Times New Roman" w:hAnsi="Times New Roman"/>
          <w:sz w:val="20"/>
          <w:szCs w:val="20"/>
          <w:vertAlign w:val="subscript"/>
        </w:rPr>
        <w:t>R</w:t>
      </w:r>
      <w:r w:rsidR="001911A7" w:rsidRPr="007C1E0B">
        <w:rPr>
          <w:rFonts w:ascii="Times New Roman" w:hAnsi="Times New Roman"/>
          <w:sz w:val="20"/>
          <w:szCs w:val="20"/>
        </w:rPr>
        <w:t>) g/kg</w:t>
      </w:r>
    </w:p>
    <w:tbl>
      <w:tblPr>
        <w:tblW w:w="9117"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902"/>
        <w:gridCol w:w="1767"/>
        <w:gridCol w:w="1726"/>
        <w:gridCol w:w="1921"/>
        <w:gridCol w:w="1801"/>
      </w:tblGrid>
      <w:tr w:rsidR="007C1E0B" w:rsidRPr="007C1E0B" w:rsidTr="00803CA9">
        <w:trPr>
          <w:trHeight w:val="275"/>
          <w:tblCellSpacing w:w="0" w:type="dxa"/>
        </w:trPr>
        <w:tc>
          <w:tcPr>
            <w:tcW w:w="1902"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rPr>
                <w:rFonts w:ascii="Times New Roman" w:hAnsi="Times New Roman" w:cs="Times New Roman"/>
                <w:sz w:val="20"/>
                <w:szCs w:val="20"/>
              </w:rPr>
              <w:t>Referans materyal</w:t>
            </w:r>
          </w:p>
        </w:tc>
        <w:tc>
          <w:tcPr>
            <w:tcW w:w="7215" w:type="dxa"/>
            <w:gridSpan w:val="4"/>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t>Amino Asit</w:t>
            </w:r>
          </w:p>
        </w:tc>
      </w:tr>
      <w:tr w:rsidR="007C1E0B" w:rsidRPr="007C1E0B" w:rsidTr="00803CA9">
        <w:trPr>
          <w:trHeight w:val="455"/>
          <w:tblCellSpacing w:w="0" w:type="dxa"/>
        </w:trPr>
        <w:tc>
          <w:tcPr>
            <w:tcW w:w="19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97806" w:rsidRPr="007C1E0B" w:rsidRDefault="00397806" w:rsidP="00397806">
            <w:pPr>
              <w:jc w:val="both"/>
              <w:rPr>
                <w:rFonts w:ascii="Times New Roman" w:hAnsi="Times New Roman" w:cs="Times New Roman"/>
                <w:b/>
                <w:bCs/>
                <w:sz w:val="20"/>
                <w:szCs w:val="20"/>
              </w:rPr>
            </w:pPr>
          </w:p>
        </w:tc>
        <w:tc>
          <w:tcPr>
            <w:tcW w:w="1767" w:type="dxa"/>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t xml:space="preserve">Treonin </w:t>
            </w:r>
          </w:p>
        </w:tc>
        <w:tc>
          <w:tcPr>
            <w:tcW w:w="1726" w:type="dxa"/>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t>Sist(e)in</w:t>
            </w:r>
          </w:p>
        </w:tc>
        <w:tc>
          <w:tcPr>
            <w:tcW w:w="1921" w:type="dxa"/>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t xml:space="preserve">Metionin </w:t>
            </w:r>
          </w:p>
        </w:tc>
        <w:tc>
          <w:tcPr>
            <w:tcW w:w="1801" w:type="dxa"/>
            <w:tcBorders>
              <w:top w:val="outset" w:sz="6" w:space="0" w:color="auto"/>
              <w:left w:val="outset" w:sz="6" w:space="0" w:color="auto"/>
              <w:bottom w:val="outset" w:sz="6" w:space="0" w:color="auto"/>
              <w:right w:val="outset" w:sz="6" w:space="0" w:color="auto"/>
            </w:tcBorders>
            <w:shd w:val="clear" w:color="auto" w:fill="FFFFFF"/>
            <w:hideMark/>
          </w:tcPr>
          <w:p w:rsidR="00397806" w:rsidRPr="007C1E0B" w:rsidRDefault="00397806" w:rsidP="00397806">
            <w:pPr>
              <w:jc w:val="both"/>
              <w:rPr>
                <w:rFonts w:ascii="Times New Roman" w:hAnsi="Times New Roman" w:cs="Times New Roman"/>
                <w:b/>
                <w:bCs/>
                <w:sz w:val="20"/>
                <w:szCs w:val="20"/>
              </w:rPr>
            </w:pPr>
            <w:r w:rsidRPr="007C1E0B">
              <w:t>Lisin</w:t>
            </w:r>
          </w:p>
        </w:tc>
      </w:tr>
      <w:tr w:rsidR="007C1E0B" w:rsidRPr="007C1E0B" w:rsidTr="00803CA9">
        <w:trPr>
          <w:trHeight w:val="625"/>
          <w:tblCellSpacing w:w="0" w:type="dxa"/>
        </w:trPr>
        <w:tc>
          <w:tcPr>
            <w:tcW w:w="1902"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A126FA" w:rsidP="001B722B">
            <w:pPr>
              <w:jc w:val="both"/>
              <w:rPr>
                <w:rFonts w:ascii="Times New Roman" w:hAnsi="Times New Roman" w:cs="Times New Roman"/>
                <w:sz w:val="20"/>
                <w:szCs w:val="20"/>
              </w:rPr>
            </w:pPr>
            <w:r w:rsidRPr="007C1E0B">
              <w:rPr>
                <w:rFonts w:ascii="Times New Roman" w:hAnsi="Times New Roman" w:cs="Times New Roman"/>
                <w:sz w:val="20"/>
                <w:szCs w:val="20"/>
              </w:rPr>
              <w:t>Domuz yemi</w:t>
            </w:r>
          </w:p>
        </w:tc>
        <w:tc>
          <w:tcPr>
            <w:tcW w:w="1767"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c>
          <w:tcPr>
            <w:tcW w:w="1726"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0,30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92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0,23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80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0,30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13</w:t>
            </w:r>
          </w:p>
        </w:tc>
      </w:tr>
      <w:tr w:rsidR="007C1E0B" w:rsidRPr="007C1E0B" w:rsidTr="00803CA9">
        <w:trPr>
          <w:trHeight w:val="625"/>
          <w:tblCellSpacing w:w="0" w:type="dxa"/>
        </w:trPr>
        <w:tc>
          <w:tcPr>
            <w:tcW w:w="1902"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A126FA" w:rsidP="00A126FA">
            <w:pPr>
              <w:jc w:val="both"/>
              <w:rPr>
                <w:rFonts w:ascii="Times New Roman" w:hAnsi="Times New Roman" w:cs="Times New Roman"/>
                <w:sz w:val="20"/>
                <w:szCs w:val="20"/>
              </w:rPr>
            </w:pPr>
            <w:r w:rsidRPr="007C1E0B">
              <w:rPr>
                <w:rFonts w:ascii="Times New Roman" w:hAnsi="Times New Roman" w:cs="Times New Roman"/>
                <w:sz w:val="20"/>
                <w:szCs w:val="20"/>
              </w:rPr>
              <w:t>Etlik Piliç yemi</w:t>
            </w:r>
          </w:p>
        </w:tc>
        <w:tc>
          <w:tcPr>
            <w:tcW w:w="1767"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0,48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26"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0,34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92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0,55</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80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0,75</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7C1E0B" w:rsidRPr="007C1E0B" w:rsidTr="00803CA9">
        <w:trPr>
          <w:trHeight w:val="607"/>
          <w:tblCellSpacing w:w="0" w:type="dxa"/>
        </w:trPr>
        <w:tc>
          <w:tcPr>
            <w:tcW w:w="1902"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A126FA">
            <w:pPr>
              <w:jc w:val="both"/>
              <w:rPr>
                <w:rFonts w:ascii="Times New Roman" w:hAnsi="Times New Roman" w:cs="Times New Roman"/>
                <w:sz w:val="20"/>
                <w:szCs w:val="20"/>
              </w:rPr>
            </w:pPr>
            <w:r w:rsidRPr="007C1E0B">
              <w:rPr>
                <w:rFonts w:ascii="Times New Roman" w:hAnsi="Times New Roman" w:cs="Times New Roman"/>
                <w:sz w:val="20"/>
                <w:szCs w:val="20"/>
              </w:rPr>
              <w:t xml:space="preserve">Protein </w:t>
            </w:r>
            <w:r w:rsidR="00A126FA" w:rsidRPr="007C1E0B">
              <w:rPr>
                <w:rFonts w:ascii="Times New Roman" w:hAnsi="Times New Roman" w:cs="Times New Roman"/>
                <w:sz w:val="20"/>
                <w:szCs w:val="20"/>
              </w:rPr>
              <w:t>Konsantresi</w:t>
            </w:r>
          </w:p>
        </w:tc>
        <w:tc>
          <w:tcPr>
            <w:tcW w:w="1767"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0,85</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26"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0,62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92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1,57</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80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1,24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r>
      <w:tr w:rsidR="007C1E0B" w:rsidRPr="007C1E0B" w:rsidTr="00803CA9">
        <w:trPr>
          <w:trHeight w:val="616"/>
          <w:tblCellSpacing w:w="0" w:type="dxa"/>
        </w:trPr>
        <w:tc>
          <w:tcPr>
            <w:tcW w:w="1902"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A126FA">
            <w:pPr>
              <w:jc w:val="both"/>
              <w:rPr>
                <w:rFonts w:ascii="Times New Roman" w:hAnsi="Times New Roman" w:cs="Times New Roman"/>
                <w:sz w:val="20"/>
                <w:szCs w:val="20"/>
              </w:rPr>
            </w:pPr>
            <w:r w:rsidRPr="007C1E0B">
              <w:rPr>
                <w:rFonts w:ascii="Times New Roman" w:hAnsi="Times New Roman" w:cs="Times New Roman"/>
                <w:sz w:val="20"/>
                <w:szCs w:val="20"/>
              </w:rPr>
              <w:t>Premi</w:t>
            </w:r>
            <w:r w:rsidR="00A126FA" w:rsidRPr="007C1E0B">
              <w:rPr>
                <w:rFonts w:ascii="Times New Roman" w:hAnsi="Times New Roman" w:cs="Times New Roman"/>
                <w:sz w:val="20"/>
                <w:szCs w:val="20"/>
              </w:rPr>
              <w:t>ks</w:t>
            </w:r>
          </w:p>
        </w:tc>
        <w:tc>
          <w:tcPr>
            <w:tcW w:w="1767"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2,49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26"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w:t>
            </w:r>
          </w:p>
        </w:tc>
        <w:tc>
          <w:tcPr>
            <w:tcW w:w="192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6,20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801" w:type="dxa"/>
            <w:tcBorders>
              <w:top w:val="outset" w:sz="6" w:space="0" w:color="auto"/>
              <w:left w:val="outset" w:sz="6" w:space="0" w:color="auto"/>
              <w:bottom w:val="outset" w:sz="6" w:space="0" w:color="auto"/>
              <w:right w:val="outset" w:sz="6" w:space="0" w:color="auto"/>
            </w:tcBorders>
            <w:shd w:val="clear" w:color="auto" w:fill="FFFFFF"/>
            <w:hideMark/>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6,62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7C1E0B" w:rsidRPr="007C1E0B" w:rsidTr="00803CA9">
        <w:trPr>
          <w:trHeight w:val="256"/>
          <w:tblCellSpacing w:w="0" w:type="dxa"/>
        </w:trPr>
        <w:tc>
          <w:tcPr>
            <w:tcW w:w="9117" w:type="dxa"/>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2211C6" w:rsidRPr="007C1E0B" w:rsidRDefault="00397806" w:rsidP="001B722B">
            <w:pPr>
              <w:jc w:val="both"/>
              <w:rPr>
                <w:rFonts w:ascii="Times New Roman" w:hAnsi="Times New Roman" w:cs="Times New Roman"/>
                <w:sz w:val="20"/>
                <w:szCs w:val="20"/>
              </w:rPr>
            </w:pPr>
            <w:r w:rsidRPr="007C1E0B">
              <w:rPr>
                <w:rFonts w:ascii="Times New Roman" w:hAnsi="Times New Roman" w:cs="Times New Roman"/>
                <w:sz w:val="20"/>
                <w:szCs w:val="20"/>
              </w:rPr>
              <w:t>n= Katılan laboratuvar sayısı</w:t>
            </w:r>
          </w:p>
        </w:tc>
      </w:tr>
    </w:tbl>
    <w:p w:rsidR="008F593F" w:rsidRPr="007C1E0B" w:rsidRDefault="008F593F" w:rsidP="001B722B">
      <w:pPr>
        <w:jc w:val="both"/>
        <w:rPr>
          <w:rFonts w:ascii="Times New Roman" w:hAnsi="Times New Roman" w:cs="Times New Roman"/>
          <w:sz w:val="20"/>
          <w:szCs w:val="20"/>
        </w:rPr>
      </w:pPr>
    </w:p>
    <w:p w:rsidR="00397806" w:rsidRPr="007C1E0B" w:rsidRDefault="00397806" w:rsidP="00397806">
      <w:pPr>
        <w:jc w:val="both"/>
        <w:rPr>
          <w:rFonts w:ascii="Times New Roman" w:hAnsi="Times New Roman" w:cs="Times New Roman"/>
          <w:sz w:val="20"/>
          <w:szCs w:val="20"/>
        </w:rPr>
      </w:pPr>
      <w:r w:rsidRPr="007C1E0B">
        <w:rPr>
          <w:rFonts w:ascii="Times New Roman" w:hAnsi="Times New Roman" w:cs="Times New Roman"/>
          <w:sz w:val="20"/>
          <w:szCs w:val="20"/>
        </w:rPr>
        <w:t>Laboratuvar</w:t>
      </w:r>
      <w:r w:rsidR="00E04E1E" w:rsidRPr="007C1E0B">
        <w:rPr>
          <w:rFonts w:ascii="Times New Roman" w:hAnsi="Times New Roman" w:cs="Times New Roman"/>
          <w:sz w:val="20"/>
          <w:szCs w:val="20"/>
        </w:rPr>
        <w:t>lar</w:t>
      </w:r>
      <w:r w:rsidRPr="007C1E0B">
        <w:rPr>
          <w:rFonts w:ascii="Times New Roman" w:hAnsi="Times New Roman" w:cs="Times New Roman"/>
          <w:sz w:val="20"/>
          <w:szCs w:val="20"/>
        </w:rPr>
        <w:t xml:space="preserve"> </w:t>
      </w:r>
      <w:r w:rsidR="00610D7A" w:rsidRPr="007C1E0B">
        <w:rPr>
          <w:rFonts w:ascii="Times New Roman" w:hAnsi="Times New Roman" w:cs="Times New Roman"/>
          <w:sz w:val="20"/>
          <w:szCs w:val="20"/>
        </w:rPr>
        <w:t>Arası</w:t>
      </w:r>
      <w:r w:rsidR="009D006D"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Standart Sapma </w:t>
      </w:r>
      <w:r w:rsidR="009D006D" w:rsidRPr="007C1E0B">
        <w:rPr>
          <w:rFonts w:ascii="Times New Roman" w:hAnsi="Times New Roman" w:cs="Times New Roman"/>
          <w:sz w:val="20"/>
          <w:szCs w:val="20"/>
        </w:rPr>
        <w:t xml:space="preserve"> (S</w:t>
      </w:r>
      <w:r w:rsidR="009D006D" w:rsidRPr="007C1E0B">
        <w:rPr>
          <w:rFonts w:ascii="Times New Roman" w:hAnsi="Times New Roman" w:cs="Times New Roman"/>
          <w:sz w:val="20"/>
          <w:szCs w:val="20"/>
          <w:vertAlign w:val="subscript"/>
        </w:rPr>
        <w:t>R</w:t>
      </w:r>
      <w:r w:rsidR="009D006D" w:rsidRPr="007C1E0B">
        <w:rPr>
          <w:rFonts w:ascii="Times New Roman" w:hAnsi="Times New Roman" w:cs="Times New Roman"/>
          <w:sz w:val="20"/>
          <w:szCs w:val="20"/>
        </w:rPr>
        <w:t>) için Varyasyon Katsayısı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5"/>
        <w:gridCol w:w="1377"/>
        <w:gridCol w:w="1735"/>
        <w:gridCol w:w="1735"/>
        <w:gridCol w:w="2240"/>
      </w:tblGrid>
      <w:tr w:rsidR="007C1E0B" w:rsidRPr="007C1E0B" w:rsidTr="00803CA9">
        <w:trPr>
          <w:trHeight w:val="296"/>
        </w:trPr>
        <w:tc>
          <w:tcPr>
            <w:tcW w:w="1985" w:type="dxa"/>
            <w:vMerge w:val="restart"/>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Referans materyal</w:t>
            </w:r>
          </w:p>
        </w:tc>
        <w:tc>
          <w:tcPr>
            <w:tcW w:w="7087" w:type="dxa"/>
            <w:gridSpan w:val="4"/>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Amino Asit</w:t>
            </w:r>
          </w:p>
        </w:tc>
      </w:tr>
      <w:tr w:rsidR="007C1E0B" w:rsidRPr="007C1E0B" w:rsidTr="00803CA9">
        <w:trPr>
          <w:trHeight w:val="317"/>
        </w:trPr>
        <w:tc>
          <w:tcPr>
            <w:tcW w:w="1985" w:type="dxa"/>
            <w:vMerge/>
            <w:vAlign w:val="center"/>
          </w:tcPr>
          <w:p w:rsidR="002211C6" w:rsidRPr="007C1E0B" w:rsidRDefault="002211C6" w:rsidP="001B722B">
            <w:pPr>
              <w:jc w:val="both"/>
              <w:rPr>
                <w:rFonts w:ascii="Times New Roman" w:hAnsi="Times New Roman" w:cs="Times New Roman"/>
                <w:sz w:val="20"/>
                <w:szCs w:val="20"/>
              </w:rPr>
            </w:pPr>
          </w:p>
        </w:tc>
        <w:tc>
          <w:tcPr>
            <w:tcW w:w="137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Treonin </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Sist(e)in</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Metionin </w:t>
            </w:r>
          </w:p>
        </w:tc>
        <w:tc>
          <w:tcPr>
            <w:tcW w:w="2240"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Lisin</w:t>
            </w:r>
          </w:p>
        </w:tc>
      </w:tr>
      <w:tr w:rsidR="007C1E0B" w:rsidRPr="007C1E0B" w:rsidTr="00803CA9">
        <w:trPr>
          <w:trHeight w:val="593"/>
        </w:trPr>
        <w:tc>
          <w:tcPr>
            <w:tcW w:w="1985" w:type="dxa"/>
            <w:vAlign w:val="center"/>
          </w:tcPr>
          <w:p w:rsidR="002211C6" w:rsidRPr="007C1E0B" w:rsidRDefault="00C25F9A" w:rsidP="00C25F9A">
            <w:pPr>
              <w:jc w:val="both"/>
              <w:rPr>
                <w:rFonts w:ascii="Times New Roman" w:hAnsi="Times New Roman" w:cs="Times New Roman"/>
                <w:sz w:val="20"/>
                <w:szCs w:val="20"/>
              </w:rPr>
            </w:pPr>
            <w:r w:rsidRPr="007C1E0B">
              <w:rPr>
                <w:rFonts w:ascii="Times New Roman" w:hAnsi="Times New Roman" w:cs="Times New Roman"/>
                <w:sz w:val="20"/>
                <w:szCs w:val="20"/>
              </w:rPr>
              <w:t>D</w:t>
            </w:r>
            <w:r w:rsidR="002211C6" w:rsidRPr="007C1E0B">
              <w:rPr>
                <w:rFonts w:ascii="Times New Roman" w:hAnsi="Times New Roman" w:cs="Times New Roman"/>
                <w:sz w:val="20"/>
                <w:szCs w:val="20"/>
              </w:rPr>
              <w:t>omuz yemi</w:t>
            </w:r>
          </w:p>
        </w:tc>
        <w:tc>
          <w:tcPr>
            <w:tcW w:w="137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9,9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7,0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2240"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13</w:t>
            </w:r>
          </w:p>
        </w:tc>
      </w:tr>
      <w:tr w:rsidR="007C1E0B" w:rsidRPr="007C1E0B" w:rsidTr="00803CA9">
        <w:trPr>
          <w:trHeight w:val="603"/>
        </w:trPr>
        <w:tc>
          <w:tcPr>
            <w:tcW w:w="1985" w:type="dxa"/>
            <w:vAlign w:val="center"/>
          </w:tcPr>
          <w:p w:rsidR="002211C6" w:rsidRPr="007C1E0B" w:rsidRDefault="00C25F9A" w:rsidP="00C25F9A">
            <w:pPr>
              <w:jc w:val="both"/>
              <w:rPr>
                <w:rFonts w:ascii="Times New Roman" w:hAnsi="Times New Roman" w:cs="Times New Roman"/>
                <w:sz w:val="20"/>
                <w:szCs w:val="20"/>
              </w:rPr>
            </w:pPr>
            <w:r w:rsidRPr="007C1E0B">
              <w:rPr>
                <w:rFonts w:ascii="Times New Roman" w:hAnsi="Times New Roman" w:cs="Times New Roman"/>
                <w:sz w:val="20"/>
                <w:szCs w:val="20"/>
              </w:rPr>
              <w:t xml:space="preserve">Etlik </w:t>
            </w:r>
            <w:r w:rsidR="002211C6" w:rsidRPr="007C1E0B">
              <w:rPr>
                <w:rFonts w:ascii="Times New Roman" w:hAnsi="Times New Roman" w:cs="Times New Roman"/>
                <w:sz w:val="20"/>
                <w:szCs w:val="20"/>
              </w:rPr>
              <w:t xml:space="preserve">Piliç </w:t>
            </w:r>
            <w:r w:rsidRPr="007C1E0B">
              <w:rPr>
                <w:rFonts w:ascii="Times New Roman" w:hAnsi="Times New Roman" w:cs="Times New Roman"/>
                <w:sz w:val="20"/>
                <w:szCs w:val="20"/>
              </w:rPr>
              <w:t>Yemi</w:t>
            </w:r>
          </w:p>
        </w:tc>
        <w:tc>
          <w:tcPr>
            <w:tcW w:w="137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5,2</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8,8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10,9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18</w:t>
            </w:r>
          </w:p>
        </w:tc>
        <w:tc>
          <w:tcPr>
            <w:tcW w:w="2240"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5,4</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7C1E0B" w:rsidRPr="007C1E0B" w:rsidTr="00803CA9">
        <w:trPr>
          <w:trHeight w:val="593"/>
        </w:trPr>
        <w:tc>
          <w:tcPr>
            <w:tcW w:w="198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Protein konsantresi</w:t>
            </w:r>
          </w:p>
        </w:tc>
        <w:tc>
          <w:tcPr>
            <w:tcW w:w="137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12,3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13,0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17</w:t>
            </w:r>
          </w:p>
        </w:tc>
        <w:tc>
          <w:tcPr>
            <w:tcW w:w="2240"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3,0</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15</w:t>
            </w:r>
          </w:p>
        </w:tc>
      </w:tr>
      <w:tr w:rsidR="007C1E0B" w:rsidRPr="007C1E0B" w:rsidTr="00803CA9">
        <w:trPr>
          <w:trHeight w:val="593"/>
        </w:trPr>
        <w:tc>
          <w:tcPr>
            <w:tcW w:w="1985" w:type="dxa"/>
            <w:vAlign w:val="center"/>
          </w:tcPr>
          <w:p w:rsidR="002211C6" w:rsidRPr="007C1E0B" w:rsidRDefault="00C25F9A" w:rsidP="00C25F9A">
            <w:pPr>
              <w:jc w:val="both"/>
              <w:rPr>
                <w:rFonts w:ascii="Times New Roman" w:hAnsi="Times New Roman" w:cs="Times New Roman"/>
                <w:sz w:val="20"/>
                <w:szCs w:val="20"/>
              </w:rPr>
            </w:pPr>
            <w:r w:rsidRPr="007C1E0B">
              <w:rPr>
                <w:rFonts w:ascii="Times New Roman" w:hAnsi="Times New Roman" w:cs="Times New Roman"/>
                <w:sz w:val="20"/>
                <w:szCs w:val="20"/>
              </w:rPr>
              <w:t>Premiks</w:t>
            </w:r>
          </w:p>
        </w:tc>
        <w:tc>
          <w:tcPr>
            <w:tcW w:w="1377"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4,3</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735"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6,9</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c>
          <w:tcPr>
            <w:tcW w:w="2240" w:type="dxa"/>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6,7</w:t>
            </w:r>
          </w:p>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n = 16</w:t>
            </w:r>
          </w:p>
        </w:tc>
      </w:tr>
      <w:tr w:rsidR="002211C6" w:rsidRPr="007C1E0B" w:rsidTr="00803CA9">
        <w:trPr>
          <w:trHeight w:val="296"/>
        </w:trPr>
        <w:tc>
          <w:tcPr>
            <w:tcW w:w="9072" w:type="dxa"/>
            <w:gridSpan w:val="5"/>
            <w:vAlign w:val="center"/>
          </w:tcPr>
          <w:p w:rsidR="002211C6" w:rsidRPr="007C1E0B" w:rsidRDefault="002211C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Katılan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sayısı </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FF675E"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Referans materyallerin kullanımı </w:t>
      </w:r>
    </w:p>
    <w:p w:rsidR="008F593F" w:rsidRPr="007C1E0B" w:rsidRDefault="00381839" w:rsidP="001B722B">
      <w:pPr>
        <w:jc w:val="both"/>
        <w:rPr>
          <w:rFonts w:ascii="Times New Roman" w:hAnsi="Times New Roman" w:cs="Times New Roman"/>
          <w:sz w:val="20"/>
          <w:szCs w:val="20"/>
        </w:rPr>
      </w:pPr>
      <w:r w:rsidRPr="007C1E0B">
        <w:rPr>
          <w:rFonts w:ascii="Times New Roman" w:hAnsi="Times New Roman" w:cs="Times New Roman"/>
          <w:sz w:val="20"/>
          <w:szCs w:val="20"/>
        </w:rPr>
        <w:t>Meto</w:t>
      </w:r>
      <w:r w:rsidR="00DD29C2" w:rsidRPr="007C1E0B">
        <w:rPr>
          <w:rFonts w:ascii="Times New Roman" w:hAnsi="Times New Roman" w:cs="Times New Roman"/>
          <w:sz w:val="20"/>
          <w:szCs w:val="20"/>
        </w:rPr>
        <w:t>dun</w:t>
      </w:r>
      <w:r w:rsidR="008F593F" w:rsidRPr="007C1E0B">
        <w:rPr>
          <w:rFonts w:ascii="Times New Roman" w:hAnsi="Times New Roman" w:cs="Times New Roman"/>
          <w:sz w:val="20"/>
          <w:szCs w:val="20"/>
        </w:rPr>
        <w:t xml:space="preserve"> doğru uygulanması; erişilebildiği noktalarda onaylı referans materya</w:t>
      </w:r>
      <w:r w:rsidR="00B376FE" w:rsidRPr="007C1E0B">
        <w:rPr>
          <w:rFonts w:ascii="Times New Roman" w:hAnsi="Times New Roman" w:cs="Times New Roman"/>
          <w:sz w:val="20"/>
          <w:szCs w:val="20"/>
        </w:rPr>
        <w:t xml:space="preserve">llerin </w:t>
      </w:r>
      <w:r w:rsidR="008F593F" w:rsidRPr="007C1E0B">
        <w:rPr>
          <w:rFonts w:ascii="Times New Roman" w:hAnsi="Times New Roman" w:cs="Times New Roman"/>
          <w:sz w:val="20"/>
          <w:szCs w:val="20"/>
        </w:rPr>
        <w:t>çoklu öl</w:t>
      </w:r>
      <w:r w:rsidR="00B376FE" w:rsidRPr="007C1E0B">
        <w:rPr>
          <w:rFonts w:ascii="Times New Roman" w:hAnsi="Times New Roman" w:cs="Times New Roman"/>
          <w:sz w:val="20"/>
          <w:szCs w:val="20"/>
        </w:rPr>
        <w:t>ç</w:t>
      </w:r>
      <w:r w:rsidR="008F593F" w:rsidRPr="007C1E0B">
        <w:rPr>
          <w:rFonts w:ascii="Times New Roman" w:hAnsi="Times New Roman" w:cs="Times New Roman"/>
          <w:sz w:val="20"/>
          <w:szCs w:val="20"/>
        </w:rPr>
        <w:t>ümünün yapılmasıyla sınanmalıdır. Kalibrasyonun; onaylı amino asit kalibrasyon çözeltisiyle yapılması önerilir.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Amino asit analizörleri arasındaki farklardan ötürü; standart amino asitlerin (bakınız 3.27.4 ve 3.27.5) ve hidrolizatların (bakınız 5.3.4) kalibrasyon çözeltilerinin son konsantrasyonları kılavuz olarak alınmalıdır.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Cihazların lineer tepkilerinin aralığı tüm amino asitler için kontrol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Standart çözelti; aralığın ortasındaki tepe alanlarını vermesi için sitrat tamponu ile seyreltilir.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9.2. Yüksek performans sıvı kromatografik donanımların hidrolizatların analizinde kullanıldığı yerlerde, deneysel koşullar üreticinin önerilerine göre optimize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9.3. %</w:t>
      </w:r>
      <w:r w:rsidR="00F346A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1’den fazla klorit içeren yemlere (konsantre, mineral yemleri, ilave yemler) </w:t>
      </w:r>
      <w:r w:rsidR="004C6CEB" w:rsidRPr="007C1E0B">
        <w:rPr>
          <w:rFonts w:ascii="Times New Roman" w:hAnsi="Times New Roman" w:cs="Times New Roman"/>
          <w:sz w:val="20"/>
          <w:szCs w:val="20"/>
        </w:rPr>
        <w:t>m</w:t>
      </w:r>
      <w:r w:rsidR="00381839" w:rsidRPr="007C1E0B">
        <w:rPr>
          <w:rFonts w:ascii="Times New Roman" w:hAnsi="Times New Roman" w:cs="Times New Roman"/>
          <w:sz w:val="20"/>
          <w:szCs w:val="20"/>
        </w:rPr>
        <w:t>eto</w:t>
      </w:r>
      <w:r w:rsidR="00DD29C2" w:rsidRPr="007C1E0B">
        <w:rPr>
          <w:rFonts w:ascii="Times New Roman" w:hAnsi="Times New Roman" w:cs="Times New Roman"/>
          <w:sz w:val="20"/>
          <w:szCs w:val="20"/>
        </w:rPr>
        <w:t>dun</w:t>
      </w:r>
      <w:r w:rsidRPr="007C1E0B">
        <w:rPr>
          <w:rFonts w:ascii="Times New Roman" w:hAnsi="Times New Roman" w:cs="Times New Roman"/>
          <w:sz w:val="20"/>
          <w:szCs w:val="20"/>
        </w:rPr>
        <w:t xml:space="preserve"> uygulanmasıyla, metioninin eksik tahmin edilmesi durumu</w:t>
      </w:r>
      <w:r w:rsidR="004C6CEB" w:rsidRPr="007C1E0B">
        <w:rPr>
          <w:rFonts w:ascii="Times New Roman" w:hAnsi="Times New Roman" w:cs="Times New Roman"/>
          <w:sz w:val="20"/>
          <w:szCs w:val="20"/>
        </w:rPr>
        <w:t>nda</w:t>
      </w:r>
      <w:r w:rsidRPr="007C1E0B">
        <w:rPr>
          <w:rFonts w:ascii="Times New Roman" w:hAnsi="Times New Roman" w:cs="Times New Roman"/>
          <w:sz w:val="20"/>
          <w:szCs w:val="20"/>
        </w:rPr>
        <w:t xml:space="preserve"> ve özel uygulama yapılma</w:t>
      </w:r>
      <w:r w:rsidR="004C6CEB" w:rsidRPr="007C1E0B">
        <w:rPr>
          <w:rFonts w:ascii="Times New Roman" w:hAnsi="Times New Roman" w:cs="Times New Roman"/>
          <w:sz w:val="20"/>
          <w:szCs w:val="20"/>
        </w:rPr>
        <w:t>sı</w:t>
      </w:r>
      <w:r w:rsidRPr="007C1E0B">
        <w:rPr>
          <w:rFonts w:ascii="Times New Roman" w:hAnsi="Times New Roman" w:cs="Times New Roman"/>
          <w:sz w:val="20"/>
          <w:szCs w:val="20"/>
        </w:rPr>
        <w:t xml:space="preserve"> zorun</w:t>
      </w:r>
      <w:r w:rsidR="004C6CEB" w:rsidRPr="007C1E0B">
        <w:rPr>
          <w:rFonts w:ascii="Times New Roman" w:hAnsi="Times New Roman" w:cs="Times New Roman"/>
          <w:sz w:val="20"/>
          <w:szCs w:val="20"/>
        </w:rPr>
        <w:t>ludur</w:t>
      </w:r>
      <w:r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F.</w:t>
      </w:r>
      <w:r w:rsidR="004A35AA"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TRİPTOFAN TAYİNİ</w:t>
      </w:r>
      <w:r w:rsidR="002971B9" w:rsidRPr="007C1E0B">
        <w:rPr>
          <w:rFonts w:ascii="Times New Roman" w:hAnsi="Times New Roman" w:cs="Times New Roman"/>
          <w:b/>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toplam ve serbest triptofan miktarını belirlemek içindir. D- ve L- formları arasında bir ayrım yapmaz.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Toplam triptofan tayini için numune, alkali koşullar altında doymuş baryum hidroksit çözeltisi ile hidrolize edilir ve 20 saat boyunca 110°C’ye ısıtılır. Hidrolizden sonra iç standart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Serbest triptofan tayini için numune, iç standardın varlığında hafif asidik koşullar altında ekstrakte edilir.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Hidrolizatın ya da ekstraktın içinde triptofan ve iç standart, HPLC flüoresan dedektör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İki kere distile edilmiş su ya da eşdeğer nitelikte su kullanılmalıdır (iletkenlik &lt; 10 μS/cm)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Standard madde: Triptofan (saflık/içerik ≥ %</w:t>
      </w:r>
      <w:r w:rsidR="00F346A8"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99) fosfor pentoksit ile vakum altında kurutulmuş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İç standart madde: α-metil-triptofan (saflık/içerik ≥ %</w:t>
      </w:r>
      <w:r w:rsidR="00F346A8" w:rsidRPr="007C1E0B">
        <w:rPr>
          <w:rFonts w:ascii="Times New Roman" w:hAnsi="Times New Roman" w:cs="Times New Roman"/>
          <w:sz w:val="20"/>
          <w:szCs w:val="20"/>
        </w:rPr>
        <w:t xml:space="preserve"> </w:t>
      </w:r>
      <w:r w:rsidRPr="007C1E0B">
        <w:rPr>
          <w:rFonts w:ascii="Times New Roman" w:hAnsi="Times New Roman" w:cs="Times New Roman"/>
          <w:sz w:val="20"/>
          <w:szCs w:val="20"/>
        </w:rPr>
        <w:t>99), fosforlu pentoksit ile vakum altında kurutulmuş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Baryum hidroksit okta-hidrat (tayini bozabilecek BaCO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oluşumunu önlemek amacıyla havaya </w:t>
      </w:r>
      <w:r w:rsidR="0058397D"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Ba(OH)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.8H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açığa çıkmaması için gerekli önlemler alınacaktır) (bakınız gözlem 9.3)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hidroksit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Orto-fosforik asit, w (a/a) = %</w:t>
      </w:r>
      <w:r w:rsidR="004B5537" w:rsidRPr="007C1E0B">
        <w:rPr>
          <w:rFonts w:ascii="Times New Roman" w:hAnsi="Times New Roman" w:cs="Times New Roman"/>
          <w:sz w:val="20"/>
          <w:szCs w:val="20"/>
        </w:rPr>
        <w:t xml:space="preserve"> </w:t>
      </w:r>
      <w:r w:rsidRPr="007C1E0B">
        <w:rPr>
          <w:rFonts w:ascii="Times New Roman" w:hAnsi="Times New Roman" w:cs="Times New Roman"/>
          <w:sz w:val="20"/>
          <w:szCs w:val="20"/>
        </w:rPr>
        <w:t>85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1,19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 HPLC kalitesine eşdeğer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Petrol eteri, kaynama aralığı 40- 60°C</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Sodyum hidroksit çözeltisi, c = 1 mol/l,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40,0 g NaOH (3.5) su içinde çözdürülür ve su ile 1 litreye tamamlanır (3.1)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c = 6 mol/l, 492 ml HCl (3.7) alınır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c = 1 mol/l, 82 ml HCl (3.7) alınır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c = 0,1 mol/l, 8,2 ml HCl (3.7) alınır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3.14.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Orto-fosforik asit, c = 0,5 mol/l,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ml orto-fosforik asit (3.6) alınır ve su ile 1 litreye tamamlanır. (3.1)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3.15.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Konsantre triptofan çözeltisi (3.2), c = 2,50 μmol/ml,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500 ml’lik balon jojede 0,2553 g triptofan (3.2) hidroklorik asit (3.13) içinde çözündürülür ve işarete kadar hidroklorik asit (3.13) ile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- 18°C’de en fazla 4 hafta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3.16. Konsantre iç standart çözeltisi, c = 2,50 μmol/ml,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500 ml’lik balon jojede 0,2728 g α-metil-triptofan (3.3) hidroklorik asit (3.13) içinde çözündürülür ve işarete kadar hidroklorik asit (3.13) ile tamamlanır. - 18°C’de en fazla 4 hafta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3.17.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Triptofan ve iç standardın kalibrasyon standart çözeltisi,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2,00 ml konsantre triptofan çözeltisi (3.15) ve 2,00 ml konsantre iç standart (α-metil-triptofan) çözeltisi (3.1</w:t>
      </w:r>
      <w:r w:rsidR="00186D54" w:rsidRPr="007C1E0B">
        <w:rPr>
          <w:rFonts w:ascii="Times New Roman" w:hAnsi="Times New Roman" w:cs="Times New Roman"/>
          <w:sz w:val="20"/>
          <w:szCs w:val="20"/>
        </w:rPr>
        <w:t>6</w:t>
      </w:r>
      <w:r w:rsidRPr="007C1E0B">
        <w:rPr>
          <w:rFonts w:ascii="Times New Roman" w:hAnsi="Times New Roman" w:cs="Times New Roman"/>
          <w:sz w:val="20"/>
          <w:szCs w:val="20"/>
        </w:rPr>
        <w:t>) alınır. Bitmiş hidrolizatta aynı hacimde ve aynı metanol konsantrasyonunda (%</w:t>
      </w:r>
      <w:r w:rsidR="00F346A8" w:rsidRPr="007C1E0B">
        <w:rPr>
          <w:rFonts w:ascii="Times New Roman" w:hAnsi="Times New Roman" w:cs="Times New Roman"/>
          <w:sz w:val="20"/>
          <w:szCs w:val="20"/>
        </w:rPr>
        <w:t xml:space="preserve"> </w:t>
      </w:r>
      <w:r w:rsidRPr="007C1E0B">
        <w:rPr>
          <w:rFonts w:ascii="Times New Roman" w:hAnsi="Times New Roman" w:cs="Times New Roman"/>
          <w:sz w:val="20"/>
          <w:szCs w:val="20"/>
        </w:rPr>
        <w:t>10 - %</w:t>
      </w:r>
      <w:r w:rsidR="00F346A8" w:rsidRPr="007C1E0B">
        <w:rPr>
          <w:rFonts w:ascii="Times New Roman" w:hAnsi="Times New Roman" w:cs="Times New Roman"/>
          <w:sz w:val="20"/>
          <w:szCs w:val="20"/>
        </w:rPr>
        <w:t xml:space="preserve"> </w:t>
      </w:r>
      <w:r w:rsidRPr="007C1E0B">
        <w:rPr>
          <w:rFonts w:ascii="Times New Roman" w:hAnsi="Times New Roman" w:cs="Times New Roman"/>
          <w:sz w:val="20"/>
          <w:szCs w:val="20"/>
        </w:rPr>
        <w:t>30) olacak şekilde eşit hacimdeki su (3.1) ve metanol (3.8) ile seyreltilir. Bu çözelti kullanmadan önce taze olarak hazırlanmalıdır. Hazırlama sırasında doğrudan güneş ışığından korunmalıdır.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3.18.</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Asetik asit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3.19.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1,1,1-trikloro-2-metil-2-propanol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3.20.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Etanolamin w (a/a) &gt; %</w:t>
      </w:r>
      <w:r w:rsidR="00D1516C" w:rsidRPr="007C1E0B">
        <w:rPr>
          <w:rFonts w:ascii="Times New Roman" w:hAnsi="Times New Roman" w:cs="Times New Roman"/>
          <w:sz w:val="20"/>
          <w:szCs w:val="20"/>
        </w:rPr>
        <w:t xml:space="preserve"> </w:t>
      </w:r>
      <w:r w:rsidRPr="007C1E0B">
        <w:rPr>
          <w:rFonts w:ascii="Times New Roman" w:hAnsi="Times New Roman" w:cs="Times New Roman"/>
          <w:sz w:val="20"/>
          <w:szCs w:val="20"/>
        </w:rPr>
        <w:t>98</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ml metanol (3.8) içinde 1 g 1,1,1-trikloro-2-metil-2-propanol (3.19)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 3,00 g asetik asit (3.18) + 900 ml su (3.1) + metanol (3.8) içinde 50,0 ml 1,1,1-trikloro-2-metil-2-propanol (3.19) çözeltisi (3.21) (1g/100ml). Etanolamin (3.20) kullanarak pH’ı 5,00’a ayarlanır. Su ile 1000 ml’ye tamamlanır (3.1)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Spektroflorometrik de</w:t>
      </w:r>
      <w:r w:rsidR="00A557CA" w:rsidRPr="007C1E0B">
        <w:rPr>
          <w:rFonts w:ascii="Times New Roman" w:hAnsi="Times New Roman" w:cs="Times New Roman"/>
          <w:sz w:val="20"/>
          <w:szCs w:val="20"/>
        </w:rPr>
        <w:t>d</w:t>
      </w:r>
      <w:r w:rsidRPr="007C1E0B">
        <w:rPr>
          <w:rFonts w:ascii="Times New Roman" w:hAnsi="Times New Roman" w:cs="Times New Roman"/>
          <w:sz w:val="20"/>
          <w:szCs w:val="20"/>
        </w:rPr>
        <w:t>ektörlü HPLC ekipmanı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125 mm x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3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pH 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Polipropilen erlen, 125 ml kapasiteli, geniş boyunlu ve vidalı kapaklı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Otoklav, 110 (± 2)°C, 1,4 (± 0,1) bar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Mekanik çalkalayıcı ya da manyetik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Vorteks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Numunelerin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0,5 mm elekten geçecek şekilde öğütülür. Nem içeriği yüksek numuneler </w:t>
      </w:r>
      <w:r w:rsidR="000D7530" w:rsidRPr="007C1E0B">
        <w:rPr>
          <w:rFonts w:ascii="Times New Roman" w:hAnsi="Times New Roman" w:cs="Times New Roman"/>
          <w:sz w:val="20"/>
          <w:szCs w:val="20"/>
        </w:rPr>
        <w:t xml:space="preserve">öğütülmeden önce </w:t>
      </w:r>
      <w:r w:rsidRPr="007C1E0B">
        <w:rPr>
          <w:rFonts w:ascii="Times New Roman" w:hAnsi="Times New Roman" w:cs="Times New Roman"/>
          <w:sz w:val="20"/>
          <w:szCs w:val="20"/>
        </w:rPr>
        <w:t>en fazla 50°C sıcaklıkta hava kurutulmalı etüvde ya da dondurularak kurutulmalıdır. Yüksek yağ içerikli numuneler öğütülmeden önce petrol eteri (3.9) ile ekstrakte edilecektir.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Serbest triptofan tayini (ekstrakt)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Hazırlanmış numuneden (5.1) uygun bir miktar (1-5 g) 1 mg hassasiyetle erlene tartılır. 100,0 ml hidroklorik asit (3.13) ve 5,00 ml konsantre iç standart çözelti (3.16) eklenir. Mekanik bir çalkalayıcı ya da manyetik bir karıştırıcı (4.7) kullanarak 60 dakika boyunca çalkalanır ya da karıştırılır. Çökeltinin çökmesi beklenir ve 10,0 ml’lik süpernatant çözelti pipetle bir behere alınır. 5 ml orto-fosforik asit (3.14) eklenir. Soydum hidroksit (3.10) kullanarak pH 3’e ayarlanır. Nihai hacimde %</w:t>
      </w:r>
      <w:r w:rsidR="001B35F9"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1B35F9" w:rsidRPr="007C1E0B">
        <w:rPr>
          <w:rFonts w:ascii="Times New Roman" w:hAnsi="Times New Roman" w:cs="Times New Roman"/>
          <w:sz w:val="20"/>
          <w:szCs w:val="20"/>
        </w:rPr>
        <w:t xml:space="preserve"> </w:t>
      </w:r>
      <w:r w:rsidRPr="007C1E0B">
        <w:rPr>
          <w:rFonts w:ascii="Times New Roman" w:hAnsi="Times New Roman" w:cs="Times New Roman"/>
          <w:sz w:val="20"/>
          <w:szCs w:val="20"/>
        </w:rPr>
        <w:t>30 arasında bir metanol konsantrasyonu elde etmek için yeteri kadar metanol (3.8) eklenir. Uygun hacimdeki bir balon jojeye aktarılır ve su ile kromatografi için gereken bir hacme seyreltilir (Yaklaşık olarak kalibrasyon standart çözeltisiyle (3.17) aynı hacimde).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kolonuna enjeksiyondan önce 0,45 μm’lik bir membran filtresinden (4.5) birkaç ml çözelti süzülür. 5.4.’e uygun şekilde kromatografi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Standart çözelti ve ekstraktlar doğrudan güneş ışığından korunur. Ekstraktların aynı gün analizi mümkün değilse, ekstraktlar 5°C’de en fazla 3 gün saklanabilir.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Toplam triptofan tayini (hidrolizat)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Hazırlanmış numuneden (5.1) 0,1 ila 1 g’ı 0,2 mg hassasiyetle polipropilen </w:t>
      </w:r>
      <w:r w:rsidR="000D7530" w:rsidRPr="007C1E0B">
        <w:rPr>
          <w:rFonts w:ascii="Times New Roman" w:hAnsi="Times New Roman" w:cs="Times New Roman"/>
          <w:sz w:val="20"/>
          <w:szCs w:val="20"/>
        </w:rPr>
        <w:t>erlene</w:t>
      </w:r>
      <w:r w:rsidRPr="007C1E0B">
        <w:rPr>
          <w:rFonts w:ascii="Times New Roman" w:hAnsi="Times New Roman" w:cs="Times New Roman"/>
          <w:sz w:val="20"/>
          <w:szCs w:val="20"/>
        </w:rPr>
        <w:t xml:space="preserve"> (4.4) tartılır. Tartılan numune kısmında yaklaşık 10 mg azot içeriği olmalıdır. 8,4 g baryum hidroksit okta-hidrat (3.4) ve 10 ml su eklenir. Bir vorteks karıştırıcıda (4.8) ya da mekanik karıştırıcıda (4.7) karıştırılır. Teflon kaplanmış mıknatıs karışım içinde bırakılır. Kabın duvarları 4 ml su ile yıkanır. Vidalı kapağı takılır ve balon joje gevşekçe kapatılır. Kaynayan su içeren bir otoklava (4.6) aktarılır ve 30-60 dakika buhar verilir. Otoklav kapatılır ve 110 (± 2)°C’de 20 saat boyunca otoklavlanır.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Otoklavı açmadan önce sıcaklığı 100°C’nin biraz altına düşürülür. Ba(OH)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8 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kristalleşmesini önlemek için sıcak karışıma oda sıcaklığında 30 ml su eklenir. Yavaşça çalkalanır ya da karıştırılır. 2,00 ml konsantre iç standart (α-metil-triptofan) çözeltisi (3.16) eklenir. Kaplar su/buz banyosunda 15 dakika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Ardından 5 ml orto-fosforik asit (3.14) eklenir. Kap soğutucu banyoda tutulur ve HCl (3.11) ile nötrleştirilir</w:t>
      </w:r>
      <w:r w:rsidR="000D7530"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r w:rsidR="000D7530" w:rsidRPr="007C1E0B">
        <w:rPr>
          <w:rFonts w:ascii="Times New Roman" w:hAnsi="Times New Roman" w:cs="Times New Roman"/>
          <w:sz w:val="20"/>
          <w:szCs w:val="20"/>
        </w:rPr>
        <w:t>B</w:t>
      </w:r>
      <w:r w:rsidRPr="007C1E0B">
        <w:rPr>
          <w:rFonts w:ascii="Times New Roman" w:hAnsi="Times New Roman" w:cs="Times New Roman"/>
          <w:sz w:val="20"/>
          <w:szCs w:val="20"/>
        </w:rPr>
        <w:t>u sırada karıştırılır ve HCl (3.12) kullanılarak pH’ı 3,0’e ayarlanır.  Nihai hacimde %</w:t>
      </w:r>
      <w:r w:rsidR="001B35F9"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30 arasında bir metanol konsantrasyonu elde etmek için yeteri kadar metanol eklenir. Uygun hacimdeki bir balon jojeye aktarılır ve su ile kromatografi için gereken tanımlanmış hacme (örneğin 100 ml) seyreltilir. Metanolün eklenmesi çökeltiye neden olmayacaktır.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kolonuna enjeksiyondan önce birkaç ml çözelti 0,45 μm’lik bir membran filtresinden (4.5) süzülür. 5.4’e uygun şekilde kromatografi adımına geçilir.</w:t>
      </w:r>
    </w:p>
    <w:p w:rsidR="00BF68F1"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Standart çözelti ve hidrolizatları doğrudan güneş ışığından korunur. Hidrolizatların aynı gün analizi mümkün değilse, 5°C’de en fazla 3 gün saklanabilirler.</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izokratik elüsyon koşulları rehber olarak sunulmuştur; eşdeğer sonuçlar vermeleri kaydıyla başka koşullar da kullanılabilir (bakınız gözlemler 9.1 ve 9.2):</w:t>
      </w:r>
    </w:p>
    <w:p w:rsidR="00E4238A" w:rsidRPr="007C1E0B" w:rsidRDefault="00E4238A" w:rsidP="001B722B">
      <w:pPr>
        <w:jc w:val="both"/>
        <w:rPr>
          <w:rFonts w:ascii="Times New Roman" w:hAnsi="Times New Roman" w:cs="Times New Roman"/>
          <w:sz w:val="20"/>
          <w:szCs w:val="20"/>
        </w:rPr>
      </w:pPr>
    </w:p>
    <w:p w:rsidR="00E4238A" w:rsidRPr="007C1E0B" w:rsidRDefault="00E4238A" w:rsidP="001B722B">
      <w:pPr>
        <w:jc w:val="both"/>
        <w:rPr>
          <w:rFonts w:ascii="Times New Roman" w:hAnsi="Times New Roman" w:cs="Times New Roman"/>
          <w:sz w:val="20"/>
          <w:szCs w:val="20"/>
        </w:rPr>
      </w:pPr>
    </w:p>
    <w:tbl>
      <w:tblPr>
        <w:tblStyle w:val="TabloKlavuzu"/>
        <w:tblpPr w:leftFromText="142" w:rightFromText="142" w:vertAnchor="text" w:horzAnchor="margin" w:tblpX="109" w:tblpY="1"/>
        <w:tblOverlap w:val="never"/>
        <w:tblW w:w="9039" w:type="dxa"/>
        <w:tblLayout w:type="fixed"/>
        <w:tblLook w:val="04A0" w:firstRow="1" w:lastRow="0" w:firstColumn="1" w:lastColumn="0" w:noHBand="0" w:noVBand="1"/>
      </w:tblPr>
      <w:tblGrid>
        <w:gridCol w:w="3969"/>
        <w:gridCol w:w="5070"/>
      </w:tblGrid>
      <w:tr w:rsidR="007C1E0B" w:rsidRPr="007C1E0B" w:rsidTr="006A043F">
        <w:trPr>
          <w:trHeight w:val="586"/>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 (4.2):</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125 mm"/>
              </w:smartTagPr>
              <w:r w:rsidRPr="007C1E0B">
                <w:rPr>
                  <w:rFonts w:ascii="Times New Roman" w:eastAsiaTheme="minorEastAsia" w:hAnsi="Times New Roman" w:cs="Times New Roman"/>
                  <w:sz w:val="20"/>
                  <w:szCs w:val="20"/>
                  <w:lang w:eastAsia="tr-TR"/>
                </w:rPr>
                <w:t>125 mm</w:t>
              </w:r>
            </w:smartTag>
            <w:r w:rsidRPr="007C1E0B">
              <w:rPr>
                <w:rFonts w:ascii="Times New Roman" w:eastAsiaTheme="minorEastAsia" w:hAnsi="Times New Roman" w:cs="Times New Roman"/>
                <w:sz w:val="20"/>
                <w:szCs w:val="20"/>
                <w:lang w:eastAsia="tr-TR"/>
              </w:rPr>
              <w:t xml:space="preserve"> x </w:t>
            </w:r>
            <w:smartTag w:uri="urn:schemas-microsoft-com:office:smarttags" w:element="metricconverter">
              <w:smartTagPr>
                <w:attr w:name="ProductID" w:val="4 mm"/>
              </w:smartTagPr>
              <w:r w:rsidRPr="007C1E0B">
                <w:rPr>
                  <w:rFonts w:ascii="Times New Roman" w:eastAsiaTheme="minorEastAsia" w:hAnsi="Times New Roman" w:cs="Times New Roman"/>
                  <w:sz w:val="20"/>
                  <w:szCs w:val="20"/>
                  <w:lang w:eastAsia="tr-TR"/>
                </w:rPr>
                <w:t>4 mm</w:t>
              </w:r>
            </w:smartTag>
            <w:r w:rsidRPr="007C1E0B">
              <w:rPr>
                <w:rFonts w:ascii="Times New Roman" w:eastAsiaTheme="minorEastAsia" w:hAnsi="Times New Roman" w:cs="Times New Roman"/>
                <w:sz w:val="20"/>
                <w:szCs w:val="20"/>
                <w:lang w:eastAsia="tr-TR"/>
              </w:rPr>
              <w:t>, C</w:t>
            </w:r>
            <w:r w:rsidRPr="007C1E0B">
              <w:rPr>
                <w:rFonts w:ascii="Times New Roman" w:eastAsiaTheme="minorEastAsia" w:hAnsi="Times New Roman" w:cs="Times New Roman"/>
                <w:sz w:val="20"/>
                <w:szCs w:val="20"/>
                <w:vertAlign w:val="subscript"/>
                <w:lang w:eastAsia="tr-TR"/>
              </w:rPr>
              <w:t>18</w:t>
            </w:r>
            <w:r w:rsidRPr="007C1E0B">
              <w:rPr>
                <w:rFonts w:ascii="Times New Roman" w:eastAsiaTheme="minorEastAsia" w:hAnsi="Times New Roman" w:cs="Times New Roman"/>
                <w:sz w:val="20"/>
                <w:szCs w:val="20"/>
                <w:lang w:eastAsia="tr-TR"/>
              </w:rPr>
              <w:t>, 3 μm dolgu ya da eşdeğeri</w:t>
            </w:r>
          </w:p>
        </w:tc>
      </w:tr>
      <w:tr w:rsidR="007C1E0B" w:rsidRPr="007C1E0B" w:rsidTr="006A043F">
        <w:trPr>
          <w:trHeight w:val="378"/>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Kolon sıcaklığı:</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Oda sıcaklığı</w:t>
            </w:r>
          </w:p>
        </w:tc>
      </w:tr>
      <w:tr w:rsidR="007C1E0B" w:rsidRPr="007C1E0B" w:rsidTr="006A043F">
        <w:trPr>
          <w:trHeight w:val="1647"/>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Mobil faz (3.22):</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3,00 g"/>
              </w:smartTagPr>
              <w:r w:rsidRPr="007C1E0B">
                <w:rPr>
                  <w:rFonts w:ascii="Times New Roman" w:eastAsiaTheme="minorEastAsia" w:hAnsi="Times New Roman" w:cs="Times New Roman"/>
                  <w:sz w:val="20"/>
                  <w:szCs w:val="20"/>
                  <w:lang w:eastAsia="tr-TR"/>
                </w:rPr>
                <w:t>3,00 g</w:t>
              </w:r>
            </w:smartTag>
            <w:r w:rsidRPr="007C1E0B">
              <w:rPr>
                <w:rFonts w:ascii="Times New Roman" w:eastAsiaTheme="minorEastAsia" w:hAnsi="Times New Roman" w:cs="Times New Roman"/>
                <w:sz w:val="20"/>
                <w:szCs w:val="20"/>
                <w:lang w:eastAsia="tr-TR"/>
              </w:rPr>
              <w:t xml:space="preserve"> asetik asit (3.18) + 900 ml su (3.1) + metanol içinde (3.8) 50,0 ml 1,1,1-trikloro-2- metil-2 propanol (3.19) çözeltisi (3.21) (1 g/100 ml). Etanolamin (3.20) kullanarak pH 5,00’e ayarlanır. Su ile 1000 ml’ye tamamlanır (3.1)</w:t>
            </w:r>
          </w:p>
        </w:tc>
      </w:tr>
      <w:tr w:rsidR="007C1E0B" w:rsidRPr="007C1E0B" w:rsidTr="006A043F">
        <w:trPr>
          <w:trHeight w:val="370"/>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Akış hızı:</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 ml/dak.</w:t>
            </w:r>
          </w:p>
        </w:tc>
      </w:tr>
      <w:tr w:rsidR="007C1E0B" w:rsidRPr="007C1E0B" w:rsidTr="006A043F">
        <w:trPr>
          <w:trHeight w:val="378"/>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Toplam çalışma süresi:</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Yaklaşık 34 dak.</w:t>
            </w:r>
          </w:p>
        </w:tc>
      </w:tr>
      <w:tr w:rsidR="007C1E0B" w:rsidRPr="007C1E0B" w:rsidTr="006A043F">
        <w:trPr>
          <w:trHeight w:val="586"/>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Tespit dalga boyu:</w:t>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eksitasyon: 280 nm, emisyon: 356 nm.</w:t>
            </w:r>
          </w:p>
        </w:tc>
      </w:tr>
      <w:tr w:rsidR="007C1E0B" w:rsidRPr="007C1E0B" w:rsidTr="006A043F">
        <w:trPr>
          <w:trHeight w:val="370"/>
        </w:trPr>
        <w:tc>
          <w:tcPr>
            <w:tcW w:w="3969"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Enjeksiyon hacmi:</w:t>
            </w:r>
            <w:r w:rsidRPr="007C1E0B">
              <w:rPr>
                <w:rFonts w:ascii="Times New Roman" w:eastAsiaTheme="minorEastAsia" w:hAnsi="Times New Roman" w:cs="Times New Roman"/>
                <w:sz w:val="20"/>
                <w:szCs w:val="20"/>
                <w:lang w:eastAsia="tr-TR"/>
              </w:rPr>
              <w:tab/>
            </w:r>
          </w:p>
        </w:tc>
        <w:tc>
          <w:tcPr>
            <w:tcW w:w="5070" w:type="dxa"/>
          </w:tcPr>
          <w:p w:rsidR="00B92A17" w:rsidRPr="007C1E0B" w:rsidRDefault="00B92A17" w:rsidP="006A043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20 μl</w:t>
            </w:r>
          </w:p>
        </w:tc>
      </w:tr>
    </w:tbl>
    <w:p w:rsidR="00D0652B" w:rsidRPr="007C1E0B" w:rsidRDefault="00D0652B"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4A35AA"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100g numune başına g cinsinden triptofan miktarı (X) aşağıdaki gibi hesaplanır:</w:t>
      </w:r>
    </w:p>
    <w:p w:rsidR="008F593F" w:rsidRPr="007C1E0B" w:rsidRDefault="004A35AA"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X = </w:t>
      </w:r>
      <w:r w:rsidR="008F593F" w:rsidRPr="007C1E0B">
        <w:rPr>
          <w:rFonts w:ascii="Times New Roman" w:hAnsi="Times New Roman" w:cs="Times New Roman"/>
          <w:sz w:val="20"/>
          <w:szCs w:val="20"/>
        </w:rPr>
        <w:t>(A x B x V</w:t>
      </w:r>
      <w:r w:rsidR="008F593F" w:rsidRPr="007C1E0B">
        <w:rPr>
          <w:rFonts w:ascii="Times New Roman" w:hAnsi="Times New Roman" w:cs="Times New Roman"/>
          <w:sz w:val="20"/>
          <w:szCs w:val="20"/>
          <w:vertAlign w:val="subscript"/>
        </w:rPr>
        <w:t>1</w:t>
      </w:r>
      <w:r w:rsidR="008F593F" w:rsidRPr="007C1E0B">
        <w:rPr>
          <w:rFonts w:ascii="Times New Roman" w:hAnsi="Times New Roman" w:cs="Times New Roman"/>
          <w:sz w:val="20"/>
          <w:szCs w:val="20"/>
        </w:rPr>
        <w:t xml:space="preserve"> x c x V</w:t>
      </w:r>
      <w:r w:rsidR="008F593F" w:rsidRPr="007C1E0B">
        <w:rPr>
          <w:rFonts w:ascii="Times New Roman" w:hAnsi="Times New Roman" w:cs="Times New Roman"/>
          <w:sz w:val="20"/>
          <w:szCs w:val="20"/>
          <w:vertAlign w:val="subscript"/>
        </w:rPr>
        <w:t>2</w:t>
      </w:r>
      <w:r w:rsidR="008F593F" w:rsidRPr="007C1E0B">
        <w:rPr>
          <w:rFonts w:ascii="Times New Roman" w:hAnsi="Times New Roman" w:cs="Times New Roman"/>
          <w:sz w:val="20"/>
          <w:szCs w:val="20"/>
        </w:rPr>
        <w:t xml:space="preserve"> x M) / (C x D x V</w:t>
      </w:r>
      <w:r w:rsidR="008F593F" w:rsidRPr="007C1E0B">
        <w:rPr>
          <w:rFonts w:ascii="Times New Roman" w:hAnsi="Times New Roman" w:cs="Times New Roman"/>
          <w:sz w:val="20"/>
          <w:szCs w:val="20"/>
          <w:vertAlign w:val="subscript"/>
        </w:rPr>
        <w:t>3</w:t>
      </w:r>
      <w:r w:rsidR="008F593F" w:rsidRPr="007C1E0B">
        <w:rPr>
          <w:rFonts w:ascii="Times New Roman" w:hAnsi="Times New Roman" w:cs="Times New Roman"/>
          <w:sz w:val="20"/>
          <w:szCs w:val="20"/>
        </w:rPr>
        <w:t xml:space="preserve"> x 10 000 x 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 İç standardın pik alanı, kalibrasyon standardı çözeltisi (3.17)</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 Triptofan pik alanı, ekstrakt (5.2) ya da hidrolizat (5.3)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Kalibrasyon çözeltisine (3.17) eklenen konsantre triptofan çözeltisinin (3.15) ml cinsinden hacmi (2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Kalibrasyon çözeltisine (3.17) eklenen konsantre triptofan çözeltisinin (3.15) μmol/ml cinsinden konsantrasyonu (= 2,50)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Ekstraksiyonda (= 5,00 ml) (5.2) hacmi ya da hidrolizata (= 2,00 ml) (5.3) eklenen konsantre iç standart çözeltisinin (3.16) ml cinsinden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İç standardın pik alanı, ekstrakt (5.2) ya da hidrolizat (5.3)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 = Triptofanın pik alanı, kalibrasyon standardı çözeltisi (3.17)</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 Kalibrasyon standart çözeltisine (3.17) eklenen konsantre iç standardı çözeltisinin (3.16) ml cinsinden hacmi (= 2,00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g Cinsinden numune ağırlığı (kurutulmuş ve/veya yağı alınmışsa orijinal ağırlığa göre düzeltilmiş)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Triptofanın mol ağırlığı (= 204,23 g/mol)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4A35AA"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en yüksek sonucun %</w:t>
      </w:r>
      <w:r w:rsidR="00372277" w:rsidRPr="007C1E0B">
        <w:rPr>
          <w:rFonts w:ascii="Times New Roman" w:hAnsi="Times New Roman" w:cs="Times New Roman"/>
          <w:sz w:val="20"/>
          <w:szCs w:val="20"/>
        </w:rPr>
        <w:t xml:space="preserve"> </w:t>
      </w:r>
      <w:r w:rsidRPr="007C1E0B">
        <w:rPr>
          <w:rFonts w:ascii="Times New Roman" w:hAnsi="Times New Roman" w:cs="Times New Roman"/>
          <w:sz w:val="20"/>
          <w:szCs w:val="20"/>
        </w:rPr>
        <w:t>10’unu geçmemelidir.</w:t>
      </w:r>
    </w:p>
    <w:p w:rsidR="00473AAA" w:rsidRPr="007C1E0B" w:rsidRDefault="00473AAA" w:rsidP="00473AAA">
      <w:pPr>
        <w:autoSpaceDE w:val="0"/>
        <w:autoSpaceDN w:val="0"/>
        <w:adjustRightInd w:val="0"/>
        <w:rPr>
          <w:rFonts w:ascii="Times New Roman" w:hAnsi="Times New Roman" w:cs="Times New Roman"/>
          <w:sz w:val="20"/>
          <w:szCs w:val="20"/>
        </w:rPr>
      </w:pPr>
      <w:r w:rsidRPr="007C1E0B">
        <w:rPr>
          <w:rFonts w:ascii="Times New Roman" w:hAnsi="Times New Roman" w:cs="Times New Roman"/>
          <w:sz w:val="20"/>
          <w:szCs w:val="20"/>
        </w:rPr>
        <w:t>8. Bir ortak araştırmanın sonuçları</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Hidroliz </w:t>
      </w:r>
      <w:r w:rsidR="000D7530" w:rsidRPr="007C1E0B">
        <w:rPr>
          <w:rFonts w:ascii="Times New Roman" w:hAnsi="Times New Roman" w:cs="Times New Roman"/>
          <w:sz w:val="20"/>
          <w:szCs w:val="20"/>
        </w:rPr>
        <w:t>m</w:t>
      </w:r>
      <w:r w:rsidR="00381839" w:rsidRPr="007C1E0B">
        <w:rPr>
          <w:rFonts w:ascii="Times New Roman" w:hAnsi="Times New Roman" w:cs="Times New Roman"/>
          <w:sz w:val="20"/>
          <w:szCs w:val="20"/>
        </w:rPr>
        <w:t>eto</w:t>
      </w:r>
      <w:r w:rsidR="00DD29C2" w:rsidRPr="007C1E0B">
        <w:rPr>
          <w:rFonts w:ascii="Times New Roman" w:hAnsi="Times New Roman" w:cs="Times New Roman"/>
          <w:sz w:val="20"/>
          <w:szCs w:val="20"/>
        </w:rPr>
        <w:t>dunu</w:t>
      </w:r>
      <w:r w:rsidRPr="007C1E0B">
        <w:rPr>
          <w:rFonts w:ascii="Times New Roman" w:hAnsi="Times New Roman" w:cs="Times New Roman"/>
          <w:sz w:val="20"/>
          <w:szCs w:val="20"/>
        </w:rPr>
        <w:t xml:space="preserve"> onaylamak için 12 kadar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üç numuneyin analiz edildiği bir Avrupa Komisyonu ortak çalışması (4. Döngülü karşılaştırma) organize edilmiştir. Her bir numune üzerinde </w:t>
      </w:r>
      <w:r w:rsidR="00856312" w:rsidRPr="007C1E0B">
        <w:rPr>
          <w:rFonts w:ascii="Times New Roman" w:hAnsi="Times New Roman" w:cs="Times New Roman"/>
          <w:sz w:val="20"/>
          <w:szCs w:val="20"/>
        </w:rPr>
        <w:t>e</w:t>
      </w:r>
      <w:r w:rsidRPr="007C1E0B">
        <w:rPr>
          <w:rFonts w:ascii="Times New Roman" w:hAnsi="Times New Roman" w:cs="Times New Roman"/>
          <w:sz w:val="20"/>
          <w:szCs w:val="20"/>
        </w:rPr>
        <w:t>ş (5) analiz gerçekleştirilmiştir. Sonuçlar aşağıdaki tabloda verilmiştir: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82"/>
        <w:gridCol w:w="2184"/>
        <w:gridCol w:w="2186"/>
        <w:gridCol w:w="2502"/>
      </w:tblGrid>
      <w:tr w:rsidR="007C1E0B" w:rsidRPr="007C1E0B" w:rsidTr="00803CA9">
        <w:tc>
          <w:tcPr>
            <w:tcW w:w="2108" w:type="dxa"/>
            <w:vAlign w:val="center"/>
          </w:tcPr>
          <w:p w:rsidR="00473AAA" w:rsidRPr="007C1E0B" w:rsidRDefault="00473AAA" w:rsidP="003002FC">
            <w:pPr>
              <w:autoSpaceDE w:val="0"/>
              <w:autoSpaceDN w:val="0"/>
              <w:adjustRightInd w:val="0"/>
              <w:jc w:val="center"/>
              <w:rPr>
                <w:rFonts w:ascii="Arial" w:hAnsi="Arial" w:cs="Arial"/>
                <w:bCs/>
                <w:sz w:val="17"/>
                <w:szCs w:val="17"/>
              </w:rPr>
            </w:pPr>
          </w:p>
        </w:tc>
        <w:tc>
          <w:tcPr>
            <w:tcW w:w="2213"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Domuz yemi</w:t>
            </w:r>
          </w:p>
        </w:tc>
        <w:tc>
          <w:tcPr>
            <w:tcW w:w="2215"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L-Triptofan ile takviye edilmiş</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domuz yemi</w:t>
            </w:r>
          </w:p>
        </w:tc>
        <w:tc>
          <w:tcPr>
            <w:tcW w:w="2536"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3</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 xml:space="preserve">Domuzlar için konsantre yem </w:t>
            </w:r>
          </w:p>
        </w:tc>
      </w:tr>
      <w:tr w:rsidR="00473AAA" w:rsidRPr="007C1E0B" w:rsidTr="00803CA9">
        <w:tc>
          <w:tcPr>
            <w:tcW w:w="2108" w:type="dxa"/>
            <w:vAlign w:val="center"/>
          </w:tcPr>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L</w:t>
            </w:r>
          </w:p>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n</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bCs/>
                <w:sz w:val="17"/>
                <w:szCs w:val="17"/>
              </w:rPr>
              <w:t xml:space="preserve">Ortalama </w:t>
            </w:r>
            <w:r w:rsidRPr="007C1E0B">
              <w:rPr>
                <w:rFonts w:ascii="Arial" w:hAnsi="Arial" w:cs="Arial"/>
                <w:sz w:val="17"/>
                <w:szCs w:val="17"/>
              </w:rPr>
              <w:t>[g/kg]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w:t>
            </w:r>
            <w:r w:rsidRPr="007C1E0B">
              <w:rPr>
                <w:rFonts w:ascii="Arial" w:hAnsi="Arial" w:cs="Arial"/>
                <w:sz w:val="17"/>
                <w:szCs w:val="17"/>
                <w:vertAlign w:val="subscript"/>
              </w:rPr>
              <w:t>R</w:t>
            </w:r>
            <w:r w:rsidRPr="007C1E0B">
              <w:rPr>
                <w:rFonts w:ascii="Arial" w:hAnsi="Arial" w:cs="Arial"/>
                <w:sz w:val="17"/>
                <w:szCs w:val="17"/>
              </w:rPr>
              <w:t xml:space="preserve">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bCs/>
                <w:sz w:val="17"/>
                <w:szCs w:val="17"/>
              </w:rPr>
            </w:pPr>
          </w:p>
        </w:tc>
        <w:tc>
          <w:tcPr>
            <w:tcW w:w="2213"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2,42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0,42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6,3</w:t>
            </w:r>
          </w:p>
          <w:p w:rsidR="00473AAA" w:rsidRPr="007C1E0B" w:rsidRDefault="00473AAA" w:rsidP="003002FC">
            <w:pPr>
              <w:autoSpaceDE w:val="0"/>
              <w:autoSpaceDN w:val="0"/>
              <w:adjustRightInd w:val="0"/>
              <w:jc w:val="center"/>
              <w:rPr>
                <w:rFonts w:ascii="Arial" w:hAnsi="Arial" w:cs="Arial"/>
                <w:bCs/>
                <w:sz w:val="17"/>
                <w:szCs w:val="17"/>
              </w:rPr>
            </w:pPr>
          </w:p>
        </w:tc>
        <w:tc>
          <w:tcPr>
            <w:tcW w:w="2215"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3,40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0,50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0,56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6,0</w:t>
            </w:r>
          </w:p>
          <w:p w:rsidR="00473AAA" w:rsidRPr="007C1E0B" w:rsidRDefault="00473AAA" w:rsidP="003002FC">
            <w:pPr>
              <w:autoSpaceDE w:val="0"/>
              <w:autoSpaceDN w:val="0"/>
              <w:adjustRightInd w:val="0"/>
              <w:jc w:val="center"/>
              <w:rPr>
                <w:rFonts w:ascii="Arial" w:hAnsi="Arial" w:cs="Arial"/>
                <w:bCs/>
                <w:sz w:val="17"/>
                <w:szCs w:val="17"/>
              </w:rPr>
            </w:pPr>
          </w:p>
        </w:tc>
        <w:tc>
          <w:tcPr>
            <w:tcW w:w="2536"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4,22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0,08</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2,2</w:t>
            </w:r>
          </w:p>
          <w:p w:rsidR="00473AAA" w:rsidRPr="007C1E0B" w:rsidRDefault="00473AAA" w:rsidP="003002FC">
            <w:pPr>
              <w:autoSpaceDE w:val="0"/>
              <w:autoSpaceDN w:val="0"/>
              <w:adjustRightInd w:val="0"/>
              <w:jc w:val="center"/>
              <w:rPr>
                <w:rFonts w:ascii="Arial" w:hAnsi="Arial" w:cs="Arial"/>
                <w:bCs/>
                <w:sz w:val="17"/>
                <w:szCs w:val="17"/>
              </w:rPr>
            </w:pPr>
          </w:p>
        </w:tc>
      </w:tr>
    </w:tbl>
    <w:p w:rsidR="00473AAA" w:rsidRPr="007C1E0B" w:rsidRDefault="00473AAA" w:rsidP="00473AAA">
      <w:pPr>
        <w:autoSpaceDE w:val="0"/>
        <w:autoSpaceDN w:val="0"/>
        <w:adjustRightInd w:val="0"/>
        <w:rPr>
          <w:rFonts w:ascii="Arial" w:hAnsi="Arial" w:cs="Arial"/>
          <w:b/>
          <w:bCs/>
          <w:sz w:val="17"/>
          <w:szCs w:val="17"/>
        </w:rPr>
      </w:pP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L = sonuç</w:t>
      </w:r>
      <w:r w:rsidR="001911A7" w:rsidRPr="007C1E0B">
        <w:rPr>
          <w:rFonts w:ascii="Times New Roman" w:hAnsi="Times New Roman" w:cs="Times New Roman"/>
          <w:sz w:val="20"/>
          <w:szCs w:val="20"/>
        </w:rPr>
        <w:t xml:space="preserve"> veren </w:t>
      </w:r>
      <w:r w:rsidR="00381839" w:rsidRPr="007C1E0B">
        <w:rPr>
          <w:rFonts w:ascii="Times New Roman" w:hAnsi="Times New Roman" w:cs="Times New Roman"/>
          <w:sz w:val="20"/>
          <w:szCs w:val="20"/>
        </w:rPr>
        <w:t>laboratuvar</w:t>
      </w:r>
      <w:r w:rsidR="001911A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n = aykırı değerleri elimine eden tutulmuş tekil sonuçların sayısı (</w:t>
      </w:r>
      <w:r w:rsidR="000D7530" w:rsidRPr="007C1E0B">
        <w:rPr>
          <w:rFonts w:ascii="Times New Roman" w:hAnsi="Times New Roman" w:cs="Times New Roman"/>
          <w:sz w:val="20"/>
          <w:szCs w:val="20"/>
        </w:rPr>
        <w:t>c</w:t>
      </w:r>
      <w:r w:rsidRPr="007C1E0B">
        <w:rPr>
          <w:rFonts w:ascii="Times New Roman" w:hAnsi="Times New Roman" w:cs="Times New Roman"/>
          <w:sz w:val="20"/>
          <w:szCs w:val="20"/>
        </w:rPr>
        <w:t xml:space="preserve">ochran, </w:t>
      </w:r>
      <w:r w:rsidR="000D7530" w:rsidRPr="007C1E0B">
        <w:rPr>
          <w:rFonts w:ascii="Times New Roman" w:hAnsi="Times New Roman" w:cs="Times New Roman"/>
          <w:sz w:val="20"/>
          <w:szCs w:val="20"/>
        </w:rPr>
        <w:t>d</w:t>
      </w:r>
      <w:r w:rsidRPr="007C1E0B">
        <w:rPr>
          <w:rFonts w:ascii="Times New Roman" w:hAnsi="Times New Roman" w:cs="Times New Roman"/>
          <w:sz w:val="20"/>
          <w:szCs w:val="20"/>
        </w:rPr>
        <w:t>ixon aykırı sonuç testine göre belirlenmiş)</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standart sapması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00BD6801"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standart sapması </w:t>
      </w:r>
    </w:p>
    <w:p w:rsidR="00473AAA" w:rsidRPr="007C1E0B" w:rsidRDefault="00473AAA" w:rsidP="00473AAA">
      <w:pPr>
        <w:jc w:val="both"/>
        <w:rPr>
          <w:rFonts w:ascii="Times New Roman" w:hAnsi="Times New Roman" w:cs="Times New Roman"/>
          <w:sz w:val="20"/>
          <w:szCs w:val="20"/>
        </w:rPr>
      </w:pPr>
      <w:r w:rsidRPr="007C1E0B">
        <w:rPr>
          <w:rFonts w:ascii="Arial" w:hAnsi="Arial" w:cs="Arial"/>
          <w:sz w:val="17"/>
          <w:szCs w:val="17"/>
        </w:rPr>
        <w:t xml:space="preserve">r </w:t>
      </w:r>
      <w:r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R = Tekrar </w:t>
      </w:r>
      <w:r w:rsidR="00852151" w:rsidRPr="007C1E0B">
        <w:rPr>
          <w:rFonts w:ascii="Times New Roman" w:hAnsi="Times New Roman" w:cs="Times New Roman"/>
          <w:sz w:val="20"/>
          <w:szCs w:val="20"/>
        </w:rPr>
        <w:t>üretilebilirlik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değişim katsayısı,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852151"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değişim katsayısı,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Serbest triptofanın özütlenmesini onaylamak için 13 kadar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iki numune</w:t>
      </w:r>
      <w:r w:rsidR="00A23FA2" w:rsidRPr="007C1E0B">
        <w:rPr>
          <w:rFonts w:ascii="Times New Roman" w:hAnsi="Times New Roman" w:cs="Times New Roman"/>
          <w:sz w:val="20"/>
          <w:szCs w:val="20"/>
        </w:rPr>
        <w:t>n</w:t>
      </w:r>
      <w:r w:rsidRPr="007C1E0B">
        <w:rPr>
          <w:rFonts w:ascii="Times New Roman" w:hAnsi="Times New Roman" w:cs="Times New Roman"/>
          <w:sz w:val="20"/>
          <w:szCs w:val="20"/>
        </w:rPr>
        <w:t xml:space="preserve">in analiz edildiği başka bir Avrupa Komisyonu ortak çalışması (3. Döngülü karşılaştırma) organize edilmiştir. Her bir numune üzerinde </w:t>
      </w:r>
      <w:r w:rsidR="000D7530" w:rsidRPr="007C1E0B">
        <w:rPr>
          <w:rFonts w:ascii="Times New Roman" w:hAnsi="Times New Roman" w:cs="Times New Roman"/>
          <w:sz w:val="20"/>
          <w:szCs w:val="20"/>
        </w:rPr>
        <w:t>e</w:t>
      </w:r>
      <w:r w:rsidRPr="007C1E0B">
        <w:rPr>
          <w:rFonts w:ascii="Times New Roman" w:hAnsi="Times New Roman" w:cs="Times New Roman"/>
          <w:sz w:val="20"/>
          <w:szCs w:val="20"/>
        </w:rPr>
        <w:t>ş (5) analiz gerçekleştirildi. Sonuçlar aşağıdaki tabloda verilmiştir:</w:t>
      </w: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72"/>
        <w:gridCol w:w="2980"/>
        <w:gridCol w:w="3220"/>
      </w:tblGrid>
      <w:tr w:rsidR="007C1E0B" w:rsidRPr="007C1E0B" w:rsidTr="00803CA9">
        <w:trPr>
          <w:trHeight w:val="1330"/>
        </w:trPr>
        <w:tc>
          <w:tcPr>
            <w:tcW w:w="2872" w:type="dxa"/>
            <w:vAlign w:val="center"/>
          </w:tcPr>
          <w:p w:rsidR="00473AAA" w:rsidRPr="007C1E0B" w:rsidRDefault="00473AAA" w:rsidP="003002FC">
            <w:pPr>
              <w:autoSpaceDE w:val="0"/>
              <w:autoSpaceDN w:val="0"/>
              <w:adjustRightInd w:val="0"/>
              <w:jc w:val="center"/>
              <w:rPr>
                <w:rFonts w:ascii="Arial" w:hAnsi="Arial" w:cs="Arial"/>
                <w:bCs/>
                <w:sz w:val="17"/>
                <w:szCs w:val="17"/>
              </w:rPr>
            </w:pPr>
          </w:p>
        </w:tc>
        <w:tc>
          <w:tcPr>
            <w:tcW w:w="2980"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Buğday ve soya karışımı</w:t>
            </w:r>
          </w:p>
        </w:tc>
        <w:tc>
          <w:tcPr>
            <w:tcW w:w="3220"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 xml:space="preserve">Triptofan </w:t>
            </w:r>
            <w:r w:rsidRPr="007C1E0B">
              <w:rPr>
                <w:rFonts w:ascii="Arial" w:hAnsi="Arial" w:cs="Arial"/>
                <w:sz w:val="17"/>
                <w:szCs w:val="17"/>
              </w:rPr>
              <w:t xml:space="preserve">(0,457g/kg1) ilave edilmiş </w:t>
            </w:r>
            <w:r w:rsidRPr="007C1E0B">
              <w:rPr>
                <w:rFonts w:ascii="Arial" w:hAnsi="Arial" w:cs="Arial"/>
                <w:bCs/>
                <w:sz w:val="17"/>
                <w:szCs w:val="17"/>
              </w:rPr>
              <w:t>buğday ve soya karışımı</w:t>
            </w:r>
          </w:p>
        </w:tc>
      </w:tr>
      <w:tr w:rsidR="00473AAA" w:rsidRPr="007C1E0B" w:rsidTr="00803CA9">
        <w:trPr>
          <w:trHeight w:val="4347"/>
        </w:trPr>
        <w:tc>
          <w:tcPr>
            <w:tcW w:w="2872" w:type="dxa"/>
            <w:vAlign w:val="center"/>
          </w:tcPr>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L</w:t>
            </w:r>
          </w:p>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n</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bCs/>
                <w:sz w:val="17"/>
                <w:szCs w:val="17"/>
              </w:rPr>
              <w:t xml:space="preserve">Ortalama </w:t>
            </w:r>
            <w:r w:rsidRPr="007C1E0B">
              <w:rPr>
                <w:rFonts w:ascii="Arial" w:hAnsi="Arial" w:cs="Arial"/>
                <w:sz w:val="17"/>
                <w:szCs w:val="17"/>
              </w:rPr>
              <w:t>[g/kg]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w:t>
            </w:r>
            <w:r w:rsidRPr="007C1E0B">
              <w:rPr>
                <w:rFonts w:ascii="Arial" w:hAnsi="Arial" w:cs="Arial"/>
                <w:sz w:val="17"/>
                <w:szCs w:val="17"/>
                <w:vertAlign w:val="subscript"/>
              </w:rPr>
              <w:t>R</w:t>
            </w:r>
            <w:r w:rsidRPr="007C1E0B">
              <w:rPr>
                <w:rFonts w:ascii="Arial" w:hAnsi="Arial" w:cs="Arial"/>
                <w:sz w:val="17"/>
                <w:szCs w:val="17"/>
              </w:rPr>
              <w:t xml:space="preserve">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bCs/>
                <w:sz w:val="17"/>
                <w:szCs w:val="17"/>
              </w:rPr>
            </w:pPr>
          </w:p>
        </w:tc>
        <w:tc>
          <w:tcPr>
            <w:tcW w:w="2980"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0,391</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0,005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0,014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1,34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0,018</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0,050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4,71</w:t>
            </w:r>
          </w:p>
          <w:p w:rsidR="00473AAA" w:rsidRPr="007C1E0B" w:rsidRDefault="00473AAA" w:rsidP="003002FC">
            <w:pPr>
              <w:autoSpaceDE w:val="0"/>
              <w:autoSpaceDN w:val="0"/>
              <w:adjustRightInd w:val="0"/>
              <w:jc w:val="center"/>
              <w:rPr>
                <w:rFonts w:ascii="Arial" w:hAnsi="Arial" w:cs="Arial"/>
                <w:bCs/>
                <w:sz w:val="17"/>
                <w:szCs w:val="17"/>
              </w:rPr>
            </w:pPr>
          </w:p>
        </w:tc>
        <w:tc>
          <w:tcPr>
            <w:tcW w:w="3220"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60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0,931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0,034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1,34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0,048</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0,134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5,11</w:t>
            </w:r>
          </w:p>
          <w:p w:rsidR="00473AAA" w:rsidRPr="007C1E0B" w:rsidRDefault="00473AAA" w:rsidP="003002FC">
            <w:pPr>
              <w:autoSpaceDE w:val="0"/>
              <w:autoSpaceDN w:val="0"/>
              <w:adjustRightInd w:val="0"/>
              <w:jc w:val="center"/>
              <w:rPr>
                <w:rFonts w:ascii="Arial" w:hAnsi="Arial" w:cs="Arial"/>
                <w:bCs/>
                <w:sz w:val="17"/>
                <w:szCs w:val="17"/>
              </w:rPr>
            </w:pPr>
          </w:p>
        </w:tc>
      </w:tr>
    </w:tbl>
    <w:p w:rsidR="00473AAA" w:rsidRPr="007C1E0B" w:rsidRDefault="00473AAA" w:rsidP="00473AAA">
      <w:pPr>
        <w:autoSpaceDE w:val="0"/>
        <w:autoSpaceDN w:val="0"/>
        <w:adjustRightInd w:val="0"/>
        <w:rPr>
          <w:rFonts w:ascii="Arial" w:hAnsi="Arial" w:cs="Arial"/>
          <w:sz w:val="17"/>
          <w:szCs w:val="17"/>
        </w:rPr>
      </w:pP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L = sonuç</w:t>
      </w:r>
      <w:r w:rsidR="00735083" w:rsidRPr="007C1E0B">
        <w:rPr>
          <w:rFonts w:ascii="Times New Roman" w:hAnsi="Times New Roman" w:cs="Times New Roman"/>
          <w:sz w:val="20"/>
          <w:szCs w:val="20"/>
        </w:rPr>
        <w:t xml:space="preserve"> veren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n = aykırı değerleri elimine eden tutulmuş tekil sonuçların sayısı (Cochran, Dixon aykırı sonuç testine göre belirlenmiş)</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 xml:space="preserve">r </w:t>
      </w:r>
      <w:r w:rsidRPr="007C1E0B">
        <w:rPr>
          <w:rFonts w:ascii="Times New Roman" w:hAnsi="Times New Roman" w:cs="Times New Roman"/>
          <w:sz w:val="20"/>
          <w:szCs w:val="20"/>
        </w:rPr>
        <w:t>=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standart sapması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w:t>
      </w:r>
      <w:r w:rsidRPr="007C1E0B">
        <w:rPr>
          <w:rFonts w:ascii="Times New Roman" w:hAnsi="Times New Roman" w:cs="Times New Roman"/>
          <w:sz w:val="20"/>
          <w:szCs w:val="20"/>
        </w:rPr>
        <w:t xml:space="preserve">ekrar </w:t>
      </w:r>
      <w:r w:rsidR="001D7C7B" w:rsidRPr="007C1E0B">
        <w:rPr>
          <w:rFonts w:ascii="Times New Roman" w:hAnsi="Times New Roman" w:cs="Times New Roman"/>
          <w:sz w:val="20"/>
          <w:szCs w:val="20"/>
        </w:rPr>
        <w:t>üretilebilirliğin</w:t>
      </w:r>
      <w:r w:rsidR="006F0D8C"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standart sapması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r = </w:t>
      </w:r>
      <w:r w:rsidR="001D7C7B" w:rsidRPr="007C1E0B">
        <w:rPr>
          <w:rFonts w:ascii="Times New Roman" w:hAnsi="Times New Roman" w:cs="Times New Roman"/>
          <w:sz w:val="20"/>
          <w:szCs w:val="20"/>
        </w:rPr>
        <w:t>Tekrar edilebilirlik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R = Tekrar </w:t>
      </w:r>
      <w:r w:rsidR="006F0D8C" w:rsidRPr="007C1E0B">
        <w:rPr>
          <w:rFonts w:ascii="Times New Roman" w:hAnsi="Times New Roman" w:cs="Times New Roman"/>
          <w:sz w:val="20"/>
          <w:szCs w:val="20"/>
        </w:rPr>
        <w:t>üretilebilirlik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değişim katsayısı,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006F0D8C" w:rsidRPr="007C1E0B">
        <w:rPr>
          <w:rFonts w:ascii="Times New Roman" w:hAnsi="Times New Roman" w:cs="Times New Roman"/>
          <w:sz w:val="20"/>
          <w:szCs w:val="20"/>
        </w:rPr>
        <w:t xml:space="preserve"> </w:t>
      </w:r>
      <w:r w:rsidRPr="007C1E0B">
        <w:rPr>
          <w:rFonts w:ascii="Times New Roman" w:hAnsi="Times New Roman" w:cs="Times New Roman"/>
          <w:sz w:val="20"/>
          <w:szCs w:val="20"/>
        </w:rPr>
        <w:t>değişim katsayısı,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Hidroliz için bir triptofan onaylanması amacı ile 7 kadar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dört numune</w:t>
      </w:r>
      <w:r w:rsidR="00A23FA2" w:rsidRPr="007C1E0B">
        <w:rPr>
          <w:rFonts w:ascii="Times New Roman" w:hAnsi="Times New Roman" w:cs="Times New Roman"/>
          <w:sz w:val="20"/>
          <w:szCs w:val="20"/>
        </w:rPr>
        <w:t>n</w:t>
      </w:r>
      <w:r w:rsidRPr="007C1E0B">
        <w:rPr>
          <w:rFonts w:ascii="Times New Roman" w:hAnsi="Times New Roman" w:cs="Times New Roman"/>
          <w:sz w:val="20"/>
          <w:szCs w:val="20"/>
        </w:rPr>
        <w:t xml:space="preserve">in analiz edildiği başka bir Avrupa Komisyonu ortak çalışması (3. </w:t>
      </w:r>
      <w:r w:rsidR="00856312" w:rsidRPr="007C1E0B">
        <w:rPr>
          <w:rFonts w:ascii="Times New Roman" w:hAnsi="Times New Roman" w:cs="Times New Roman"/>
          <w:sz w:val="20"/>
          <w:szCs w:val="20"/>
        </w:rPr>
        <w:t>d</w:t>
      </w:r>
      <w:r w:rsidRPr="007C1E0B">
        <w:rPr>
          <w:rFonts w:ascii="Times New Roman" w:hAnsi="Times New Roman" w:cs="Times New Roman"/>
          <w:sz w:val="20"/>
          <w:szCs w:val="20"/>
        </w:rPr>
        <w:t xml:space="preserve">öngülü karşılaştırma) organize edilmiştir. Her bir numune üzerinde </w:t>
      </w:r>
      <w:r w:rsidR="00856312" w:rsidRPr="007C1E0B">
        <w:rPr>
          <w:rFonts w:ascii="Times New Roman" w:hAnsi="Times New Roman" w:cs="Times New Roman"/>
          <w:sz w:val="20"/>
          <w:szCs w:val="20"/>
        </w:rPr>
        <w:t>e</w:t>
      </w:r>
      <w:r w:rsidRPr="007C1E0B">
        <w:rPr>
          <w:rFonts w:ascii="Times New Roman" w:hAnsi="Times New Roman" w:cs="Times New Roman"/>
          <w:sz w:val="20"/>
          <w:szCs w:val="20"/>
        </w:rPr>
        <w:t>ş (5) analiz gerçekleştirildi. Sonuçlar aşağıdaki tabloda verilmiştir:</w:t>
      </w: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p w:rsidR="00E4238A" w:rsidRPr="007C1E0B" w:rsidRDefault="00E4238A" w:rsidP="00473AAA">
      <w:pPr>
        <w:jc w:val="both"/>
        <w:rPr>
          <w:rFonts w:ascii="Times New Roman"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1755"/>
        <w:gridCol w:w="1764"/>
        <w:gridCol w:w="1810"/>
        <w:gridCol w:w="1929"/>
      </w:tblGrid>
      <w:tr w:rsidR="007C1E0B" w:rsidRPr="007C1E0B" w:rsidTr="00803CA9">
        <w:tc>
          <w:tcPr>
            <w:tcW w:w="1716" w:type="dxa"/>
            <w:vAlign w:val="center"/>
          </w:tcPr>
          <w:p w:rsidR="00473AAA" w:rsidRPr="007C1E0B" w:rsidRDefault="00473AAA" w:rsidP="003002FC">
            <w:pPr>
              <w:autoSpaceDE w:val="0"/>
              <w:autoSpaceDN w:val="0"/>
              <w:adjustRightInd w:val="0"/>
              <w:jc w:val="center"/>
              <w:rPr>
                <w:rFonts w:ascii="Arial" w:hAnsi="Arial" w:cs="Arial"/>
                <w:bCs/>
                <w:sz w:val="17"/>
                <w:szCs w:val="17"/>
              </w:rPr>
            </w:pPr>
          </w:p>
        </w:tc>
        <w:tc>
          <w:tcPr>
            <w:tcW w:w="1778"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1</w:t>
            </w:r>
          </w:p>
          <w:p w:rsidR="00473AAA" w:rsidRPr="007C1E0B" w:rsidRDefault="00C25F9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D</w:t>
            </w:r>
            <w:r w:rsidR="00473AAA" w:rsidRPr="007C1E0B">
              <w:rPr>
                <w:rFonts w:ascii="Arial" w:hAnsi="Arial" w:cs="Arial"/>
                <w:bCs/>
                <w:sz w:val="17"/>
                <w:szCs w:val="17"/>
              </w:rPr>
              <w:t>omuz yemi</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sz w:val="17"/>
                <w:szCs w:val="17"/>
              </w:rPr>
              <w:t>(CRM 117)</w:t>
            </w:r>
          </w:p>
        </w:tc>
        <w:tc>
          <w:tcPr>
            <w:tcW w:w="1787"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Düşük yağ oranlı balık yemi</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sz w:val="17"/>
                <w:szCs w:val="17"/>
              </w:rPr>
              <w:t>(CRM 118)</w:t>
            </w:r>
          </w:p>
        </w:tc>
        <w:tc>
          <w:tcPr>
            <w:tcW w:w="1834"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3</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 xml:space="preserve">Soya fasulyesi </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sz w:val="17"/>
                <w:szCs w:val="17"/>
              </w:rPr>
              <w:t>(CRM 119)</w:t>
            </w:r>
            <w:r w:rsidRPr="007C1E0B">
              <w:rPr>
                <w:rFonts w:ascii="Arial" w:hAnsi="Arial" w:cs="Arial"/>
                <w:bCs/>
                <w:sz w:val="17"/>
                <w:szCs w:val="17"/>
              </w:rPr>
              <w:t xml:space="preserve"> </w:t>
            </w:r>
          </w:p>
        </w:tc>
        <w:tc>
          <w:tcPr>
            <w:tcW w:w="1957"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Numune 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Yağsız süt tozu</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sz w:val="17"/>
                <w:szCs w:val="17"/>
              </w:rPr>
              <w:t>(CRM 120)</w:t>
            </w:r>
          </w:p>
        </w:tc>
      </w:tr>
      <w:tr w:rsidR="00473AAA" w:rsidRPr="007C1E0B" w:rsidTr="00803CA9">
        <w:tc>
          <w:tcPr>
            <w:tcW w:w="1716" w:type="dxa"/>
            <w:vAlign w:val="center"/>
          </w:tcPr>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L</w:t>
            </w:r>
          </w:p>
          <w:p w:rsidR="00473AAA" w:rsidRPr="007C1E0B" w:rsidRDefault="00473AAA" w:rsidP="003002FC">
            <w:pPr>
              <w:autoSpaceDE w:val="0"/>
              <w:autoSpaceDN w:val="0"/>
              <w:adjustRightInd w:val="0"/>
              <w:ind w:left="708" w:hanging="708"/>
              <w:jc w:val="center"/>
              <w:rPr>
                <w:rFonts w:ascii="Arial" w:hAnsi="Arial" w:cs="Arial"/>
                <w:bCs/>
                <w:sz w:val="17"/>
                <w:szCs w:val="17"/>
              </w:rPr>
            </w:pPr>
            <w:r w:rsidRPr="007C1E0B">
              <w:rPr>
                <w:rFonts w:ascii="Arial" w:hAnsi="Arial" w:cs="Arial"/>
                <w:bCs/>
                <w:sz w:val="17"/>
                <w:szCs w:val="17"/>
              </w:rPr>
              <w:t>n</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bCs/>
                <w:sz w:val="17"/>
                <w:szCs w:val="17"/>
              </w:rPr>
              <w:t xml:space="preserve">Ortalama </w:t>
            </w:r>
            <w:r w:rsidRPr="007C1E0B">
              <w:rPr>
                <w:rFonts w:ascii="Arial" w:hAnsi="Arial" w:cs="Arial"/>
                <w:sz w:val="17"/>
                <w:szCs w:val="17"/>
              </w:rPr>
              <w:t>[g/kg]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S</w:t>
            </w:r>
            <w:r w:rsidRPr="007C1E0B">
              <w:rPr>
                <w:rFonts w:ascii="Arial" w:hAnsi="Arial" w:cs="Arial"/>
                <w:sz w:val="17"/>
                <w:szCs w:val="17"/>
                <w:vertAlign w:val="subscript"/>
              </w:rPr>
              <w:t>R</w:t>
            </w:r>
            <w:r w:rsidRPr="007C1E0B">
              <w:rPr>
                <w:rFonts w:ascii="Arial" w:hAnsi="Arial" w:cs="Arial"/>
                <w:sz w:val="17"/>
                <w:szCs w:val="17"/>
              </w:rPr>
              <w:t xml:space="preserve">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R [g/kg]</w:t>
            </w:r>
          </w:p>
          <w:p w:rsidR="00473AAA" w:rsidRPr="007C1E0B" w:rsidRDefault="00473AAA" w:rsidP="003002FC">
            <w:pPr>
              <w:autoSpaceDE w:val="0"/>
              <w:autoSpaceDN w:val="0"/>
              <w:adjustRightInd w:val="0"/>
              <w:jc w:val="center"/>
              <w:rPr>
                <w:rFonts w:ascii="Arial" w:hAnsi="Arial" w:cs="Arial"/>
                <w:sz w:val="17"/>
                <w:szCs w:val="17"/>
              </w:rPr>
            </w:pPr>
            <w:r w:rsidRPr="007C1E0B">
              <w:rPr>
                <w:rFonts w:ascii="Arial" w:hAnsi="Arial" w:cs="Arial"/>
                <w:sz w:val="17"/>
                <w:szCs w:val="17"/>
              </w:rPr>
              <w:t>CV</w:t>
            </w:r>
            <w:r w:rsidRPr="007C1E0B">
              <w:rPr>
                <w:rFonts w:ascii="Arial" w:hAnsi="Arial" w:cs="Arial"/>
                <w:sz w:val="17"/>
                <w:szCs w:val="17"/>
                <w:vertAlign w:val="subscript"/>
              </w:rPr>
              <w:t>R</w:t>
            </w:r>
            <w:r w:rsidRPr="007C1E0B">
              <w:rPr>
                <w:rFonts w:ascii="Arial" w:hAnsi="Arial" w:cs="Arial"/>
                <w:sz w:val="17"/>
                <w:szCs w:val="17"/>
              </w:rPr>
              <w:t xml:space="preserve"> [%]</w:t>
            </w:r>
          </w:p>
          <w:p w:rsidR="00473AAA" w:rsidRPr="007C1E0B" w:rsidRDefault="00473AAA" w:rsidP="003002FC">
            <w:pPr>
              <w:autoSpaceDE w:val="0"/>
              <w:autoSpaceDN w:val="0"/>
              <w:adjustRightInd w:val="0"/>
              <w:jc w:val="center"/>
              <w:rPr>
                <w:rFonts w:ascii="Arial" w:hAnsi="Arial" w:cs="Arial"/>
                <w:bCs/>
                <w:sz w:val="17"/>
                <w:szCs w:val="17"/>
              </w:rPr>
            </w:pPr>
          </w:p>
        </w:tc>
        <w:tc>
          <w:tcPr>
            <w:tcW w:w="1778"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7</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25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2,064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0,021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0,059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1,04</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0,031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0,087</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1,48</w:t>
            </w:r>
          </w:p>
          <w:p w:rsidR="00473AAA" w:rsidRPr="007C1E0B" w:rsidRDefault="00473AAA" w:rsidP="003002FC">
            <w:pPr>
              <w:autoSpaceDE w:val="0"/>
              <w:autoSpaceDN w:val="0"/>
              <w:adjustRightInd w:val="0"/>
              <w:jc w:val="center"/>
              <w:rPr>
                <w:rFonts w:ascii="Arial" w:hAnsi="Arial" w:cs="Arial"/>
                <w:bCs/>
                <w:sz w:val="17"/>
                <w:szCs w:val="17"/>
              </w:rPr>
            </w:pPr>
          </w:p>
        </w:tc>
        <w:tc>
          <w:tcPr>
            <w:tcW w:w="1787"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7</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30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8,801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0,101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0,283</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1,15</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0,413</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1,156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4,69</w:t>
            </w:r>
          </w:p>
          <w:p w:rsidR="00473AAA" w:rsidRPr="007C1E0B" w:rsidRDefault="00473AAA" w:rsidP="003002FC">
            <w:pPr>
              <w:autoSpaceDE w:val="0"/>
              <w:autoSpaceDN w:val="0"/>
              <w:adjustRightInd w:val="0"/>
              <w:jc w:val="center"/>
              <w:rPr>
                <w:rFonts w:ascii="Arial" w:hAnsi="Arial" w:cs="Arial"/>
                <w:bCs/>
                <w:sz w:val="17"/>
                <w:szCs w:val="17"/>
              </w:rPr>
            </w:pPr>
          </w:p>
        </w:tc>
        <w:tc>
          <w:tcPr>
            <w:tcW w:w="1834"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7</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30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6,882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0,089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0,249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1,30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0,283</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0,792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4,11</w:t>
            </w:r>
          </w:p>
          <w:p w:rsidR="00473AAA" w:rsidRPr="007C1E0B" w:rsidRDefault="00473AAA" w:rsidP="003002FC">
            <w:pPr>
              <w:autoSpaceDE w:val="0"/>
              <w:autoSpaceDN w:val="0"/>
              <w:adjustRightInd w:val="0"/>
              <w:jc w:val="center"/>
              <w:rPr>
                <w:rFonts w:ascii="Arial" w:hAnsi="Arial" w:cs="Arial"/>
                <w:bCs/>
                <w:sz w:val="17"/>
                <w:szCs w:val="17"/>
              </w:rPr>
            </w:pPr>
          </w:p>
        </w:tc>
        <w:tc>
          <w:tcPr>
            <w:tcW w:w="1957" w:type="dxa"/>
            <w:vAlign w:val="center"/>
          </w:tcPr>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7</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30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5,236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0,040</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0,112</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0,76</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0,221</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0,619</w:t>
            </w:r>
          </w:p>
          <w:p w:rsidR="00473AAA" w:rsidRPr="007C1E0B" w:rsidRDefault="00473AAA" w:rsidP="003002FC">
            <w:pPr>
              <w:autoSpaceDE w:val="0"/>
              <w:autoSpaceDN w:val="0"/>
              <w:adjustRightInd w:val="0"/>
              <w:jc w:val="center"/>
              <w:rPr>
                <w:rFonts w:ascii="Arial" w:hAnsi="Arial" w:cs="Arial"/>
                <w:bCs/>
                <w:sz w:val="17"/>
                <w:szCs w:val="17"/>
              </w:rPr>
            </w:pPr>
            <w:r w:rsidRPr="007C1E0B">
              <w:rPr>
                <w:rFonts w:ascii="Arial" w:hAnsi="Arial" w:cs="Arial"/>
                <w:bCs/>
                <w:sz w:val="17"/>
                <w:szCs w:val="17"/>
              </w:rPr>
              <w:t>4,22</w:t>
            </w:r>
          </w:p>
        </w:tc>
      </w:tr>
    </w:tbl>
    <w:p w:rsidR="00473AAA" w:rsidRPr="007C1E0B" w:rsidRDefault="00473AAA" w:rsidP="00473AAA">
      <w:pPr>
        <w:autoSpaceDE w:val="0"/>
        <w:autoSpaceDN w:val="0"/>
        <w:adjustRightInd w:val="0"/>
        <w:rPr>
          <w:rFonts w:ascii="Arial" w:hAnsi="Arial" w:cs="Arial"/>
          <w:sz w:val="17"/>
          <w:szCs w:val="17"/>
        </w:rPr>
      </w:pP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L = sonuç </w:t>
      </w:r>
      <w:r w:rsidR="00735083" w:rsidRPr="007C1E0B">
        <w:rPr>
          <w:rFonts w:ascii="Times New Roman" w:hAnsi="Times New Roman" w:cs="Times New Roman"/>
          <w:sz w:val="20"/>
          <w:szCs w:val="20"/>
        </w:rPr>
        <w:t xml:space="preserve">veren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n = aykırı değerleri elimine eden tutulmuş tekil sonuçların sayısı (</w:t>
      </w:r>
      <w:r w:rsidR="00856312" w:rsidRPr="007C1E0B">
        <w:rPr>
          <w:rFonts w:ascii="Times New Roman" w:hAnsi="Times New Roman" w:cs="Times New Roman"/>
          <w:sz w:val="20"/>
          <w:szCs w:val="20"/>
        </w:rPr>
        <w:t>c</w:t>
      </w:r>
      <w:r w:rsidRPr="007C1E0B">
        <w:rPr>
          <w:rFonts w:ascii="Times New Roman" w:hAnsi="Times New Roman" w:cs="Times New Roman"/>
          <w:sz w:val="20"/>
          <w:szCs w:val="20"/>
        </w:rPr>
        <w:t xml:space="preserve">ochran, </w:t>
      </w:r>
      <w:r w:rsidR="00856312" w:rsidRPr="007C1E0B">
        <w:rPr>
          <w:rFonts w:ascii="Times New Roman" w:hAnsi="Times New Roman" w:cs="Times New Roman"/>
          <w:sz w:val="20"/>
          <w:szCs w:val="20"/>
        </w:rPr>
        <w:t>d</w:t>
      </w:r>
      <w:r w:rsidRPr="007C1E0B">
        <w:rPr>
          <w:rFonts w:ascii="Times New Roman" w:hAnsi="Times New Roman" w:cs="Times New Roman"/>
          <w:sz w:val="20"/>
          <w:szCs w:val="20"/>
        </w:rPr>
        <w:t>ixon aykırı sonuç testine göre belirlenmiş)</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standart sapması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w:t>
      </w:r>
      <w:r w:rsidRPr="007C1E0B">
        <w:rPr>
          <w:rFonts w:ascii="Times New Roman" w:hAnsi="Times New Roman" w:cs="Times New Roman"/>
          <w:sz w:val="20"/>
          <w:szCs w:val="20"/>
        </w:rPr>
        <w:t xml:space="preserve">ekrar </w:t>
      </w:r>
      <w:r w:rsidR="001D7C7B" w:rsidRPr="007C1E0B">
        <w:rPr>
          <w:rFonts w:ascii="Times New Roman" w:hAnsi="Times New Roman" w:cs="Times New Roman"/>
          <w:sz w:val="20"/>
          <w:szCs w:val="20"/>
        </w:rPr>
        <w:t>üretilebilirliğin</w:t>
      </w:r>
      <w:r w:rsidR="00BD6801"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standart sapması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r = </w:t>
      </w:r>
      <w:r w:rsidR="001D7C7B" w:rsidRPr="007C1E0B">
        <w:rPr>
          <w:rFonts w:ascii="Times New Roman" w:hAnsi="Times New Roman" w:cs="Times New Roman"/>
          <w:sz w:val="20"/>
          <w:szCs w:val="20"/>
        </w:rPr>
        <w:t>Tekrar edilebilirlik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 xml:space="preserve">R = Tekrar </w:t>
      </w:r>
      <w:r w:rsidR="00852151" w:rsidRPr="007C1E0B">
        <w:rPr>
          <w:rFonts w:ascii="Times New Roman" w:hAnsi="Times New Roman" w:cs="Times New Roman"/>
          <w:sz w:val="20"/>
          <w:szCs w:val="20"/>
        </w:rPr>
        <w:t>üretilebilirlik</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w:t>
      </w:r>
      <w:r w:rsidR="002870B1" w:rsidRPr="007C1E0B">
        <w:rPr>
          <w:rFonts w:ascii="Times New Roman" w:hAnsi="Times New Roman" w:cs="Times New Roman"/>
          <w:sz w:val="20"/>
          <w:szCs w:val="20"/>
        </w:rPr>
        <w:t xml:space="preserve"> edilebilirliğin</w:t>
      </w:r>
      <w:r w:rsidRPr="007C1E0B">
        <w:rPr>
          <w:rFonts w:ascii="Times New Roman" w:hAnsi="Times New Roman" w:cs="Times New Roman"/>
          <w:sz w:val="20"/>
          <w:szCs w:val="20"/>
        </w:rPr>
        <w:t xml:space="preserve"> değişim katsayısı, %</w:t>
      </w:r>
    </w:p>
    <w:p w:rsidR="00473AAA" w:rsidRPr="007C1E0B" w:rsidRDefault="00473AAA" w:rsidP="00473AAA">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00852151" w:rsidRPr="007C1E0B">
        <w:rPr>
          <w:rFonts w:ascii="Times New Roman" w:hAnsi="Times New Roman" w:cs="Times New Roman"/>
          <w:sz w:val="20"/>
          <w:szCs w:val="20"/>
        </w:rPr>
        <w:t>ğin</w:t>
      </w:r>
      <w:r w:rsidRPr="007C1E0B">
        <w:rPr>
          <w:rFonts w:ascii="Times New Roman" w:hAnsi="Times New Roman" w:cs="Times New Roman"/>
          <w:sz w:val="20"/>
          <w:szCs w:val="20"/>
        </w:rPr>
        <w:t xml:space="preserve"> değişim katsayısı, %</w:t>
      </w:r>
    </w:p>
    <w:p w:rsidR="00BF68F1" w:rsidRPr="007C1E0B" w:rsidRDefault="00BF68F1" w:rsidP="001B722B">
      <w:pPr>
        <w:jc w:val="both"/>
        <w:rPr>
          <w:rFonts w:ascii="Times New Roman" w:hAnsi="Times New Roman" w:cs="Times New Roman"/>
          <w:sz w:val="20"/>
          <w:szCs w:val="20"/>
        </w:rPr>
      </w:pPr>
    </w:p>
    <w:p w:rsidR="008F593F" w:rsidRPr="007C1E0B" w:rsidRDefault="00473AAA" w:rsidP="001B722B">
      <w:pPr>
        <w:jc w:val="both"/>
        <w:rPr>
          <w:rFonts w:ascii="Times New Roman" w:hAnsi="Times New Roman" w:cs="Times New Roman"/>
          <w:sz w:val="20"/>
          <w:szCs w:val="20"/>
        </w:rPr>
      </w:pPr>
      <w:r w:rsidRPr="007C1E0B">
        <w:rPr>
          <w:rFonts w:ascii="Times New Roman" w:hAnsi="Times New Roman" w:cs="Times New Roman"/>
          <w:sz w:val="20"/>
          <w:szCs w:val="20"/>
        </w:rPr>
        <w:t>9</w:t>
      </w:r>
      <w:r w:rsidR="008F593F" w:rsidRPr="007C1E0B">
        <w:rPr>
          <w:rFonts w:ascii="Times New Roman" w:hAnsi="Times New Roman" w:cs="Times New Roman"/>
          <w:sz w:val="20"/>
          <w:szCs w:val="20"/>
        </w:rPr>
        <w:t xml:space="preserve">. </w:t>
      </w:r>
      <w:r w:rsidR="004A35A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Gözlemler</w:t>
      </w:r>
    </w:p>
    <w:p w:rsidR="008F593F" w:rsidRPr="007C1E0B" w:rsidRDefault="00473AAA" w:rsidP="001B722B">
      <w:pPr>
        <w:jc w:val="both"/>
        <w:rPr>
          <w:rFonts w:ascii="Times New Roman" w:hAnsi="Times New Roman" w:cs="Times New Roman"/>
          <w:sz w:val="20"/>
          <w:szCs w:val="20"/>
        </w:rPr>
      </w:pPr>
      <w:r w:rsidRPr="007C1E0B">
        <w:rPr>
          <w:rFonts w:ascii="Times New Roman" w:hAnsi="Times New Roman" w:cs="Times New Roman"/>
          <w:sz w:val="20"/>
          <w:szCs w:val="20"/>
        </w:rPr>
        <w:t>9</w:t>
      </w:r>
      <w:r w:rsidR="008F593F" w:rsidRPr="007C1E0B">
        <w:rPr>
          <w:rFonts w:ascii="Times New Roman" w:hAnsi="Times New Roman" w:cs="Times New Roman"/>
          <w:sz w:val="20"/>
          <w:szCs w:val="20"/>
        </w:rPr>
        <w:t>.1. Aşağıdaki özel kromatografik koşullar triptofan ile α-metiltriptofan arasında daha iyi bir ayırım sunabilir.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Gradyan kolonu temizlemesiyle elde edilen izokratik elüsyon:</w:t>
      </w: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tbl>
      <w:tblPr>
        <w:tblStyle w:val="TabloKlavuzu"/>
        <w:tblW w:w="0" w:type="auto"/>
        <w:tblInd w:w="108" w:type="dxa"/>
        <w:tblLayout w:type="fixed"/>
        <w:tblLook w:val="04A0" w:firstRow="1" w:lastRow="0" w:firstColumn="1" w:lastColumn="0" w:noHBand="0" w:noVBand="1"/>
      </w:tblPr>
      <w:tblGrid>
        <w:gridCol w:w="4486"/>
        <w:gridCol w:w="1534"/>
        <w:gridCol w:w="1534"/>
        <w:gridCol w:w="1535"/>
      </w:tblGrid>
      <w:tr w:rsidR="007C1E0B" w:rsidRPr="007C1E0B" w:rsidTr="00803CA9">
        <w:trPr>
          <w:trHeight w:val="515"/>
        </w:trPr>
        <w:tc>
          <w:tcPr>
            <w:tcW w:w="4486"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w:t>
            </w:r>
            <w:r w:rsidRPr="007C1E0B">
              <w:rPr>
                <w:rFonts w:ascii="Times New Roman" w:eastAsiaTheme="minorEastAsia" w:hAnsi="Times New Roman" w:cs="Times New Roman"/>
                <w:sz w:val="20"/>
                <w:szCs w:val="20"/>
                <w:lang w:eastAsia="tr-TR"/>
              </w:rPr>
              <w:tab/>
            </w:r>
          </w:p>
        </w:tc>
        <w:tc>
          <w:tcPr>
            <w:tcW w:w="4603" w:type="dxa"/>
            <w:gridSpan w:val="3"/>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125 mm"/>
              </w:smartTagPr>
              <w:r w:rsidRPr="007C1E0B">
                <w:rPr>
                  <w:rFonts w:ascii="Times New Roman" w:eastAsiaTheme="minorEastAsia" w:hAnsi="Times New Roman" w:cs="Times New Roman"/>
                  <w:sz w:val="20"/>
                  <w:szCs w:val="20"/>
                  <w:lang w:eastAsia="tr-TR"/>
                </w:rPr>
                <w:t>125 mm</w:t>
              </w:r>
            </w:smartTag>
            <w:r w:rsidRPr="007C1E0B">
              <w:rPr>
                <w:rFonts w:ascii="Times New Roman" w:eastAsiaTheme="minorEastAsia" w:hAnsi="Times New Roman" w:cs="Times New Roman"/>
                <w:sz w:val="20"/>
                <w:szCs w:val="20"/>
                <w:lang w:eastAsia="tr-TR"/>
              </w:rPr>
              <w:t xml:space="preserve"> x </w:t>
            </w:r>
            <w:smartTag w:uri="urn:schemas-microsoft-com:office:smarttags" w:element="metricconverter">
              <w:smartTagPr>
                <w:attr w:name="ProductID" w:val="4 mm"/>
              </w:smartTagPr>
              <w:r w:rsidRPr="007C1E0B">
                <w:rPr>
                  <w:rFonts w:ascii="Times New Roman" w:eastAsiaTheme="minorEastAsia" w:hAnsi="Times New Roman" w:cs="Times New Roman"/>
                  <w:sz w:val="20"/>
                  <w:szCs w:val="20"/>
                  <w:lang w:eastAsia="tr-TR"/>
                </w:rPr>
                <w:t>4 mm</w:t>
              </w:r>
            </w:smartTag>
            <w:r w:rsidRPr="007C1E0B">
              <w:rPr>
                <w:rFonts w:ascii="Times New Roman" w:eastAsiaTheme="minorEastAsia" w:hAnsi="Times New Roman" w:cs="Times New Roman"/>
                <w:sz w:val="20"/>
                <w:szCs w:val="20"/>
                <w:lang w:eastAsia="tr-TR"/>
              </w:rPr>
              <w:t>, C</w:t>
            </w:r>
            <w:r w:rsidRPr="007C1E0B">
              <w:rPr>
                <w:rFonts w:ascii="Times New Roman" w:eastAsiaTheme="minorEastAsia" w:hAnsi="Times New Roman" w:cs="Times New Roman"/>
                <w:sz w:val="20"/>
                <w:szCs w:val="20"/>
                <w:vertAlign w:val="subscript"/>
                <w:lang w:eastAsia="tr-TR"/>
              </w:rPr>
              <w:t>18</w:t>
            </w:r>
            <w:r w:rsidRPr="007C1E0B">
              <w:rPr>
                <w:rFonts w:ascii="Times New Roman" w:eastAsiaTheme="minorEastAsia" w:hAnsi="Times New Roman" w:cs="Times New Roman"/>
                <w:sz w:val="20"/>
                <w:szCs w:val="20"/>
                <w:lang w:eastAsia="tr-TR"/>
              </w:rPr>
              <w:t>, 5 μm dolgu ya da eşdeğeri</w:t>
            </w:r>
          </w:p>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197"/>
        </w:trPr>
        <w:tc>
          <w:tcPr>
            <w:tcW w:w="4486" w:type="dxa"/>
          </w:tcPr>
          <w:p w:rsidR="002C4B37" w:rsidRPr="007C1E0B" w:rsidRDefault="00784A16" w:rsidP="00784A16">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K</w:t>
            </w:r>
            <w:r w:rsidR="002C4B37" w:rsidRPr="007C1E0B">
              <w:rPr>
                <w:rFonts w:ascii="Times New Roman" w:eastAsiaTheme="minorEastAsia" w:hAnsi="Times New Roman" w:cs="Times New Roman"/>
                <w:sz w:val="20"/>
                <w:szCs w:val="20"/>
                <w:lang w:eastAsia="tr-TR"/>
              </w:rPr>
              <w:t>olon sıcaklığı:</w:t>
            </w:r>
          </w:p>
        </w:tc>
        <w:tc>
          <w:tcPr>
            <w:tcW w:w="4603" w:type="dxa"/>
            <w:gridSpan w:val="3"/>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32ﾰC"/>
              </w:smartTagPr>
              <w:r w:rsidRPr="007C1E0B">
                <w:rPr>
                  <w:rFonts w:ascii="Times New Roman" w:eastAsiaTheme="minorEastAsia" w:hAnsi="Times New Roman" w:cs="Times New Roman"/>
                  <w:sz w:val="20"/>
                  <w:szCs w:val="20"/>
                  <w:lang w:eastAsia="tr-TR"/>
                </w:rPr>
                <w:t>32°C</w:t>
              </w:r>
            </w:smartTag>
          </w:p>
        </w:tc>
      </w:tr>
      <w:tr w:rsidR="007C1E0B" w:rsidRPr="007C1E0B" w:rsidTr="00803CA9">
        <w:trPr>
          <w:trHeight w:val="713"/>
        </w:trPr>
        <w:tc>
          <w:tcPr>
            <w:tcW w:w="4486"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Mobil faz:</w:t>
            </w:r>
          </w:p>
        </w:tc>
        <w:tc>
          <w:tcPr>
            <w:tcW w:w="4603" w:type="dxa"/>
            <w:gridSpan w:val="3"/>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 0,01 mol/l KH</w:t>
            </w:r>
            <w:r w:rsidRPr="007C1E0B">
              <w:rPr>
                <w:rFonts w:ascii="Times New Roman" w:eastAsiaTheme="minorEastAsia" w:hAnsi="Times New Roman" w:cs="Times New Roman"/>
                <w:sz w:val="20"/>
                <w:szCs w:val="20"/>
                <w:vertAlign w:val="subscript"/>
                <w:lang w:eastAsia="tr-TR"/>
              </w:rPr>
              <w:t>2</w:t>
            </w:r>
            <w:r w:rsidRPr="007C1E0B">
              <w:rPr>
                <w:rFonts w:ascii="Times New Roman" w:eastAsiaTheme="minorEastAsia" w:hAnsi="Times New Roman" w:cs="Times New Roman"/>
                <w:sz w:val="20"/>
                <w:szCs w:val="20"/>
                <w:lang w:eastAsia="tr-TR"/>
              </w:rPr>
              <w:t>PO</w:t>
            </w:r>
            <w:r w:rsidRPr="007C1E0B">
              <w:rPr>
                <w:rFonts w:ascii="Times New Roman" w:eastAsiaTheme="minorEastAsia" w:hAnsi="Times New Roman" w:cs="Times New Roman"/>
                <w:sz w:val="20"/>
                <w:szCs w:val="20"/>
                <w:vertAlign w:val="subscript"/>
                <w:lang w:eastAsia="tr-TR"/>
              </w:rPr>
              <w:t>4</w:t>
            </w:r>
            <w:r w:rsidRPr="007C1E0B">
              <w:rPr>
                <w:rFonts w:ascii="Times New Roman" w:eastAsiaTheme="minorEastAsia" w:hAnsi="Times New Roman" w:cs="Times New Roman"/>
                <w:sz w:val="20"/>
                <w:szCs w:val="20"/>
                <w:lang w:eastAsia="tr-TR"/>
              </w:rPr>
              <w:t>/metanol, 95+5 (H+H).</w:t>
            </w:r>
          </w:p>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B: </w:t>
            </w:r>
            <w:r w:rsidR="004A35AA"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metanol</w:t>
            </w:r>
          </w:p>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197"/>
        </w:trPr>
        <w:tc>
          <w:tcPr>
            <w:tcW w:w="4486" w:type="dxa"/>
            <w:vMerge w:val="restart"/>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Gradyan programı:</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0 dak.</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100 A</w:t>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0 B</w:t>
            </w:r>
          </w:p>
        </w:tc>
      </w:tr>
      <w:tr w:rsidR="007C1E0B" w:rsidRPr="007C1E0B" w:rsidTr="00803CA9">
        <w:trPr>
          <w:trHeight w:val="61"/>
        </w:trPr>
        <w:tc>
          <w:tcPr>
            <w:tcW w:w="4486" w:type="dxa"/>
            <w:vMerge/>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15 dak.</w:t>
            </w:r>
            <w:r w:rsidRPr="007C1E0B">
              <w:rPr>
                <w:rFonts w:ascii="Times New Roman" w:eastAsiaTheme="minorEastAsia" w:hAnsi="Times New Roman" w:cs="Times New Roman"/>
                <w:sz w:val="20"/>
                <w:szCs w:val="20"/>
                <w:lang w:eastAsia="tr-TR"/>
              </w:rPr>
              <w:tab/>
            </w:r>
            <w:r w:rsidRPr="007C1E0B">
              <w:rPr>
                <w:rFonts w:ascii="Times New Roman" w:eastAsiaTheme="minorEastAsia" w:hAnsi="Times New Roman" w:cs="Times New Roman"/>
                <w:sz w:val="20"/>
                <w:szCs w:val="20"/>
                <w:lang w:eastAsia="tr-TR"/>
              </w:rPr>
              <w:tab/>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100 A</w:t>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0 B</w:t>
            </w:r>
          </w:p>
        </w:tc>
      </w:tr>
      <w:tr w:rsidR="007C1E0B" w:rsidRPr="007C1E0B" w:rsidTr="00803CA9">
        <w:trPr>
          <w:trHeight w:val="61"/>
        </w:trPr>
        <w:tc>
          <w:tcPr>
            <w:tcW w:w="4486" w:type="dxa"/>
            <w:vMerge/>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17 dak.</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 xml:space="preserve">60 A </w:t>
            </w:r>
            <w:r w:rsidRPr="007C1E0B">
              <w:rPr>
                <w:rFonts w:ascii="Times New Roman" w:eastAsiaTheme="minorEastAsia" w:hAnsi="Times New Roman" w:cs="Times New Roman"/>
                <w:sz w:val="20"/>
                <w:szCs w:val="20"/>
                <w:lang w:eastAsia="tr-TR"/>
              </w:rPr>
              <w:tab/>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40 B</w:t>
            </w:r>
          </w:p>
        </w:tc>
      </w:tr>
      <w:tr w:rsidR="007C1E0B" w:rsidRPr="007C1E0B" w:rsidTr="00803CA9">
        <w:trPr>
          <w:trHeight w:val="61"/>
        </w:trPr>
        <w:tc>
          <w:tcPr>
            <w:tcW w:w="4486" w:type="dxa"/>
            <w:vMerge/>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19 dak</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60 A</w:t>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40 B</w:t>
            </w:r>
          </w:p>
        </w:tc>
      </w:tr>
      <w:tr w:rsidR="007C1E0B" w:rsidRPr="007C1E0B" w:rsidTr="00803CA9">
        <w:trPr>
          <w:trHeight w:val="61"/>
        </w:trPr>
        <w:tc>
          <w:tcPr>
            <w:tcW w:w="4486" w:type="dxa"/>
            <w:vMerge/>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21 dak.</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100 A</w:t>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0 B</w:t>
            </w:r>
          </w:p>
        </w:tc>
      </w:tr>
      <w:tr w:rsidR="007C1E0B" w:rsidRPr="007C1E0B" w:rsidTr="00803CA9">
        <w:trPr>
          <w:trHeight w:val="61"/>
        </w:trPr>
        <w:tc>
          <w:tcPr>
            <w:tcW w:w="4486" w:type="dxa"/>
            <w:vMerge/>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33 dak.</w:t>
            </w:r>
          </w:p>
        </w:tc>
        <w:tc>
          <w:tcPr>
            <w:tcW w:w="1534"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100 A</w:t>
            </w:r>
          </w:p>
        </w:tc>
        <w:tc>
          <w:tcPr>
            <w:tcW w:w="1535"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w:t>
            </w:r>
            <w:r w:rsidR="00236C01" w:rsidRPr="007C1E0B">
              <w:rPr>
                <w:rFonts w:ascii="Times New Roman" w:eastAsiaTheme="minorEastAsia" w:hAnsi="Times New Roman" w:cs="Times New Roman"/>
                <w:sz w:val="20"/>
                <w:szCs w:val="20"/>
                <w:lang w:eastAsia="tr-TR"/>
              </w:rPr>
              <w:t xml:space="preserve"> </w:t>
            </w:r>
            <w:r w:rsidRPr="007C1E0B">
              <w:rPr>
                <w:rFonts w:ascii="Times New Roman" w:eastAsiaTheme="minorEastAsia" w:hAnsi="Times New Roman" w:cs="Times New Roman"/>
                <w:sz w:val="20"/>
                <w:szCs w:val="20"/>
                <w:lang w:eastAsia="tr-TR"/>
              </w:rPr>
              <w:t>0 B</w:t>
            </w:r>
          </w:p>
        </w:tc>
      </w:tr>
      <w:tr w:rsidR="007C1E0B" w:rsidRPr="007C1E0B" w:rsidTr="00803CA9">
        <w:trPr>
          <w:trHeight w:val="201"/>
        </w:trPr>
        <w:tc>
          <w:tcPr>
            <w:tcW w:w="4486"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Akış hızı:</w:t>
            </w:r>
          </w:p>
        </w:tc>
        <w:tc>
          <w:tcPr>
            <w:tcW w:w="4603" w:type="dxa"/>
            <w:gridSpan w:val="3"/>
          </w:tcPr>
          <w:p w:rsidR="002C4B37" w:rsidRPr="007C1E0B" w:rsidRDefault="002C4B37" w:rsidP="004A35AA">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1,2 ml/dak.</w:t>
            </w:r>
          </w:p>
        </w:tc>
      </w:tr>
      <w:tr w:rsidR="002C4B37" w:rsidRPr="007C1E0B" w:rsidTr="00803CA9">
        <w:trPr>
          <w:trHeight w:val="197"/>
        </w:trPr>
        <w:tc>
          <w:tcPr>
            <w:tcW w:w="4486" w:type="dxa"/>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Toplam çalışma süresi:</w:t>
            </w:r>
          </w:p>
        </w:tc>
        <w:tc>
          <w:tcPr>
            <w:tcW w:w="4603" w:type="dxa"/>
            <w:gridSpan w:val="3"/>
          </w:tcPr>
          <w:p w:rsidR="002C4B37" w:rsidRPr="007C1E0B" w:rsidRDefault="002C4B37"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yaklaşık 33 dak.</w:t>
            </w:r>
          </w:p>
        </w:tc>
      </w:tr>
    </w:tbl>
    <w:p w:rsidR="002C4B37" w:rsidRPr="007C1E0B" w:rsidRDefault="002C4B37" w:rsidP="001B722B">
      <w:pPr>
        <w:jc w:val="both"/>
        <w:rPr>
          <w:rFonts w:ascii="Times New Roman" w:hAnsi="Times New Roman" w:cs="Times New Roman"/>
          <w:sz w:val="20"/>
          <w:szCs w:val="20"/>
        </w:rPr>
      </w:pPr>
    </w:p>
    <w:p w:rsidR="008F593F" w:rsidRPr="007C1E0B" w:rsidRDefault="00473AAA" w:rsidP="001B722B">
      <w:pPr>
        <w:jc w:val="both"/>
        <w:rPr>
          <w:rFonts w:ascii="Times New Roman" w:hAnsi="Times New Roman" w:cs="Times New Roman"/>
          <w:sz w:val="20"/>
          <w:szCs w:val="20"/>
        </w:rPr>
      </w:pPr>
      <w:r w:rsidRPr="007C1E0B">
        <w:rPr>
          <w:rFonts w:ascii="Times New Roman" w:hAnsi="Times New Roman" w:cs="Times New Roman"/>
          <w:sz w:val="20"/>
          <w:szCs w:val="20"/>
        </w:rPr>
        <w:t>9</w:t>
      </w:r>
      <w:r w:rsidR="008F593F" w:rsidRPr="007C1E0B">
        <w:rPr>
          <w:rFonts w:ascii="Times New Roman" w:hAnsi="Times New Roman" w:cs="Times New Roman"/>
          <w:sz w:val="20"/>
          <w:szCs w:val="20"/>
        </w:rPr>
        <w:t xml:space="preserve">.2. </w:t>
      </w:r>
      <w:r w:rsidR="004A35A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Kromatografi</w:t>
      </w:r>
      <w:r w:rsidR="00784A16" w:rsidRPr="007C1E0B">
        <w:rPr>
          <w:rFonts w:ascii="Times New Roman" w:hAnsi="Times New Roman" w:cs="Times New Roman"/>
          <w:sz w:val="20"/>
          <w:szCs w:val="20"/>
        </w:rPr>
        <w:t>,</w:t>
      </w:r>
      <w:r w:rsidR="008F593F" w:rsidRPr="007C1E0B">
        <w:rPr>
          <w:rFonts w:ascii="Times New Roman" w:hAnsi="Times New Roman" w:cs="Times New Roman"/>
          <w:sz w:val="20"/>
          <w:szCs w:val="20"/>
        </w:rPr>
        <w:t xml:space="preserve"> HPLC türüne ve kullanılan kolon dolgu materyaline göre değişecektir.Seçilen sistem, triptofan ile iç standart arasındaki kromatografik ayrım</w:t>
      </w:r>
      <w:r w:rsidR="00784A16" w:rsidRPr="007C1E0B">
        <w:rPr>
          <w:rFonts w:ascii="Times New Roman" w:hAnsi="Times New Roman" w:cs="Times New Roman"/>
          <w:sz w:val="20"/>
          <w:szCs w:val="20"/>
        </w:rPr>
        <w:t>ı</w:t>
      </w:r>
      <w:r w:rsidR="008F593F" w:rsidRPr="007C1E0B">
        <w:rPr>
          <w:rFonts w:ascii="Times New Roman" w:hAnsi="Times New Roman" w:cs="Times New Roman"/>
          <w:sz w:val="20"/>
          <w:szCs w:val="20"/>
        </w:rPr>
        <w:t xml:space="preserve"> verebilmelidir. Ayrıca parçalanma ürünlerinin triptofan ve iç standardından iyi ayrılması da önemlidir. Safsızlıklar için iç standart altında temel çizgiyi denetlemek amacıyla iç standart içermeyen hidrolizatlar çalıştırılacaktır. Çalışma süresinin, tüm parçalanma ürünlerinin elüsyonu için yeterince uzun olması önemlidir</w:t>
      </w:r>
      <w:r w:rsidR="00784A16" w:rsidRPr="007C1E0B">
        <w:rPr>
          <w:rFonts w:ascii="Times New Roman" w:hAnsi="Times New Roman" w:cs="Times New Roman"/>
          <w:sz w:val="20"/>
          <w:szCs w:val="20"/>
        </w:rPr>
        <w:t>.</w:t>
      </w:r>
      <w:r w:rsidR="008F593F" w:rsidRPr="007C1E0B">
        <w:rPr>
          <w:rFonts w:ascii="Times New Roman" w:hAnsi="Times New Roman" w:cs="Times New Roman"/>
          <w:sz w:val="20"/>
          <w:szCs w:val="20"/>
        </w:rPr>
        <w:t xml:space="preserve"> </w:t>
      </w:r>
      <w:r w:rsidR="00784A16" w:rsidRPr="007C1E0B">
        <w:rPr>
          <w:rFonts w:ascii="Times New Roman" w:hAnsi="Times New Roman" w:cs="Times New Roman"/>
          <w:sz w:val="20"/>
          <w:szCs w:val="20"/>
        </w:rPr>
        <w:t>A</w:t>
      </w:r>
      <w:r w:rsidR="008F593F" w:rsidRPr="007C1E0B">
        <w:rPr>
          <w:rFonts w:ascii="Times New Roman" w:hAnsi="Times New Roman" w:cs="Times New Roman"/>
          <w:sz w:val="20"/>
          <w:szCs w:val="20"/>
        </w:rPr>
        <w:t>ksi halde geç elüsyon pikleri sonraki kromatografik çalıştırmaları etkileyebilir.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İşlem süresince kromatografik sistem doğrusal bir yanıt verecektir. Doğrusal yanıt sabit (normal) bir iç standart konsantrasyonu ve değişen triptofan konsantrasyonları ile ölçülecektir. Hem triptofan hem de iç standart piklerinin boyutlarının, HPLC/flüoresans sisteminin doğrusal aralığı aralığında olması önemlidir. Triptofan ve/veya iç standart pik(ler)i çok küçük ya da çok büyükse analiz başka bir numune boyutu ve/veya değiştirilmiş bir nihai hacim ile yinelenecektir.</w:t>
      </w:r>
    </w:p>
    <w:p w:rsidR="008F593F" w:rsidRPr="007C1E0B" w:rsidRDefault="00473AAA" w:rsidP="001B722B">
      <w:pPr>
        <w:jc w:val="both"/>
        <w:rPr>
          <w:rFonts w:ascii="Times New Roman" w:hAnsi="Times New Roman" w:cs="Times New Roman"/>
          <w:sz w:val="20"/>
          <w:szCs w:val="20"/>
        </w:rPr>
      </w:pPr>
      <w:r w:rsidRPr="007C1E0B">
        <w:rPr>
          <w:rFonts w:ascii="Times New Roman" w:hAnsi="Times New Roman" w:cs="Times New Roman"/>
          <w:sz w:val="20"/>
          <w:szCs w:val="20"/>
        </w:rPr>
        <w:t>9</w:t>
      </w:r>
      <w:r w:rsidR="008F593F" w:rsidRPr="007C1E0B">
        <w:rPr>
          <w:rFonts w:ascii="Times New Roman" w:hAnsi="Times New Roman" w:cs="Times New Roman"/>
          <w:sz w:val="20"/>
          <w:szCs w:val="20"/>
        </w:rPr>
        <w:t xml:space="preserve">.3. </w:t>
      </w:r>
      <w:r w:rsidR="0088295D"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Baryum hidroksit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Zamanla baryum hidroksitin çözünmesi zorlaşır. Bu durum HPLC tayini için, düşük triptofan sonuçları üretebilecek bulanık bir çözeltiye yol açar.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G. </w:t>
      </w:r>
      <w:r w:rsidR="0088295D"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HAM KATI VE SIVI YAĞLARIN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8295D"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 içindeki ham katı ve sıvı yağların belirlenmesi için kullanılır. Bu yağlı tohumların ve yağlı meyvelerin analizlerini kapsamaz. Aşağıda tanımlanmış olan iki metot</w:t>
      </w:r>
      <w:r w:rsidR="00784A16" w:rsidRPr="007C1E0B">
        <w:rPr>
          <w:rFonts w:ascii="Times New Roman" w:hAnsi="Times New Roman" w:cs="Times New Roman"/>
          <w:sz w:val="20"/>
          <w:szCs w:val="20"/>
        </w:rPr>
        <w:t>,</w:t>
      </w:r>
      <w:r w:rsidRPr="007C1E0B">
        <w:rPr>
          <w:rFonts w:ascii="Times New Roman" w:hAnsi="Times New Roman" w:cs="Times New Roman"/>
          <w:sz w:val="20"/>
          <w:szCs w:val="20"/>
        </w:rPr>
        <w:t xml:space="preserve"> yemin </w:t>
      </w:r>
      <w:r w:rsidR="00784A16" w:rsidRPr="007C1E0B">
        <w:rPr>
          <w:rFonts w:ascii="Times New Roman" w:hAnsi="Times New Roman" w:cs="Times New Roman"/>
          <w:sz w:val="20"/>
          <w:szCs w:val="20"/>
        </w:rPr>
        <w:t>yapısına,</w:t>
      </w:r>
      <w:r w:rsidRPr="007C1E0B">
        <w:rPr>
          <w:rFonts w:ascii="Times New Roman" w:hAnsi="Times New Roman" w:cs="Times New Roman"/>
          <w:sz w:val="20"/>
          <w:szCs w:val="20"/>
        </w:rPr>
        <w:t xml:space="preserve"> bileşimine ve yapılan analizinin yapılış nedenine bağlıdır.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1.1.    Metot A — Doğrudan ekstrakte edilebilen ham katı ve sıvı yağlar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Metot B kapsamında olanlar hariç bitki kökenli yem maddeleri için uygulanabilir.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B — To</w:t>
      </w:r>
      <w:r w:rsidR="00A75B68" w:rsidRPr="007C1E0B">
        <w:rPr>
          <w:rFonts w:ascii="Times New Roman" w:hAnsi="Times New Roman" w:cs="Times New Roman"/>
          <w:sz w:val="20"/>
          <w:szCs w:val="20"/>
        </w:rPr>
        <w:t>plam</w:t>
      </w:r>
      <w:r w:rsidRPr="007C1E0B">
        <w:rPr>
          <w:rFonts w:ascii="Times New Roman" w:hAnsi="Times New Roman" w:cs="Times New Roman"/>
          <w:sz w:val="20"/>
          <w:szCs w:val="20"/>
        </w:rPr>
        <w:t xml:space="preserve"> ham katı ve sıvı yağlar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hayvansal kökenli yem maddeleri ve tüm karma yemler için uygulanabilir. Bu metot; ön bir hidroliz yapılmadan sıvı ve katı yağları ekstrakte edilemeyen tüm yemler için kullanılır (örneğin glutenler, maya, patates proteinleri ve ekstrüzyon, ezme ve ısıtma gibi işlemlerden geçirilmiş ürünler).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1.3.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yorumlanması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Metot B’ nin Metot A’ dan daha yüksek sonuç verdiği tüm durumlarda, Metot B’ den elde edilen sonuç doğru değer olarak kabul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petrol eteri ile ekstrakte edilir. Çözücü damıtılır, kalıntı kurutulur ve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Metot B</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hidroklorik asitle ısı altında işlem görür. Karışım soğutulur ve süzülür. Kalıntı yıkanır ve kurutulur ve  Metot A’ ya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Petrol eteri, kaynama aralığı: 40 - 60°C. Brom değeri 1’ den düşük olmalı ve buharlaşmadaki kalıntı 2 mg/100 ml’den az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sülfat, susuz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c = 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Filtrasyon yardımcı malzemesi, örneğin Kieselguhr, Hyflo-supercel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4.1. Ekstraksiyon cihazı. Eğer Ekstraksiyon cihazı sifonluysa (Soxhlet cihazı), geri akış oranı; saatte yaklaşık 10 dönüş oluşturacak kadar olmalıdır; eğer sifonsuz tipse, dakikada yaklaşık 10 ml geri akım oluşturacak kadar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kartuşu, petrol eteri içinde çözülebilen madde içermeyen ve madde 4.1’de belirtilen gözenekl</w:t>
      </w:r>
      <w:r w:rsidR="003C7CE8" w:rsidRPr="007C1E0B">
        <w:rPr>
          <w:rFonts w:ascii="Times New Roman" w:hAnsi="Times New Roman" w:cs="Times New Roman"/>
          <w:sz w:val="20"/>
          <w:szCs w:val="20"/>
        </w:rPr>
        <w:t xml:space="preserve">ere </w:t>
      </w:r>
      <w:r w:rsidRPr="007C1E0B">
        <w:rPr>
          <w:rFonts w:ascii="Times New Roman" w:hAnsi="Times New Roman" w:cs="Times New Roman"/>
          <w:sz w:val="20"/>
          <w:szCs w:val="20"/>
        </w:rPr>
        <w:t>sahip</w:t>
      </w:r>
      <w:r w:rsidR="003C7CE8" w:rsidRPr="007C1E0B">
        <w:rPr>
          <w:rFonts w:ascii="Times New Roman" w:hAnsi="Times New Roman" w:cs="Times New Roman"/>
          <w:sz w:val="20"/>
          <w:szCs w:val="20"/>
        </w:rPr>
        <w:t>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Etüv, ya 75 ± 3°C’de vakum etüv seti ya da 100 ± 3°C’de hava etüvü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A (bakınız madde 8.1)</w:t>
      </w:r>
    </w:p>
    <w:p w:rsidR="001477CD"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g örnek, 1 mg hassasiyetle tartılıp bir </w:t>
      </w:r>
      <w:r w:rsidR="003C7CE8" w:rsidRPr="007C1E0B">
        <w:rPr>
          <w:rFonts w:ascii="Times New Roman" w:hAnsi="Times New Roman" w:cs="Times New Roman"/>
          <w:sz w:val="20"/>
          <w:szCs w:val="20"/>
        </w:rPr>
        <w:t>e</w:t>
      </w:r>
      <w:r w:rsidRPr="007C1E0B">
        <w:rPr>
          <w:rFonts w:ascii="Times New Roman" w:hAnsi="Times New Roman" w:cs="Times New Roman"/>
          <w:sz w:val="20"/>
          <w:szCs w:val="20"/>
        </w:rPr>
        <w:t>kstraksiyon kartuşuna (4.2) aktarılır ve yağsız bir hidrofil pamuk ile kapatılır.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Kartuş bir ekstrak</w:t>
      </w:r>
      <w:r w:rsidR="003C7CE8" w:rsidRPr="007C1E0B">
        <w:rPr>
          <w:rFonts w:ascii="Times New Roman" w:hAnsi="Times New Roman" w:cs="Times New Roman"/>
          <w:sz w:val="20"/>
          <w:szCs w:val="20"/>
        </w:rPr>
        <w:t xml:space="preserve">siyon cihazına </w:t>
      </w:r>
      <w:r w:rsidRPr="007C1E0B">
        <w:rPr>
          <w:rFonts w:ascii="Times New Roman" w:hAnsi="Times New Roman" w:cs="Times New Roman"/>
          <w:sz w:val="20"/>
          <w:szCs w:val="20"/>
        </w:rPr>
        <w:t>yerleştirilir (4.1) ve 6 saat boyunca petrol eteri ile ekstrakte edilir (3.1). Petrol eteri ekstraktı; kuru, tartılmış ve sünger taşı parçaları içeren bir balona toplanır.(</w:t>
      </w:r>
      <w:r w:rsidR="004C0925" w:rsidRPr="007C1E0B">
        <w:rPr>
          <w:rStyle w:val="DipnotBavurusu"/>
          <w:rFonts w:ascii="Times New Roman" w:hAnsi="Times New Roman" w:cs="Times New Roman"/>
          <w:sz w:val="20"/>
          <w:szCs w:val="20"/>
        </w:rPr>
        <w:footnoteReference w:id="5"/>
      </w:r>
      <w:r w:rsidRPr="007C1E0B">
        <w:rPr>
          <w:rFonts w:ascii="Times New Roman" w:hAnsi="Times New Roman" w:cs="Times New Roman"/>
          <w:sz w:val="20"/>
          <w:szCs w:val="20"/>
        </w:rPr>
        <w:t xml:space="preserve"> ) Çözücü damıtılır. </w:t>
      </w:r>
      <w:r w:rsidR="001B7BA0" w:rsidRPr="007C1E0B">
        <w:rPr>
          <w:rFonts w:ascii="Times New Roman" w:hAnsi="Times New Roman" w:cs="Times New Roman"/>
          <w:sz w:val="20"/>
          <w:szCs w:val="20"/>
        </w:rPr>
        <w:t>B</w:t>
      </w:r>
      <w:r w:rsidRPr="007C1E0B">
        <w:rPr>
          <w:rFonts w:ascii="Times New Roman" w:hAnsi="Times New Roman" w:cs="Times New Roman"/>
          <w:sz w:val="20"/>
          <w:szCs w:val="20"/>
        </w:rPr>
        <w:t>alon</w:t>
      </w:r>
      <w:r w:rsidR="00927BBA" w:rsidRPr="007C1E0B">
        <w:rPr>
          <w:rFonts w:ascii="Times New Roman" w:hAnsi="Times New Roman" w:cs="Times New Roman"/>
          <w:sz w:val="20"/>
          <w:szCs w:val="20"/>
        </w:rPr>
        <w:t xml:space="preserve"> ve içinde kalanlar</w:t>
      </w:r>
      <w:r w:rsidRPr="007C1E0B">
        <w:rPr>
          <w:rFonts w:ascii="Times New Roman" w:hAnsi="Times New Roman" w:cs="Times New Roman"/>
          <w:sz w:val="20"/>
          <w:szCs w:val="20"/>
        </w:rPr>
        <w:t xml:space="preserve"> bir buçuk saat boyunca etüvde tut</w:t>
      </w:r>
      <w:r w:rsidR="003C7CE8" w:rsidRPr="007C1E0B">
        <w:rPr>
          <w:rFonts w:ascii="Times New Roman" w:hAnsi="Times New Roman" w:cs="Times New Roman"/>
          <w:sz w:val="20"/>
          <w:szCs w:val="20"/>
        </w:rPr>
        <w:t>ularak</w:t>
      </w:r>
      <w:r w:rsidRPr="007C1E0B">
        <w:rPr>
          <w:rFonts w:ascii="Times New Roman" w:hAnsi="Times New Roman" w:cs="Times New Roman"/>
          <w:sz w:val="20"/>
          <w:szCs w:val="20"/>
        </w:rPr>
        <w:t xml:space="preserve"> kurutulur (4.3).</w:t>
      </w:r>
      <w:r w:rsidR="00A23FA2"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Bir desikatörün içinde soğumaya bırakılır ve tartılır. </w:t>
      </w:r>
      <w:r w:rsidR="00927BBA" w:rsidRPr="007C1E0B">
        <w:rPr>
          <w:rFonts w:ascii="Times New Roman" w:hAnsi="Times New Roman" w:cs="Times New Roman"/>
          <w:sz w:val="20"/>
          <w:szCs w:val="20"/>
        </w:rPr>
        <w:t xml:space="preserve">Ölçülen </w:t>
      </w:r>
      <w:r w:rsidRPr="007C1E0B">
        <w:rPr>
          <w:rFonts w:ascii="Times New Roman" w:hAnsi="Times New Roman" w:cs="Times New Roman"/>
          <w:sz w:val="20"/>
          <w:szCs w:val="20"/>
        </w:rPr>
        <w:t xml:space="preserve">Katı ve sıvı yağların ağırlığı </w:t>
      </w:r>
      <w:r w:rsidR="00927BBA" w:rsidRPr="007C1E0B">
        <w:rPr>
          <w:rFonts w:ascii="Times New Roman" w:hAnsi="Times New Roman" w:cs="Times New Roman"/>
          <w:sz w:val="20"/>
          <w:szCs w:val="20"/>
        </w:rPr>
        <w:t xml:space="preserve">sabitlenene kadar </w:t>
      </w:r>
      <w:r w:rsidRPr="007C1E0B">
        <w:rPr>
          <w:rFonts w:ascii="Times New Roman" w:hAnsi="Times New Roman" w:cs="Times New Roman"/>
          <w:sz w:val="20"/>
          <w:szCs w:val="20"/>
        </w:rPr>
        <w:t xml:space="preserve">30 dakika boyunca tekrar </w:t>
      </w:r>
      <w:r w:rsidR="00927BBA" w:rsidRPr="007C1E0B">
        <w:rPr>
          <w:rFonts w:ascii="Times New Roman" w:hAnsi="Times New Roman" w:cs="Times New Roman"/>
          <w:sz w:val="20"/>
          <w:szCs w:val="20"/>
        </w:rPr>
        <w:t xml:space="preserve">tekrar </w:t>
      </w:r>
      <w:r w:rsidRPr="007C1E0B">
        <w:rPr>
          <w:rFonts w:ascii="Times New Roman" w:hAnsi="Times New Roman" w:cs="Times New Roman"/>
          <w:sz w:val="20"/>
          <w:szCs w:val="20"/>
        </w:rPr>
        <w:t xml:space="preserve">kurutulur (birbirini izleyen bu iki tartım arasındaki fark 1mg’dan az ya da 1 mg’ a eşit olmalıdır).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B</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g örnek, 1 mg hassasiyetle tartılıp (bakınız madde 8.2), 400ml’lik bir behere ya da 300 ml’lik bir konik cam balona yerleştirilir ve 100 ml hidroklorik asit (3.3) ve sünger taşı parçaları eklenir. Beher bir saat camı ile kapatılır ya da konik cam balonu bir geri-soğutucuya yerleştirilir. Karışım düşük ateş ya da ısıtıcı üzerinde yavaşça kaynamaya getirilir ve bir saat boyunca orda tutulur. Ürünün; kabın duvarlarına yapışmasına izin verilmemelidir.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Soğutulur ve süzme sırasında hiç katı ya da sıvı yağ kaybı olmamasına yetecek kadar süzme desteği eklenir</w:t>
      </w:r>
      <w:r w:rsidR="007F07C8" w:rsidRPr="007C1E0B">
        <w:rPr>
          <w:rFonts w:ascii="Times New Roman" w:hAnsi="Times New Roman" w:cs="Times New Roman"/>
          <w:sz w:val="20"/>
          <w:szCs w:val="20"/>
        </w:rPr>
        <w:t xml:space="preserve"> </w:t>
      </w:r>
      <w:r w:rsidRPr="007C1E0B">
        <w:rPr>
          <w:rFonts w:ascii="Times New Roman" w:hAnsi="Times New Roman" w:cs="Times New Roman"/>
          <w:sz w:val="20"/>
          <w:szCs w:val="20"/>
        </w:rPr>
        <w:t>(3.4). Nemlendirilmiş, yağsız iki katlı süzgeç kâğıdı ile süzülür. Kalanlar; nötr bir süzüntü elde edene kadar soğuk su ile yıkanır. Süzüntünün herhangi bir katı ya da sıvı yağ içermediği kontrol edilir. Katı ya da sıvı yağların varlığı; hidrolizden önce örneğin Metot A kullanılarak petrol eter</w:t>
      </w:r>
      <w:r w:rsidR="007F07C8" w:rsidRPr="007C1E0B">
        <w:rPr>
          <w:rFonts w:ascii="Times New Roman" w:hAnsi="Times New Roman" w:cs="Times New Roman"/>
          <w:sz w:val="20"/>
          <w:szCs w:val="20"/>
        </w:rPr>
        <w:t xml:space="preserve"> </w:t>
      </w:r>
      <w:r w:rsidRPr="007C1E0B">
        <w:rPr>
          <w:rFonts w:ascii="Times New Roman" w:hAnsi="Times New Roman" w:cs="Times New Roman"/>
          <w:sz w:val="20"/>
          <w:szCs w:val="20"/>
        </w:rPr>
        <w:t>ile ekstrakte edilmesi gerektiğini gösterir.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Kalıntıları içeren iki katlı süzgeç kağıdın bir saat camı üzerine yerleştirilir ve hava üflemeli etüvde (4.3) bir buçuk saat boyunca 100 ± 3°C’ de kurutulur.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Kalıntıları içeren iki katlı süzgeç kağıdı bir </w:t>
      </w:r>
      <w:r w:rsidR="00FB643C" w:rsidRPr="007C1E0B">
        <w:rPr>
          <w:rFonts w:ascii="Times New Roman" w:hAnsi="Times New Roman" w:cs="Times New Roman"/>
          <w:sz w:val="20"/>
          <w:szCs w:val="20"/>
        </w:rPr>
        <w:t>e</w:t>
      </w:r>
      <w:r w:rsidRPr="007C1E0B">
        <w:rPr>
          <w:rFonts w:ascii="Times New Roman" w:hAnsi="Times New Roman" w:cs="Times New Roman"/>
          <w:sz w:val="20"/>
          <w:szCs w:val="20"/>
        </w:rPr>
        <w:t>kstraksiyon kartuşuna (4.2) yerleştirilir ve yağsız bir hidrofil pamuğu ile kapatılır. Kartuş ekstraksiyon ünitesinin (4.1) içine yerleştirilir ve madde 5.1’ in ikinci ve üçüncü paragraflarında belirtildiği şekilde ilerlenir.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gösterilmesi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Kalıntının ağırlığı numunenin yüzdesi olarak gösterilir.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8B0C7D"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Analizi yapan aynı kişi ve aynı numune üzerinde yapılan 2 paralel ölçümünün sonuçları arasındaki fark:</w:t>
      </w:r>
    </w:p>
    <w:p w:rsidR="008F593F" w:rsidRPr="007C1E0B" w:rsidRDefault="008F593F" w:rsidP="000748B1">
      <w:pPr>
        <w:pStyle w:val="ListeParagraf"/>
        <w:numPr>
          <w:ilvl w:val="0"/>
          <w:numId w:val="2"/>
        </w:numPr>
        <w:jc w:val="both"/>
        <w:rPr>
          <w:sz w:val="20"/>
          <w:szCs w:val="20"/>
        </w:rPr>
      </w:pPr>
      <w:r w:rsidRPr="007C1E0B">
        <w:rPr>
          <w:sz w:val="20"/>
          <w:szCs w:val="20"/>
        </w:rPr>
        <w:t>%</w:t>
      </w:r>
      <w:r w:rsidR="008B0C7D" w:rsidRPr="007C1E0B">
        <w:rPr>
          <w:sz w:val="20"/>
          <w:szCs w:val="20"/>
        </w:rPr>
        <w:t xml:space="preserve"> </w:t>
      </w:r>
      <w:r w:rsidRPr="007C1E0B">
        <w:rPr>
          <w:sz w:val="20"/>
          <w:szCs w:val="20"/>
        </w:rPr>
        <w:t xml:space="preserve">5’ ten az ham katı ya da sıvı yağ içeriği olanlar için mutlak değerde % </w:t>
      </w:r>
      <w:r w:rsidR="008B0C7D" w:rsidRPr="007C1E0B">
        <w:rPr>
          <w:sz w:val="20"/>
          <w:szCs w:val="20"/>
        </w:rPr>
        <w:t xml:space="preserve"> </w:t>
      </w:r>
      <w:r w:rsidRPr="007C1E0B">
        <w:rPr>
          <w:sz w:val="20"/>
          <w:szCs w:val="20"/>
        </w:rPr>
        <w:t>0,2’ den,</w:t>
      </w:r>
    </w:p>
    <w:p w:rsidR="008F593F" w:rsidRPr="007C1E0B" w:rsidRDefault="008F593F" w:rsidP="000748B1">
      <w:pPr>
        <w:pStyle w:val="ListeParagraf"/>
        <w:numPr>
          <w:ilvl w:val="0"/>
          <w:numId w:val="2"/>
        </w:numPr>
        <w:jc w:val="both"/>
        <w:rPr>
          <w:sz w:val="20"/>
          <w:szCs w:val="20"/>
        </w:rPr>
      </w:pPr>
      <w:r w:rsidRPr="007C1E0B">
        <w:rPr>
          <w:sz w:val="20"/>
          <w:szCs w:val="20"/>
        </w:rPr>
        <w:t>İçerikleri %</w:t>
      </w:r>
      <w:r w:rsidR="008B0C7D" w:rsidRPr="007C1E0B">
        <w:rPr>
          <w:sz w:val="20"/>
          <w:szCs w:val="20"/>
        </w:rPr>
        <w:t xml:space="preserve"> </w:t>
      </w:r>
      <w:r w:rsidRPr="007C1E0B">
        <w:rPr>
          <w:sz w:val="20"/>
          <w:szCs w:val="20"/>
        </w:rPr>
        <w:t>5 ile %</w:t>
      </w:r>
      <w:r w:rsidR="008B0C7D" w:rsidRPr="007C1E0B">
        <w:rPr>
          <w:sz w:val="20"/>
          <w:szCs w:val="20"/>
        </w:rPr>
        <w:t xml:space="preserve"> </w:t>
      </w:r>
      <w:r w:rsidRPr="007C1E0B">
        <w:rPr>
          <w:sz w:val="20"/>
          <w:szCs w:val="20"/>
        </w:rPr>
        <w:t>10 arasındaki için en yüksek sonuçlara göre bağıl olarak %</w:t>
      </w:r>
      <w:r w:rsidR="008B0C7D" w:rsidRPr="007C1E0B">
        <w:rPr>
          <w:sz w:val="20"/>
          <w:szCs w:val="20"/>
        </w:rPr>
        <w:t xml:space="preserve"> </w:t>
      </w:r>
      <w:r w:rsidRPr="007C1E0B">
        <w:rPr>
          <w:sz w:val="20"/>
          <w:szCs w:val="20"/>
        </w:rPr>
        <w:t>4,0’ dan,</w:t>
      </w:r>
    </w:p>
    <w:p w:rsidR="004C0925" w:rsidRPr="007C1E0B" w:rsidRDefault="004C0925" w:rsidP="000748B1">
      <w:pPr>
        <w:pStyle w:val="ListeParagraf"/>
        <w:numPr>
          <w:ilvl w:val="0"/>
          <w:numId w:val="2"/>
        </w:numPr>
        <w:jc w:val="both"/>
        <w:rPr>
          <w:sz w:val="20"/>
          <w:szCs w:val="20"/>
        </w:rPr>
      </w:pPr>
      <w:r w:rsidRPr="007C1E0B">
        <w:rPr>
          <w:sz w:val="20"/>
          <w:szCs w:val="20"/>
        </w:rPr>
        <w:t>İçerikleri %</w:t>
      </w:r>
      <w:r w:rsidR="008B0C7D" w:rsidRPr="007C1E0B">
        <w:rPr>
          <w:sz w:val="20"/>
          <w:szCs w:val="20"/>
        </w:rPr>
        <w:t xml:space="preserve"> </w:t>
      </w:r>
      <w:r w:rsidRPr="007C1E0B">
        <w:rPr>
          <w:sz w:val="20"/>
          <w:szCs w:val="20"/>
        </w:rPr>
        <w:t>10’dan fazla olanlar için mutlak değer olarak %</w:t>
      </w:r>
      <w:r w:rsidR="008B0C7D" w:rsidRPr="007C1E0B">
        <w:rPr>
          <w:sz w:val="20"/>
          <w:szCs w:val="20"/>
        </w:rPr>
        <w:t xml:space="preserve"> </w:t>
      </w:r>
      <w:r w:rsidRPr="007C1E0B">
        <w:rPr>
          <w:sz w:val="20"/>
          <w:szCs w:val="20"/>
        </w:rPr>
        <w:t>0,4’ ten fazla olmamalıdır.</w:t>
      </w:r>
    </w:p>
    <w:p w:rsidR="004C0925" w:rsidRPr="007C1E0B" w:rsidRDefault="004C0925"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8.1.</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Parçalaması zor olan ya da homojen bir numuneye dönüştürülmesi zor olan yüksek katı ve sıvı yağ içeriğine sahip olan ürünler için aşağıdaki gibi ilerlenir.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g numune 1 mg hassasiyetle tartılır ve 10 g ya da daha fazla anhidre (susuz) sodyum sülfat (3.2) ile karıştırılır. Madde 5.1’de belirtildiği gibi petrol eteri (3.1) ile ekstrakte edilir. Elde edilen ekstrakt petrol eteri (3.1) ile 500 ml’ ye tamamlanır ve karıştırılır. 50 ml çözelti alınır ve kurutulmuş tartılmış ve süngertaşı parçaları içeren cam balona yerleştirilir. Çözücü damıtılıp, kurutulur ve madde 5.1’in son paragrafında belirtildiği gibi ilerlenir.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Kartuş içinde kalan kalıntılardan çözücü ayırılır, kalıntılar 1 mm’lik incelikte parçalanıp, tekrar kartuşun içine alınır (sodyum sülfat eklenmez) madde 5.1’ in ikinci ve üçüncü paragraflarında belirtildiği şekilde ilerlenir.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formülü kullanarak katı ve sıvı yağ içeriğinin numunedeki yüzdesini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(10m</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m</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 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İlk ekstraksiyondan sonraki kalıntının gram cinsinden ağırlığı (ekstraktın sıvı kısmı),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İkinci ekstraktraksiyondan sonraki kalıntının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Katı ve sıvı yağ oranı düşük ürünlerde test numunelerinin ağırlığı 5 g’a çıkarılabilir.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8.3.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Yüksek miktarda su içeren pet hayvan yemlerinin; her bir</w:t>
      </w:r>
      <w:r w:rsidR="00FB643C" w:rsidRPr="007C1E0B">
        <w:rPr>
          <w:rFonts w:ascii="Times New Roman" w:hAnsi="Times New Roman" w:cs="Times New Roman"/>
          <w:sz w:val="20"/>
          <w:szCs w:val="20"/>
        </w:rPr>
        <w:t>i</w:t>
      </w:r>
      <w:r w:rsidRPr="007C1E0B">
        <w:rPr>
          <w:rFonts w:ascii="Times New Roman" w:hAnsi="Times New Roman" w:cs="Times New Roman"/>
          <w:sz w:val="20"/>
          <w:szCs w:val="20"/>
        </w:rPr>
        <w:t xml:space="preserve"> Metot B’de hidroliz ve ekstraktsiyon işleminden önce susuz sodyum sülfat ile karıştırılması gerekebilir.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8.4.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Paragraf 5.2’de; süzdükten sonra soğuk su yerine sıcak su ile yıkama yapmak daha etkili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8.5.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Bazı yemler için kurutma süresi olan 1,5 saatin uzatılması gerekebilir. Düşük sonuçlara sebep olmamak için aşırı kurutmadan kaçınılmalıdır. Mikrodalga etüv de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8.6.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Eğer ham katı ya da sıvı yağ oranı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15’ten yüksek ise; Metot A için ön-</w:t>
      </w:r>
      <w:r w:rsidR="00B54B0C" w:rsidRPr="007C1E0B">
        <w:rPr>
          <w:rFonts w:ascii="Times New Roman" w:hAnsi="Times New Roman" w:cs="Times New Roman"/>
          <w:sz w:val="20"/>
          <w:szCs w:val="20"/>
        </w:rPr>
        <w:t>e</w:t>
      </w:r>
      <w:r w:rsidRPr="007C1E0B">
        <w:rPr>
          <w:rFonts w:ascii="Times New Roman" w:hAnsi="Times New Roman" w:cs="Times New Roman"/>
          <w:sz w:val="20"/>
          <w:szCs w:val="20"/>
        </w:rPr>
        <w:t>kstraksiyon ve Metot B için tekrar-</w:t>
      </w:r>
      <w:r w:rsidR="00B54B0C" w:rsidRPr="007C1E0B">
        <w:rPr>
          <w:rFonts w:ascii="Times New Roman" w:hAnsi="Times New Roman" w:cs="Times New Roman"/>
          <w:sz w:val="20"/>
          <w:szCs w:val="20"/>
        </w:rPr>
        <w:t>e</w:t>
      </w:r>
      <w:r w:rsidRPr="007C1E0B">
        <w:rPr>
          <w:rFonts w:ascii="Times New Roman" w:hAnsi="Times New Roman" w:cs="Times New Roman"/>
          <w:sz w:val="20"/>
          <w:szCs w:val="20"/>
        </w:rPr>
        <w:t xml:space="preserve">kstraksiyon önerilir. </w:t>
      </w:r>
      <w:r w:rsidR="001911A7" w:rsidRPr="007C1E0B">
        <w:rPr>
          <w:rFonts w:ascii="Times New Roman" w:hAnsi="Times New Roman"/>
          <w:sz w:val="20"/>
          <w:szCs w:val="20"/>
        </w:rPr>
        <w:t>Bu durum yemdeki katı/sıvı yağın yapısına ve yemin bileşimine bağlıdır.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Ğ.</w:t>
      </w:r>
      <w:r w:rsidR="008B0C7D"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 HAM SELÜLOZ TAYİNİ</w:t>
      </w:r>
      <w:r w:rsidR="008B0C7D" w:rsidRPr="007C1E0B">
        <w:rPr>
          <w:rFonts w:ascii="Times New Roman" w:hAnsi="Times New Roman" w:cs="Times New Roman"/>
          <w:b/>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yemlerde ham selüloz miktarının belirlenmesini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B0C7D"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Gerekli ise yağı alınmış numune, belirli yoğunluktaki sülfürik asit ve potasyum hidroksit çözeltileriyle ile arka arkaya kaynatılır. Kalıntı; sinterlenmiş cam filtre üzerinde süzülerek ayrılır, yıkanır, kurutulur, tartılır ve 475 ile 500°C aralığında yakılır. Yanma sonunda oluşan ağırlık kaybı, numunedeki ham selüloz miktarına karşılık gelir.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c = 0,13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Köpük engelleyici madde (örneğin, n-oktanol)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Filtre yardımcı malzemesi (Celite 545 ya da eşdeğeri) dört saat boyunca 500°C’de yakılmış, (8.6)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Petrol eteri, kaynama aralığı 40 ile 60°C olan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c = 0,5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hidroksit çözeltisi, c = 0,23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7E60B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9B196C" w:rsidRPr="007C1E0B">
        <w:rPr>
          <w:rFonts w:ascii="Times New Roman" w:hAnsi="Times New Roman" w:cs="Times New Roman"/>
          <w:sz w:val="20"/>
          <w:szCs w:val="20"/>
        </w:rPr>
        <w:t>Sülfürik asit ve potasyum hidroksitle parçalama işlemi için</w:t>
      </w:r>
      <w:r w:rsidR="002D0A32" w:rsidRPr="007C1E0B">
        <w:rPr>
          <w:rFonts w:ascii="Times New Roman" w:hAnsi="Times New Roman" w:cs="Times New Roman"/>
          <w:sz w:val="20"/>
          <w:szCs w:val="20"/>
        </w:rPr>
        <w:t>,</w:t>
      </w:r>
      <w:r w:rsidR="009B196C" w:rsidRPr="007C1E0B">
        <w:rPr>
          <w:rFonts w:ascii="Times New Roman" w:hAnsi="Times New Roman" w:cs="Times New Roman"/>
          <w:sz w:val="20"/>
          <w:szCs w:val="20"/>
        </w:rPr>
        <w:t xml:space="preserve"> süzme krozesi (4.2) desteği olan ve tapalı sıvı çıkış borusu ve </w:t>
      </w:r>
      <w:r w:rsidR="002D0A32" w:rsidRPr="007C1E0B">
        <w:rPr>
          <w:rFonts w:ascii="Times New Roman" w:hAnsi="Times New Roman" w:cs="Times New Roman"/>
          <w:sz w:val="20"/>
          <w:szCs w:val="20"/>
        </w:rPr>
        <w:t xml:space="preserve">mümkünse hava basınçlı vakumla donatılmış </w:t>
      </w:r>
      <w:r w:rsidR="00FB643C" w:rsidRPr="007C1E0B">
        <w:rPr>
          <w:rFonts w:ascii="Times New Roman" w:hAnsi="Times New Roman" w:cs="Times New Roman"/>
          <w:sz w:val="20"/>
          <w:szCs w:val="20"/>
        </w:rPr>
        <w:t>ı</w:t>
      </w:r>
      <w:r w:rsidRPr="007C1E0B">
        <w:rPr>
          <w:rFonts w:ascii="Times New Roman" w:hAnsi="Times New Roman" w:cs="Times New Roman"/>
          <w:sz w:val="20"/>
          <w:szCs w:val="20"/>
        </w:rPr>
        <w:t>sıtma ünitesi . Her kullanımdan önce ünite kaynayan su ile 5 dakikada boyunca ön ısıtmaya tabi tutulur.</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Gözenek boyutu 40-90 μm olan sinterlenmiş cam süzgeç plakalı kroze (nuçe krozesi). İlk kullanımdan önce birkaç dakika boyunca 500°C’ ye ısıtılır ve soğutulur (8.6)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Kaynamaya uygun, geri soğutuculu en azından 270 ml kapasiteli silindir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4.4. Termostatlı kurutma etüvü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4.5. Termostatlı kül fırını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4.6. Ekstraksiyon ünitesi, süzgeç krozesi (4</w:t>
      </w:r>
      <w:r w:rsidR="00FB643C" w:rsidRPr="007C1E0B">
        <w:rPr>
          <w:rFonts w:ascii="Times New Roman" w:hAnsi="Times New Roman" w:cs="Times New Roman"/>
          <w:sz w:val="20"/>
          <w:szCs w:val="20"/>
        </w:rPr>
        <w:t>.</w:t>
      </w:r>
      <w:r w:rsidRPr="007C1E0B">
        <w:rPr>
          <w:rFonts w:ascii="Times New Roman" w:hAnsi="Times New Roman" w:cs="Times New Roman"/>
          <w:sz w:val="20"/>
          <w:szCs w:val="20"/>
        </w:rPr>
        <w:t>2) için destek plakasından oluşan ve vakum için kapaklı boşaltım borusu ve sıvı çıkışı olan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4.7. Birleştirme halkaları, ısıtma ünitesi (4.1), kroze (4.2) ve silindiri (4.3) monte etmek ve soğuk ekstraksiyon ünitesi (4.6) ve krozeyi birbirine bağlamak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7E60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g numune, 1 mg hassasiyetle  kroze içerisine tartılır ve (bakınız gözlem 8.1, 8.2 ve 8.3) ve 1 g filtreleme desteği filtre yardımcı malzemesi eklenir (3.3).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Isıtma ünitesi (4.1) ve filtre krozesi (4.2) monte edilir daha sonra silindir (4.3) krozeye bağlanır. 150 ml kaynayan sülfürik asit (3.1) bağlanmış silindir ve krozeye dökülür ve eğer gerekli ise birkaç damla köpük önleyici madde (3.2)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Sıvı 5 ±  2 dakika içinde kaynama durumuna getirilir ve aktif bir biçimde tam olarak 30 dakika boyunca kaynatılır.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Boşaltım borusunun kapağı açılır (4.1) ve vakum altında sülfürik asit filtre krozeden geçirilir ve kalıntılar ardı ardına üç defa 30 ml kaynayan suyla yıkanır, her yıkamadan sonra süzülen kalıntının kuru olduğundan emin olunmalıdır.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Çıkış kapağı kapatılır ve 150 ml kaynayan potasyum hidroksit çözeltisi (3.7) bağlanmış silindir ve krozeye dökülür ve birkaç damla köpük önleyici madde (3.2) eklenir. Sıvı 5 ± 2 dakika içinde kaynama durumuna getirilir ve aktif bir biçimde tam olarak 30 dakika boyunca kaynatılır. Süzülür ve sülfürik asit için uygulanan yıkama işlemi tekrarlanır.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Son yıkama ve kurutma adımından sonra krozenin ve parçalarının bağlantısı ayrılır ve kroze tekrar soğuk ekstraksiyon ünitesine (4.6) bağlanır. Vakum uygulanır ve kroze içindeki kalıntılar ardı ardına üç defa 25 ml aseton (3.4) ile yıkanır, her yıkamadan sonra süzülen kalıntının kuru olduğundan emin olunmalıdır.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Kroze 130°C’ de etüvde sabit ağırlığa gelene kadar kurutulur. Kurutmadan sonra desikatörde soğutulur ve hemen tartılır. Kroze kül fırınına yerleştirilir ve sabit ağırlığa kadar 475 ile 500°C aralığında en azından 30 dakika boyunca yakılır (birbirini izleyen bu iki tartım arasında</w:t>
      </w:r>
      <w:r w:rsidR="007E60BF" w:rsidRPr="007C1E0B">
        <w:rPr>
          <w:rFonts w:ascii="Times New Roman" w:hAnsi="Times New Roman" w:cs="Times New Roman"/>
          <w:sz w:val="20"/>
          <w:szCs w:val="20"/>
        </w:rPr>
        <w:t>ki fark 2 mg’dan az ya da 2 mg’</w:t>
      </w:r>
      <w:r w:rsidRPr="007C1E0B">
        <w:rPr>
          <w:rFonts w:ascii="Times New Roman" w:hAnsi="Times New Roman" w:cs="Times New Roman"/>
          <w:sz w:val="20"/>
          <w:szCs w:val="20"/>
        </w:rPr>
        <w:t>a eşit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Her yakmadan sonra önce fırın içinde daha sonra desikatörde soğutulur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içermeyen </w:t>
      </w:r>
      <w:r w:rsidR="008C09FB" w:rsidRPr="007C1E0B">
        <w:rPr>
          <w:rFonts w:ascii="Times New Roman" w:hAnsi="Times New Roman" w:cs="Times New Roman"/>
          <w:sz w:val="20"/>
          <w:szCs w:val="20"/>
        </w:rPr>
        <w:t>kör</w:t>
      </w:r>
      <w:r w:rsidRPr="007C1E0B">
        <w:rPr>
          <w:rFonts w:ascii="Times New Roman" w:hAnsi="Times New Roman" w:cs="Times New Roman"/>
          <w:sz w:val="20"/>
          <w:szCs w:val="20"/>
        </w:rPr>
        <w:t xml:space="preserve"> bir test uygulanır. Yakma sonucu oluşan ağırlık kaybı 4 mg’ı aşmamalıdır.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 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Ham selüloz içeriğinin numunedeki yüzdesi şöyle ifade edilir:</w:t>
      </w:r>
    </w:p>
    <w:p w:rsidR="008F593F" w:rsidRPr="007C1E0B" w:rsidRDefault="004C0925"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inline distT="0" distB="0" distL="0" distR="0" wp14:anchorId="72BBC471" wp14:editId="3D2C02FB">
            <wp:extent cx="1327106" cy="413468"/>
            <wp:effectExtent l="0" t="0" r="6985" b="571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263" cy="423798"/>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m = Numune ağırlığı,</w:t>
      </w:r>
      <w:r w:rsidR="00C54676"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g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0</w:t>
      </w:r>
      <w:r w:rsidRPr="007C1E0B">
        <w:rPr>
          <w:rFonts w:ascii="Times New Roman" w:hAnsi="Times New Roman" w:cs="Times New Roman"/>
          <w:sz w:val="20"/>
          <w:szCs w:val="20"/>
        </w:rPr>
        <w:t xml:space="preserve"> = Yaktıktan sonraki ağırlık kaybı, g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içermeyen </w:t>
      </w:r>
      <w:r w:rsidR="00690EF1" w:rsidRPr="007C1E0B">
        <w:rPr>
          <w:rFonts w:ascii="Times New Roman" w:hAnsi="Times New Roman" w:cs="Times New Roman"/>
          <w:sz w:val="20"/>
          <w:szCs w:val="20"/>
        </w:rPr>
        <w:t xml:space="preserve">kör </w:t>
      </w:r>
      <w:r w:rsidRPr="007C1E0B">
        <w:rPr>
          <w:rFonts w:ascii="Times New Roman" w:hAnsi="Times New Roman" w:cs="Times New Roman"/>
          <w:sz w:val="20"/>
          <w:szCs w:val="20"/>
        </w:rPr>
        <w:t>testin yaktıktan sonraki ağırlık kaybı,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r w:rsidR="0016784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 için iki paraleller arasındaki fark:</w:t>
      </w:r>
    </w:p>
    <w:p w:rsidR="00C54676" w:rsidRPr="007C1E0B" w:rsidRDefault="008F593F" w:rsidP="000748B1">
      <w:pPr>
        <w:pStyle w:val="ListeParagraf"/>
        <w:numPr>
          <w:ilvl w:val="0"/>
          <w:numId w:val="2"/>
        </w:numPr>
        <w:jc w:val="both"/>
        <w:rPr>
          <w:sz w:val="20"/>
          <w:szCs w:val="20"/>
        </w:rPr>
      </w:pPr>
      <w:r w:rsidRPr="007C1E0B">
        <w:rPr>
          <w:sz w:val="20"/>
          <w:szCs w:val="20"/>
        </w:rPr>
        <w:t>% 10’dan daha az ham selüloz kapsayan numunelerde mutlak değer olarak % 0.6’dan</w:t>
      </w:r>
      <w:r w:rsidR="007E60BF" w:rsidRPr="007C1E0B">
        <w:rPr>
          <w:sz w:val="20"/>
          <w:szCs w:val="20"/>
        </w:rPr>
        <w:t xml:space="preserve"> </w:t>
      </w:r>
    </w:p>
    <w:p w:rsidR="008F593F" w:rsidRPr="007C1E0B" w:rsidRDefault="008F593F" w:rsidP="000748B1">
      <w:pPr>
        <w:pStyle w:val="ListeParagraf"/>
        <w:numPr>
          <w:ilvl w:val="0"/>
          <w:numId w:val="2"/>
        </w:numPr>
        <w:jc w:val="both"/>
        <w:rPr>
          <w:sz w:val="20"/>
          <w:szCs w:val="20"/>
        </w:rPr>
      </w:pPr>
      <w:r w:rsidRPr="007C1E0B">
        <w:rPr>
          <w:sz w:val="20"/>
          <w:szCs w:val="20"/>
        </w:rPr>
        <w:t>%</w:t>
      </w:r>
      <w:r w:rsidR="00E11ACA" w:rsidRPr="007C1E0B">
        <w:rPr>
          <w:sz w:val="20"/>
          <w:szCs w:val="20"/>
        </w:rPr>
        <w:t xml:space="preserve"> </w:t>
      </w:r>
      <w:r w:rsidRPr="007C1E0B">
        <w:rPr>
          <w:sz w:val="20"/>
          <w:szCs w:val="20"/>
        </w:rPr>
        <w:t>10 ve daha fazla ham selüloz kapsayan numunelerde en yüksek sonucun % 6’sından fazla olmamalıdır.</w:t>
      </w:r>
    </w:p>
    <w:p w:rsidR="00167847" w:rsidRPr="007C1E0B" w:rsidRDefault="00167847" w:rsidP="00D1516C">
      <w:pPr>
        <w:pStyle w:val="ListeParagraf"/>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 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8.1.</w:t>
      </w:r>
      <w:r w:rsidR="0016784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E11ACA" w:rsidRPr="007C1E0B">
        <w:rPr>
          <w:rFonts w:ascii="Times New Roman" w:hAnsi="Times New Roman" w:cs="Times New Roman"/>
          <w:sz w:val="20"/>
          <w:szCs w:val="20"/>
        </w:rPr>
        <w:t xml:space="preserve"> </w:t>
      </w:r>
      <w:r w:rsidRPr="007C1E0B">
        <w:rPr>
          <w:rFonts w:ascii="Times New Roman" w:hAnsi="Times New Roman" w:cs="Times New Roman"/>
          <w:sz w:val="20"/>
          <w:szCs w:val="20"/>
        </w:rPr>
        <w:t>10’dan fazla ham yağ içeriği olan yemlerin analizden önce petrol eteri (3.5) ile yağı alınmalıdır. süzme krozesi (4.2) ve parçaları soğuk ekstraksiyon ünitesine (4.6) bağlanır, Vakum uygulanır ve kroze içindeki kalıntılar ardı ardına üç defa 30 ml petrol eteri ile yıkanır, kalıntının kuru olduğundan emin olunmalıdır. Kroze ve parçaları ısıtma ünitesine (4.1) ve 5.1’e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8.2.</w:t>
      </w:r>
      <w:r w:rsidR="0016784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Petrol eteri (3.5) ile yağı alınamayan yemlerin yağı 8.1’de gösterildiği gibi alınmalı ve daha sonra kaynayan asit ile bir kez daha yağları alınmalıdır. Asitle kaynatılmasından sonra yıkama aşamasından sonra kroze ve parçaları soğuk </w:t>
      </w:r>
      <w:r w:rsidR="00A557CA" w:rsidRPr="007C1E0B">
        <w:rPr>
          <w:rFonts w:ascii="Times New Roman" w:hAnsi="Times New Roman" w:cs="Times New Roman"/>
          <w:sz w:val="20"/>
          <w:szCs w:val="20"/>
        </w:rPr>
        <w:t>e</w:t>
      </w:r>
      <w:r w:rsidRPr="007C1E0B">
        <w:rPr>
          <w:rFonts w:ascii="Times New Roman" w:hAnsi="Times New Roman" w:cs="Times New Roman"/>
          <w:sz w:val="20"/>
          <w:szCs w:val="20"/>
        </w:rPr>
        <w:t>kstraksiyon ünitesine (4.6) bağlanır ve üç defa 30 ml asetonla yıkamayı takiben üç defa 30 ml petrol eteri ile yıkanır. Vakum altında kuruyana kadar filtre edilir ve potasyum hidroksit işlemi</w:t>
      </w:r>
      <w:r w:rsidR="00B04D6F" w:rsidRPr="007C1E0B">
        <w:rPr>
          <w:rFonts w:ascii="Times New Roman" w:hAnsi="Times New Roman" w:cs="Times New Roman"/>
          <w:sz w:val="20"/>
          <w:szCs w:val="20"/>
        </w:rPr>
        <w:t xml:space="preserve">nden başlayarak </w:t>
      </w:r>
      <w:r w:rsidRPr="007C1E0B">
        <w:rPr>
          <w:rFonts w:ascii="Times New Roman" w:hAnsi="Times New Roman" w:cs="Times New Roman"/>
          <w:sz w:val="20"/>
          <w:szCs w:val="20"/>
        </w:rPr>
        <w:t xml:space="preserve"> </w:t>
      </w:r>
      <w:r w:rsidR="00B04D6F" w:rsidRPr="007C1E0B">
        <w:rPr>
          <w:rFonts w:ascii="Times New Roman" w:hAnsi="Times New Roman" w:cs="Times New Roman"/>
          <w:sz w:val="20"/>
          <w:szCs w:val="20"/>
        </w:rPr>
        <w:t xml:space="preserve">madde </w:t>
      </w:r>
      <w:r w:rsidRPr="007C1E0B">
        <w:rPr>
          <w:rFonts w:ascii="Times New Roman" w:hAnsi="Times New Roman" w:cs="Times New Roman"/>
          <w:sz w:val="20"/>
          <w:szCs w:val="20"/>
        </w:rPr>
        <w:t>5’</w:t>
      </w:r>
      <w:r w:rsidR="00B04D6F" w:rsidRPr="007C1E0B">
        <w:rPr>
          <w:rFonts w:ascii="Times New Roman" w:hAnsi="Times New Roman" w:cs="Times New Roman"/>
          <w:sz w:val="20"/>
          <w:szCs w:val="20"/>
        </w:rPr>
        <w:t>de</w:t>
      </w:r>
      <w:r w:rsidRPr="007C1E0B">
        <w:rPr>
          <w:rFonts w:ascii="Times New Roman" w:hAnsi="Times New Roman" w:cs="Times New Roman"/>
          <w:sz w:val="20"/>
          <w:szCs w:val="20"/>
        </w:rPr>
        <w:t xml:space="preserve"> </w:t>
      </w:r>
      <w:r w:rsidR="00B04D6F" w:rsidRPr="007C1E0B">
        <w:rPr>
          <w:rFonts w:ascii="Times New Roman" w:hAnsi="Times New Roman" w:cs="Times New Roman"/>
          <w:sz w:val="20"/>
          <w:szCs w:val="20"/>
        </w:rPr>
        <w:t xml:space="preserve">belirtildiği gibi </w:t>
      </w:r>
      <w:r w:rsidRPr="007C1E0B">
        <w:rPr>
          <w:rFonts w:ascii="Times New Roman" w:hAnsi="Times New Roman" w:cs="Times New Roman"/>
          <w:sz w:val="20"/>
          <w:szCs w:val="20"/>
        </w:rPr>
        <w:t>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8.3</w:t>
      </w:r>
      <w:r w:rsidR="009F5D6E" w:rsidRPr="007C1E0B">
        <w:rPr>
          <w:rFonts w:ascii="Times New Roman" w:hAnsi="Times New Roman"/>
          <w:sz w:val="20"/>
          <w:szCs w:val="20"/>
        </w:rPr>
        <w:t xml:space="preserve"> Eğer yem % 5’ten fazla karbonat (kalsiyum karbonat olarak) içeriyorsa ,tartılmış numune</w:t>
      </w:r>
      <w:r w:rsidR="00B04D6F" w:rsidRPr="007C1E0B">
        <w:rPr>
          <w:rFonts w:ascii="Times New Roman" w:hAnsi="Times New Roman"/>
          <w:sz w:val="20"/>
          <w:szCs w:val="20"/>
        </w:rPr>
        <w:t>yle</w:t>
      </w:r>
      <w:r w:rsidR="009F5D6E" w:rsidRPr="007C1E0B">
        <w:rPr>
          <w:rFonts w:ascii="Times New Roman" w:hAnsi="Times New Roman"/>
          <w:sz w:val="20"/>
          <w:szCs w:val="20"/>
        </w:rPr>
        <w:t>, kroze (4.2) ısıtma ünitesine (4.1) takılır, numune üç defa 30 ml hidroklorik asitle (3.6) yıkanır. Her bir eklemeden sonra numune süzülmeden  önce bir dakika boyunca bekletilir,30 ml su ile bir defa yıkanır ve 5.’e göre işleme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8.4. Stand şeklinde bir cihaz kullanılıyorsa (birçok kroze aynı ısıtma ünitesine bağlanmıştır) aynı numunenin iki paraleli aynı seri içinde analiz edilemeyebilir.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8.5. Eğer kaynatmadan sonra asidik ve bazik çözeltileri süzmek zor ise ısıtma ünitesinin boşaltım borusundan basınçlı hava kullanılır ve süzmeye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8.6. Yakma işlemi için sıcaklık; cam filtre krozelerinin ömrünü uzatmak için 500°C’den daha yüksek olmamalıdır. Isıtma soğutma döngüleri sırasında </w:t>
      </w:r>
      <w:r w:rsidR="00D0333A" w:rsidRPr="007C1E0B">
        <w:rPr>
          <w:rFonts w:ascii="Times New Roman" w:hAnsi="Times New Roman" w:cs="Times New Roman"/>
          <w:sz w:val="20"/>
          <w:szCs w:val="20"/>
        </w:rPr>
        <w:t>yüksek</w:t>
      </w:r>
      <w:r w:rsidRPr="007C1E0B">
        <w:rPr>
          <w:rFonts w:ascii="Times New Roman" w:hAnsi="Times New Roman" w:cs="Times New Roman"/>
          <w:sz w:val="20"/>
          <w:szCs w:val="20"/>
        </w:rPr>
        <w:t xml:space="preserve"> termal şokun engellenmesi için dikkat edilmelidir.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H. ŞEKER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indirgen şeker ve inversiyondan sonra toplam şeker miktarını glukoz olarak veya gerekirse 0,95 faktörü ile çarpılarak sakkaroz olarak belirlemeyi mümkün kılar. Karma yemlere uygulanabilir. Diğer yemler için özel metotlar bulunmaktadır. Gerektiği noktada laktoz ayrı olarak ölçülür ve sonuçlar hesaplanırken dikkate alınır.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Şekerler seyreltilmiş etanol ile ekstrakte edilir; Carrez I ve II çözeltileri ile berraklaştırılır. Etanolun ayrılmasından sonra, inversiyondan önceki ve sonraki miktarlar Luff-Schoorl metodu ile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 çözeltisi %</w:t>
      </w:r>
      <w:r w:rsidR="00E11ACA" w:rsidRPr="007C1E0B">
        <w:rPr>
          <w:rFonts w:ascii="Times New Roman" w:hAnsi="Times New Roman" w:cs="Times New Roman"/>
          <w:sz w:val="20"/>
          <w:szCs w:val="20"/>
        </w:rPr>
        <w:t xml:space="preserve"> </w:t>
      </w:r>
      <w:r w:rsidRPr="007C1E0B">
        <w:rPr>
          <w:rFonts w:ascii="Times New Roman" w:hAnsi="Times New Roman" w:cs="Times New Roman"/>
          <w:sz w:val="20"/>
          <w:szCs w:val="20"/>
        </w:rPr>
        <w:t>40 (v/v) 20°C’de yoğunluk: 0,948 g/ml, fenolftalein ile nötrleştirilmiş.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Carrez I çözeltisi: 21,9 g çinko asetat Zn (CH</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COO)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2H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ve 3 g glasiyel asetik asit su içinde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Carrez II çözeltisi: 10,6 g Potasyum ferro siyanür K</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Fe (CN)</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3H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su içinde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Metil oranj, % 0,1 (w/v)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Hidroklorik asit 4 mol/l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hidroksit çözeltisi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Luff-Schoorli ayıracı: Dikkatlice karıştırarak sodyum karbonat çözeltisinin (3.8.3) içine sitrik asit çözeltisi (3.8.2) dökülür. Bakır sülfat çözeltisi (3.8.1) eklenir ve su ile 1 litreye tamamlanır. Çökmesi için gece boyunca bekletilir ve süzülür.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Elde edilen ayıracın (Cu 0,05 mol/litre;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CO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1 mol/l) konsantrasyonu kontrol edilir</w:t>
      </w:r>
      <w:r w:rsidR="00B04D6F" w:rsidRPr="007C1E0B">
        <w:rPr>
          <w:rFonts w:ascii="Times New Roman" w:hAnsi="Times New Roman" w:cs="Times New Roman"/>
          <w:sz w:val="20"/>
          <w:szCs w:val="20"/>
        </w:rPr>
        <w:t>.</w:t>
      </w:r>
      <w:r w:rsidRPr="007C1E0B">
        <w:rPr>
          <w:rFonts w:ascii="Times New Roman" w:hAnsi="Times New Roman" w:cs="Times New Roman"/>
          <w:sz w:val="20"/>
          <w:szCs w:val="20"/>
        </w:rPr>
        <w:t xml:space="preserve"> (bakınız (5.4) son paragraf) Çözeltinin pH değeri yaklaşık olarak 9,4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3.8.1. Bakır sülfat çözeltisi: 25 g bakır sülfat (demir içermeyen), CuSO</w:t>
      </w:r>
      <w:r w:rsidRPr="007C1E0B">
        <w:rPr>
          <w:rFonts w:ascii="Times New Roman" w:hAnsi="Times New Roman" w:cs="Times New Roman"/>
          <w:sz w:val="20"/>
          <w:szCs w:val="20"/>
          <w:vertAlign w:val="subscript"/>
        </w:rPr>
        <w:t>4</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5H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100 ml su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Sitrik asit çözeltisi: 50 g sitrik asit C</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8</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7</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50 ml su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3.8.3. Sodyum karbonat çözeltisi: 143,8 g susuz sodyum karbonat yaklaşık 300 ml ılık su içinde çözündürülür. Soğumaya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Sodyumtiyosülfat çözeltisi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3.10. Nişasta çözeltisi: 5 g nişasta 30 ml  su içinde çözülürlerek karışım 1 litre kaynayan suya eklenir. 3 dakika kaynatılır ve soğumaya bırakılır, gerekli ise 10 mg cıva iki iyodürü koruyucu olarak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iyodür, çözelti %</w:t>
      </w:r>
      <w:r w:rsidR="00E11ACA" w:rsidRPr="007C1E0B">
        <w:rPr>
          <w:rFonts w:ascii="Times New Roman" w:hAnsi="Times New Roman" w:cs="Times New Roman"/>
          <w:sz w:val="20"/>
          <w:szCs w:val="20"/>
        </w:rPr>
        <w:t xml:space="preserve"> </w:t>
      </w:r>
      <w:r w:rsidRPr="007C1E0B">
        <w:rPr>
          <w:rFonts w:ascii="Times New Roman" w:hAnsi="Times New Roman" w:cs="Times New Roman"/>
          <w:sz w:val="20"/>
          <w:szCs w:val="20"/>
        </w:rPr>
        <w:t>30 (w/v)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Granül sünger taşı, hidroklorik asit içinde kaynatılmış, su ile yıkanmış ve kurutulmuş</w:t>
      </w:r>
      <w:r w:rsidR="00B04D6F"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3-metilbütan-l-ol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Çalkalayıcı: yaklaşık 35 ile 40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ekstraksiyonu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2,5 g numune 1 mg hassasiyetle tartılır (numunenin yapısına göre numune miktarı arttırılabilir.) ve 250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200 ml etanol (3.1) eklenir ve çalkalayıcıda bir saat karıştırılır. 5 ml Carrez I çözeltisi (3.2) eklenir ve yaklaşık 30 saniye karıştırılır. 5 ml Carrez II çözeltisi (3.3) eklenir ve tekrar bir dakika karıştırılır. Etanol (3.1) ile hacme tamamlanır, homojenize edilir ve süzülür. 200 ml </w:t>
      </w:r>
      <w:r w:rsidR="00D0333A" w:rsidRPr="007C1E0B">
        <w:rPr>
          <w:rFonts w:ascii="Times New Roman" w:hAnsi="Times New Roman"/>
          <w:sz w:val="20"/>
          <w:szCs w:val="20"/>
        </w:rPr>
        <w:t xml:space="preserve">süzüntü alınır ve etanolun çoğunu ,elimine etmek  için yaklaşık hacmin yarısına kadar buharlaştırılır. </w:t>
      </w:r>
      <w:r w:rsidRPr="007C1E0B">
        <w:rPr>
          <w:rFonts w:ascii="Times New Roman" w:hAnsi="Times New Roman" w:cs="Times New Roman"/>
          <w:sz w:val="20"/>
          <w:szCs w:val="20"/>
        </w:rPr>
        <w:t>Buharlaşma kalıntısı 200 ml’lik balon jojeye ılık su kullanarak aktarılır, soğutulur, su ile hacmine tamamlanır, homojenize edilir ve eğer gerekiyorsa süzülür. Bu çözelti indirgen şekerlerin miktarını ve inversiyondan sonra ki toplam şeker miktarını belirlemekte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İndirgen şekerlerin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pipet kullanarak</w:t>
      </w:r>
      <w:r w:rsidR="00B04D6F" w:rsidRPr="007C1E0B">
        <w:rPr>
          <w:rFonts w:ascii="Times New Roman" w:hAnsi="Times New Roman" w:cs="Times New Roman"/>
          <w:sz w:val="20"/>
          <w:szCs w:val="20"/>
        </w:rPr>
        <w:t>.</w:t>
      </w:r>
      <w:r w:rsidRPr="007C1E0B">
        <w:rPr>
          <w:rFonts w:ascii="Times New Roman" w:hAnsi="Times New Roman" w:cs="Times New Roman"/>
          <w:sz w:val="20"/>
          <w:szCs w:val="20"/>
        </w:rPr>
        <w:t xml:space="preserve"> glikoz olarak adlandırılan indirgen şekerlerden en fazla 60 mg içeren çözeltiden 25 ml’den fazla olmayacak şekilde alınır. Eğer gerekiyorsa saf su ile hacmi 25 ml’ye tamamlanır ve indirgen şekerin içeriği Luff-Schoorl metodu ile belirlenir. Sonuç numune içindeki glikoz içeriğinin yüzde olarak ifadesidir.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İnversiyondan sonra toplam şekerin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pipet kullanarak çözeltiden 50 ml alınır ve 100 ml’lik balon jojeye aktarılır. Birkaç damla metil oranj çözeltisi (3.4) eklenir daha sonra dikkatlice ve sürekli karıştırarak sıvı belirgin bir kırmızıya dönene kadar hidroklorik asit (3.5) eklenir. 15 ml hidroklorik asit (3.6) eklenir ve balon joje hızlı kaynayan su banyosuna daldırılır ve burada 30 dakika tutulur. Hızlıca 20°C’ye soğutulur ve 15 ml sodyum hidroksit çözeltisi (3.7) eklenir. Saf su ekleyerek 100 ml’ye tamamlanır ve homojenize edilir. İndirgen şekerden 60 mg’dan az olacak şekilde, 25 ml’ye kadar alınır 25 ml’den az alınmışsa saf su ile hacmi 25 ml’ye tamamlanır ve indirgen şekerin içeriği Luff-Schoorl metodu ile belirlenir. Sonuç numune içindeki glikoz içeriğinin ya da uygun olan yerde 0,95 çarpım faktörü ile sakaroz içeriğinin yüzde olarak ifadesidir.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Luff-Schoorl metodu ile titrasyon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pipet kullanarak 25 ml Luff-Schoorli ayıracı (3.8) alınır ve 300 ml erlene aktarılır; tam olarak 25 ml berrak şeker çözeltisi eklenir. 2 granül süngertaşı (3.13) eklenir, kontrollü bir ateş üzerinde elle karıştırarak ısıtılır ve sıvı yaklaşık iki dakika içinde kaynama noktasına getirilir. Erlen üzerinde yaklaşık 6 cm çapında bir delik bulunan ve altında ateş yakılmış olan asbest kaplı tel örgü üzerine hemen alınır. Alev sadece Erlenin merkezinin ısıtılacağı bir biçimde ayarlanmalıdır. Erlen bir geri soğutucuya bağlanır. Tam olarak 10 dk boyunca kaynatılır. Hemen soğuk su içinde soğutulur ve 5 dakika sonra aşağıdaki şekilde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ml potasyum iyodür çözelitisi (3.12) eklenir ve hemen arkasından 25 ml sülfürik asit (3.11) eklenir. (çok köpüklenme riskine karşı dikkat edilmelidir), Tiyosülfat çözeltisi (3.9) ile donuk bir sarı renk oluşana kadar titre edilir, nişasta indikatörü (3.10) eklenir ve titrasyon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deneme: Aynı titrasyon tam olarak ölçülen 25 ml Luff-Schoorl ayıracı (3.8) ve 25 ml su karışımında 10 ml potasyum iyodür çözeltisi (3.12) ve 25 ml sülfürik asit (3.11) eklendikten sonra kaynatmadan tekrar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Tablo kullanılarak iki titrasyon değerleri arasındaki (0,1 mol/litre konsantrasyondaki sodyum tiyosülfat düzeyleri) farka karşılık gelen glikoz miktarının mg cinsinden bulunur. Sonuç numunenin yüzdesi olarak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Özel Metotlar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Yemin melas bakımından zengin olduğu ya da yemin özellikle homojen olmadığı durumlarda, 20 g tartılır ve 500 ml saf su ile 1 litrelik balon jojeye aktarılır. Çalkalayıcıda bir saat boyunca karıştırılır. Carrez I (3.2) ve II (3.3) ayıraçları kullanılarak 5.1’e göre berraklaştırılır, ancak bu sefer her bir ayıracın dört katı kullanılır. %</w:t>
      </w:r>
      <w:r w:rsidR="00E11ACA" w:rsidRPr="007C1E0B">
        <w:rPr>
          <w:rFonts w:ascii="Times New Roman" w:hAnsi="Times New Roman" w:cs="Times New Roman"/>
          <w:sz w:val="20"/>
          <w:szCs w:val="20"/>
        </w:rPr>
        <w:t xml:space="preserve"> </w:t>
      </w:r>
      <w:r w:rsidRPr="007C1E0B">
        <w:rPr>
          <w:rFonts w:ascii="Times New Roman" w:hAnsi="Times New Roman" w:cs="Times New Roman"/>
          <w:sz w:val="20"/>
          <w:szCs w:val="20"/>
        </w:rPr>
        <w:t>80’lik etanol (v/v) ile hacmine tamamlanır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Homojenize edilir ve süzülür. 5.1’e göre etanol ayrılır. Eğer hiç dekstrin</w:t>
      </w:r>
      <w:r w:rsidR="002D0A32" w:rsidRPr="007C1E0B">
        <w:rPr>
          <w:rFonts w:ascii="Times New Roman" w:hAnsi="Times New Roman" w:cs="Times New Roman"/>
          <w:sz w:val="20"/>
          <w:szCs w:val="20"/>
        </w:rPr>
        <w:t>ize</w:t>
      </w:r>
      <w:r w:rsidRPr="007C1E0B">
        <w:rPr>
          <w:rFonts w:ascii="Times New Roman" w:hAnsi="Times New Roman" w:cs="Times New Roman"/>
          <w:sz w:val="20"/>
          <w:szCs w:val="20"/>
        </w:rPr>
        <w:t xml:space="preserve"> nişasta bulunmuyor ise, saf su ile hacme getirilir.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yapılacak numunenin şeker bakımından zengin ve nişasta içermeyen (keçi boynuzu, kurutmuş şeker pancarı posası gibi) yem maddeleri ve melas olması durumunda, 5 g tartılır ve 250 ml’lik balon jojeye aktarılır, 200 ml saf su ilave edilir ve çalkalayıcıda bir saat, gerekirse daha fazla karıştırılır. Carrez I (3.2) ve II (3.3) ayıraçları kullanılarak 5.1’de anlatıldığı şekilde berraklaştırılır. Soğuk saf su ile hacmine tamamlanır, homojenize edilir ve süzülür. Toplam şeker miktarlarını belirlemek için 5.3’de anlatıldığı şekilde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8.1. Köpüklenmeyi önlemek için Luff-Schoorl ayıracı ile kaynatmadan önce (hacme bakılmaksızın) yaklaşık 1 ml 3-metilbütan-l-ol (3.14) eklenmesi önerilir.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8.2.</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İnversiyondan sonraki glikoz olarak belirtilen toplam şeker içeriği ile glikoz olarak belirtilen indirgen şeker miktarı arasındaki fark 0,95 ile çarpıldığında sakaroz içeriğinin yüzdesini verir.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Laktoz dışında, indirgen şeker içeriğinin belirlenmesi için iki metot uygulanabilir: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8.3.1. Yaklaşık bir hesaplama için, farklı bir analiz metodu ile bulunmuş laktoz içeriği 0,675 ile çarpılır ve elde edilen sonuç indirgen şeker içeriğinden çıkarılır.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8.3.2. Laktoz dışındaki indirgen şeker</w:t>
      </w:r>
      <w:r w:rsidR="002D0A32" w:rsidRPr="007C1E0B">
        <w:rPr>
          <w:rFonts w:ascii="Times New Roman" w:hAnsi="Times New Roman" w:cs="Times New Roman"/>
          <w:sz w:val="20"/>
          <w:szCs w:val="20"/>
        </w:rPr>
        <w:t>ler</w:t>
      </w:r>
      <w:r w:rsidRPr="007C1E0B">
        <w:rPr>
          <w:rFonts w:ascii="Times New Roman" w:hAnsi="Times New Roman" w:cs="Times New Roman"/>
          <w:sz w:val="20"/>
          <w:szCs w:val="20"/>
        </w:rPr>
        <w:t xml:space="preserve">in doğru bir şekilde hesaplanması için aynı numune iki </w:t>
      </w:r>
      <w:r w:rsidR="00A36D90" w:rsidRPr="007C1E0B">
        <w:rPr>
          <w:rFonts w:ascii="Times New Roman" w:hAnsi="Times New Roman" w:cs="Times New Roman"/>
          <w:sz w:val="20"/>
          <w:szCs w:val="20"/>
        </w:rPr>
        <w:t>son  tespit</w:t>
      </w:r>
      <w:r w:rsidR="00E6561C"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için kullanılmadır. Analizlerden biri 5.1’de ifade edilen çözelti kullanılarak, diğeri; bu amaç için belirlenmiş metotla (diğer tür şekerler fermente edilerek ve berraklaştırılarak) laktoz belirlenmesi sırasında elde edilen çözelti kullanılarak gerçekleştirilir.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iki durumda da var olan şeker miktarı Luff-Schoorl metodu ile belirlenir ve mg glikoz olarak hesaplanır. Bu değerlerden biri diğerinden çıkarılır ve fark numunenin yüzdesi olarak belirtilir.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Örnek: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belirleme için alınan iki hacim 250 mg’lık numuneye karşılık gelir. Bu ilk durumda 17 ml sodyum tiyosülfat çözeltisi (0,1 mol/l’lik) kullanılan 44,2 mg glikoza; ikincisinde 11 ml’si; 27,6 mg glikoza karşılık gelmektedir. Aradaki fark 16,6 mg glikozdur.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Glikoz olarak hesaplanan indirgen şeker içeriği (laktoz hariç) şöyledir: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D448CC" w:rsidRPr="007C1E0B">
        <w:rPr>
          <w:rFonts w:ascii="Times New Roman" w:hAnsi="Times New Roman" w:cs="Times New Roman"/>
          <w:noProof/>
          <w:sz w:val="20"/>
          <w:szCs w:val="20"/>
        </w:rPr>
        <w:drawing>
          <wp:inline distT="0" distB="0" distL="0" distR="0" wp14:anchorId="57ED4238" wp14:editId="44125448">
            <wp:extent cx="1360805" cy="47815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0805" cy="478155"/>
                    </a:xfrm>
                    <a:prstGeom prst="rect">
                      <a:avLst/>
                    </a:prstGeom>
                    <a:noFill/>
                    <a:ln>
                      <a:noFill/>
                    </a:ln>
                  </pic:spPr>
                </pic:pic>
              </a:graphicData>
            </a:graphic>
          </wp:inline>
        </w:drawing>
      </w:r>
    </w:p>
    <w:p w:rsidR="00A72D4E" w:rsidRPr="007C1E0B" w:rsidRDefault="00A72D4E"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ml Luff-Schoorl ayıracı için değerler tablosu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ml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0,1 mol/l, iki dakika ısıtma, 10 dakika kaynatma</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1"/>
        <w:gridCol w:w="1134"/>
        <w:gridCol w:w="1134"/>
        <w:gridCol w:w="1134"/>
        <w:gridCol w:w="993"/>
        <w:gridCol w:w="1134"/>
        <w:gridCol w:w="1134"/>
        <w:gridCol w:w="1559"/>
      </w:tblGrid>
      <w:tr w:rsidR="007C1E0B" w:rsidRPr="007C1E0B" w:rsidTr="001477CD">
        <w:trPr>
          <w:trHeight w:val="1190"/>
        </w:trPr>
        <w:tc>
          <w:tcPr>
            <w:tcW w:w="1021"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0,1 mol/l</w:t>
            </w:r>
          </w:p>
          <w:p w:rsidR="00C40782" w:rsidRPr="007C1E0B" w:rsidRDefault="00C40782" w:rsidP="001B722B">
            <w:pPr>
              <w:jc w:val="both"/>
              <w:rPr>
                <w:rFonts w:ascii="Times New Roman" w:hAnsi="Times New Roman" w:cs="Times New Roman"/>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Glikoz, fruktoz</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invert şekerler</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6</w:t>
            </w:r>
          </w:p>
        </w:tc>
        <w:tc>
          <w:tcPr>
            <w:tcW w:w="2127" w:type="dxa"/>
            <w:gridSpan w:val="2"/>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Laktoz</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22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11</w:t>
            </w:r>
          </w:p>
          <w:p w:rsidR="00C40782" w:rsidRPr="007C1E0B" w:rsidRDefault="00C40782" w:rsidP="001B722B">
            <w:pPr>
              <w:jc w:val="both"/>
              <w:rPr>
                <w:rFonts w:ascii="Times New Roman" w:hAnsi="Times New Roman" w:cs="Times New Roman"/>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Maltoz</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22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11</w:t>
            </w:r>
          </w:p>
          <w:p w:rsidR="00C40782" w:rsidRPr="007C1E0B" w:rsidRDefault="00C40782" w:rsidP="001B722B">
            <w:pPr>
              <w:jc w:val="both"/>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Na</w:t>
            </w:r>
            <w:r w:rsidRPr="007C1E0B">
              <w:rPr>
                <w:rFonts w:ascii="Times New Roman" w:hAnsi="Times New Roman" w:cs="Times New Roman"/>
                <w:sz w:val="20"/>
                <w:szCs w:val="20"/>
                <w:vertAlign w:val="subscript"/>
              </w:rPr>
              <w:t xml:space="preserve">2 </w:t>
            </w: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0,1 mol/l</w:t>
            </w:r>
          </w:p>
        </w:tc>
      </w:tr>
      <w:tr w:rsidR="007C1E0B" w:rsidRPr="007C1E0B" w:rsidTr="00AE5307">
        <w:tc>
          <w:tcPr>
            <w:tcW w:w="1021"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ml</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993"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559"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ml</w:t>
            </w:r>
          </w:p>
        </w:tc>
      </w:tr>
      <w:tr w:rsidR="00C40782" w:rsidRPr="007C1E0B" w:rsidTr="00AE5307">
        <w:trPr>
          <w:trHeight w:val="282"/>
        </w:trPr>
        <w:tc>
          <w:tcPr>
            <w:tcW w:w="1021"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134"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9,7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12,2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14,7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17,2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19,8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22,4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27,6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30,3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33,0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35,7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44,2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47,1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50,0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53,0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56,0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59,1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62,2</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87196E">
            <w:pPr>
              <w:tabs>
                <w:tab w:val="left" w:pos="746"/>
              </w:tabs>
              <w:jc w:val="both"/>
              <w:rPr>
                <w:rFonts w:ascii="Times New Roman" w:hAnsi="Times New Roman" w:cs="Times New Roman"/>
                <w:sz w:val="20"/>
                <w:szCs w:val="20"/>
              </w:rPr>
            </w:pPr>
            <w:r w:rsidRPr="007C1E0B">
              <w:rPr>
                <w:rFonts w:ascii="Times New Roman" w:hAnsi="Times New Roman" w:cs="Times New Roman"/>
                <w:sz w:val="20"/>
                <w:szCs w:val="20"/>
              </w:rPr>
              <w:t>3,6</w:t>
            </w:r>
            <w:r w:rsidR="00BD57B9" w:rsidRPr="007C1E0B">
              <w:rPr>
                <w:rFonts w:ascii="Times New Roman" w:hAnsi="Times New Roman" w:cs="Times New Roman"/>
                <w:sz w:val="20"/>
                <w:szCs w:val="20"/>
              </w:rPr>
              <w:tab/>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11,0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14,7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18,4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22,1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25,8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29,5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33,2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44,6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48,4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52,2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56,0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59,9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67,7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71,7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75,7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79,8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88,0</w:t>
            </w:r>
          </w:p>
        </w:tc>
        <w:tc>
          <w:tcPr>
            <w:tcW w:w="993"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11,7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15,6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19,6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23,5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27,5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31,5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35,5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43,5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47,5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51,6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55,7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59,8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68,0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72,2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76,5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80,9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85,4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90,0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94,6</w:t>
            </w:r>
          </w:p>
        </w:tc>
        <w:tc>
          <w:tcPr>
            <w:tcW w:w="1134" w:type="dxa"/>
            <w:tcBorders>
              <w:top w:val="single" w:sz="4" w:space="0" w:color="000000"/>
              <w:left w:val="single" w:sz="4" w:space="0" w:color="000000"/>
              <w:bottom w:val="single" w:sz="4" w:space="0" w:color="000000"/>
              <w:right w:val="single" w:sz="4" w:space="0" w:color="000000"/>
            </w:tcBorders>
            <w:hideMark/>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4,6</w:t>
            </w:r>
          </w:p>
        </w:tc>
        <w:tc>
          <w:tcPr>
            <w:tcW w:w="1559" w:type="dxa"/>
            <w:tcBorders>
              <w:top w:val="single" w:sz="4" w:space="0" w:color="000000"/>
              <w:left w:val="single" w:sz="4" w:space="0" w:color="000000"/>
              <w:bottom w:val="single" w:sz="4" w:space="0" w:color="000000"/>
              <w:right w:val="single" w:sz="4" w:space="0" w:color="000000"/>
            </w:tcBorders>
          </w:tcPr>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13</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14</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15</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16</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17</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18</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19</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20</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21</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p>
          <w:p w:rsidR="00C40782" w:rsidRPr="007C1E0B" w:rsidRDefault="00C40782"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r>
    </w:tbl>
    <w:p w:rsidR="00C40782" w:rsidRPr="007C1E0B" w:rsidRDefault="00C40782"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I- </w:t>
      </w:r>
      <w:r w:rsidR="00064CC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LAKTOZ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 0,5’ten fazla laktoz içeren yemlerdeki laktoz seviyesini belirmeyi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Şekerler su içinde çözülür. Çözelti; laktozu parçalanmadan koruyan Saccharomyces cerevisiae mayası ile fermantasyona tabi tutulur. Berraklaştırma ve süzme işleminden sonra; süzüntüdeki laktoz içeriği Luff-Schoorl metodu ile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 Saccharomyces cerevisiae süspansiyonu: 25 g taze maya 100 ml saf su içinde süspanse edilir. Süspansiyon buzdolabı içinde en fazla bir hafta süre ile saklanmalıdır.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Carrez I çözeltisi : 21,9 g çinko asetat Zn (CH</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COO)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2H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ve 3 g glasiyal asetik asidi saf su içinde çözündürülür. Saf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Carrez çözeltisi II: 10,6 g potasyum demir siyanür K</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Fe (CN)</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3H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saf su içinde çözündürülür. Saf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Luff-Schoorl ayıracı: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Sodyum karbonat çözeltisinin (3.4.3) içine dikkatlice karıştırılarak sitrik asit çözeltisi (3.4.2) dökülür. Bakır sülfat çözeltisi (3.4.1) eklenir ve saf su ile 1 litreye tamamlanır. Çökmesi için gece boyunca bekletilir ve süzülür. Elde edilen  ayıracın (Cu 0,05 mol/litre;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CO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1 mol/litre) konsantrasyonu kontrol edilir. Çözeltinin pH değeri yaklaşık 9,4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3.4.1. Bakır sülfat çözeltisi: 25 g bakır sülfatı, Cu SO4 5</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(demir içermeyen), 100 ml su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Sitrik asit çözeltisi: 50 g sitrik asit C</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8</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7</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50 ml su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3.4.3. Sodyum karbonat çözeltisi: 143,8 g susuz sodyum karbonat yaklaşık 300 ml ılık su içinde çözündürülür. Soğumaya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Granül sünger taşı, hidroklorik asit içinde kaynatılmış, su içinde yıkanmış ve kurutulmuş.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iyodür,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30’luk çözelti  (w/v)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Sodyumtiyosülfat çözeltisi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Nişasta çözeltisi: 5 g nişasta 30 ml saf su içinde çözdürülür,  karışım 1 litre kaynayan suya eklenir. Üç dakika kaynatılır ve soğumaya bırakılır, gerekli ise 10 mg cıva iki iyodürü koruyucu olarak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Su banyosu, 38 - 40 ˚C’ye ayarlanmış termostatlı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g numune 1 mg hassasiyetle tartılır ve 100 ml’lik balon jojeye aktarılır. 25 - 30 ml saf su eklenir. Balon joje 30 dakika kaynayan su banyosunda bekletilir ve sonra yaklaşık 35 ˚C’ye soğutulur. 5 ml maya süspansiyonu (3.1) eklenir ve homojenize edilir. Balon joje 38 - 40˚C’deki su banyosunda iki saat süreyle bırakılır. Yaklaşık 20˚C’ye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2,5 ml Carrez I çözeltisi (3.2) eklenir ve yaklaşık 30 saniye karıştırılır, daha sonra 2,5 ml Carrez II çözeltisi (3.3) eklenir ve tekrar 30 saniye karıştırılır. Saf su ile 100 ml hacme tamamlanır, karıştırılır ve süzülür. Bir pipet kullanılarak; tercihen süzüntüden 40 ila 80 mg laktoz içerebilecek ve süzüntüden 25 ml’den fazla olmayacak şekilde bir miktar alınır ve 300 ml hacminde bir </w:t>
      </w:r>
      <w:r w:rsidR="00B04D6F" w:rsidRPr="007C1E0B">
        <w:rPr>
          <w:rFonts w:ascii="Times New Roman" w:hAnsi="Times New Roman" w:cs="Times New Roman"/>
          <w:sz w:val="20"/>
          <w:szCs w:val="20"/>
        </w:rPr>
        <w:t>e</w:t>
      </w:r>
      <w:r w:rsidRPr="007C1E0B">
        <w:rPr>
          <w:rFonts w:ascii="Times New Roman" w:hAnsi="Times New Roman" w:cs="Times New Roman"/>
          <w:sz w:val="20"/>
          <w:szCs w:val="20"/>
        </w:rPr>
        <w:t>rlene aktarılır. Eğer gerekiyorsa su ile hacmi 25 ml’ye tamamlanır (Alınan hacim 25 ml’den az ise).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ml maya süspansiyonu (3.1) ile aynı şekilde bir </w:t>
      </w:r>
      <w:r w:rsidR="00690EF1" w:rsidRPr="007C1E0B">
        <w:rPr>
          <w:rFonts w:ascii="Times New Roman" w:hAnsi="Times New Roman" w:cs="Times New Roman"/>
          <w:sz w:val="20"/>
          <w:szCs w:val="20"/>
        </w:rPr>
        <w:t>kör</w:t>
      </w:r>
      <w:r w:rsidRPr="007C1E0B">
        <w:rPr>
          <w:rFonts w:ascii="Times New Roman" w:hAnsi="Times New Roman" w:cs="Times New Roman"/>
          <w:sz w:val="20"/>
          <w:szCs w:val="20"/>
        </w:rPr>
        <w:t xml:space="preserve"> test gerçekleştirilir. Laktoz içeriğini Luff-Schoorl’a göre şu şekilde belirlenir: tam olarak 25 ml Luff-Schoorl ayıracı (3.4) iki granül süngertaşı (3.5) eklenir. Orta yükseklikteki bir serbest ateş üzerinde elle karıştırılarak ısıtılır ve sıvı yaklaşık iki dakika içinde kaynama seviyesine getirilir. Erlen, üzerinde yaklaşık 6 cm çapında bir delik bulunan ve altında ateş yakılmış olan asbest kaplı tel örgü üzerine hemen alınır. Alev sadece Erlenin merkezinin ısıtılacağı bir biçimde ayarlanmalıdır. Bir geri soğutucu Erlen balonuna takılır. Tam olarak 10 dk boyunca kaynatılır.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Hemen soğuk su içinde soğutulur ve daha sonra 5 dakikalık titrasyon aşağıdaki şekilde yapılır; 10 ml potasyum iyodür çözelitisi (3.6) eklenir ve hemen arkasından 25 ml sülfürik asit (3.7)eklenir. (çok köpüklenme riskine karşı dikkatli olunmalıdır),  Tiyosülfat çözeltisi (3.8) ile donuk bir sarı renk oluşana kadar titre edilir, nişasta ayıracı (3.9) eklenir ve titrasyon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deneme: Aynı titrasyon tam olarak ölçülen 25 ml Luff-Schoorl ayıracı (3.8) ve 25 ml su karışımında 10 ml potasyum iyodür çözeltisi (3.12) ve 25 ml sülfürik asit (3.11) eklendikten sonra kaynatmadan tekrar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Tablo kullanılarak; mg olarak sodyum tiyosülfat 0,1 mol/litre ifade edilen, iki titrasyon değerleri arasındaki farka karşılık gelen laktoz miktarının mg cinsinden değeri oluşturulur. </w:t>
      </w:r>
    </w:p>
    <w:p w:rsidR="003002FC"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Susuz laktozun sonucu, örneğin yüzdesi değerinden ifade edilir.</w:t>
      </w:r>
    </w:p>
    <w:p w:rsidR="00BF68F1" w:rsidRPr="007C1E0B" w:rsidRDefault="00BF68F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40’tan daha fazla fermente edilebilir şeker içeren ürünler için 5 ml’den daha fazla maya süspansiyonu (3.1)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ml Luff-Schoorl ayıracı için değerler tablosu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ml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0,1 mol/litre, iki dakika ısıtma, 10 dakika kaynatma</w:t>
      </w:r>
    </w:p>
    <w:p w:rsidR="003002FC" w:rsidRPr="007C1E0B" w:rsidRDefault="003002FC" w:rsidP="001B722B">
      <w:pPr>
        <w:spacing w:before="120" w:after="120" w:line="240" w:lineRule="auto"/>
        <w:jc w:val="both"/>
        <w:rPr>
          <w:rFonts w:ascii="Times New Roman" w:hAnsi="Times New Roman" w:cs="Times New Roman"/>
          <w:b/>
          <w:sz w:val="20"/>
          <w:szCs w:val="20"/>
        </w:rPr>
      </w:pPr>
    </w:p>
    <w:tbl>
      <w:tblPr>
        <w:tblpPr w:leftFromText="142" w:rightFromText="142" w:vertAnchor="text" w:horzAnchor="margin" w:tblpX="108" w:tblpY="1"/>
        <w:tblW w:w="8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
        <w:gridCol w:w="930"/>
        <w:gridCol w:w="1163"/>
        <w:gridCol w:w="1163"/>
        <w:gridCol w:w="1161"/>
        <w:gridCol w:w="1163"/>
        <w:gridCol w:w="1163"/>
        <w:gridCol w:w="1163"/>
      </w:tblGrid>
      <w:tr w:rsidR="007C1E0B" w:rsidRPr="007C1E0B" w:rsidTr="001477CD">
        <w:trPr>
          <w:trHeight w:val="1270"/>
        </w:trPr>
        <w:tc>
          <w:tcPr>
            <w:tcW w:w="1046" w:type="dxa"/>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0,1 mol/l</w:t>
            </w:r>
          </w:p>
          <w:p w:rsidR="003002FC" w:rsidRPr="007C1E0B" w:rsidRDefault="003002FC" w:rsidP="00AE5307">
            <w:pPr>
              <w:jc w:val="both"/>
              <w:rPr>
                <w:rFonts w:ascii="Times New Roman" w:hAnsi="Times New Roman" w:cs="Times New Roman"/>
                <w:sz w:val="20"/>
                <w:szCs w:val="20"/>
              </w:rPr>
            </w:pPr>
          </w:p>
        </w:tc>
        <w:tc>
          <w:tcPr>
            <w:tcW w:w="2093" w:type="dxa"/>
            <w:gridSpan w:val="2"/>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Glikoz, fruktoz</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invert şekerler</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6</w:t>
            </w:r>
          </w:p>
        </w:tc>
        <w:tc>
          <w:tcPr>
            <w:tcW w:w="2324" w:type="dxa"/>
            <w:gridSpan w:val="2"/>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Laktoz</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22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11</w:t>
            </w:r>
          </w:p>
          <w:p w:rsidR="003002FC" w:rsidRPr="007C1E0B" w:rsidRDefault="003002FC" w:rsidP="00AE5307">
            <w:pPr>
              <w:jc w:val="both"/>
              <w:rPr>
                <w:rFonts w:ascii="Times New Roman" w:hAnsi="Times New Roman" w:cs="Times New Roman"/>
                <w:sz w:val="20"/>
                <w:szCs w:val="20"/>
              </w:rPr>
            </w:pPr>
          </w:p>
        </w:tc>
        <w:tc>
          <w:tcPr>
            <w:tcW w:w="2326" w:type="dxa"/>
            <w:gridSpan w:val="2"/>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Maltoz</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12</w:t>
            </w:r>
            <w:r w:rsidRPr="007C1E0B">
              <w:rPr>
                <w:rFonts w:ascii="Times New Roman" w:hAnsi="Times New Roman" w:cs="Times New Roman"/>
                <w:sz w:val="20"/>
                <w:szCs w:val="20"/>
              </w:rPr>
              <w:t xml:space="preserve"> H</w:t>
            </w:r>
            <w:r w:rsidRPr="007C1E0B">
              <w:rPr>
                <w:rFonts w:ascii="Times New Roman" w:hAnsi="Times New Roman" w:cs="Times New Roman"/>
                <w:sz w:val="20"/>
                <w:szCs w:val="20"/>
                <w:vertAlign w:val="subscript"/>
              </w:rPr>
              <w:t>22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11</w:t>
            </w:r>
          </w:p>
          <w:p w:rsidR="003002FC" w:rsidRPr="007C1E0B" w:rsidRDefault="003002FC" w:rsidP="00AE5307">
            <w:pPr>
              <w:jc w:val="both"/>
              <w:rPr>
                <w:rFonts w:ascii="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w:t>
            </w:r>
            <w:r w:rsidRPr="007C1E0B">
              <w:rPr>
                <w:rFonts w:ascii="Times New Roman" w:hAnsi="Times New Roman" w:cs="Times New Roman"/>
                <w:sz w:val="20"/>
                <w:szCs w:val="20"/>
                <w:vertAlign w:val="subscript"/>
              </w:rPr>
              <w:t>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0,1 mol/l</w:t>
            </w:r>
          </w:p>
          <w:p w:rsidR="003002FC" w:rsidRPr="007C1E0B" w:rsidRDefault="003002FC" w:rsidP="00AE5307">
            <w:pPr>
              <w:jc w:val="both"/>
              <w:rPr>
                <w:rFonts w:ascii="Times New Roman" w:hAnsi="Times New Roman" w:cs="Times New Roman"/>
                <w:sz w:val="20"/>
                <w:szCs w:val="20"/>
              </w:rPr>
            </w:pPr>
          </w:p>
        </w:tc>
      </w:tr>
      <w:tr w:rsidR="007C1E0B" w:rsidRPr="007C1E0B" w:rsidTr="00AE5307">
        <w:trPr>
          <w:trHeight w:val="466"/>
        </w:trPr>
        <w:tc>
          <w:tcPr>
            <w:tcW w:w="1046"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ml</w:t>
            </w:r>
          </w:p>
        </w:tc>
        <w:tc>
          <w:tcPr>
            <w:tcW w:w="930"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1161"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mg</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Fark</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ml</w:t>
            </w:r>
          </w:p>
        </w:tc>
      </w:tr>
      <w:tr w:rsidR="007C1E0B" w:rsidRPr="007C1E0B" w:rsidTr="001477CD">
        <w:trPr>
          <w:trHeight w:val="1552"/>
        </w:trPr>
        <w:tc>
          <w:tcPr>
            <w:tcW w:w="1046"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930"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9,7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12,2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14,7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17,2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19,8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22,4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27,6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30,3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33,0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35,7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44,2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47,1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50,0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53,0</w:t>
            </w:r>
          </w:p>
          <w:p w:rsidR="003002FC" w:rsidRPr="007C1E0B" w:rsidRDefault="003002FC" w:rsidP="00AE5307">
            <w:pPr>
              <w:jc w:val="both"/>
              <w:rPr>
                <w:rFonts w:ascii="Times New Roman" w:hAnsi="Times New Roman" w:cs="Times New Roman"/>
                <w:sz w:val="20"/>
                <w:szCs w:val="20"/>
                <w:vertAlign w:val="subscript"/>
              </w:rPr>
            </w:pPr>
            <w:r w:rsidRPr="007C1E0B">
              <w:rPr>
                <w:rFonts w:ascii="Times New Roman" w:hAnsi="Times New Roman" w:cs="Times New Roman"/>
                <w:sz w:val="20"/>
                <w:szCs w:val="20"/>
              </w:rPr>
              <w:t>56,0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59,1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62,2</w:t>
            </w:r>
          </w:p>
        </w:tc>
        <w:tc>
          <w:tcPr>
            <w:tcW w:w="1163" w:type="dxa"/>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3,1</w:t>
            </w:r>
          </w:p>
          <w:p w:rsidR="003002FC" w:rsidRPr="007C1E0B" w:rsidRDefault="003002FC" w:rsidP="00AE5307">
            <w:pPr>
              <w:jc w:val="both"/>
              <w:rPr>
                <w:rFonts w:ascii="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11,0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14,7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18,4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22,1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25,8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29,5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33,2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44,6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48,4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52,2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56,0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59,9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67,7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71,7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75,7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79,8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88,</w:t>
            </w:r>
            <w:r w:rsidRPr="007C1E0B">
              <w:rPr>
                <w:rFonts w:ascii="Times New Roman" w:hAnsi="Times New Roman" w:cs="Times New Roman"/>
                <w:b/>
                <w:sz w:val="20"/>
                <w:szCs w:val="20"/>
              </w:rPr>
              <w:t>0</w:t>
            </w:r>
          </w:p>
        </w:tc>
        <w:tc>
          <w:tcPr>
            <w:tcW w:w="1161" w:type="dxa"/>
            <w:tcBorders>
              <w:top w:val="single" w:sz="4" w:space="0" w:color="000000"/>
              <w:left w:val="single" w:sz="4" w:space="0" w:color="000000"/>
              <w:bottom w:val="single" w:sz="4" w:space="0" w:color="000000"/>
              <w:right w:val="single" w:sz="4" w:space="0" w:color="000000"/>
            </w:tcBorders>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11,7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15,6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19,6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23,5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27,5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31,5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35,5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43,5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47,5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51,6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55,7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59,8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68,0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72,2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76,5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80,9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85,4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90,0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94,6</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4,6</w:t>
            </w:r>
          </w:p>
        </w:tc>
        <w:tc>
          <w:tcPr>
            <w:tcW w:w="1163" w:type="dxa"/>
            <w:tcBorders>
              <w:top w:val="single" w:sz="4" w:space="0" w:color="000000"/>
              <w:left w:val="single" w:sz="4" w:space="0" w:color="000000"/>
              <w:bottom w:val="single" w:sz="4" w:space="0" w:color="000000"/>
              <w:right w:val="single" w:sz="4" w:space="0" w:color="000000"/>
            </w:tcBorders>
            <w:hideMark/>
          </w:tcPr>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12</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13</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14</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15</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16</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17</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18</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19</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20</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21</w:t>
            </w:r>
          </w:p>
          <w:p w:rsidR="003002FC" w:rsidRPr="007C1E0B" w:rsidRDefault="003002FC" w:rsidP="00AE5307">
            <w:pPr>
              <w:jc w:val="both"/>
              <w:rPr>
                <w:rFonts w:ascii="Times New Roman" w:hAnsi="Times New Roman" w:cs="Times New Roman"/>
                <w:sz w:val="20"/>
                <w:szCs w:val="20"/>
              </w:rPr>
            </w:pPr>
            <w:r w:rsidRPr="007C1E0B">
              <w:rPr>
                <w:rFonts w:ascii="Times New Roman" w:hAnsi="Times New Roman" w:cs="Times New Roman"/>
                <w:sz w:val="20"/>
                <w:szCs w:val="20"/>
              </w:rPr>
              <w:t>22</w:t>
            </w:r>
          </w:p>
          <w:p w:rsidR="003002FC" w:rsidRPr="007C1E0B" w:rsidRDefault="003002FC" w:rsidP="001477CD">
            <w:pPr>
              <w:jc w:val="both"/>
              <w:rPr>
                <w:rFonts w:ascii="Times New Roman" w:hAnsi="Times New Roman" w:cs="Times New Roman"/>
                <w:sz w:val="20"/>
                <w:szCs w:val="20"/>
              </w:rPr>
            </w:pPr>
            <w:r w:rsidRPr="007C1E0B">
              <w:rPr>
                <w:rFonts w:ascii="Times New Roman" w:hAnsi="Times New Roman" w:cs="Times New Roman"/>
                <w:sz w:val="20"/>
                <w:szCs w:val="20"/>
              </w:rPr>
              <w:t>23</w:t>
            </w:r>
          </w:p>
        </w:tc>
      </w:tr>
    </w:tbl>
    <w:p w:rsidR="00D1516C" w:rsidRPr="007C1E0B" w:rsidRDefault="008F593F" w:rsidP="001B722B">
      <w:pPr>
        <w:spacing w:before="120" w:after="120" w:line="240" w:lineRule="auto"/>
        <w:jc w:val="both"/>
        <w:rPr>
          <w:rFonts w:ascii="Times New Roman" w:hAnsi="Times New Roman" w:cs="Times New Roman"/>
          <w:b/>
          <w:sz w:val="20"/>
          <w:szCs w:val="20"/>
        </w:rPr>
      </w:pPr>
      <w:r w:rsidRPr="007C1E0B">
        <w:rPr>
          <w:rFonts w:ascii="Times New Roman" w:hAnsi="Times New Roman" w:cs="Times New Roman"/>
          <w:b/>
          <w:sz w:val="20"/>
          <w:szCs w:val="20"/>
        </w:rPr>
        <w:t xml:space="preserve">İ. </w:t>
      </w:r>
      <w:r w:rsidR="00064CC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NİŞASTA TAYİNİ </w:t>
      </w:r>
      <w:r w:rsidRPr="007C1E0B">
        <w:rPr>
          <w:rFonts w:ascii="Times New Roman" w:hAnsi="Times New Roman" w:cs="Times New Roman"/>
          <w:b/>
          <w:sz w:val="20"/>
          <w:szCs w:val="20"/>
        </w:rPr>
        <w:cr/>
      </w:r>
    </w:p>
    <w:p w:rsidR="008F593F" w:rsidRPr="007C1E0B" w:rsidRDefault="008F593F" w:rsidP="001B722B">
      <w:pPr>
        <w:spacing w:before="120" w:after="120" w:line="240" w:lineRule="auto"/>
        <w:jc w:val="both"/>
        <w:rPr>
          <w:rFonts w:ascii="Times New Roman" w:hAnsi="Times New Roman" w:cs="Times New Roman"/>
          <w:sz w:val="20"/>
          <w:szCs w:val="20"/>
        </w:rPr>
      </w:pPr>
      <w:r w:rsidRPr="007C1E0B">
        <w:rPr>
          <w:rFonts w:ascii="Times New Roman" w:hAnsi="Times New Roman" w:cs="Times New Roman"/>
          <w:sz w:val="20"/>
          <w:szCs w:val="20"/>
        </w:rPr>
        <w:t>POLARİMETRİK METOT</w:t>
      </w:r>
    </w:p>
    <w:p w:rsidR="008F593F" w:rsidRPr="007C1E0B" w:rsidRDefault="008F593F" w:rsidP="001B722B">
      <w:pPr>
        <w:spacing w:before="120" w:after="120" w:line="240" w:lineRule="auto"/>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metot; </w:t>
      </w:r>
      <w:r w:rsidR="00A36D90" w:rsidRPr="007C1E0B">
        <w:rPr>
          <w:rFonts w:ascii="Times New Roman" w:hAnsi="Times New Roman" w:cs="Times New Roman"/>
          <w:sz w:val="20"/>
          <w:szCs w:val="20"/>
        </w:rPr>
        <w:t xml:space="preserve">beyan edilen enerji değerlerine (EK-7 içindeki hükümler) uygunluğunu kontrol etmek için, yemlerde </w:t>
      </w:r>
      <w:r w:rsidRPr="007C1E0B">
        <w:rPr>
          <w:rFonts w:ascii="Times New Roman" w:hAnsi="Times New Roman" w:cs="Times New Roman"/>
          <w:sz w:val="20"/>
          <w:szCs w:val="20"/>
        </w:rPr>
        <w:t xml:space="preserve">nişasta ve yüksek molekül ağırlıklı nişasta </w:t>
      </w:r>
      <w:r w:rsidR="00A36D90" w:rsidRPr="007C1E0B">
        <w:rPr>
          <w:rFonts w:ascii="Times New Roman" w:hAnsi="Times New Roman" w:cs="Times New Roman"/>
          <w:sz w:val="20"/>
          <w:szCs w:val="20"/>
        </w:rPr>
        <w:t xml:space="preserve">parçalanma </w:t>
      </w:r>
      <w:r w:rsidRPr="007C1E0B">
        <w:rPr>
          <w:rFonts w:ascii="Times New Roman" w:hAnsi="Times New Roman" w:cs="Times New Roman"/>
          <w:sz w:val="20"/>
          <w:szCs w:val="20"/>
        </w:rPr>
        <w:t xml:space="preserve">ürünlerinin seviyelerini </w:t>
      </w:r>
      <w:r w:rsidR="00A36D90" w:rsidRPr="007C1E0B">
        <w:rPr>
          <w:rFonts w:ascii="Times New Roman" w:hAnsi="Times New Roman" w:cs="Times New Roman"/>
          <w:sz w:val="20"/>
          <w:szCs w:val="20"/>
        </w:rPr>
        <w:t xml:space="preserve">belirlemede </w:t>
      </w:r>
      <w:r w:rsidRPr="007C1E0B">
        <w:rPr>
          <w:rFonts w:ascii="Times New Roman" w:hAnsi="Times New Roman" w:cs="Times New Roman"/>
          <w:sz w:val="20"/>
          <w:szCs w:val="20"/>
        </w:rPr>
        <w:t>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064CC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metot; iki aşamayı kapsamaktadır. İlkinde; numune seyreltilmiş hidroklorik asit ile işleme tabi tutulur. Berraklaştırma ve filtrelemeden sonra çözeltinin optik sapması polarimetre ile ölçülür.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İkincisinde, numune % 40 etanol ile ekstrakte edilir. Süzüntü hidroklorik asit ile asitleştirilmesinden sonra, berraklaştırma ve filtreleme ile çözeltinin optik rotasyonu ilkindeki gibi belirlenir.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Bilinen bir faktörle çarpılan iki ölçüm arasındaki fark örneğin nişasta içeriğini verir.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Ayıracılar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çözeltisi %</w:t>
      </w:r>
      <w:r w:rsidR="008D01BC" w:rsidRPr="007C1E0B">
        <w:rPr>
          <w:rFonts w:ascii="Times New Roman" w:hAnsi="Times New Roman" w:cs="Times New Roman"/>
          <w:sz w:val="20"/>
          <w:szCs w:val="20"/>
        </w:rPr>
        <w:t xml:space="preserve"> </w:t>
      </w:r>
      <w:r w:rsidRPr="007C1E0B">
        <w:rPr>
          <w:rFonts w:ascii="Times New Roman" w:hAnsi="Times New Roman" w:cs="Times New Roman"/>
          <w:sz w:val="20"/>
          <w:szCs w:val="20"/>
        </w:rPr>
        <w:t>25 (w/w) yoğunluk: 1,126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çözeltisi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1,13 (w/v)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Yoğunluk; %</w:t>
      </w:r>
      <w:r w:rsidR="008D01BC" w:rsidRPr="007C1E0B">
        <w:rPr>
          <w:rFonts w:ascii="Times New Roman" w:hAnsi="Times New Roman" w:cs="Times New Roman"/>
          <w:sz w:val="20"/>
          <w:szCs w:val="20"/>
        </w:rPr>
        <w:t xml:space="preserve"> </w:t>
      </w:r>
      <w:r w:rsidRPr="007C1E0B">
        <w:rPr>
          <w:rFonts w:ascii="Times New Roman" w:hAnsi="Times New Roman" w:cs="Times New Roman"/>
          <w:sz w:val="20"/>
          <w:szCs w:val="20"/>
        </w:rPr>
        <w:t>94 (v/v) etanol içindeki %</w:t>
      </w:r>
      <w:r w:rsidR="008D01BC" w:rsidRPr="007C1E0B">
        <w:rPr>
          <w:rFonts w:ascii="Times New Roman" w:hAnsi="Times New Roman" w:cs="Times New Roman"/>
          <w:sz w:val="20"/>
          <w:szCs w:val="20"/>
        </w:rPr>
        <w:t xml:space="preserve"> </w:t>
      </w:r>
      <w:r w:rsidRPr="007C1E0B">
        <w:rPr>
          <w:rFonts w:ascii="Times New Roman" w:hAnsi="Times New Roman" w:cs="Times New Roman"/>
          <w:sz w:val="20"/>
          <w:szCs w:val="20"/>
        </w:rPr>
        <w:t>0,1 (w/v) metil kırmızı varlığı ile 0,1 mol/l sodyum hidroksit çözeltisi kullanılarak titrasyon ile kontrol edilmelidir. 10 ml’nin nötrleştirilmesi için 30,94 ml NaOH 0,1 mol/l gerekmektedir.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Carrez I çözeltisi: 21,9 g çinko asetat Zn (CH</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COO)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2H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ve 3 g saf asetik asit su içinde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Carrez II çözeltisi: 10,6 g demir siyanür K</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Fe (CN)</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3H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su içinde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 çözelti % 40 (v/v), 20˚C’de yoğunluk: 0,948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soğutucu ve 250 ml şilifli Erlen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Polarimetre ya da sakarimetre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Örneğin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Örnek 0,5 mm yuvarlak delikli elekten geçebilecek inceliğe gelene kadar öğütülür.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Toplam optik sapma belirlenmesi (P ya da S) (bakınız gözlem 7.1)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mg hassasiyetle 2,5 g öğütülmüş örnek tartılır ve bu numune 100 ml’lik bir balon jojeye yerleştirilir. 25 ml hidroklorik asit (3.2) eklenir, test örneğinin homojen dağılımı sağlanana kadar çalkalanır ve bir 25 ml daha hidroklorik asit (3.2) eklenir. Balon kuvvetlice çalkalanarak kaynayan suyun içine daldırılır ve ilk üç dakika boyunca topaklanma oluşumunu önlemek için devam edilir. Su banyosundaki su miktarı balonun içine daldırıldığında kaynamanın devam etmesine yeterli olmalıdır. Çalkalanması sırasında balon; banyodan çıkarılmamalıdır. Tam olarak 15 dakika sonra, banyodan çıkarılır, 30 ml soğuk su eklenir ve hemen 20 ˚C’ye soğutulur.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ml Carrez I çözeltisi (3.3) eklenir ve yaklaşık 30 saniye boyunca çalkalanır. Daha sonra, 5 ml Carrez IIçözeltisi (3.4) eklenir ve tekrar 30 saniye boyunca çalkalanır. Su ekleyerek hacme get</w:t>
      </w:r>
      <w:r w:rsidR="00301D0C" w:rsidRPr="007C1E0B">
        <w:rPr>
          <w:rFonts w:ascii="Times New Roman" w:hAnsi="Times New Roman" w:cs="Times New Roman"/>
          <w:sz w:val="20"/>
          <w:szCs w:val="20"/>
        </w:rPr>
        <w:t>i</w:t>
      </w:r>
      <w:r w:rsidRPr="007C1E0B">
        <w:rPr>
          <w:rFonts w:ascii="Times New Roman" w:hAnsi="Times New Roman" w:cs="Times New Roman"/>
          <w:sz w:val="20"/>
          <w:szCs w:val="20"/>
        </w:rPr>
        <w:t xml:space="preserve">rilir, karıştırılır ve filtre edilir. Eğer filtrat tam olarak berrak değilse (nadir bir durumdur) belirlemeyi, daha fazla miktar Carrez çözeltisi I ve II kullanarak tekrarlanır, (örneğin10 ml).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Çözeltinin optik sapması 200 mm'lik tüpte polarimetre ya da sakarimetre ile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1C0BD9" w:rsidRPr="007C1E0B">
        <w:rPr>
          <w:rFonts w:ascii="Times New Roman" w:hAnsi="Times New Roman" w:cs="Times New Roman"/>
          <w:sz w:val="20"/>
          <w:szCs w:val="20"/>
        </w:rPr>
        <w:t xml:space="preserve">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40 etanol içinde çözülebilen maddelerin optik sapmasının  (P' ya da S')belirlenmesi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1mg hassasiyetle 5 g örnek tartılır. 100 ml lik balon joje içine alınır ve yaklaşık 80 ml etanol (3.5) eklenir. (bakınız gözlem (7.2)) Balon 1 saat boyunca oda sıcaklığında bırakılır; bu süre esnasında, altı kez daha kuvvetlice çalkalanır, böylece test örneği etanol ile iyice karışması sağlanır. Etanol (3.5) ekleyerek hacme getirilir, karıştırılır ve filtre edilir.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pipet kullanarak 50 ml filtrat (2,5 g örneğe karşılık gelir) 250 ml erlene alınır. 2,1 ml hidroklorik asit (3.1) eklenir ve kuvvetlice çalkalanır. Geri soğutucu erlene bağlanır ve kaynayan su banyosuna daldırılır. Tam olarak 15 dakika sonra erlen banyodan çıkarılır. İçerik, 100 ml'lik balon jojeye bir parça soğuk su ile çalkalayarak aktarılır ve 20 ˚C’ye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Carrez çözeltileri I (3.3) ve II (3.4) kullanarak berraklaştırılır, su ekleyerek hacme tamamlanır, karıştırılır, filtre edilir ve 5.2’nin ikinci ve üçüncü paragraflarında belirtildiği gibi optik sapmasını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1C0BD9" w:rsidRPr="007C1E0B">
        <w:rPr>
          <w:rFonts w:ascii="Times New Roman" w:hAnsi="Times New Roman" w:cs="Times New Roman"/>
          <w:sz w:val="20"/>
          <w:szCs w:val="20"/>
        </w:rPr>
        <w:t xml:space="preserve">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Nişasta içeriği (%) aşağıdaki gibi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Polarimetre ile hesaplanma:</w:t>
      </w:r>
    </w:p>
    <w:p w:rsidR="00D75F0D" w:rsidRPr="007C1E0B" w:rsidRDefault="008F593F" w:rsidP="001B722B">
      <w:pPr>
        <w:pStyle w:val="CM1"/>
        <w:spacing w:before="200" w:after="200"/>
        <w:jc w:val="both"/>
        <w:rPr>
          <w:rFonts w:ascii="ABNOED+TeX_CM_Maths_Symbols" w:hAnsi="ABNOED+TeX_CM_Maths_Symbols" w:cs="ABNOED+TeX_CM_Maths_Symbols"/>
        </w:rPr>
      </w:pPr>
      <w:r w:rsidRPr="007C1E0B">
        <w:rPr>
          <w:rFonts w:ascii="Times New Roman" w:hAnsi="Times New Roman" w:cs="Times New Roman"/>
          <w:sz w:val="20"/>
          <w:szCs w:val="20"/>
        </w:rPr>
        <w:t xml:space="preserve">Nişasta içeriği      </w:t>
      </w:r>
      <m:oMath>
        <m:r>
          <w:rPr>
            <w:rFonts w:ascii="Cambria Math" w:hAnsi="Cambria Math" w:cs="Times New Roman"/>
            <w:i/>
            <w:noProof/>
            <w:sz w:val="20"/>
            <w:szCs w:val="20"/>
          </w:rPr>
          <w:drawing>
            <wp:inline distT="0" distB="0" distL="0" distR="0" wp14:anchorId="0E382441" wp14:editId="443F65DA">
              <wp:extent cx="2130949" cy="564543"/>
              <wp:effectExtent l="0" t="0" r="3175" b="6985"/>
              <wp:docPr id="14" name="Resim 14"/>
              <wp:cNvGraphicFramePr/>
              <a:graphic xmlns:a="http://schemas.openxmlformats.org/drawingml/2006/main">
                <a:graphicData uri="http://schemas.openxmlformats.org/drawingml/2006/picture">
                  <pic:pic xmlns:pic="http://schemas.openxmlformats.org/drawingml/2006/picture">
                    <pic:nvPicPr>
                      <pic:cNvPr id="35" name="Resim 35"/>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3126" cy="652545"/>
                      </a:xfrm>
                      <a:prstGeom prst="rect">
                        <a:avLst/>
                      </a:prstGeom>
                      <a:noFill/>
                      <a:ln>
                        <a:noFill/>
                      </a:ln>
                    </pic:spPr>
                  </pic:pic>
                </a:graphicData>
              </a:graphic>
            </wp:inline>
          </w:drawing>
        </m:r>
      </m:oMath>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P = Derece cinsinden toplam optik sapma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 =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40 etanol ( v/v) içinde çözülebilen maddelerin derece cinsinden toplam optik sapma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7C0AE1" w:rsidRPr="007C1E0B">
        <w:rPr>
          <w:rFonts w:ascii="Times New Roman" w:hAnsi="Times New Roman" w:cs="Times New Roman"/>
          <w:sz w:val="20"/>
          <w:szCs w:val="20"/>
        </w:rPr>
        <w:t xml:space="preserve">   </w:t>
      </w:r>
      <w:r w:rsidR="00D75F0D" w:rsidRPr="007C1E0B">
        <w:rPr>
          <w:rFonts w:ascii="Times New Roman" w:hAnsi="Times New Roman" w:cs="Times New Roman"/>
          <w:noProof/>
          <w:sz w:val="20"/>
          <w:szCs w:val="20"/>
        </w:rPr>
        <w:drawing>
          <wp:inline distT="0" distB="0" distL="0" distR="0" wp14:anchorId="3DF3888E" wp14:editId="540BD818">
            <wp:extent cx="666046" cy="360954"/>
            <wp:effectExtent l="0" t="0" r="1270" b="127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8962" cy="373373"/>
                    </a:xfrm>
                    <a:prstGeom prst="rect">
                      <a:avLst/>
                    </a:prstGeom>
                    <a:noFill/>
                  </pic:spPr>
                </pic:pic>
              </a:graphicData>
            </a:graphic>
          </wp:inline>
        </w:drawing>
      </w:r>
      <w:r w:rsidR="007C0AE1" w:rsidRPr="007C1E0B">
        <w:rPr>
          <w:rFonts w:ascii="Times New Roman" w:hAnsi="Times New Roman" w:cs="Times New Roman"/>
          <w:sz w:val="20"/>
          <w:szCs w:val="20"/>
        </w:rPr>
        <w:t xml:space="preserve"> </w:t>
      </w:r>
      <w:r w:rsidRPr="007C1E0B">
        <w:rPr>
          <w:rFonts w:ascii="Times New Roman" w:hAnsi="Times New Roman" w:cs="Times New Roman"/>
          <w:sz w:val="20"/>
          <w:szCs w:val="20"/>
        </w:rPr>
        <w:t>Saf nişastanın özgül optik sapması</w:t>
      </w:r>
      <w:r w:rsidR="00301D0C" w:rsidRPr="007C1E0B">
        <w:rPr>
          <w:rFonts w:ascii="Times New Roman" w:hAnsi="Times New Roman" w:cs="Times New Roman"/>
          <w:sz w:val="20"/>
          <w:szCs w:val="20"/>
        </w:rPr>
        <w:t>.</w:t>
      </w:r>
      <w:r w:rsidRPr="007C1E0B">
        <w:rPr>
          <w:rFonts w:ascii="Times New Roman" w:hAnsi="Times New Roman" w:cs="Times New Roman"/>
          <w:sz w:val="20"/>
          <w:szCs w:val="20"/>
        </w:rPr>
        <w:t xml:space="preserve"> Bu faktör için konvansiyonel olarak kabul edilen değerler aşağıdaki gibidir: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+ 185,9</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xml:space="preserve">: Pirinç nişastası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+ 185,7</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Patates nişastası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+ 184,6</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xml:space="preserve">: Mısır nişastası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+ 182,7</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Buğday nişastası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+ 181,5</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Arpa nişastası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+ 181,3</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Yulaf nişastası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+ 184,0</w:t>
      </w:r>
      <w:r w:rsidRPr="007C1E0B">
        <w:rPr>
          <w:rFonts w:ascii="Times New Roman" w:hAnsi="Times New Roman" w:cs="Times New Roman"/>
          <w:sz w:val="20"/>
          <w:szCs w:val="20"/>
          <w:vertAlign w:val="superscript"/>
        </w:rPr>
        <w:t>o</w:t>
      </w:r>
      <w:r w:rsidRPr="007C1E0B">
        <w:rPr>
          <w:rFonts w:ascii="Times New Roman" w:hAnsi="Times New Roman" w:cs="Times New Roman"/>
          <w:sz w:val="20"/>
          <w:szCs w:val="20"/>
        </w:rPr>
        <w:t>: Diğer tür nişastalar ve karma yemlerdeki nişasta karışımları</w:t>
      </w:r>
    </w:p>
    <w:p w:rsidR="008F593F" w:rsidRPr="007C1E0B" w:rsidRDefault="008F593F" w:rsidP="00286A89">
      <w:pPr>
        <w:tabs>
          <w:tab w:val="left" w:pos="1701"/>
          <w:tab w:val="left" w:pos="4111"/>
          <w:tab w:val="left" w:pos="8080"/>
        </w:tabs>
        <w:jc w:val="both"/>
        <w:rPr>
          <w:rFonts w:ascii="Times New Roman" w:hAnsi="Times New Roman" w:cs="Times New Roman"/>
          <w:sz w:val="20"/>
          <w:szCs w:val="20"/>
        </w:rPr>
      </w:pPr>
      <w:r w:rsidRPr="007C1E0B">
        <w:rPr>
          <w:rFonts w:ascii="Times New Roman" w:hAnsi="Times New Roman" w:cs="Times New Roman"/>
          <w:sz w:val="20"/>
          <w:szCs w:val="20"/>
        </w:rPr>
        <w:t xml:space="preserve">6.2.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Sakarimetre ile hesaplama</w:t>
      </w:r>
    </w:p>
    <w:p w:rsidR="006B0D5E" w:rsidRPr="007C1E0B" w:rsidRDefault="006B0D5E" w:rsidP="001B722B">
      <w:pPr>
        <w:jc w:val="both"/>
        <w:rPr>
          <w:rFonts w:ascii="Times New Roman" w:hAnsi="Times New Roman" w:cs="Times New Roman"/>
          <w:sz w:val="20"/>
          <w:szCs w:val="20"/>
        </w:rPr>
      </w:pPr>
    </w:p>
    <w:tbl>
      <w:tblPr>
        <w:tblStyle w:val="TabloKlavuzu"/>
        <w:tblpPr w:leftFromText="141" w:rightFromText="141" w:vertAnchor="text" w:horzAnchor="page" w:tblpX="1593"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tblGrid>
      <w:tr w:rsidR="007C1E0B" w:rsidRPr="007C1E0B" w:rsidTr="00286A89">
        <w:trPr>
          <w:trHeight w:val="264"/>
        </w:trPr>
        <w:tc>
          <w:tcPr>
            <w:tcW w:w="2159" w:type="dxa"/>
          </w:tcPr>
          <w:p w:rsidR="006B0D5E" w:rsidRPr="007C1E0B" w:rsidRDefault="006B0D5E" w:rsidP="00286A89">
            <w:pPr>
              <w:jc w:val="both"/>
              <w:rPr>
                <w:rFonts w:ascii="Times New Roman" w:eastAsiaTheme="minorEastAsia" w:hAnsi="Times New Roman" w:cs="Times New Roman"/>
                <w:sz w:val="20"/>
                <w:szCs w:val="20"/>
                <w:lang w:eastAsia="tr-TR"/>
              </w:rPr>
            </w:pPr>
          </w:p>
        </w:tc>
      </w:tr>
      <w:tr w:rsidR="007C1E0B" w:rsidRPr="007C1E0B" w:rsidTr="00286A89">
        <w:trPr>
          <w:trHeight w:val="264"/>
        </w:trPr>
        <w:tc>
          <w:tcPr>
            <w:tcW w:w="2159" w:type="dxa"/>
          </w:tcPr>
          <w:p w:rsidR="006B0D5E" w:rsidRPr="007C1E0B" w:rsidRDefault="006B0D5E" w:rsidP="00286A89">
            <w:pPr>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xml:space="preserve">Nişasta içeriği   </w:t>
            </w:r>
            <w:r w:rsidR="00286A89" w:rsidRPr="007C1E0B">
              <w:rPr>
                <w:rFonts w:ascii="Times New Roman" w:hAnsi="Times New Roman" w:cs="Times New Roman"/>
                <w:sz w:val="20"/>
                <w:szCs w:val="20"/>
              </w:rPr>
              <w:t xml:space="preserve">        </w:t>
            </w:r>
          </w:p>
        </w:tc>
      </w:tr>
      <w:tr w:rsidR="007C1E0B" w:rsidRPr="007C1E0B" w:rsidTr="00286A89">
        <w:trPr>
          <w:trHeight w:val="279"/>
        </w:trPr>
        <w:tc>
          <w:tcPr>
            <w:tcW w:w="2159" w:type="dxa"/>
          </w:tcPr>
          <w:p w:rsidR="006B0D5E" w:rsidRPr="007C1E0B" w:rsidRDefault="006B0D5E" w:rsidP="00286A89">
            <w:pPr>
              <w:jc w:val="both"/>
              <w:rPr>
                <w:rFonts w:ascii="Times New Roman" w:eastAsiaTheme="minorEastAsia" w:hAnsi="Times New Roman" w:cs="Times New Roman"/>
                <w:sz w:val="20"/>
                <w:szCs w:val="20"/>
                <w:lang w:eastAsia="tr-TR"/>
              </w:rPr>
            </w:pPr>
          </w:p>
        </w:tc>
      </w:tr>
    </w:tbl>
    <w:p w:rsidR="008F593F" w:rsidRPr="007C1E0B" w:rsidRDefault="006B0D5E"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inline distT="0" distB="0" distL="0" distR="0" wp14:anchorId="703A7E6E" wp14:editId="0F112EC3">
            <wp:extent cx="3387256" cy="628153"/>
            <wp:effectExtent l="0" t="0" r="3810" b="635"/>
            <wp:docPr id="17" name="Resim 17"/>
            <wp:cNvGraphicFramePr/>
            <a:graphic xmlns:a="http://schemas.openxmlformats.org/drawingml/2006/main">
              <a:graphicData uri="http://schemas.openxmlformats.org/drawingml/2006/picture">
                <pic:pic xmlns:pic="http://schemas.openxmlformats.org/drawingml/2006/picture">
                  <pic:nvPicPr>
                    <pic:cNvPr id="33" name="Resim 33"/>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3361" cy="62928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 = Sakarimetre derecelerinde toplam optik sapma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 =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40 etanol (v/v) içinde çözülebilen maddelerin sakarimetre derecelerinde toplam optik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 200 mm tüp kullanarak ölçüm yapıldığında 100 sakarimetre derecelik bir optik sapma yaratan 100 ml su içindeki sakaroz ağırlığı (g)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Fransız sakarimetreleri için 16,29 g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Alman sakarimetreleri için 26,00 g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Karışık sakarimetreler için 20,00 g.</w:t>
      </w:r>
    </w:p>
    <w:p w:rsidR="008F593F" w:rsidRPr="007C1E0B" w:rsidRDefault="009A0FC3"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inline distT="0" distB="0" distL="0" distR="0" wp14:anchorId="213B986D" wp14:editId="0653602C">
            <wp:extent cx="547241" cy="243349"/>
            <wp:effectExtent l="0" t="0" r="5715" b="444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4236" cy="277587"/>
                    </a:xfrm>
                    <a:prstGeom prst="rect">
                      <a:avLst/>
                    </a:prstGeom>
                    <a:noFill/>
                  </pic:spPr>
                </pic:pic>
              </a:graphicData>
            </a:graphic>
          </wp:inline>
        </w:drawing>
      </w:r>
      <w:r w:rsidR="008F593F" w:rsidRPr="007C1E0B">
        <w:rPr>
          <w:rFonts w:ascii="Times New Roman" w:hAnsi="Times New Roman" w:cs="Times New Roman"/>
          <w:sz w:val="20"/>
          <w:szCs w:val="20"/>
        </w:rPr>
        <w:t xml:space="preserve">      = Saf nişastanın özgül optik sapması (bakınız 6.1)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6.3. </w:t>
      </w:r>
      <w:r w:rsidR="00BE5EBF"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 üzerinden elde edilen iki paralel ölçümün sonuçları arasındaki fark nişasta içeriği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40’tan az olanlar için mutlak değer olarak 0,4’ü ve nişasta içeriği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40’a eşit ya da daha fazla olanlar için göreceli değer olarak %</w:t>
      </w:r>
      <w:r w:rsidR="00286A89" w:rsidRPr="007C1E0B">
        <w:rPr>
          <w:rFonts w:ascii="Times New Roman" w:hAnsi="Times New Roman" w:cs="Times New Roman"/>
          <w:sz w:val="20"/>
          <w:szCs w:val="20"/>
        </w:rPr>
        <w:t xml:space="preserve"> </w:t>
      </w:r>
      <w:r w:rsidRPr="007C1E0B">
        <w:rPr>
          <w:rFonts w:ascii="Times New Roman" w:hAnsi="Times New Roman" w:cs="Times New Roman"/>
          <w:sz w:val="20"/>
          <w:szCs w:val="20"/>
        </w:rPr>
        <w:t>1’i aşmamalıdır.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Eğer numune % 6’dan fazla karbonat içeriyorsa, kalsiyum karbonat olarak hesaplanmalı. Toplam optik sapma hesaplanmadan önce karbonatlar uygun miktarda seyreltilmiş sülfürik asitle işlenerek parçalanmalıdır.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Süt tozu serumu ya da yağı alınmış süt tozu gibi laktoz içeriği yüksek ürünler için, 80 ml etanol (3.5) ekledikten sonra aşağıdaki gibi ilerlenir. Geri soğutucu balona tutturulur ve 30 dakika boyunca 50˚C’deki su banyosuna daldırılır. Soğumaya bırakılır ve 5.3’te belirtildiği gibi analiz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Yem içinde aşağıda belirtilen materyaller önemli miktarda olduğu zaman nişastanın polarimetrik metot ile belirlenmesi sırasında etkileşim yaratmaları ile bilinirler bu da yanlış sonuçlar ortaya çıkmasına sebep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D83E49" w:rsidRPr="007C1E0B">
        <w:rPr>
          <w:rFonts w:ascii="Times New Roman" w:hAnsi="Times New Roman" w:cs="Times New Roman"/>
          <w:sz w:val="20"/>
          <w:szCs w:val="20"/>
        </w:rPr>
        <w:t>Şeker pancarı pulpu, melası, şırası, şekeri gibi ş</w:t>
      </w:r>
      <w:r w:rsidRPr="007C1E0B">
        <w:rPr>
          <w:rFonts w:ascii="Times New Roman" w:hAnsi="Times New Roman" w:cs="Times New Roman"/>
          <w:sz w:val="20"/>
          <w:szCs w:val="20"/>
        </w:rPr>
        <w:t>eker pancarı ürünleri — Pancar şırası, (pancar) şekeri gibi (şeker) pancar ürünleri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Turunçgil posası,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Keten tohumu; keten tohumu ekspeller küspesi; keten tohumu ekstraksiyon küspesi,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Kolza tohumu; kolza tohumu ekspeller küspesi; kolza tohumu ekstraksiyon küspesi; kolza tohumu kabukları,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Ayçiçeği tohumu; ayçiçeği tohumu ekspeller küspesi; kısmen kabuğu soyulmuş ayçiçeği tohumu ekstraksiyon küspesi,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Kopra (Hindistan Cevizi içi) ekspeller küspesi; kopra (Hindistan Cevizi içi) ekstraksiyon küspesi,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Patates posası,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Kurutulmuş maya,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İnulin açısından zengin ürünler (yerelması talaşı ve unu gibi),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Don yağı tortusu.</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J. </w:t>
      </w:r>
      <w:r w:rsidR="00BE5EBF"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HAM KÜL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ham kül içeriğinin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550°C’de </w:t>
      </w:r>
      <w:r w:rsidR="007D3FCD" w:rsidRPr="007C1E0B">
        <w:rPr>
          <w:rFonts w:ascii="Times New Roman" w:hAnsi="Times New Roman" w:cs="Times New Roman"/>
          <w:sz w:val="20"/>
          <w:szCs w:val="20"/>
        </w:rPr>
        <w:t xml:space="preserve">yakılarak </w:t>
      </w:r>
      <w:r w:rsidRPr="007C1E0B">
        <w:rPr>
          <w:rFonts w:ascii="Times New Roman" w:hAnsi="Times New Roman" w:cs="Times New Roman"/>
          <w:sz w:val="20"/>
          <w:szCs w:val="20"/>
        </w:rPr>
        <w:t>kül</w:t>
      </w:r>
      <w:r w:rsidR="007D3FCD" w:rsidRPr="007C1E0B">
        <w:rPr>
          <w:rFonts w:ascii="Times New Roman" w:hAnsi="Times New Roman" w:cs="Times New Roman"/>
          <w:sz w:val="20"/>
          <w:szCs w:val="20"/>
        </w:rPr>
        <w:t xml:space="preserve"> haline getirilir</w:t>
      </w:r>
      <w:r w:rsidRPr="007C1E0B">
        <w:rPr>
          <w:rFonts w:ascii="Times New Roman" w:hAnsi="Times New Roman" w:cs="Times New Roman"/>
          <w:sz w:val="20"/>
          <w:szCs w:val="20"/>
        </w:rPr>
        <w:t>; kalıntı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Amonyum nitrat, %</w:t>
      </w:r>
      <w:r w:rsidR="001C0BD9" w:rsidRPr="007C1E0B">
        <w:rPr>
          <w:rFonts w:ascii="Times New Roman" w:hAnsi="Times New Roman" w:cs="Times New Roman"/>
          <w:sz w:val="20"/>
          <w:szCs w:val="20"/>
        </w:rPr>
        <w:t xml:space="preserve"> </w:t>
      </w:r>
      <w:r w:rsidRPr="007C1E0B">
        <w:rPr>
          <w:rFonts w:ascii="Times New Roman" w:hAnsi="Times New Roman" w:cs="Times New Roman"/>
          <w:sz w:val="20"/>
          <w:szCs w:val="20"/>
        </w:rPr>
        <w:t>20 (w/v)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Isıtıcı plaka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Elektrikli, termostatlı kül fırını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BE5EBF" w:rsidRPr="007C1E0B">
        <w:rPr>
          <w:rFonts w:ascii="Times New Roman" w:hAnsi="Times New Roman" w:cs="Times New Roman"/>
          <w:sz w:val="20"/>
          <w:szCs w:val="20"/>
        </w:rPr>
        <w:t xml:space="preserve"> </w:t>
      </w:r>
      <w:r w:rsidR="007D3FCD" w:rsidRPr="007C1E0B">
        <w:rPr>
          <w:rFonts w:ascii="Times New Roman" w:hAnsi="Times New Roman" w:cs="Times New Roman"/>
          <w:sz w:val="20"/>
          <w:szCs w:val="20"/>
        </w:rPr>
        <w:t xml:space="preserve">Yakma </w:t>
      </w:r>
      <w:r w:rsidRPr="007C1E0B">
        <w:rPr>
          <w:rFonts w:ascii="Times New Roman" w:hAnsi="Times New Roman" w:cs="Times New Roman"/>
          <w:sz w:val="20"/>
          <w:szCs w:val="20"/>
        </w:rPr>
        <w:t>için dikdörtgen (yaklaşık 60 × 40 × 25 mm) ya da dairesel (çap: 60 ila 75 mm, yükseklik: 20 ila 40 mm) formda silis, porselen ya da platin kroze.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Yaklaşık 5 g numune (şişme eğilimi olan ürünlerde 2,5 g) yaklaşık olarak 1 mg hassasiyetinde 550°C’de ısıtılmış, soğutulmuş ve darası alınmış bir kül krozesine tartılır. Kroze sıcak plakaya konur ve madde karbonize olana kadar dereceli olarak ısıtılır 5.1 ya da 5.2’ye göre </w:t>
      </w:r>
      <w:r w:rsidR="007D3FCD" w:rsidRPr="007C1E0B">
        <w:rPr>
          <w:rFonts w:ascii="Times New Roman" w:hAnsi="Times New Roman" w:cs="Times New Roman"/>
          <w:sz w:val="20"/>
          <w:szCs w:val="20"/>
        </w:rPr>
        <w:t>yakılır</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Kroze, 550°C’ye ayarlanmış ve kalibre edilmiş kül fırınına konur. Bu sıcaklık, görünürde karbonlu partiküller içermeyen beyaz, açık gri ya da kırmızımsı bir kül elde edilene kadar tutulur. Kroze bir desikatöre yerleştirilir, soğumaya bırakılır ve hemen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Kroze, kalibre edilmiş 550°C’deki kül fırınına konur. 3 saat boyunca küllendirilir. Kroze bir desikatöre yerleştirilir, soğumaya bırakılır ve hemen tartılır. Kül ağırlığının sabit olduğundan emin olmak için 30 dakika daha küllendirilir (iki ardışık tartım arasındaki ağırlık kaybı 1 mg’a eşit ya da daha az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Darayı düşerek kalıntının ağırlığı hesaplanır. Sonuçları numunenin yüzdesi olarak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w:t>
      </w:r>
      <w:r w:rsidR="00BE79C1" w:rsidRPr="007C1E0B">
        <w:rPr>
          <w:rFonts w:ascii="Times New Roman" w:hAnsi="Times New Roman"/>
          <w:sz w:val="20"/>
          <w:szCs w:val="20"/>
        </w:rPr>
        <w:t xml:space="preserve">. Kül </w:t>
      </w:r>
      <w:r w:rsidR="009665F7" w:rsidRPr="007C1E0B">
        <w:rPr>
          <w:rFonts w:ascii="Times New Roman" w:hAnsi="Times New Roman"/>
          <w:sz w:val="20"/>
          <w:szCs w:val="20"/>
        </w:rPr>
        <w:t xml:space="preserve">haline gelmesi </w:t>
      </w:r>
      <w:r w:rsidR="00BE79C1" w:rsidRPr="007C1E0B">
        <w:rPr>
          <w:rFonts w:ascii="Times New Roman" w:hAnsi="Times New Roman"/>
          <w:sz w:val="20"/>
          <w:szCs w:val="20"/>
        </w:rPr>
        <w:t xml:space="preserve">zor maddeler en az üç saat boyunca bir ilk </w:t>
      </w:r>
      <w:r w:rsidR="009665F7" w:rsidRPr="007C1E0B">
        <w:rPr>
          <w:rFonts w:ascii="Times New Roman" w:hAnsi="Times New Roman"/>
          <w:sz w:val="20"/>
          <w:szCs w:val="20"/>
        </w:rPr>
        <w:t>yakma</w:t>
      </w:r>
      <w:r w:rsidR="00BE79C1" w:rsidRPr="007C1E0B">
        <w:rPr>
          <w:rFonts w:ascii="Times New Roman" w:hAnsi="Times New Roman"/>
          <w:sz w:val="20"/>
          <w:szCs w:val="20"/>
        </w:rPr>
        <w:t xml:space="preserve"> işlemine tabi tutulmalı, soğutulmalı ve ardından birkaç damla % 20 amonyum nitrat çözeltisi ya da su eklenmelidir</w:t>
      </w:r>
      <w:r w:rsidR="00423F8B" w:rsidRPr="007C1E0B">
        <w:rPr>
          <w:rFonts w:ascii="Times New Roman" w:hAnsi="Times New Roman"/>
          <w:sz w:val="20"/>
          <w:szCs w:val="20"/>
        </w:rPr>
        <w:t xml:space="preserve">. </w:t>
      </w:r>
      <w:r w:rsidR="00BE79C1" w:rsidRPr="007C1E0B">
        <w:rPr>
          <w:rFonts w:ascii="Times New Roman" w:hAnsi="Times New Roman"/>
          <w:sz w:val="20"/>
          <w:szCs w:val="20"/>
        </w:rPr>
        <w:t>(</w:t>
      </w:r>
      <w:r w:rsidR="00423F8B" w:rsidRPr="007C1E0B">
        <w:rPr>
          <w:rFonts w:ascii="Times New Roman" w:hAnsi="Times New Roman"/>
          <w:sz w:val="20"/>
          <w:szCs w:val="20"/>
        </w:rPr>
        <w:t>B</w:t>
      </w:r>
      <w:r w:rsidR="00BE79C1" w:rsidRPr="007C1E0B">
        <w:rPr>
          <w:rFonts w:ascii="Times New Roman" w:hAnsi="Times New Roman"/>
          <w:sz w:val="20"/>
          <w:szCs w:val="20"/>
        </w:rPr>
        <w:t>u işlem, külün dağılmasını ya da yumru oluşmasını önlemek için dikkatle yapılmalıdır</w:t>
      </w:r>
      <w:r w:rsidR="00423F8B" w:rsidRPr="007C1E0B">
        <w:rPr>
          <w:rFonts w:ascii="Times New Roman" w:hAnsi="Times New Roman"/>
          <w:sz w:val="20"/>
          <w:szCs w:val="20"/>
        </w:rPr>
        <w:t>.</w:t>
      </w:r>
      <w:r w:rsidR="00BE79C1" w:rsidRPr="007C1E0B">
        <w:rPr>
          <w:rFonts w:ascii="Times New Roman" w:hAnsi="Times New Roman"/>
          <w:sz w:val="20"/>
          <w:szCs w:val="20"/>
        </w:rPr>
        <w:t>)  Etüvde kuruttuktan sonra yakma işlemine devam edilir. Küllenme tamamlanana kadar işlem gereken sayıda yinelenir.</w:t>
      </w:r>
    </w:p>
    <w:p w:rsidR="008F593F" w:rsidRPr="007C1E0B" w:rsidRDefault="004B180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423F8B" w:rsidRPr="007C1E0B">
        <w:rPr>
          <w:rFonts w:ascii="Times New Roman" w:hAnsi="Times New Roman"/>
          <w:sz w:val="20"/>
          <w:szCs w:val="20"/>
        </w:rPr>
        <w:t xml:space="preserve"> </w:t>
      </w:r>
      <w:r w:rsidR="0076390A" w:rsidRPr="007C1E0B">
        <w:rPr>
          <w:rFonts w:ascii="Times New Roman" w:hAnsi="Times New Roman"/>
          <w:sz w:val="20"/>
          <w:szCs w:val="20"/>
        </w:rPr>
        <w:t xml:space="preserve"> 7.1</w:t>
      </w:r>
      <w:r w:rsidR="00423F8B" w:rsidRPr="007C1E0B">
        <w:rPr>
          <w:rFonts w:ascii="Times New Roman" w:hAnsi="Times New Roman"/>
          <w:sz w:val="20"/>
          <w:szCs w:val="20"/>
        </w:rPr>
        <w:t xml:space="preserve">. </w:t>
      </w:r>
      <w:r w:rsidR="0076390A" w:rsidRPr="007C1E0B">
        <w:rPr>
          <w:rFonts w:ascii="Times New Roman" w:hAnsi="Times New Roman"/>
          <w:sz w:val="20"/>
          <w:szCs w:val="20"/>
        </w:rPr>
        <w:t xml:space="preserve">maddesinde anlatılan işleme dirençli maddeler olması halinde aşağıdaki işlemler yapılır: Üç saat </w:t>
      </w:r>
      <w:r w:rsidR="007D3FCD" w:rsidRPr="007C1E0B">
        <w:rPr>
          <w:rFonts w:ascii="Times New Roman" w:hAnsi="Times New Roman"/>
          <w:sz w:val="20"/>
          <w:szCs w:val="20"/>
        </w:rPr>
        <w:t>yakıldıktan</w:t>
      </w:r>
      <w:r w:rsidR="0076390A" w:rsidRPr="007C1E0B">
        <w:rPr>
          <w:rFonts w:ascii="Times New Roman" w:hAnsi="Times New Roman"/>
          <w:sz w:val="20"/>
          <w:szCs w:val="20"/>
        </w:rPr>
        <w:t xml:space="preserve"> sonra, kül sıcak suya konur ve külsüz süzgeç kağıdı</w:t>
      </w:r>
      <w:r w:rsidR="007D3FCD" w:rsidRPr="007C1E0B">
        <w:rPr>
          <w:rFonts w:ascii="Times New Roman" w:hAnsi="Times New Roman"/>
          <w:sz w:val="20"/>
          <w:szCs w:val="20"/>
        </w:rPr>
        <w:t>ndan süzülür</w:t>
      </w:r>
      <w:r w:rsidR="0076390A" w:rsidRPr="007C1E0B">
        <w:rPr>
          <w:rFonts w:ascii="Times New Roman" w:hAnsi="Times New Roman"/>
          <w:sz w:val="20"/>
          <w:szCs w:val="20"/>
        </w:rPr>
        <w:t>. Filtre ve orijinal krozedeki içerik küllenir. Süzüntü soğutulmuş darası alınmış bir krozeye konur, kuruyana kadar buharlaştırılır, küllendirilir ve tartılır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w:t>
      </w:r>
      <w:r w:rsidR="00195047" w:rsidRPr="007C1E0B">
        <w:rPr>
          <w:rFonts w:ascii="Times New Roman" w:hAnsi="Times New Roman" w:cs="Times New Roman"/>
          <w:sz w:val="20"/>
          <w:szCs w:val="20"/>
        </w:rPr>
        <w:t xml:space="preserve"> </w:t>
      </w:r>
      <w:r w:rsidR="0076390A" w:rsidRPr="007C1E0B">
        <w:rPr>
          <w:rFonts w:ascii="Times New Roman" w:hAnsi="Times New Roman"/>
          <w:sz w:val="20"/>
          <w:szCs w:val="20"/>
        </w:rPr>
        <w:t>Katı ve sıvı yağlarda çalışılıyorsa 25 g numune uygun boyutlu bir krozeye tartılır. Külsüz süzgeç kağıdı şeridi ile kömürleştirilir. Yanma sonrasında, olabildiğince az su ile nemlendirilir. Kurutulur ve madde 5’te anlatılan şekilde küllenir.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K. </w:t>
      </w:r>
      <w:r w:rsidR="00BE5EBF"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HİDROKLORİK ASİTTE ÇÖZÜNMEYEN KÜL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 yer alan, hidroklorik asit içinde çözünmeyen mineral maddelerin tayinini mümkün kılar. Numunenin doğasına göre iki metot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A: Organik yem ham maddeleri ve çoğu karma yem için geçerlidir.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B: Mineral bileşikler ve karışımların yanı sıra Metot A ile tayin edilen hidroklorik asit içinde çözünmeyen madde içeriği %</w:t>
      </w:r>
      <w:r w:rsidR="00665778" w:rsidRPr="007C1E0B">
        <w:rPr>
          <w:rFonts w:ascii="Times New Roman" w:hAnsi="Times New Roman" w:cs="Times New Roman"/>
          <w:sz w:val="20"/>
          <w:szCs w:val="20"/>
        </w:rPr>
        <w:t xml:space="preserve"> </w:t>
      </w:r>
      <w:r w:rsidRPr="007C1E0B">
        <w:rPr>
          <w:rFonts w:ascii="Times New Roman" w:hAnsi="Times New Roman" w:cs="Times New Roman"/>
          <w:sz w:val="20"/>
          <w:szCs w:val="20"/>
        </w:rPr>
        <w:t>1’den büyük olan karma yemler için geçerlidir.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 Metot A: Numune </w:t>
      </w:r>
      <w:r w:rsidR="00D83E49" w:rsidRPr="007C1E0B">
        <w:rPr>
          <w:rFonts w:ascii="Times New Roman" w:hAnsi="Times New Roman" w:cs="Times New Roman"/>
          <w:sz w:val="20"/>
          <w:szCs w:val="20"/>
        </w:rPr>
        <w:t>kül haline getirilir</w:t>
      </w:r>
      <w:r w:rsidRPr="007C1E0B">
        <w:rPr>
          <w:rFonts w:ascii="Times New Roman" w:hAnsi="Times New Roman" w:cs="Times New Roman"/>
          <w:sz w:val="20"/>
          <w:szCs w:val="20"/>
        </w:rPr>
        <w:t>, kül hidroklorik asit içinde kaynatılır ve çözünmeyen kalıntı filtrelenip, kurutulup, yakılıp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 Metot B: Hidroklorik asitle işlem görmüş numune. Çözelti filtre edilir, kalıntı küllenir ve bu sayede Metot A’ya uygun şekilde işlem görmüş kül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3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Trikloroasetik asit, %</w:t>
      </w:r>
      <w:r w:rsidR="00665778" w:rsidRPr="007C1E0B">
        <w:rPr>
          <w:rFonts w:ascii="Times New Roman" w:hAnsi="Times New Roman" w:cs="Times New Roman"/>
          <w:sz w:val="20"/>
          <w:szCs w:val="20"/>
        </w:rPr>
        <w:t xml:space="preserve"> </w:t>
      </w:r>
      <w:r w:rsidRPr="007C1E0B">
        <w:rPr>
          <w:rFonts w:ascii="Times New Roman" w:hAnsi="Times New Roman" w:cs="Times New Roman"/>
          <w:sz w:val="20"/>
          <w:szCs w:val="20"/>
        </w:rPr>
        <w:t>20 (w/v)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Trikloroasetik asit, %</w:t>
      </w:r>
      <w:r w:rsidR="00665778" w:rsidRPr="007C1E0B">
        <w:rPr>
          <w:rFonts w:ascii="Times New Roman" w:hAnsi="Times New Roman" w:cs="Times New Roman"/>
          <w:sz w:val="20"/>
          <w:szCs w:val="20"/>
        </w:rPr>
        <w:t xml:space="preserve"> </w:t>
      </w:r>
      <w:r w:rsidRPr="007C1E0B">
        <w:rPr>
          <w:rFonts w:ascii="Times New Roman" w:hAnsi="Times New Roman" w:cs="Times New Roman"/>
          <w:sz w:val="20"/>
          <w:szCs w:val="20"/>
        </w:rPr>
        <w:t>1 (w/v)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Isıtıcı plaka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Elektrikli, termostatlı kül fırını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Küllendirme için dikdörtgen (yaklaşık 60 × 40 × 25 mm) ya da dairesel (çap: 60 ile 75 mm, yükseklik: 20 ile 40 mm) formda silis, porselen ya da platinden üretilen krozeler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ham kül tayini için anlatılan metot kullanarak </w:t>
      </w:r>
      <w:r w:rsidR="00D83E49" w:rsidRPr="007C1E0B">
        <w:rPr>
          <w:rFonts w:ascii="Times New Roman" w:hAnsi="Times New Roman" w:cs="Times New Roman"/>
          <w:sz w:val="20"/>
          <w:szCs w:val="20"/>
        </w:rPr>
        <w:t>kül haline getirilir</w:t>
      </w:r>
      <w:r w:rsidRPr="007C1E0B">
        <w:rPr>
          <w:rFonts w:ascii="Times New Roman" w:hAnsi="Times New Roman" w:cs="Times New Roman"/>
          <w:sz w:val="20"/>
          <w:szCs w:val="20"/>
        </w:rPr>
        <w:t>. Ayrıca bu analizden elde edilen kül de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Kül, 75 ml hidroklorik asit (3.1) kullanarak 250 ila 400 ml’lik bir behere konur. Yavaş yavaş kaynama noktasına getirilir ve 15 dakika hafifçe kaynatılır. Sıcak çözelti kül içermeyen bir filtre kâğıdıyla süzülür ve kalıntı, asit reaksiyonu görünmez hale gelene kadar sıcak su ile yıkanır. Kalıntı içeren filtre kurutulur ve darası alınmış bir kroze içinde en az 550°C ve en fazla 700°C sıcaklıkta 30 dakika küllenir. Bir desikatörde kurutulur ve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4B180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B:</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g numune yaklaşık 1 mg hassasiyetle tartılır ve 250 ila 400 ml’lik bir behere konur. 25 ml su ve 25 ml hidroklorik asid (3.1) art arda eklenir, karıştırılır ve köpürmenin durması beklenir. 50 ml daha hidroklorik asit (3.1) eklenir. Tüm gazların açığa çıkışının durmasını beklenir ardından beheri kaynayan su banyosuna yerleştirilir ve olası tüm nişastanın hidrolize olması için en az 30 dakika ya da daha uzun süre bekletilir. Sıcakken kül içermeyen bir filtreden süzülür ve filtre 50 ml sıcak su ile yıkanır (bakınız gözlem 7). Kalıntı içeren filtre bir küllendirme krozesine konur, kurutulur  ve en az 550°C ve en fazla 700°C sıcaklıkta 3 saat küllendirilir. Kül, 75 ml hidroklorik asit (3.1) kullanılarak 250 ila 400 ml’lik bir behere konur; 5.1 maddesinin ikinci alt paragrafından anlatılan şekilde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4B180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Dara düşülerek kalıntının ağırlığı hesaplanır. Sonuçlar numunenin yüzdesi olarak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4B180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Filtrasyon işlemi zorsa, yeni bir analiz numunesi hazırlanarak 50 ml hidroklorik asit (3.1) yerine 50 ml %</w:t>
      </w:r>
      <w:r w:rsidR="00665778" w:rsidRPr="007C1E0B">
        <w:rPr>
          <w:rFonts w:ascii="Times New Roman" w:hAnsi="Times New Roman" w:cs="Times New Roman"/>
          <w:sz w:val="20"/>
          <w:szCs w:val="20"/>
        </w:rPr>
        <w:t xml:space="preserve"> </w:t>
      </w:r>
      <w:r w:rsidRPr="007C1E0B">
        <w:rPr>
          <w:rFonts w:ascii="Times New Roman" w:hAnsi="Times New Roman" w:cs="Times New Roman"/>
          <w:sz w:val="20"/>
          <w:szCs w:val="20"/>
        </w:rPr>
        <w:t>20 trikloroasetik asit (3.2) ile değiştirerek ve filtreyi sıcak bir %</w:t>
      </w:r>
      <w:r w:rsidR="00665778" w:rsidRPr="007C1E0B">
        <w:rPr>
          <w:rFonts w:ascii="Times New Roman" w:hAnsi="Times New Roman" w:cs="Times New Roman"/>
          <w:sz w:val="20"/>
          <w:szCs w:val="20"/>
        </w:rPr>
        <w:t xml:space="preserve"> </w:t>
      </w:r>
      <w:r w:rsidRPr="007C1E0B">
        <w:rPr>
          <w:rFonts w:ascii="Times New Roman" w:hAnsi="Times New Roman" w:cs="Times New Roman"/>
          <w:sz w:val="20"/>
          <w:szCs w:val="20"/>
        </w:rPr>
        <w:t>1 trikloroasetik asit (3.3) çözeltisi ile yıkayarak analiz yeniden başlanır.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L. </w:t>
      </w:r>
      <w:r w:rsidR="004B180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KARBONATLARIN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4B180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çoğu yemde genelde kalsiyum karbonat olarak ifade edilen karbonatların tayinini mümkün kılar. Ancak belirli durumlarda (örneğin demir karbonatla) özel bir metot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Karbonatlar hidroklorik asitte </w:t>
      </w:r>
      <w:r w:rsidR="00D83E49" w:rsidRPr="007C1E0B">
        <w:rPr>
          <w:rFonts w:ascii="Times New Roman" w:hAnsi="Times New Roman" w:cs="Times New Roman"/>
          <w:sz w:val="20"/>
          <w:szCs w:val="20"/>
        </w:rPr>
        <w:t>parçalanır</w:t>
      </w:r>
      <w:r w:rsidRPr="007C1E0B">
        <w:rPr>
          <w:rFonts w:ascii="Times New Roman" w:hAnsi="Times New Roman" w:cs="Times New Roman"/>
          <w:sz w:val="20"/>
          <w:szCs w:val="20"/>
        </w:rPr>
        <w:t>; açığa çıkan karbon dioksit derecelendirilmiş bir tüpte toplanır ve hacmi, aynı koşullar altında açığa çıkan bilinen miktardaki kalsiyum karbonat ile karşılaştırılır.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4B180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1,10 g/ml yoğunluğunda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Kalsiyum karbonat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Sülfürik asit, yaklaşık 0,05 mol/litre, metil kırmızısı ile renklendirilmiş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Scheibler-Dietrich cihazı (bkz. diyagram) ya da eşdeğeri bir 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karbonat içeriğine göre numune aşağıda gösterildiği gibi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704D8B" w:rsidRPr="007C1E0B">
        <w:rPr>
          <w:rFonts w:ascii="Times New Roman" w:hAnsi="Times New Roman" w:cs="Times New Roman"/>
          <w:sz w:val="20"/>
          <w:szCs w:val="20"/>
        </w:rPr>
        <w:t xml:space="preserve"> </w:t>
      </w:r>
      <w:r w:rsidRPr="007C1E0B">
        <w:rPr>
          <w:rFonts w:ascii="Times New Roman" w:hAnsi="Times New Roman" w:cs="Times New Roman"/>
          <w:sz w:val="20"/>
          <w:szCs w:val="20"/>
        </w:rPr>
        <w:t>50 ila %</w:t>
      </w:r>
      <w:r w:rsidR="00704D8B"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kalsiyum karbonat olarak ifade edilen karbonat içeren ürünlerde 0,5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704D8B" w:rsidRPr="007C1E0B">
        <w:rPr>
          <w:rFonts w:ascii="Times New Roman" w:hAnsi="Times New Roman" w:cs="Times New Roman"/>
          <w:sz w:val="20"/>
          <w:szCs w:val="20"/>
        </w:rPr>
        <w:t xml:space="preserve"> </w:t>
      </w:r>
      <w:r w:rsidRPr="007C1E0B">
        <w:rPr>
          <w:rFonts w:ascii="Times New Roman" w:hAnsi="Times New Roman" w:cs="Times New Roman"/>
          <w:sz w:val="20"/>
          <w:szCs w:val="20"/>
        </w:rPr>
        <w:t>40 ila %</w:t>
      </w:r>
      <w:r w:rsidR="00704D8B" w:rsidRPr="007C1E0B">
        <w:rPr>
          <w:rFonts w:ascii="Times New Roman" w:hAnsi="Times New Roman" w:cs="Times New Roman"/>
          <w:sz w:val="20"/>
          <w:szCs w:val="20"/>
        </w:rPr>
        <w:t xml:space="preserve"> </w:t>
      </w:r>
      <w:r w:rsidRPr="007C1E0B">
        <w:rPr>
          <w:rFonts w:ascii="Times New Roman" w:hAnsi="Times New Roman" w:cs="Times New Roman"/>
          <w:sz w:val="20"/>
          <w:szCs w:val="20"/>
        </w:rPr>
        <w:t>50 kalsiyum karbonat olarak ifade edilen karbonat içeren ürünlerde 1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diğer ürünlerde 2 ila 3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Tartılan numune, </w:t>
      </w:r>
      <w:r w:rsidR="00BB2163" w:rsidRPr="007C1E0B">
        <w:rPr>
          <w:rFonts w:ascii="Times New Roman" w:hAnsi="Times New Roman" w:cs="Times New Roman"/>
          <w:sz w:val="20"/>
          <w:szCs w:val="20"/>
        </w:rPr>
        <w:t xml:space="preserve">içinde </w:t>
      </w:r>
      <w:r w:rsidRPr="007C1E0B">
        <w:rPr>
          <w:rFonts w:ascii="Times New Roman" w:hAnsi="Times New Roman" w:cs="Times New Roman"/>
          <w:sz w:val="20"/>
          <w:szCs w:val="20"/>
        </w:rPr>
        <w:t xml:space="preserve">10 ml hidroklorik asit (3.1) içeren </w:t>
      </w:r>
      <w:r w:rsidR="00BB2163" w:rsidRPr="007C1E0B">
        <w:rPr>
          <w:rFonts w:ascii="Times New Roman" w:hAnsi="Times New Roman" w:cs="Times New Roman"/>
          <w:sz w:val="20"/>
          <w:szCs w:val="20"/>
        </w:rPr>
        <w:t xml:space="preserve">kırılmaz bir tüp bulunan </w:t>
      </w:r>
      <w:r w:rsidRPr="007C1E0B">
        <w:rPr>
          <w:rFonts w:ascii="Times New Roman" w:hAnsi="Times New Roman" w:cs="Times New Roman"/>
          <w:sz w:val="20"/>
          <w:szCs w:val="20"/>
        </w:rPr>
        <w:t xml:space="preserve">özel </w:t>
      </w:r>
      <w:r w:rsidR="00BB2163" w:rsidRPr="007C1E0B">
        <w:rPr>
          <w:rFonts w:ascii="Times New Roman" w:hAnsi="Times New Roman" w:cs="Times New Roman"/>
          <w:sz w:val="20"/>
          <w:szCs w:val="20"/>
        </w:rPr>
        <w:t xml:space="preserve">balona </w:t>
      </w:r>
      <w:r w:rsidRPr="007C1E0B">
        <w:rPr>
          <w:rFonts w:ascii="Times New Roman" w:hAnsi="Times New Roman" w:cs="Times New Roman"/>
          <w:sz w:val="20"/>
          <w:szCs w:val="20"/>
        </w:rPr>
        <w:t>(4) konur ve balon joje cihaza bağlanır. Üç yönlü musluk (5)</w:t>
      </w:r>
      <w:r w:rsidR="004210E4" w:rsidRPr="007C1E0B">
        <w:rPr>
          <w:rFonts w:ascii="Times New Roman" w:hAnsi="Times New Roman" w:cs="Times New Roman"/>
          <w:sz w:val="20"/>
          <w:szCs w:val="20"/>
        </w:rPr>
        <w:t>,</w:t>
      </w:r>
      <w:r w:rsidRPr="007C1E0B">
        <w:rPr>
          <w:rFonts w:ascii="Times New Roman" w:hAnsi="Times New Roman" w:cs="Times New Roman"/>
          <w:sz w:val="20"/>
          <w:szCs w:val="20"/>
        </w:rPr>
        <w:t xml:space="preserve"> tüpü (1) dışarıya bağla</w:t>
      </w:r>
      <w:r w:rsidR="00BB2163" w:rsidRPr="007C1E0B">
        <w:rPr>
          <w:rFonts w:ascii="Times New Roman" w:hAnsi="Times New Roman" w:cs="Times New Roman"/>
          <w:sz w:val="20"/>
          <w:szCs w:val="20"/>
        </w:rPr>
        <w:t>y</w:t>
      </w:r>
      <w:r w:rsidRPr="007C1E0B">
        <w:rPr>
          <w:rFonts w:ascii="Times New Roman" w:hAnsi="Times New Roman" w:cs="Times New Roman"/>
          <w:sz w:val="20"/>
          <w:szCs w:val="20"/>
        </w:rPr>
        <w:t>acak şekilde çevirilir.  Renklendirilmiş sülfürik asit doldurulmuş (3.3) ve derecelendirilmiş tüpe (1) bağlanmış hareketli tüp (2) kullan</w:t>
      </w:r>
      <w:r w:rsidR="004210E4" w:rsidRPr="007C1E0B">
        <w:rPr>
          <w:rFonts w:ascii="Times New Roman" w:hAnsi="Times New Roman" w:cs="Times New Roman"/>
          <w:sz w:val="20"/>
          <w:szCs w:val="20"/>
        </w:rPr>
        <w:t>ılarak</w:t>
      </w:r>
      <w:r w:rsidRPr="007C1E0B">
        <w:rPr>
          <w:rFonts w:ascii="Times New Roman" w:hAnsi="Times New Roman" w:cs="Times New Roman"/>
          <w:sz w:val="20"/>
          <w:szCs w:val="20"/>
        </w:rPr>
        <w:t xml:space="preserve"> sıvı seviyesi</w:t>
      </w:r>
      <w:r w:rsidR="002F4272" w:rsidRPr="007C1E0B">
        <w:rPr>
          <w:rFonts w:ascii="Times New Roman" w:hAnsi="Times New Roman" w:cs="Times New Roman"/>
          <w:sz w:val="20"/>
          <w:szCs w:val="20"/>
        </w:rPr>
        <w:t>,</w:t>
      </w:r>
      <w:r w:rsidRPr="007C1E0B">
        <w:rPr>
          <w:rFonts w:ascii="Times New Roman" w:hAnsi="Times New Roman" w:cs="Times New Roman"/>
          <w:sz w:val="20"/>
          <w:szCs w:val="20"/>
        </w:rPr>
        <w:t xml:space="preserve"> sıfır işaretine kadar getirilir. Musluk</w:t>
      </w:r>
      <w:r w:rsidR="002F4272" w:rsidRPr="007C1E0B">
        <w:rPr>
          <w:rFonts w:ascii="Times New Roman" w:hAnsi="Times New Roman" w:cs="Times New Roman"/>
          <w:sz w:val="20"/>
          <w:szCs w:val="20"/>
        </w:rPr>
        <w:t xml:space="preserve"> (5)</w:t>
      </w:r>
      <w:r w:rsidRPr="007C1E0B">
        <w:rPr>
          <w:rFonts w:ascii="Times New Roman" w:hAnsi="Times New Roman" w:cs="Times New Roman"/>
          <w:sz w:val="20"/>
          <w:szCs w:val="20"/>
        </w:rPr>
        <w:t>, (1) ve (3) tüpleri bağlayacak şekilde çevirilir ve seviyenin sıfırda olduğu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Balon joje (4) eğilerek hidroklorik asid (3.1) yavaşça numuneye akıtılır. Tüp (2) alçaltılark basınç eşitlenir. Karbon dioksitin açığa çıkması tamamen durana kadar balon joje (4) çalkalanır.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Sıvı (1) ve (2) tüpleride aynı seviyeye getirilerek yeniden basınç oluşturulur. Birkaç dakika sonra, gaz hacmi sabit olduğunda değeri okunur.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koşullarda 0,5 g kalsiyum karbonat (3.2) ile bir kontrol testi yapılır.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Kalsiyum karbonat olarak ifade edilen karbonat içeriği aşağıdaki formülle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9A0FC3" w:rsidRPr="007C1E0B">
        <w:rPr>
          <w:rFonts w:ascii="Times New Roman" w:hAnsi="Times New Roman" w:cs="Times New Roman"/>
          <w:noProof/>
          <w:sz w:val="20"/>
          <w:szCs w:val="20"/>
        </w:rPr>
        <w:drawing>
          <wp:inline distT="0" distB="0" distL="0" distR="0" wp14:anchorId="479D31E7" wp14:editId="7490546A">
            <wp:extent cx="944880" cy="487680"/>
            <wp:effectExtent l="0" t="0" r="7620" b="7620"/>
            <wp:docPr id="19" name="Resim 19"/>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4880" cy="4876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X = Numune içinde kalsiyum karbonat olarak ifade edilen karbonat %’si (w/w)</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Numuneden açığa çıkan CO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’nin ml cinsinden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0,5 g CaCO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’ten açığa çıkan CO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’nin ml cinsinden hacmi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ifade eder.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 xml:space="preserve">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 Numune 2 g’dan fazla tartıldığında, önce 15 ml damıtılmış su cam malzemeye (4) konur ve teste başlamadan önce karıştırılır. Kontrol testi için aynı hacimde su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 Kullanılana cihazın Scheibler-Dietrich cihazından farklı bir hacmi varsa, numuneden ve kontrol maddesinden alınan miktarlar ile sonuçların hesaplanması, uygun şekilde ayarlanmalıdır.</w:t>
      </w: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845D8" w:rsidRPr="007C1E0B" w:rsidRDefault="007845D8"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9A0FC3" w:rsidRPr="007C1E0B" w:rsidRDefault="009A0FC3" w:rsidP="001B722B">
      <w:pPr>
        <w:jc w:val="both"/>
        <w:rPr>
          <w:rFonts w:ascii="Times New Roman" w:hAnsi="Times New Roman" w:cs="Times New Roman"/>
          <w:sz w:val="20"/>
          <w:szCs w:val="20"/>
        </w:rPr>
      </w:pPr>
      <w:r w:rsidRPr="007C1E0B">
        <w:rPr>
          <w:rFonts w:ascii="Times New Roman" w:hAnsi="Times New Roman" w:cs="Times New Roman"/>
          <w:sz w:val="20"/>
          <w:szCs w:val="20"/>
        </w:rPr>
        <w:t>SCHEIBER-DEITRICH CO</w:t>
      </w:r>
      <w:r w:rsidRPr="007C1E0B">
        <w:rPr>
          <w:rFonts w:ascii="Times New Roman" w:hAnsi="Times New Roman" w:cs="Times New Roman"/>
          <w:sz w:val="20"/>
          <w:szCs w:val="20"/>
          <w:vertAlign w:val="subscript"/>
        </w:rPr>
        <w:t xml:space="preserve">2 </w:t>
      </w:r>
      <w:r w:rsidRPr="007C1E0B">
        <w:rPr>
          <w:rFonts w:ascii="Times New Roman" w:hAnsi="Times New Roman" w:cs="Times New Roman"/>
          <w:sz w:val="20"/>
          <w:szCs w:val="20"/>
        </w:rPr>
        <w:t>TAYİN CİHAZI</w:t>
      </w:r>
    </w:p>
    <w:p w:rsidR="009A0FC3" w:rsidRPr="007C1E0B" w:rsidRDefault="009A0FC3"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inline distT="0" distB="0" distL="0" distR="0" wp14:anchorId="60035D1E" wp14:editId="7C18366A">
            <wp:extent cx="3274142" cy="5484750"/>
            <wp:effectExtent l="0" t="0" r="2540" b="190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79517" cy="5493753"/>
                    </a:xfrm>
                    <a:prstGeom prst="rect">
                      <a:avLst/>
                    </a:prstGeom>
                    <a:noFill/>
                    <a:ln>
                      <a:noFill/>
                    </a:ln>
                  </pic:spPr>
                </pic:pic>
              </a:graphicData>
            </a:graphic>
          </wp:inline>
        </w:drawing>
      </w:r>
    </w:p>
    <w:p w:rsidR="009A0FC3" w:rsidRPr="007C1E0B" w:rsidRDefault="009A0FC3"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 xml:space="preserve">(ölçüler mm cinsinden verilmiştir) </w:t>
      </w:r>
    </w:p>
    <w:p w:rsidR="009A0FC3" w:rsidRPr="007C1E0B" w:rsidRDefault="009A0FC3" w:rsidP="001B722B">
      <w:pPr>
        <w:jc w:val="both"/>
        <w:rPr>
          <w:rFonts w:ascii="Times New Roman" w:hAnsi="Times New Roman" w:cs="Times New Roman"/>
          <w:sz w:val="20"/>
          <w:szCs w:val="20"/>
        </w:rPr>
      </w:pPr>
    </w:p>
    <w:p w:rsidR="003002FC" w:rsidRPr="007C1E0B" w:rsidRDefault="003002FC"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M. TOPLAM FOSFOR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FOTOMETRİK 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toplam fosfor içeriğinin tayinini mümkün kılar. Özellikle fosfor içeriği düşük ürünlerin analizi için uygundur. Belirli durumlarda (fosfor açısından zengin ürünler), gravimetrik bir metot da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kuru yanma (organik yem</w:t>
      </w:r>
      <w:r w:rsidR="002F4272" w:rsidRPr="007C1E0B">
        <w:rPr>
          <w:rFonts w:ascii="Times New Roman" w:hAnsi="Times New Roman" w:cs="Times New Roman"/>
          <w:sz w:val="20"/>
          <w:szCs w:val="20"/>
        </w:rPr>
        <w:t>se</w:t>
      </w:r>
      <w:r w:rsidRPr="007C1E0B">
        <w:rPr>
          <w:rFonts w:ascii="Times New Roman" w:hAnsi="Times New Roman" w:cs="Times New Roman"/>
          <w:sz w:val="20"/>
          <w:szCs w:val="20"/>
        </w:rPr>
        <w:t>) ya da asitle parçalama (mineral bileşikler ve sıvı yemde) yoluyla mineralleştirilir ve bir asit çözeltisinin içinde ko</w:t>
      </w:r>
      <w:r w:rsidR="004210E4" w:rsidRPr="007C1E0B">
        <w:rPr>
          <w:rFonts w:ascii="Times New Roman" w:hAnsi="Times New Roman" w:cs="Times New Roman"/>
          <w:sz w:val="20"/>
          <w:szCs w:val="20"/>
        </w:rPr>
        <w:t>nur</w:t>
      </w:r>
      <w:r w:rsidRPr="007C1E0B">
        <w:rPr>
          <w:rFonts w:ascii="Times New Roman" w:hAnsi="Times New Roman" w:cs="Times New Roman"/>
          <w:sz w:val="20"/>
          <w:szCs w:val="20"/>
        </w:rPr>
        <w:t>. Çözelti, molibdovanadat reaktifi ile işleme tabi tutulur. Bu şekilde oluşan sarı çözeltinin optik yoğunluğu 430 nm’de spektrofotometre ile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Kalsiyum karbonat.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ρ</w:t>
      </w:r>
      <w:r w:rsidRPr="007C1E0B">
        <w:rPr>
          <w:rFonts w:ascii="Times New Roman" w:hAnsi="Times New Roman" w:cs="Times New Roman"/>
          <w:sz w:val="20"/>
          <w:szCs w:val="20"/>
          <w:vertAlign w:val="subscript"/>
        </w:rPr>
        <w:t xml:space="preserve">20 </w:t>
      </w:r>
      <w:r w:rsidRPr="007C1E0B">
        <w:rPr>
          <w:rFonts w:ascii="Times New Roman" w:hAnsi="Times New Roman" w:cs="Times New Roman"/>
          <w:sz w:val="20"/>
          <w:szCs w:val="20"/>
        </w:rPr>
        <w:t>= 1,10 g/ml (yaklaşık 6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Nitrik asit,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 1,045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Nitrik asit,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 1,38 ila 1,42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 1,84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Molibdovanadat ayıracı: 200 ml amonyum heptamolibdat çözeltisi (3.6.1), 200 ml amonyum monovanadat çözeltisi (3.6.2) ve 134 ml nitrik asid (3.4) 1 litrelik balon jojede karıştırılır. Su ile gereken hacme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3.6.1. Amonyum heptamolibdat çözeltisi: Sıcak su içinde 100 g amonyum heptamolibdat (NH</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6Mo</w:t>
      </w:r>
      <w:r w:rsidRPr="007C1E0B">
        <w:rPr>
          <w:rFonts w:ascii="Times New Roman" w:hAnsi="Times New Roman" w:cs="Times New Roman"/>
          <w:sz w:val="20"/>
          <w:szCs w:val="20"/>
          <w:vertAlign w:val="subscript"/>
        </w:rPr>
        <w:t>7</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24</w:t>
      </w:r>
      <w:r w:rsidRPr="007C1E0B">
        <w:rPr>
          <w:rFonts w:ascii="Times New Roman" w:hAnsi="Times New Roman" w:cs="Times New Roman"/>
          <w:sz w:val="20"/>
          <w:szCs w:val="20"/>
        </w:rPr>
        <w:t>·4H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çözündürülür. 10 ml amonyak (0,91 g/ml yoğunluğunda) eklenir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3.6.2. Amonyum monovanadat çözeltisi: 2,35 g amonyum monovanadat NH</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VO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400 ml sıcak suda çözündürülür. Sürekli karıştırılırken, yavaşça 20 ml seyreltik nitrik asit (7 ml HNO</w:t>
      </w:r>
      <w:r w:rsidRPr="007C1E0B">
        <w:rPr>
          <w:rFonts w:ascii="Times New Roman" w:hAnsi="Times New Roman" w:cs="Times New Roman"/>
          <w:sz w:val="20"/>
          <w:szCs w:val="20"/>
          <w:vertAlign w:val="subscript"/>
        </w:rPr>
        <w:t>3</w:t>
      </w:r>
      <w:r w:rsidRPr="007C1E0B">
        <w:rPr>
          <w:rFonts w:ascii="Times New Roman" w:hAnsi="Times New Roman" w:cs="Times New Roman"/>
          <w:sz w:val="20"/>
          <w:szCs w:val="20"/>
        </w:rPr>
        <w:t xml:space="preserve"> (3.4) + 13 ml 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eklenir ve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   1 mg/ml fosfor standart çözeltisi: 4,387 g potasyum dihidrojen fosfat KH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PO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xml:space="preserve"> suda çözündürülür. Su ile 1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Silis, porselen ya da platin küllendirme krozeleri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Elektrikli, 550°C’ye ayarlanmış termostatlı kül fırını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250 ml’lik Kjeldahl şişesi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Balon joje ve hassas pipetler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Spektrofotometre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Yaklaşık 16 mm çapında, 14,5 mm çapında tapalı ve 25 ila 30 ml kapasiteli test tüpleri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Çözeltinin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doğasına göre 5.1.1 ya da 5.1.2’de anlatılan şekilde bir çözelti hazırlanır.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5.1.1. Genel 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g ya da daha fazla numune 1 mg hassasiyetle tartılır. Test numunesi bir Kjeldahl şişesine konur, 20 ml sülfürik asit (3.5) eklenir, madde tamamen asitle ıslatmak ve şişenin yanlarına yapışmasını önlemek için çalkalanır, ısıtılır ve 10 dakika boyunca kaynama noktasında tutulur. Biraz soğumaya bırakılır, 2 ml nitrik asit (3.4) eklenir, hafifçe ısıtılır, biraz soğumaya bırakılır, biraz daha nitrik asit (3.4) eklenir ve yeniden kaynama noktasına getirilir. Renksiz bir çözelti elde edilene kadar bu metot yinelenir. Soğutulur, biraz su ekleyip, sıvı 500 ml’lik balon jojeye aktarılır, Kjeldahl şişesi sıcak su ile çalkalanır. Soğumaya bırakılır, su ile gereken hacme tamamlanır, homojenleştirilir ve filtre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Organik maddeler içeren, kalsiyum ve magnezyum dihidrojen fosfatları içermeyen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g numune en yakın 1 mg hassasiyetle bir küllendirme krozesine konur. Test numunesi, tamamen karışana kadar 1 g kalsiyum karbonat (3.1) ile karıştırılır. Beyaz ya da gri kül elde edilene kadar 550°C fırında küllendirilir (bir miktar kömür sorun oluşturmaz). Kül, 250 ml’lik bir behere aktarılır. Köpürme durana kadar 20 ml su ve hidroklorik asit (3.2) eklenir. 10 ml daha hidroklorik asit (3,2) eklenir. Beher bir kum banyosuna konur ve çözünmeyen silika oluşturarak kuruyana kadar buharlaştırılır. Kalıntı 10 ml nitrik asitte (3.3) yeniden çözündürülür ve kum banyosunda ya da ısıtıcı plakada 5 dakika boyunca kuruyana kadar buharlaştırmadan kaynatılır. Sıvı 500 ml’lik balon jojeye boşaltılır, beher birkaç kez sıcak su ile durulanır. Soğumaya bırakılır, su ile gereken hacme tamamlanır, homojenleştirilir ve filtrelenir.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Renk oluşumu ve optik yoğunluğun ölçümü</w:t>
      </w:r>
    </w:p>
    <w:p w:rsidR="008F593F" w:rsidRPr="007C1E0B" w:rsidRDefault="009E59A9" w:rsidP="001B722B">
      <w:pPr>
        <w:jc w:val="both"/>
        <w:rPr>
          <w:rFonts w:ascii="Times New Roman" w:hAnsi="Times New Roman" w:cs="Times New Roman"/>
          <w:sz w:val="20"/>
          <w:szCs w:val="20"/>
        </w:rPr>
      </w:pPr>
      <w:r w:rsidRPr="007C1E0B">
        <w:rPr>
          <w:rFonts w:ascii="Times New Roman" w:hAnsi="Times New Roman" w:cs="Times New Roman"/>
          <w:sz w:val="20"/>
          <w:szCs w:val="20"/>
        </w:rPr>
        <w:t>5</w:t>
      </w:r>
      <w:r w:rsidR="008F593F" w:rsidRPr="007C1E0B">
        <w:rPr>
          <w:rFonts w:ascii="Times New Roman" w:hAnsi="Times New Roman" w:cs="Times New Roman"/>
          <w:sz w:val="20"/>
          <w:szCs w:val="20"/>
        </w:rPr>
        <w:t>.1.1 ya da 5.1.2 ile elde edilen filtratın temsili bir miktarı, en fazla 40 μg/ml’lik bir fosfor konsantrasyonu elde etmek için seyreltilir. Bu çözeltinin 10 ml’si bir test tüpüne (4.6) konur ve 10 ml molibdovanadat ayıracı (3.6) eklenir. Homojenleştirilir ve 20°C’de en az 10 dakika boyunca bekletilir. 10 ml suya 10 ml molibdovanadat ayıracı (3.6) eklenerek elde edilen bir çözeltiye karşılık 430 nm’de bir spektrofotometre ile optik yoğunluk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eğrisi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Standart çözeltiden (3.7), sırasıyla 5, 10, 20, 30 ve 40 μg/ml fosfor içeren çözeltiler hazırlanır. Bu çözeltilerin her birinden 10 ml alınır ve ilaveten 10 ml molibdovanadat ayıracı (3.6) eklenir. Homojenleştirilir ve 20°C’de en az 10 dakika boyunca bekletilir. Optik yoğunluk 5.2’de belirtildiği gibi ölçülür. Karşılık gelen fosfor miktarlarına göre optik yoğunlukları çizerek kalibrasyon eğrisi çizilir. 0 ile 40 μg/ml arasındaki konsantrasyonlarda eğri doğrusal olacaktır.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eğrisi kullanılarak test numunesindeki fosfor miktarı tayin edilir. Sonuçları numunenin yüzdesi olarak ifade edilir.</w:t>
      </w:r>
    </w:p>
    <w:p w:rsidR="008F593F" w:rsidRPr="007C1E0B" w:rsidRDefault="00484A66" w:rsidP="001B722B">
      <w:pPr>
        <w:jc w:val="both"/>
        <w:rPr>
          <w:rFonts w:ascii="Times New Roman" w:hAnsi="Times New Roman" w:cs="Times New Roman"/>
          <w:sz w:val="20"/>
          <w:szCs w:val="20"/>
        </w:rPr>
      </w:pPr>
      <w:r w:rsidRPr="007C1E0B">
        <w:rPr>
          <w:rFonts w:ascii="Times New Roman" w:hAnsi="Times New Roman" w:cs="Times New Roman"/>
          <w:sz w:val="20"/>
          <w:szCs w:val="20"/>
        </w:rPr>
        <w:t>6.1.</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farkı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5’ten az fosfor içeriği için daha yüksek sonuca bağıl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3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5 ve daha fazla fosfor içeriği için mutlak değer olarak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0,15.</w:t>
      </w:r>
    </w:p>
    <w:p w:rsidR="008F593F" w:rsidRPr="007C1E0B" w:rsidRDefault="00A97A92" w:rsidP="001B722B">
      <w:pPr>
        <w:jc w:val="both"/>
        <w:rPr>
          <w:rFonts w:ascii="Times New Roman" w:hAnsi="Times New Roman" w:cs="Times New Roman"/>
          <w:b/>
          <w:sz w:val="20"/>
          <w:szCs w:val="20"/>
        </w:rPr>
      </w:pPr>
      <w:r w:rsidRPr="007C1E0B">
        <w:rPr>
          <w:rFonts w:ascii="Times New Roman" w:hAnsi="Times New Roman" w:cs="Times New Roman"/>
          <w:b/>
          <w:sz w:val="20"/>
          <w:szCs w:val="20"/>
        </w:rPr>
        <w:t>N.  SUDA ÇÖZÜNEBİLEN KLORÜR İÇERİĞİNİN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yemlerde sodyum klorür olarak suda çözünebilen klorür tayinini mümkün kılar. Tüm yemler için geçerlidir.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Klorürler suda çözünür. Ürün organik madde içeriyorsa berraklaştırılır. Çözelti nitrik asitle biraz asitleştirilir ve klorürler, gümüş nitrat çözeltisi ile gümüş klorür formunda çöktürülür. Gümüş nitratın fazlası amonyum tiyosiyanat çözeltisi ile Volhard metoduna göre titre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0,1 mol/l’lik amonyum tiyosiyanat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0,1 mol/l’lik gümüş nitrat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Doymuş amonyum demir sülfat (NH</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)Fe(SO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Nitrik asit, yoğunluk: 1,38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Dietil eter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  Carrez I çözeltisi: Su içinde 21,9 g çinko asetat Zn(CH</w:t>
      </w:r>
      <w:r w:rsidRPr="007C1E0B">
        <w:rPr>
          <w:rFonts w:ascii="Times New Roman" w:hAnsi="Times New Roman" w:cs="Times New Roman"/>
          <w:strike/>
          <w:sz w:val="20"/>
          <w:szCs w:val="20"/>
          <w:vertAlign w:val="subscript"/>
        </w:rPr>
        <w:t>3</w:t>
      </w:r>
      <w:r w:rsidRPr="007C1E0B">
        <w:rPr>
          <w:rFonts w:ascii="Times New Roman" w:hAnsi="Times New Roman" w:cs="Times New Roman"/>
          <w:sz w:val="20"/>
          <w:szCs w:val="20"/>
        </w:rPr>
        <w:t>COO)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2H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ve 3 g glasiyal asetik asit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Carrez II çözeltisi: Su içinde 10,6 g potasyum ferrosiyanid K</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Fe(CN)</w:t>
      </w:r>
      <w:r w:rsidRPr="007C1E0B">
        <w:rPr>
          <w:rFonts w:ascii="Times New Roman" w:hAnsi="Times New Roman" w:cs="Times New Roman"/>
          <w:sz w:val="20"/>
          <w:szCs w:val="20"/>
          <w:vertAlign w:val="subscript"/>
        </w:rPr>
        <w:t>6</w:t>
      </w:r>
      <w:r w:rsidRPr="007C1E0B">
        <w:rPr>
          <w:rFonts w:ascii="Times New Roman" w:hAnsi="Times New Roman" w:cs="Times New Roman"/>
          <w:sz w:val="20"/>
          <w:szCs w:val="20"/>
        </w:rPr>
        <w:t xml:space="preserve"> 3H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çözündürülür. Su ile 100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Aktif karbon (klorür içermeyen ve klorürleri absorbe etmeyen).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Karıştırıcı (çalkalayıcı): yaklaşık 35 ila 40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Çözeltinin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yapısına göre 5.1.1, 5.1.2 ya da 5.1.3’te gösterilen şekilde bir çözelti hazırlanır.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Aynı zamanda analiz edilecek numuneyi içermeyen bir kör testi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Organik madde içermeyen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 fazla 10 g ağırlığında ve klorür formunda en fazla 3 g klor içeren numune 1 mg hassasiyetle tartılır. Yaklaşık 20°C’deki 400 ml su ile birlikte 500 ml’lik bir balon jojeye konur. Karıştırıcıda 30 dakika karıştırılır, hacmine tamamlanır, homojenleştirilir ve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5.1.2.     5.1.3’te listelenenler dışındaki organik maddeleri içeren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Yaklaşık 5 g numune 1 mg hassasiyetle tartılır  ve 1 g aktif karbon (3.4) ile 500 ml’lik balon jojeye konur. Yaklaşık 20°C’deki 400 ml su ve 5 ml Carrez I çözeltisi (3.7) eklenip, 30 saniye karıştırılır, ardından 5 ml Carrez II çözeltisi (3.8) eklenir. Karıştırıcıda 30 dakika karıştırılır, hacmine tamamlanıp, homojenleştirilir ve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Pişirilmiş yem, keten tohumu küspesi ve unu, keten tohumu unu açısından zengin ürünler ve müsilaj ya da kolloidal maddeler açısından zengin ürünler (örneğin; dekstrine edilmiş nişasta):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Çözelti 5.1.2’de anlatılan şekilde hazırlanır ancak süzülmez. Gerekiyorsa santrifüjlenir, 100 ml süpernatant sıvı alınır ve 200 ml’lik bir balon jojeye aktarılır. Aseton (3.6) ile karıştırılır ve bu çözücü ile hacmine tamamlanıp, homojenleştirilir ve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Titrasyon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pipet ile 5.1.1, 5.1.2 ya da 5.1.3’te açıklanan şekilde elde edilen 25 ml-100 ml süzüntü (varsayılan klorür içeriğine göre) bir erlene aktarılır. Alınan çözelti en fazla 150 mg klorür (Cl) içermelidir. Gerekiyorsa en az 50 ml su ile seyreltilir, 5 ml nitrik asit (3.4), 20 ml doymuş amonyum demir sülfat çözeltisi (3.3) ve sıfır işaretine kadar doldurulmuş bir büretle aktarılan iki damla amonyum tiyosiyanat çözeltisi (3.1) eklenir. Bir büret kullanarak gümüş nitrat çözeltisi (3.2) 5 ml’lik bir fazlalık elde edecek şekilde aktarılır. 5 ml dietil eter (3.5) eklenir ve çökelti oluşturmak için sertçe çalkalanır. Gümüş nitratın fazlası amonyum tiyosiyanat çözeltisi (3.1) ile kırmızımsı kahverengi </w:t>
      </w:r>
      <w:r w:rsidR="0015171E" w:rsidRPr="007C1E0B">
        <w:rPr>
          <w:rFonts w:ascii="Times New Roman" w:hAnsi="Times New Roman" w:cs="Times New Roman"/>
          <w:sz w:val="20"/>
          <w:szCs w:val="20"/>
        </w:rPr>
        <w:t>ton oluşup</w:t>
      </w:r>
      <w:r w:rsidRPr="007C1E0B">
        <w:rPr>
          <w:rFonts w:ascii="Times New Roman" w:hAnsi="Times New Roman" w:cs="Times New Roman"/>
          <w:sz w:val="20"/>
          <w:szCs w:val="20"/>
        </w:rPr>
        <w:t xml:space="preserve"> bir dakika </w:t>
      </w:r>
      <w:r w:rsidR="0015171E" w:rsidRPr="007C1E0B">
        <w:rPr>
          <w:rFonts w:ascii="Times New Roman" w:hAnsi="Times New Roman" w:cs="Times New Roman"/>
          <w:sz w:val="20"/>
          <w:szCs w:val="20"/>
        </w:rPr>
        <w:t>boyunca</w:t>
      </w:r>
      <w:r w:rsidRPr="007C1E0B">
        <w:rPr>
          <w:rFonts w:ascii="Times New Roman" w:hAnsi="Times New Roman" w:cs="Times New Roman"/>
          <w:sz w:val="20"/>
          <w:szCs w:val="20"/>
        </w:rPr>
        <w:t xml:space="preserve"> </w:t>
      </w:r>
      <w:r w:rsidR="0015171E" w:rsidRPr="007C1E0B">
        <w:rPr>
          <w:rFonts w:ascii="Times New Roman" w:hAnsi="Times New Roman" w:cs="Times New Roman"/>
          <w:sz w:val="20"/>
          <w:szCs w:val="20"/>
        </w:rPr>
        <w:t>kaybolmadan</w:t>
      </w:r>
      <w:r w:rsidR="00F326B1" w:rsidRPr="007C1E0B">
        <w:rPr>
          <w:rFonts w:ascii="Times New Roman" w:hAnsi="Times New Roman" w:cs="Times New Roman"/>
          <w:sz w:val="20"/>
          <w:szCs w:val="20"/>
        </w:rPr>
        <w:t xml:space="preserve"> </w:t>
      </w:r>
      <w:r w:rsidR="0015171E" w:rsidRPr="007C1E0B">
        <w:rPr>
          <w:rFonts w:ascii="Times New Roman" w:hAnsi="Times New Roman" w:cs="Times New Roman"/>
          <w:sz w:val="20"/>
          <w:szCs w:val="20"/>
        </w:rPr>
        <w:t>dev</w:t>
      </w:r>
      <w:r w:rsidR="00876D94" w:rsidRPr="007C1E0B">
        <w:rPr>
          <w:rFonts w:ascii="Times New Roman" w:hAnsi="Times New Roman" w:cs="Times New Roman"/>
          <w:sz w:val="20"/>
          <w:szCs w:val="20"/>
        </w:rPr>
        <w:t>a</w:t>
      </w:r>
      <w:r w:rsidR="0015171E" w:rsidRPr="007C1E0B">
        <w:rPr>
          <w:rFonts w:ascii="Times New Roman" w:hAnsi="Times New Roman" w:cs="Times New Roman"/>
          <w:sz w:val="20"/>
          <w:szCs w:val="20"/>
        </w:rPr>
        <w:t xml:space="preserve">m edene </w:t>
      </w:r>
      <w:r w:rsidRPr="007C1E0B">
        <w:rPr>
          <w:rFonts w:ascii="Times New Roman" w:hAnsi="Times New Roman" w:cs="Times New Roman"/>
          <w:sz w:val="20"/>
          <w:szCs w:val="20"/>
        </w:rPr>
        <w:t>kadar titre edilir.</w:t>
      </w:r>
      <w:r w:rsidR="00727E47"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Klorür miktarı % sodyum klorür olarak (X) aşağıdaki formül kullanılarak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E16883" w:rsidRPr="007C1E0B">
        <w:rPr>
          <w:rFonts w:ascii="Times New Roman" w:hAnsi="Times New Roman" w:cs="Times New Roman"/>
          <w:noProof/>
          <w:sz w:val="20"/>
          <w:szCs w:val="20"/>
        </w:rPr>
        <w:drawing>
          <wp:inline distT="0" distB="0" distL="0" distR="0" wp14:anchorId="47EC7DA3" wp14:editId="569CBD3D">
            <wp:extent cx="1470660" cy="434340"/>
            <wp:effectExtent l="0" t="0" r="0" b="3810"/>
            <wp:docPr id="21" name="Resim 21"/>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70660" cy="43434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Eklenen 0,1 mol/l gümüş nitrat çözeltisinin miktarı,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Titrasyon için kullanılan 0,1 mol/l amonyum tiyosiyanat çözeltisinin miktarı,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testi için 0,1 mol/l gümüş nitrat çözeltisi tüketiliyorsa, bu değer hacimden düşülür (V1 − V2).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Ayrıca titrasyon potansiyometre ile de gerçekleştirilebilir.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ya da katı yağlar açısından çok zengin ürünlerde, önce dietil eter ya da petrol eteri ile yağ alınır.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Balık ununda, titrasyon Mohr metodu ile yürütülebilir.</w:t>
      </w:r>
    </w:p>
    <w:p w:rsidR="00E16883" w:rsidRPr="007C1E0B" w:rsidRDefault="00E16883" w:rsidP="001B722B">
      <w:pPr>
        <w:jc w:val="both"/>
        <w:rPr>
          <w:rFonts w:ascii="Times New Roman" w:hAnsi="Times New Roman" w:cs="Times New Roman"/>
          <w:sz w:val="20"/>
          <w:szCs w:val="20"/>
        </w:rPr>
      </w:pPr>
    </w:p>
    <w:p w:rsidR="00E16883" w:rsidRPr="007C1E0B" w:rsidRDefault="00E16883" w:rsidP="001B722B">
      <w:pPr>
        <w:jc w:val="both"/>
        <w:rPr>
          <w:rFonts w:ascii="Times New Roman" w:hAnsi="Times New Roman" w:cs="Times New Roman"/>
          <w:sz w:val="20"/>
          <w:szCs w:val="20"/>
        </w:rPr>
      </w:pPr>
    </w:p>
    <w:p w:rsidR="00E16883" w:rsidRPr="007C1E0B" w:rsidRDefault="00E16883" w:rsidP="001B722B">
      <w:pPr>
        <w:jc w:val="both"/>
        <w:rPr>
          <w:rFonts w:ascii="Times New Roman" w:hAnsi="Times New Roman" w:cs="Times New Roman"/>
          <w:sz w:val="20"/>
          <w:szCs w:val="20"/>
        </w:rPr>
      </w:pPr>
    </w:p>
    <w:p w:rsidR="00E16883" w:rsidRPr="007C1E0B" w:rsidRDefault="00E16883" w:rsidP="001B722B">
      <w:pPr>
        <w:jc w:val="both"/>
        <w:rPr>
          <w:rFonts w:ascii="Times New Roman" w:hAnsi="Times New Roman" w:cs="Times New Roman"/>
          <w:sz w:val="20"/>
          <w:szCs w:val="20"/>
        </w:rPr>
      </w:pPr>
    </w:p>
    <w:p w:rsidR="00E16883" w:rsidRPr="007C1E0B" w:rsidRDefault="00E16883" w:rsidP="001B722B">
      <w:pPr>
        <w:jc w:val="both"/>
        <w:rPr>
          <w:rFonts w:ascii="Times New Roman" w:hAnsi="Times New Roman" w:cs="Times New Roman"/>
          <w:sz w:val="20"/>
          <w:szCs w:val="20"/>
        </w:rPr>
      </w:pPr>
    </w:p>
    <w:p w:rsidR="00E16883" w:rsidRPr="007C1E0B" w:rsidRDefault="00E16883" w:rsidP="001B722B">
      <w:pPr>
        <w:jc w:val="both"/>
        <w:rPr>
          <w:rFonts w:ascii="Times New Roman" w:hAnsi="Times New Roman" w:cs="Times New Roman"/>
          <w:sz w:val="20"/>
          <w:szCs w:val="20"/>
        </w:rPr>
      </w:pPr>
    </w:p>
    <w:p w:rsidR="00803CA9" w:rsidRPr="007C1E0B" w:rsidRDefault="00803CA9" w:rsidP="001B722B">
      <w:pPr>
        <w:jc w:val="both"/>
        <w:rPr>
          <w:rFonts w:ascii="Times New Roman" w:hAnsi="Times New Roman" w:cs="Times New Roman"/>
          <w:sz w:val="20"/>
          <w:szCs w:val="20"/>
        </w:rPr>
      </w:pPr>
    </w:p>
    <w:p w:rsidR="00803CA9" w:rsidRPr="007C1E0B" w:rsidRDefault="00803CA9" w:rsidP="001B722B">
      <w:pPr>
        <w:jc w:val="both"/>
        <w:rPr>
          <w:rFonts w:ascii="Times New Roman" w:hAnsi="Times New Roman" w:cs="Times New Roman"/>
          <w:sz w:val="20"/>
          <w:szCs w:val="20"/>
        </w:rPr>
      </w:pPr>
    </w:p>
    <w:p w:rsidR="00803CA9" w:rsidRPr="007C1E0B" w:rsidRDefault="00803CA9" w:rsidP="001B722B">
      <w:pPr>
        <w:jc w:val="both"/>
        <w:rPr>
          <w:rFonts w:ascii="Times New Roman" w:hAnsi="Times New Roman" w:cs="Times New Roman"/>
          <w:sz w:val="20"/>
          <w:szCs w:val="20"/>
        </w:rPr>
      </w:pPr>
    </w:p>
    <w:p w:rsidR="00803CA9" w:rsidRPr="007C1E0B" w:rsidRDefault="00803CA9"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1477CD" w:rsidRPr="007C1E0B" w:rsidRDefault="001477CD" w:rsidP="001B722B">
      <w:pPr>
        <w:jc w:val="both"/>
        <w:rPr>
          <w:rFonts w:ascii="Times New Roman" w:hAnsi="Times New Roman" w:cs="Times New Roman"/>
          <w:sz w:val="20"/>
          <w:szCs w:val="20"/>
        </w:rPr>
      </w:pPr>
    </w:p>
    <w:p w:rsidR="008F593F" w:rsidRPr="007C1E0B" w:rsidRDefault="0039089F">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EK-4</w:t>
      </w:r>
    </w:p>
    <w:p w:rsidR="008F593F" w:rsidRPr="007C1E0B" w:rsidRDefault="004A4DDD" w:rsidP="001B722B">
      <w:pPr>
        <w:jc w:val="both"/>
        <w:rPr>
          <w:rFonts w:ascii="Times New Roman" w:hAnsi="Times New Roman" w:cs="Times New Roman"/>
          <w:b/>
          <w:sz w:val="20"/>
          <w:szCs w:val="20"/>
        </w:rPr>
      </w:pPr>
      <w:r w:rsidRPr="007C1E0B">
        <w:rPr>
          <w:rFonts w:ascii="Times New Roman" w:hAnsi="Times New Roman" w:cs="Times New Roman"/>
          <w:b/>
          <w:sz w:val="20"/>
          <w:szCs w:val="20"/>
        </w:rPr>
        <w:t>YEMLERDE KULLANIMINA İZİN VERİLEN YEM KATKI MADDELERİNİN DÜZEYLERİNİN KONTROLÜNE YÖNELİK</w:t>
      </w:r>
      <w:r w:rsidRPr="007C1E0B">
        <w:rPr>
          <w:rFonts w:ascii="Times New Roman" w:eastAsia="Times New Roman" w:hAnsi="Times New Roman" w:cs="Times New Roman"/>
          <w:b/>
          <w:sz w:val="20"/>
          <w:szCs w:val="20"/>
        </w:rPr>
        <w:t xml:space="preserve"> </w:t>
      </w:r>
      <w:r w:rsidR="008F593F" w:rsidRPr="007C1E0B">
        <w:rPr>
          <w:rFonts w:ascii="Times New Roman" w:hAnsi="Times New Roman" w:cs="Times New Roman"/>
          <w:b/>
          <w:sz w:val="20"/>
          <w:szCs w:val="20"/>
        </w:rPr>
        <w:t xml:space="preserve">ANALİZ METOTLARI </w:t>
      </w:r>
    </w:p>
    <w:p w:rsidR="001477CD"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A. </w:t>
      </w:r>
      <w:r w:rsidR="00BE5EBF"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VİTAMİN A TAYİNİ</w:t>
      </w:r>
      <w:r w:rsidRPr="007C1E0B">
        <w:rPr>
          <w:rFonts w:ascii="Times New Roman" w:hAnsi="Times New Roman" w:cs="Times New Roman"/>
          <w:b/>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yemlerdeki ve premikslerdeki A vitamini (retinol) seviyesinin tayinini mümkün kılar. A vitamini all-trans-retinil alkol ve bunun cis-izomerlerini içerir; bu bileşenler bu metot ile tayin edilir. A vitamininin içeriği kg başına Uluslararası Birim (IU) cinsinden ifade edilir. Bir IU, 0,300 μg all-trans-vitamin A alkol ya da 0,344 μg all-trans-vitamin A asetat veya 0,550 μg all-trans-vitamin A palmitat etkinliğine karşılık gelir. Ölçüm limiti 2.000 IU/kg vitamin 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etanollü potasyum hidroksit çözeltisi ile hidrolize edilir ve vitamin A petrol eter içinde ekstrakte edilir. Çözücü buharlaştırılarak uzaklaştırılır ve kalıntı metanol içinde çözündürülür ve gerekiyorsa gereken konsantrasyona seyreltilir. Vitamin A miktarı UV veya florasans dedektör kullanılarak ters fazlı yüksek performans sıvı kromatografisi (RP-HPLC) ile belirlenir.  Kromatografik parametreler all-trans-vitamin A alkolü ile cis izomerleri arasında ayrım olmayacak şekilde seçilir.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 σ =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96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Petrol eteri, kaynama aralığı 40-60°C</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Potasyum hidroksit çözeltisi, c = 50 g/100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askorbat çözeltisi, c = 10 g/100 ml (bakınız 7.7)</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Sodyum sülfit,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 · x 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(x = 7-9)</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sülfit çözeltisi, gliserol içinde c = 0,5 mol/l, ß = 120 g/l (x = 9 için) (bakınız 7.8)</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Fenolftalein çözeltisi, etanol (3.1) içinde c = 2 g/100 ml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2-Propanol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 metanol (3.3) ve su karışımı, örn. 980 + 20 (v + v)  Tam oran kullanılan kolon özellikleri ile belirlenebilir.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Azot, oksijen içermeyen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3.11.</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All-trans-vitamin A asetat, ekstra saf, onaylanan etkinlikte, (örneğin 2,80 x 10</w:t>
      </w:r>
      <w:r w:rsidRPr="007C1E0B">
        <w:rPr>
          <w:rFonts w:ascii="Times New Roman" w:hAnsi="Times New Roman" w:cs="Times New Roman"/>
          <w:sz w:val="20"/>
          <w:szCs w:val="20"/>
          <w:vertAlign w:val="superscript"/>
        </w:rPr>
        <w:t>6</w:t>
      </w:r>
      <w:r w:rsidRPr="007C1E0B">
        <w:rPr>
          <w:rFonts w:ascii="Times New Roman" w:hAnsi="Times New Roman" w:cs="Times New Roman"/>
          <w:sz w:val="20"/>
          <w:szCs w:val="20"/>
        </w:rPr>
        <w:t xml:space="preserve"> IU/g)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3.11.1.</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All-trans-vitamin A asetat stok çözeltisi: 50 mg vitamin A asetatı (3.11) 0,1 mg hassasiyetle 100 ml’lik balon jojeye tartılır. 2-propanol (3.8) içinde çözündürülür ve aynı çözücü ile hacmine tamamlanır. Bu çözeltinin nominal konsantrasyonu 1 400 IU/ml vitamin A’dır. Tam içerik 5.6.3.1’e göre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All-trans-vitamin A palmitat, ekstra saf, onaylanan aktivitede, örn. 1,80 x 10</w:t>
      </w:r>
      <w:r w:rsidRPr="007C1E0B">
        <w:rPr>
          <w:rFonts w:ascii="Times New Roman" w:hAnsi="Times New Roman" w:cs="Times New Roman"/>
          <w:sz w:val="20"/>
          <w:szCs w:val="20"/>
          <w:vertAlign w:val="superscript"/>
        </w:rPr>
        <w:t>6</w:t>
      </w:r>
      <w:r w:rsidRPr="007C1E0B">
        <w:rPr>
          <w:rFonts w:ascii="Times New Roman" w:hAnsi="Times New Roman" w:cs="Times New Roman"/>
          <w:sz w:val="20"/>
          <w:szCs w:val="20"/>
        </w:rPr>
        <w:t xml:space="preserve"> IU/g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All-trans-vitamin A palmitatın stok çözeltisi: 80 mg vitamin A palmitatı (3,12) 0,1 mg hassasiyetle 100 ml’lik balon jojeye tartılır. 2-propanol (3.8) içinde çözündürülür ve aynı çözücü ile hacmine tamamlanır. Bu çözeltinin nominal konsantrasyonu 1 400 IU/ml vitamin A’dır. Tam içerik 5.6.3.2’ye göre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2,6-Di-tert-butil-4-metilfenol (BHT) (bakınız 7.5)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Vakumlu döner buharlaştırıcı (rotary evaporator)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Amber renkli cam malzemeler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500 ml’lik, şilif cam soketli, düztabanlı ya da konik şişe.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Şilif tapalı, dar ağızlı, 10, 25, 100 ve 500 ml’lik balon jojeler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1000 ml’lik, şilif cam tapalı, konik, ayırma hunileri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250 ml’lik, buzlu cam soketli, armut şekilli balon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Allihn yoğunlaştırıcı, ceket uzunluğu 300 mm, rodajlı bağlantılı, gaz besleme borusu için adaptör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Faz ayrımı için, 185 mm çapında katlı filtre kağıdı (örn. Schleicher &amp; Schuell 597 HY 1/2)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Enjeksiyon sistemli HPLC cihazı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4.5.1. Sıvı kromatografik kolon, 250 mm x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5 ya da 10 μm dolgu ya da eşdeğeri (performans kriteri: HPLC koşulları altında tüm retinol izomerleri için yalnızca tek bir pik)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UV ya da flüoresans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değişken dalga boyu ayarlı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10 mm kuvars hücreli spektrofotometre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Manyetik karıştırıcılı su banyosu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Aşağıdakilerden oluşan ekstraksiyon cihazı (bakınız şekil 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1 litre kapasiteli, şilifli camdan bir boyun ve tıpa takılmış cam silindir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Bir yan kol ve merkezden geçen ayarlanabilir bir tüp takılmış şilifli cam ek. Ayarlanabilir tüpün, silindirdeki üst sıvı katmanının ayırıcı bir huniye aktarılabileceği şekilde U şekilli bir alt ucu ve karşı uçta bir jeti olmalıdır.</w:t>
      </w:r>
    </w:p>
    <w:p w:rsidR="004B180B"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Metot</w:t>
      </w:r>
    </w:p>
    <w:p w:rsidR="008F593F" w:rsidRPr="007C1E0B" w:rsidRDefault="004B180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 xml:space="preserve">Vitamin A (UV) ışığa ve oksitlenmeye duyarlıdır. Tüm işlemler ışık (amber cam malzemeler ya da alüminyum folyo ile korunan cam malzemeler kullanılarak) ve oksijenden korunmalı (azot akımında) bir ortamda gerçekleştirilmelidir. Ekstraksiyon sırasında sıvı üzerindeki hava azotla yer değiştirmelidir (ara sıra tıpa gevşetilerek </w:t>
      </w:r>
      <w:r w:rsidR="0058397D" w:rsidRPr="007C1E0B">
        <w:rPr>
          <w:rFonts w:ascii="Times New Roman" w:hAnsi="Times New Roman" w:cs="Times New Roman"/>
          <w:sz w:val="20"/>
          <w:szCs w:val="20"/>
        </w:rPr>
        <w:t xml:space="preserve">yüksek </w:t>
      </w:r>
      <w:r w:rsidR="008F593F" w:rsidRPr="007C1E0B">
        <w:rPr>
          <w:rFonts w:ascii="Times New Roman" w:hAnsi="Times New Roman" w:cs="Times New Roman"/>
          <w:sz w:val="20"/>
          <w:szCs w:val="20"/>
        </w:rPr>
        <w:t>basınç oluşması engellenmelidir).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1 mm gözenekli elekten geçecek şekilde öğütülür, ısı oluşumunun önlenmesine dikkat edilir. Öğütme işlemi tartım ve sabunlaştırmanın hemen öncesinde gerçekleştirilmelidir, aksi halde vitamin A kaybı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E5EBF" w:rsidRPr="007C1E0B">
        <w:rPr>
          <w:rFonts w:ascii="Times New Roman" w:hAnsi="Times New Roman" w:cs="Times New Roman"/>
          <w:sz w:val="20"/>
          <w:szCs w:val="20"/>
        </w:rPr>
        <w:t xml:space="preserve"> </w:t>
      </w:r>
      <w:r w:rsidRPr="007C1E0B">
        <w:rPr>
          <w:rFonts w:ascii="Times New Roman" w:hAnsi="Times New Roman" w:cs="Times New Roman"/>
          <w:sz w:val="20"/>
          <w:szCs w:val="20"/>
        </w:rPr>
        <w:t>Sabunlaştırma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Vitamin A </w:t>
      </w:r>
      <w:r w:rsidR="009A70BC" w:rsidRPr="007C1E0B">
        <w:rPr>
          <w:rFonts w:ascii="Times New Roman" w:hAnsi="Times New Roman" w:cs="Times New Roman"/>
          <w:sz w:val="20"/>
          <w:szCs w:val="20"/>
        </w:rPr>
        <w:t xml:space="preserve">içeriğine </w:t>
      </w:r>
      <w:r w:rsidRPr="007C1E0B">
        <w:rPr>
          <w:rFonts w:ascii="Times New Roman" w:hAnsi="Times New Roman" w:cs="Times New Roman"/>
          <w:sz w:val="20"/>
          <w:szCs w:val="20"/>
        </w:rPr>
        <w:t xml:space="preserve">bağlı olarak 2 g - 25 g numune 1 mg hassasiyetle 500 ml’lik bir düztabanlı ya da konik cam </w:t>
      </w:r>
      <w:r w:rsidR="009A70BC" w:rsidRPr="007C1E0B">
        <w:rPr>
          <w:rFonts w:ascii="Times New Roman" w:hAnsi="Times New Roman" w:cs="Times New Roman"/>
          <w:sz w:val="20"/>
          <w:szCs w:val="20"/>
        </w:rPr>
        <w:t>balona</w:t>
      </w:r>
      <w:r w:rsidRPr="007C1E0B">
        <w:rPr>
          <w:rFonts w:ascii="Times New Roman" w:hAnsi="Times New Roman" w:cs="Times New Roman"/>
          <w:sz w:val="20"/>
          <w:szCs w:val="20"/>
        </w:rPr>
        <w:t xml:space="preserve"> (4.2.1)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Karıştırarak sırasıyla 130 ml etanol (3.1), yaklaşık 100 mg BHT (3.13), 2 ml sodyum askorbat çözeltisi (3.5) ve 2 ml sodyum sülfit çözeltisi (3.6) eklenir. Cam malzemeye bir yoğunlaştırıcı (4.3) takılır ve balon joje manyetik karıştırıcılı bir su banyosuna (4.7) daldırılır. Kaynama noktasına ısıtılır ve 5 dakika boyunca geri soğutucuda tutulur. Ardından 25 ml potasyum hidroksit çözeltisi (3.4) yoğunlaştırıcı (4.3) içinden eklenir ve yavaş bir azot akımı altında karıştırılarak 25 dakika daha geri soğutucuda tutulur. Ardından yoğunlaştırıcı yaklaşık 20 ml su ile durulanır ve şişenin içeriği oda sıcaklığına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Sabunlaştırma çözeltisi toplam hacmi 250 ml olan su ile durulayarak nicel olarak 1000 ml’lik bir ayırma hunisine (4.2.3) ya da ekstraksiyon cihazına (4.8) </w:t>
      </w:r>
      <w:r w:rsidR="009A70BC" w:rsidRPr="007C1E0B">
        <w:rPr>
          <w:rFonts w:ascii="Times New Roman" w:hAnsi="Times New Roman" w:cs="Times New Roman"/>
          <w:sz w:val="20"/>
          <w:szCs w:val="20"/>
        </w:rPr>
        <w:t xml:space="preserve">süzerek </w:t>
      </w:r>
      <w:r w:rsidRPr="007C1E0B">
        <w:rPr>
          <w:rFonts w:ascii="Times New Roman" w:hAnsi="Times New Roman" w:cs="Times New Roman"/>
          <w:sz w:val="20"/>
          <w:szCs w:val="20"/>
        </w:rPr>
        <w:t>aktarılır. Sabunlaştırma şişesi sırasıyla 25 ml etanol (3.1) ve 100 ml petrol eteri (3.2) ile durulanır ve durulama çözeltileri ayırma hunisine ya da ekstraksiyon cihazına aktarılır. Birleştirilmiş çözeltilerdeki su ve etanol oranı yaklaşık 2:1 olmalıdır. 2 dakika boyunca kuvvetlice çalkalanır ve 2 dakika durulması beklenir.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Bir ayırma hunisi (4.2.3) kullanarak ekstraksiyon</w:t>
      </w:r>
    </w:p>
    <w:p w:rsidR="008F593F" w:rsidRPr="007C1E0B" w:rsidRDefault="009A70B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Fazlar </w:t>
      </w:r>
      <w:r w:rsidR="008F593F" w:rsidRPr="007C1E0B">
        <w:rPr>
          <w:rFonts w:ascii="Times New Roman" w:hAnsi="Times New Roman" w:cs="Times New Roman"/>
          <w:sz w:val="20"/>
          <w:szCs w:val="20"/>
        </w:rPr>
        <w:t xml:space="preserve">ayrıldığında (bakınız 7.3) petrol eteri </w:t>
      </w:r>
      <w:r w:rsidRPr="007C1E0B">
        <w:rPr>
          <w:rFonts w:ascii="Times New Roman" w:hAnsi="Times New Roman" w:cs="Times New Roman"/>
          <w:sz w:val="20"/>
          <w:szCs w:val="20"/>
        </w:rPr>
        <w:t>fazı</w:t>
      </w:r>
      <w:r w:rsidR="008F593F" w:rsidRPr="007C1E0B">
        <w:rPr>
          <w:rFonts w:ascii="Times New Roman" w:hAnsi="Times New Roman" w:cs="Times New Roman"/>
          <w:sz w:val="20"/>
          <w:szCs w:val="20"/>
        </w:rPr>
        <w:t xml:space="preserve"> başka bir ayırma hunisine (4.2.3) aktarılır. Bu ekstraksiyon işlemi 100 ml petrol eteri ile (3.2) iki kez ve 50 ml petrol eteri ile (3.2) iki kez yinelenir.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Ayırma hunisindeki birleştirilmiş ekstraktları, 100 ml’lik su ile hafifçe karıştırarak (emülsiyon oluşumunu önlemek için) ve ardından fenolftalein çözeltisi (3.7) eklendiğinde su renksiz kalana kadar 100 ml’lik su ile yeniden çalkalayarak (dört kez yıkamak genelde yeterlidir) yıkanır. Yıkanmış ekstrakt, süspansiyon halindeki suyu çıkartmak amacıyla faz ayrımı (4.4) için bir kuru katmanlı filtreden 500 ml’lik balon jojeye (4.2.2) süzülür. Ayırma hunisi ve filtre 50 ml petrol eteri ile (3.2) durulanır, petrol eteri ile (3.2) işarete kadar tamamlanır ve iyice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cihazı (4.8) kullanarak ekstraksiyon</w:t>
      </w:r>
    </w:p>
    <w:p w:rsidR="008F593F" w:rsidRPr="007C1E0B" w:rsidRDefault="009A70B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Fazlar </w:t>
      </w:r>
      <w:r w:rsidR="008F593F" w:rsidRPr="007C1E0B">
        <w:rPr>
          <w:rFonts w:ascii="Times New Roman" w:hAnsi="Times New Roman" w:cs="Times New Roman"/>
          <w:sz w:val="20"/>
          <w:szCs w:val="20"/>
        </w:rPr>
        <w:t xml:space="preserve">ayrıldığında (bakınız 7.3) cam silindirin tıpası (4.8.1) şilifli cam ek (4.8.2) ile değiştirilir ve ayarlanabilir tüpün U şekilli alt ucu, birleşme yüzeyi seviyesinin hemen üzerinde olacak şekilde yerleştirilir. Azot hattından yan kola basınç uygulayarak üstteki petrol eteri 1000 ml’lik bir ayırma hunisine (4.2.3) aktarılır. 100 ml petrol eteri (3.2) cam silindire eklenir, ağzı kapatılır ve iyice çalkalanır. </w:t>
      </w:r>
      <w:r w:rsidRPr="007C1E0B">
        <w:rPr>
          <w:rFonts w:ascii="Times New Roman" w:hAnsi="Times New Roman" w:cs="Times New Roman"/>
          <w:sz w:val="20"/>
          <w:szCs w:val="20"/>
        </w:rPr>
        <w:t xml:space="preserve">Fazların </w:t>
      </w:r>
      <w:r w:rsidR="008F593F" w:rsidRPr="007C1E0B">
        <w:rPr>
          <w:rFonts w:ascii="Times New Roman" w:hAnsi="Times New Roman" w:cs="Times New Roman"/>
          <w:sz w:val="20"/>
          <w:szCs w:val="20"/>
        </w:rPr>
        <w:t xml:space="preserve">ayrılmasına izin verilir ve üstteki katmanı önceki gibi ayırma hunisine aktarılır. Ekstraksiyon işlemi 100 ml petrol eteri ile (3.2), ardından iki kez 50 ml’lik petrol eteri ile (3.2) yinelenir ve petrol eteri </w:t>
      </w:r>
      <w:r w:rsidRPr="007C1E0B">
        <w:rPr>
          <w:rFonts w:ascii="Times New Roman" w:hAnsi="Times New Roman" w:cs="Times New Roman"/>
          <w:sz w:val="20"/>
          <w:szCs w:val="20"/>
        </w:rPr>
        <w:t xml:space="preserve">fazları </w:t>
      </w:r>
      <w:r w:rsidR="008F593F" w:rsidRPr="007C1E0B">
        <w:rPr>
          <w:rFonts w:ascii="Times New Roman" w:hAnsi="Times New Roman" w:cs="Times New Roman"/>
          <w:sz w:val="20"/>
          <w:szCs w:val="20"/>
        </w:rPr>
        <w:t xml:space="preserve">ayırma hunisine eklenir.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Birleştirilmiş petrol eteri ekstraktları 5.3.1’de anlatıldığı gibi yıkanır ve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numune çözeltisinin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Belirli miktarda petrol eteri çözeltisi (5.3.1 ya da 5.3.2’den elde edilen) 250 ml’lik armut şekilli balona (4.2.4) pipetle alınır. En fazla 40°C’lik bir su banyosunda azaltılan basınçla döner buharlaştırıcıda (rotary evaporator) (4.1) çözücü neredeyse kuruyana kadar buharlaştırılır. Azot (3.10) içeri alınarak atmosferik basınç yeniden sağlanır ve balon joje döner buharlaştırıcıdan (rotary evaporator) çıkartılır. Kalan çözücü bir azot (3.10) buharı ile çıkartılır ve kalıntı hemen bilinen hacimdeki (10-100 ml) metanol (3.3) (vitamin A konsantrasyonu 5 IU/ml ile 30 IU/ml arasında olmalıdır)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5.5.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ile tayin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bir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xml:space="preserve"> ters faz kolonunda (4.5.1) ayrılır ve konsantrasyon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ü (325 nm) ya da bir flüoresans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ile ölçülür. (eksitasyon: 325 nm, emisyon: 475 nm) (4.5.2)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5.4’te elde edilen metanolik çözeltiden belirli miktarda (örneğin 20 μl) enjekte edilir ve mobil faz (3.9) ile elüe edilir. Aynı numune çözeltisinin çeşitli enjeksiyonlarının ortalama pik yüksekliği (alan) ve kalibrasyon çözeltilerinin (5.6.2) çeşitli enjeksiyonlarının ortalama pik yükseklikleri (alanlar)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koşulları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tbl>
      <w:tblPr>
        <w:tblStyle w:val="TabloKlavuzu"/>
        <w:tblpPr w:leftFromText="142" w:rightFromText="142" w:vertAnchor="text" w:horzAnchor="margin" w:tblpX="109" w:tblpY="1"/>
        <w:tblOverlap w:val="never"/>
        <w:tblW w:w="0" w:type="auto"/>
        <w:tblLayout w:type="fixed"/>
        <w:tblLook w:val="04A0" w:firstRow="1" w:lastRow="0" w:firstColumn="1" w:lastColumn="0" w:noHBand="0" w:noVBand="1"/>
      </w:tblPr>
      <w:tblGrid>
        <w:gridCol w:w="4440"/>
        <w:gridCol w:w="4559"/>
      </w:tblGrid>
      <w:tr w:rsidR="007C1E0B" w:rsidRPr="007C1E0B" w:rsidTr="00BF68F1">
        <w:trPr>
          <w:trHeight w:val="700"/>
        </w:trPr>
        <w:tc>
          <w:tcPr>
            <w:tcW w:w="4440"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 (4.5.1):</w:t>
            </w:r>
          </w:p>
        </w:tc>
        <w:tc>
          <w:tcPr>
            <w:tcW w:w="4559" w:type="dxa"/>
          </w:tcPr>
          <w:p w:rsidR="00CA0DF4" w:rsidRPr="007C1E0B" w:rsidRDefault="00CA0DF4" w:rsidP="00BF68F1">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250 mm"/>
              </w:smartTagPr>
              <w:r w:rsidRPr="007C1E0B">
                <w:rPr>
                  <w:rFonts w:ascii="Times New Roman" w:eastAsiaTheme="minorEastAsia" w:hAnsi="Times New Roman" w:cs="Times New Roman"/>
                  <w:sz w:val="20"/>
                  <w:szCs w:val="20"/>
                  <w:lang w:eastAsia="tr-TR"/>
                </w:rPr>
                <w:t>250 mm</w:t>
              </w:r>
            </w:smartTag>
            <w:r w:rsidRPr="007C1E0B">
              <w:rPr>
                <w:rFonts w:ascii="Times New Roman" w:eastAsiaTheme="minorEastAsia" w:hAnsi="Times New Roman" w:cs="Times New Roman"/>
                <w:sz w:val="20"/>
                <w:szCs w:val="20"/>
                <w:lang w:eastAsia="tr-TR"/>
              </w:rPr>
              <w:t xml:space="preserve"> × </w:t>
            </w:r>
            <w:smartTag w:uri="urn:schemas-microsoft-com:office:smarttags" w:element="metricconverter">
              <w:smartTagPr>
                <w:attr w:name="ProductID" w:val="4 mm"/>
              </w:smartTagPr>
              <w:r w:rsidRPr="007C1E0B">
                <w:rPr>
                  <w:rFonts w:ascii="Times New Roman" w:eastAsiaTheme="minorEastAsia" w:hAnsi="Times New Roman" w:cs="Times New Roman"/>
                  <w:sz w:val="20"/>
                  <w:szCs w:val="20"/>
                  <w:lang w:eastAsia="tr-TR"/>
                </w:rPr>
                <w:t>4 mm</w:t>
              </w:r>
            </w:smartTag>
            <w:r w:rsidRPr="007C1E0B">
              <w:rPr>
                <w:rFonts w:ascii="Times New Roman" w:eastAsiaTheme="minorEastAsia" w:hAnsi="Times New Roman" w:cs="Times New Roman"/>
                <w:sz w:val="20"/>
                <w:szCs w:val="20"/>
                <w:lang w:eastAsia="tr-TR"/>
              </w:rPr>
              <w:t>, C</w:t>
            </w:r>
            <w:r w:rsidRPr="007C1E0B">
              <w:rPr>
                <w:rFonts w:ascii="Times New Roman" w:eastAsiaTheme="minorEastAsia" w:hAnsi="Times New Roman" w:cs="Times New Roman"/>
                <w:sz w:val="20"/>
                <w:szCs w:val="20"/>
                <w:vertAlign w:val="subscript"/>
                <w:lang w:eastAsia="tr-TR"/>
              </w:rPr>
              <w:t>18</w:t>
            </w:r>
            <w:r w:rsidRPr="007C1E0B">
              <w:rPr>
                <w:rFonts w:ascii="Times New Roman" w:eastAsiaTheme="minorEastAsia" w:hAnsi="Times New Roman" w:cs="Times New Roman"/>
                <w:sz w:val="20"/>
                <w:szCs w:val="20"/>
                <w:lang w:eastAsia="tr-TR"/>
              </w:rPr>
              <w:t>, 5 ya da 10 μm dolgu ya da eşdeğeri</w:t>
            </w:r>
          </w:p>
        </w:tc>
      </w:tr>
      <w:tr w:rsidR="007C1E0B" w:rsidRPr="007C1E0B" w:rsidTr="00BF68F1">
        <w:trPr>
          <w:trHeight w:val="540"/>
        </w:trPr>
        <w:tc>
          <w:tcPr>
            <w:tcW w:w="4440"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Mobil faz (3.9)                         </w:t>
            </w:r>
          </w:p>
        </w:tc>
        <w:tc>
          <w:tcPr>
            <w:tcW w:w="4559" w:type="dxa"/>
          </w:tcPr>
          <w:p w:rsidR="00CA0DF4" w:rsidRPr="007C1E0B" w:rsidRDefault="00CA0DF4" w:rsidP="009A70BC">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Metanol (3.3) ve su karışımı, örn. 980 + 20 (</w:t>
            </w:r>
            <w:r w:rsidR="009A70BC" w:rsidRPr="007C1E0B">
              <w:rPr>
                <w:rFonts w:ascii="Times New Roman" w:eastAsiaTheme="minorEastAsia" w:hAnsi="Times New Roman" w:cs="Times New Roman"/>
                <w:sz w:val="20"/>
                <w:szCs w:val="20"/>
                <w:lang w:eastAsia="tr-TR"/>
              </w:rPr>
              <w:t>v</w:t>
            </w:r>
            <w:r w:rsidRPr="007C1E0B">
              <w:rPr>
                <w:rFonts w:ascii="Times New Roman" w:eastAsiaTheme="minorEastAsia" w:hAnsi="Times New Roman" w:cs="Times New Roman"/>
                <w:sz w:val="20"/>
                <w:szCs w:val="20"/>
                <w:lang w:eastAsia="tr-TR"/>
              </w:rPr>
              <w:t>+</w:t>
            </w:r>
            <w:r w:rsidR="009A70BC" w:rsidRPr="007C1E0B">
              <w:rPr>
                <w:rFonts w:ascii="Times New Roman" w:eastAsiaTheme="minorEastAsia" w:hAnsi="Times New Roman" w:cs="Times New Roman"/>
                <w:sz w:val="20"/>
                <w:szCs w:val="20"/>
                <w:lang w:eastAsia="tr-TR"/>
              </w:rPr>
              <w:t>v</w:t>
            </w:r>
            <w:r w:rsidRPr="007C1E0B">
              <w:rPr>
                <w:rFonts w:ascii="Times New Roman" w:eastAsiaTheme="minorEastAsia" w:hAnsi="Times New Roman" w:cs="Times New Roman"/>
                <w:sz w:val="20"/>
                <w:szCs w:val="20"/>
                <w:lang w:eastAsia="tr-TR"/>
              </w:rPr>
              <w:t>).</w:t>
            </w:r>
          </w:p>
        </w:tc>
      </w:tr>
      <w:tr w:rsidR="007C1E0B" w:rsidRPr="007C1E0B" w:rsidTr="00803CA9">
        <w:trPr>
          <w:trHeight w:val="483"/>
        </w:trPr>
        <w:tc>
          <w:tcPr>
            <w:tcW w:w="4440"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Akış hızı                                      </w:t>
            </w:r>
          </w:p>
        </w:tc>
        <w:tc>
          <w:tcPr>
            <w:tcW w:w="4559"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1-2 ml/dak.</w:t>
            </w:r>
          </w:p>
        </w:tc>
      </w:tr>
      <w:tr w:rsidR="007C1E0B" w:rsidRPr="007C1E0B" w:rsidTr="00BF68F1">
        <w:trPr>
          <w:trHeight w:val="699"/>
        </w:trPr>
        <w:tc>
          <w:tcPr>
            <w:tcW w:w="4440"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Dedektör (4.5.2)                            </w:t>
            </w:r>
          </w:p>
        </w:tc>
        <w:tc>
          <w:tcPr>
            <w:tcW w:w="4559" w:type="dxa"/>
          </w:tcPr>
          <w:p w:rsidR="00CA0DF4" w:rsidRPr="007C1E0B" w:rsidRDefault="00CA0DF4"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UV </w:t>
            </w:r>
            <w:r w:rsidR="00A557CA" w:rsidRPr="007C1E0B">
              <w:rPr>
                <w:rFonts w:ascii="Times New Roman" w:eastAsiaTheme="minorEastAsia" w:hAnsi="Times New Roman" w:cs="Times New Roman"/>
                <w:sz w:val="20"/>
                <w:szCs w:val="20"/>
                <w:lang w:eastAsia="tr-TR"/>
              </w:rPr>
              <w:t>dedektör</w:t>
            </w:r>
            <w:r w:rsidRPr="007C1E0B">
              <w:rPr>
                <w:rFonts w:ascii="Times New Roman" w:eastAsiaTheme="minorEastAsia" w:hAnsi="Times New Roman" w:cs="Times New Roman"/>
                <w:sz w:val="20"/>
                <w:szCs w:val="20"/>
                <w:lang w:eastAsia="tr-TR"/>
              </w:rPr>
              <w:t xml:space="preserve">ü (325 nm) ya da floresans </w:t>
            </w:r>
            <w:r w:rsidR="00A557CA" w:rsidRPr="007C1E0B">
              <w:rPr>
                <w:rFonts w:ascii="Times New Roman" w:eastAsiaTheme="minorEastAsia" w:hAnsi="Times New Roman" w:cs="Times New Roman"/>
                <w:sz w:val="20"/>
                <w:szCs w:val="20"/>
                <w:lang w:eastAsia="tr-TR"/>
              </w:rPr>
              <w:t>dedektör</w:t>
            </w:r>
            <w:r w:rsidRPr="007C1E0B">
              <w:rPr>
                <w:rFonts w:ascii="Times New Roman" w:eastAsiaTheme="minorEastAsia" w:hAnsi="Times New Roman" w:cs="Times New Roman"/>
                <w:sz w:val="20"/>
                <w:szCs w:val="20"/>
                <w:lang w:eastAsia="tr-TR"/>
              </w:rPr>
              <w:t>ü (eksitasyon: 325 nm/emisyon: 475 nm).</w:t>
            </w:r>
          </w:p>
        </w:tc>
      </w:tr>
    </w:tbl>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 xml:space="preserve">5.6.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5.6.1.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Çalışma standard çözeltilerinin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ml vitamin A asetat stok çözeltisi (3.11.1) ya da 20 ml vitamin A palmitat stok çözeltisi (3.12.1) 500 ml’lik düztabanlı ya da konik cam balona (4.2.1) pipet ile alınır ve BHT eklenmeden 5.2’de anlatıldığı gibi hidrolize edilir. Ardından petrol eteri ile (3.2) 5.3’e göre ekstrakte edilir ve petrol eteri ile (3.2) 500 ml’ye tamamlanır. Bu ekstraktın 100 ml’si döner buharlaştırıcıda (rotary evaporator) (bakınız 5.4) neredeyse kuruyana kadar buharlaştırılır, kalan çözücü bir azot (3.10) buharı ile çıkartılır ve kalıntı 10,0 ml metanol (3.3) içinde yeniden çözündürülür. Bu çözeltinin nominal konsantrasyonu 560 IU/ml vitamin A’dır. Tam içerik 5.6.3.3’e göre tayin edilir. Çalışma standardı çözeltisi, kullanılmadan önce taze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Bu çalışma standardı çözeltisinin 2,0 ml’sini 20 ml’lik balon jojeye pipetlenir, metanol (3.3) ile işarete kadar tamamlanır ve karıştırılır. Bu seyreltilmiş çalışma standardının nominal konsantrasyonu 56 IU/ml vitamin 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5.6.2. </w:t>
      </w:r>
      <w:r w:rsidR="005E16DD"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çözeltilerinin ve kalibrasyon grafiğinin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1,0- 2,0- 5,0 ve 10,0 ml seyreltilmiş çalışma standardı çözeltisi bir dizi 20 ml’lik balon jojeye aktarılır, metanol (3.3) ile işarete kadar tamamlanır ve karıştırılır. Bu çözeltilerin nominal konsantrasyonları 2,8- 5,6- 14,0 ve 28,0 IU/ml vitamin 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çözeltisinin 20 μl’si birkaç kez enjekte edilir ve ortalama pik yükseklikleri (alanlar) tayin edilir. Ortalama pik yükseklikleri (alanlar) ve UV kontrolünün (5.6.3.3) sonuçları göz önünde bulundurularak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Standart çözeltilerinin UV standardizasyonu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5.6.3.1.</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Vitamin A asetat stok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ml vitamin A asetat stok çözeltisi (3.11.1) 50 ml’lik bir balon jojeye (4.2.2) pipet ile alınır ve 2-propanol (3.8) ile işaretine kadar tamamlanır. Bu çözeltinin nominal konsantrasyonu 56 IU/ml vitamin A’dır. Bu seyreltilmiş vitamin A asetat çözeltisinin 3,0 ml’si 25 ml’lik balon jojeye pipet ile alınır ve 2-propanol (3.8) ile işaretine kadar tamamlanır. Bu çözeltinin nominal konsantrasyonu 6,72 IU/ml vitamin A’dır. Bu çözeltinin UV spektrumu  2-propanole (3.8) göre, 300 nm ile 400 nm arasında spektrofotometrede (4.6) ölçülür. Ekstinksiyon maksimumu 325 nm ile 327 nm arasında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içeriğinin hesabı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IU vitamin A/ml = E</w:t>
      </w:r>
      <w:r w:rsidRPr="007C1E0B">
        <w:rPr>
          <w:rFonts w:ascii="Times New Roman" w:hAnsi="Times New Roman" w:cs="Times New Roman"/>
          <w:sz w:val="20"/>
          <w:szCs w:val="20"/>
          <w:vertAlign w:val="subscript"/>
        </w:rPr>
        <w:t>326</w:t>
      </w:r>
      <w:r w:rsidRPr="007C1E0B">
        <w:rPr>
          <w:rFonts w:ascii="Times New Roman" w:hAnsi="Times New Roman" w:cs="Times New Roman"/>
          <w:sz w:val="20"/>
          <w:szCs w:val="20"/>
        </w:rPr>
        <w:t xml:space="preserve"> × 19,0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Vitamin A asetat için </w:t>
      </w:r>
      <w:r w:rsidR="009D4303" w:rsidRPr="007C1E0B">
        <w:rPr>
          <w:rFonts w:ascii="Times New Roman" w:hAnsi="Times New Roman" w:cs="Times New Roman"/>
          <w:sz w:val="20"/>
          <w:szCs w:val="20"/>
        </w:rPr>
        <w:t>(</w:t>
      </w:r>
      <m:oMath>
        <m:sSubSup>
          <m:sSubSupPr>
            <m:ctrlPr>
              <w:rPr>
                <w:rFonts w:ascii="Cambria Math" w:eastAsia="Arial Unicode MS" w:hAnsi="Cambria Math" w:cs="Times New Roman"/>
                <w:i/>
                <w:sz w:val="20"/>
                <w:szCs w:val="20"/>
              </w:rPr>
            </m:ctrlPr>
          </m:sSubSupPr>
          <m:e>
            <m:r>
              <w:rPr>
                <w:rFonts w:ascii="Cambria Math" w:eastAsia="Arial Unicode MS" w:hAnsi="Cambria Math" w:cs="Times New Roman"/>
                <w:sz w:val="20"/>
                <w:szCs w:val="20"/>
              </w:rPr>
              <m:t>E</m:t>
            </m:r>
          </m:e>
          <m:sub>
            <m:r>
              <w:rPr>
                <w:rFonts w:ascii="Cambria Math" w:eastAsia="Arial Unicode MS" w:hAnsi="Cambria Math" w:cs="Times New Roman"/>
                <w:sz w:val="20"/>
                <w:szCs w:val="20"/>
              </w:rPr>
              <m:t>1cm</m:t>
            </m:r>
          </m:sub>
          <m:sup>
            <m:r>
              <w:rPr>
                <w:rFonts w:ascii="Cambria Math" w:eastAsia="Arial Unicode MS" w:hAnsi="Cambria Math" w:cs="Times New Roman"/>
                <w:sz w:val="20"/>
                <w:szCs w:val="20"/>
              </w:rPr>
              <m:t>1%</m:t>
            </m:r>
          </m:sup>
        </m:sSubSup>
      </m:oMath>
      <w:r w:rsidRPr="007C1E0B">
        <w:rPr>
          <w:rFonts w:ascii="Times New Roman" w:hAnsi="Times New Roman" w:cs="Times New Roman"/>
          <w:sz w:val="20"/>
          <w:szCs w:val="20"/>
        </w:rPr>
        <w:t xml:space="preserve">= 326 </w:t>
      </w:r>
      <w:r w:rsidR="009D4303" w:rsidRPr="007C1E0B">
        <w:rPr>
          <w:rFonts w:ascii="Times New Roman" w:hAnsi="Times New Roman" w:cs="Times New Roman"/>
          <w:sz w:val="20"/>
          <w:szCs w:val="20"/>
        </w:rPr>
        <w:t>nm’de 2-propanol içinde 1530)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5.6.3.2.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Vitamin A palmitat stok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ml vitamin A palmitat stok çözeltisi (3.12.1) 50 ml’lik (3.8) ile işaretine kadar tamamlanır. Bu çözeltinin nominal konsantrasyonu 56 IU/ml vitamin 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seyreltilmiş vitamin A palmitat çözeltisinin 3,0 ml’si 25 ml’lik bir balon jojeye pipetlenir ve 2-propanol (3.8) ile işarete kadar tamamlanır. Bu çözeltinin nominal konsantrasyonu 6,72 IU/ml vitamin A’dır. Bu çözeltinin UV spektrumu 2-propanole (3.8) göre, 300 nm ile 400 nm arasında spektrofotometrede (4.6) ölçülür.  Ekstinksiyon maksimumu 325 nm ile 327 nm arasında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içeriğinin hesabı: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IU vitamin A/ml = E</w:t>
      </w:r>
      <w:r w:rsidRPr="007C1E0B">
        <w:rPr>
          <w:rFonts w:ascii="Times New Roman" w:hAnsi="Times New Roman" w:cs="Times New Roman"/>
          <w:sz w:val="20"/>
          <w:szCs w:val="20"/>
          <w:vertAlign w:val="subscript"/>
        </w:rPr>
        <w:t>326</w:t>
      </w:r>
      <w:r w:rsidRPr="007C1E0B">
        <w:rPr>
          <w:rFonts w:ascii="Times New Roman" w:hAnsi="Times New Roman" w:cs="Times New Roman"/>
          <w:sz w:val="20"/>
          <w:szCs w:val="20"/>
        </w:rPr>
        <w:t xml:space="preserve"> × 19,0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palmitat için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1cm</m:t>
            </m:r>
          </m:sub>
          <m:sup>
            <m:r>
              <w:rPr>
                <w:rFonts w:ascii="Cambria Math" w:hAnsi="Cambria Math" w:cs="Times New Roman"/>
                <w:sz w:val="20"/>
                <w:szCs w:val="20"/>
              </w:rPr>
              <m:t>1%</m:t>
            </m:r>
          </m:sup>
        </m:sSubSup>
      </m:oMath>
      <w:r w:rsidR="009D4303" w:rsidRPr="007C1E0B">
        <w:rPr>
          <w:rFonts w:ascii="Times New Roman" w:hAnsi="Times New Roman" w:cs="Times New Roman"/>
          <w:sz w:val="20"/>
          <w:szCs w:val="20"/>
        </w:rPr>
        <w:t xml:space="preserve"> =</w:t>
      </w:r>
      <w:r w:rsidRPr="007C1E0B">
        <w:rPr>
          <w:rFonts w:ascii="Times New Roman" w:hAnsi="Times New Roman" w:cs="Times New Roman"/>
          <w:sz w:val="20"/>
          <w:szCs w:val="20"/>
        </w:rPr>
        <w:t>326 nm’de 2-propanol içinde 957)</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5.6.3.3.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Vitamin A çalışma standardı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5.6.1’e göre hazırlanan seyreltil</w:t>
      </w:r>
      <w:r w:rsidR="009A70BC" w:rsidRPr="007C1E0B">
        <w:rPr>
          <w:rFonts w:ascii="Times New Roman" w:hAnsi="Times New Roman" w:cs="Times New Roman"/>
          <w:sz w:val="20"/>
          <w:szCs w:val="20"/>
        </w:rPr>
        <w:t>me</w:t>
      </w:r>
      <w:r w:rsidRPr="007C1E0B">
        <w:rPr>
          <w:rFonts w:ascii="Times New Roman" w:hAnsi="Times New Roman" w:cs="Times New Roman"/>
          <w:sz w:val="20"/>
          <w:szCs w:val="20"/>
        </w:rPr>
        <w:t>miş vitamin A çalışma standard çözeltisinin 3,0 ml’si 50 ml’lik bir balon jojeye (4.2.2) pipetle alınır ve 2-propanol (3.8) ile işaretine kadar tamamlanır. Bu çözeltinin 5,0 ml’si 25 ml’lik bir balon jojeye pipetle alınır ve 2-propanol (3.8) ile işaretine kadar tamamlanır. Bu çözeltinin nominal konsantrasyonu 6,72 IU/ml vitamin A’dır. Bu çözeltinin UV spektrumu 2-propanole (3.8) göre, 300 nm ile 400 nm arasında spektrofotometrede (4.6) ölçülür. Ekstinksiyon maksimumu 325 nm ile 327 nm arasında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içeriğinin hesabı: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IU vitamin A/ml = E</w:t>
      </w:r>
      <w:r w:rsidRPr="007C1E0B">
        <w:rPr>
          <w:rFonts w:ascii="Times New Roman" w:hAnsi="Times New Roman" w:cs="Times New Roman"/>
          <w:sz w:val="20"/>
          <w:szCs w:val="20"/>
          <w:vertAlign w:val="subscript"/>
        </w:rPr>
        <w:t>325</w:t>
      </w:r>
      <w:r w:rsidRPr="007C1E0B">
        <w:rPr>
          <w:rFonts w:ascii="Times New Roman" w:hAnsi="Times New Roman" w:cs="Times New Roman"/>
          <w:sz w:val="20"/>
          <w:szCs w:val="20"/>
        </w:rPr>
        <w:t xml:space="preserve"> × 18,3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A alkol için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1cm</m:t>
            </m:r>
          </m:sub>
          <m:sup>
            <m:r>
              <w:rPr>
                <w:rFonts w:ascii="Cambria Math" w:hAnsi="Cambria Math" w:cs="Times New Roman"/>
                <w:sz w:val="20"/>
                <w:szCs w:val="20"/>
              </w:rPr>
              <m:t>1%</m:t>
            </m:r>
          </m:sup>
        </m:sSubSup>
      </m:oMath>
      <w:r w:rsidRPr="007C1E0B">
        <w:rPr>
          <w:rFonts w:ascii="Times New Roman" w:hAnsi="Times New Roman" w:cs="Times New Roman"/>
          <w:sz w:val="20"/>
          <w:szCs w:val="20"/>
        </w:rPr>
        <w:t>= 325 nm’de 2-propanol içinde 1821)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grafiğini (5.6.2) referans alarak, çözeltinin vitamin A piklerinin ortalama yüksekliğinden (alan), aynı çözeltisinin konsantrasyonu IU/ml cinsinden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IU/kg cinsinden vitamin A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9D4303" w:rsidRPr="007C1E0B">
        <w:rPr>
          <w:rFonts w:ascii="Times New Roman" w:hAnsi="Times New Roman" w:cs="Times New Roman"/>
          <w:noProof/>
          <w:sz w:val="20"/>
          <w:szCs w:val="20"/>
        </w:rPr>
        <w:drawing>
          <wp:inline distT="0" distB="0" distL="0" distR="0" wp14:anchorId="5614C3FF" wp14:editId="75AFEA9F">
            <wp:extent cx="1967230" cy="382905"/>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67230" cy="38290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c = Numune çözeltisinin (5.4) vitamin A konsantrasyonu, IU/ml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çözeltisinin (5.4)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5.4’te alınan temsili miktarının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Test </w:t>
      </w:r>
      <w:r w:rsidR="00EC3739" w:rsidRPr="007C1E0B">
        <w:rPr>
          <w:rFonts w:ascii="Times New Roman" w:hAnsi="Times New Roman" w:cs="Times New Roman"/>
          <w:sz w:val="20"/>
          <w:szCs w:val="20"/>
        </w:rPr>
        <w:t xml:space="preserve">numunesinin </w:t>
      </w:r>
      <w:r w:rsidRPr="007C1E0B">
        <w:rPr>
          <w:rFonts w:ascii="Times New Roman" w:hAnsi="Times New Roman" w:cs="Times New Roman"/>
          <w:sz w:val="20"/>
          <w:szCs w:val="20"/>
        </w:rPr>
        <w:t>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Düşük vitamin A konsantrasyonu olan numunelerde iki sabunlaştırma yükünün (tartılan miktar: 25 g) petrol eteri ekstraktlarının HPLC tayini için bir numune çözeltisinde birleştirilmesi yararlı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için alınan numunenin ağırlığı 2 g’dan fazla yağ içermemelidir.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Faz ayrımı oluşmazsa emülsiyonu kırmak için yaklaşık 10 ml etanol (3.1)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Balık yağı ve diğer saf yağlarla sabunlaştırma süresi 45-60 dakikaya kadar uzatılabilir.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7.5.</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BHT yerine hidrokinon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7.6. </w:t>
      </w:r>
      <w:r w:rsidR="008B71AB" w:rsidRPr="007C1E0B">
        <w:rPr>
          <w:rFonts w:ascii="Times New Roman" w:hAnsi="Times New Roman" w:cs="Times New Roman"/>
          <w:sz w:val="20"/>
          <w:szCs w:val="20"/>
        </w:rPr>
        <w:t xml:space="preserve"> </w:t>
      </w:r>
      <w:r w:rsidR="00A23F92" w:rsidRPr="007C1E0B">
        <w:rPr>
          <w:rFonts w:ascii="Times New Roman" w:hAnsi="Times New Roman" w:cs="Times New Roman"/>
          <w:sz w:val="20"/>
          <w:szCs w:val="20"/>
        </w:rPr>
        <w:t>Bir n</w:t>
      </w:r>
      <w:r w:rsidRPr="007C1E0B">
        <w:rPr>
          <w:rFonts w:ascii="Times New Roman" w:hAnsi="Times New Roman" w:cs="Times New Roman"/>
          <w:sz w:val="20"/>
          <w:szCs w:val="20"/>
        </w:rPr>
        <w:t>ormal faz kolonu kullanılarak retinol izomerlerinin ayrımı mümkündür. Ancak bu durumda tüm cis ve trans izomer piklerinin yükseklikleri (alanlar) hesaplar için toplanmalıdır.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7.7.</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Sodyum askorbat çözeltisi yerine yaklaşık 150 mg askorbik asit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sülfit çözeltisi yerine yaklaşık 50 mg EDTA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Süt ikame yemlerindeki vitamin A’nın analizinde, aşağıdakilere özellikle dikkat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sabunlaştırmada (5.2): Numunede mevcut yağ miktarı nedeniyle potasyum hidroksit çözeltisi (3.4) miktarının artırılması gerekebilir,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ekstraksiyonda (5.3): emülsiyonların varlığı nedeniyle, su/etanol 2:1 oranının adaptasyonu gerekebilir.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Uygulanan analiz metodunun bu spesifik matrikste (süt ikame yemi) güvenilir sonuçlar verip vermediğini kontrol etmek için, ilave test </w:t>
      </w:r>
      <w:r w:rsidR="00EC3739" w:rsidRPr="007C1E0B">
        <w:rPr>
          <w:rFonts w:ascii="Times New Roman" w:hAnsi="Times New Roman" w:cs="Times New Roman"/>
          <w:sz w:val="20"/>
          <w:szCs w:val="20"/>
        </w:rPr>
        <w:t xml:space="preserve">numunesinde </w:t>
      </w:r>
      <w:r w:rsidRPr="007C1E0B">
        <w:rPr>
          <w:rFonts w:ascii="Times New Roman" w:hAnsi="Times New Roman" w:cs="Times New Roman"/>
          <w:sz w:val="20"/>
          <w:szCs w:val="20"/>
        </w:rPr>
        <w:t xml:space="preserve"> bir geri kazanım testi uygulanmalıdır. Geri kazanım oranı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80’den düşükse analitik sonucun geri kazanım için düzeltilmesi gerekir.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B71AB"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daha yüksek sonuca bağıl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15’i geçmemelidir.</w:t>
      </w:r>
    </w:p>
    <w:p w:rsidR="002A04C1" w:rsidRPr="007C1E0B" w:rsidRDefault="002A04C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tbl>
      <w:tblPr>
        <w:tblW w:w="84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9"/>
        <w:gridCol w:w="1431"/>
        <w:gridCol w:w="1431"/>
        <w:gridCol w:w="1431"/>
        <w:gridCol w:w="1431"/>
        <w:gridCol w:w="1431"/>
      </w:tblGrid>
      <w:tr w:rsidR="007C1E0B" w:rsidRPr="007C1E0B" w:rsidTr="006B140F">
        <w:trPr>
          <w:trHeight w:val="682"/>
        </w:trPr>
        <w:tc>
          <w:tcPr>
            <w:tcW w:w="1319" w:type="dxa"/>
            <w:tcBorders>
              <w:top w:val="single" w:sz="4" w:space="0" w:color="auto"/>
              <w:left w:val="single" w:sz="4" w:space="0" w:color="auto"/>
              <w:bottom w:val="single" w:sz="4" w:space="0" w:color="auto"/>
              <w:right w:val="single" w:sz="4" w:space="0" w:color="auto"/>
            </w:tcBorders>
          </w:tcPr>
          <w:p w:rsidR="00EE7838" w:rsidRPr="007C1E0B" w:rsidRDefault="00EE7838" w:rsidP="001B722B">
            <w:pPr>
              <w:jc w:val="both"/>
              <w:rPr>
                <w:rFonts w:ascii="Times New Roman" w:hAnsi="Times New Roman" w:cs="Times New Roman"/>
                <w:sz w:val="20"/>
                <w:szCs w:val="20"/>
              </w:rPr>
            </w:pP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Premiks</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Premiks-yem</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Mineral konsantresi</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Protein yemi</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Domuz yavrusu</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13</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13</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13</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45</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47</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49</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ortalama [IU/kg]</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17,02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1,21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537.100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151.800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18.070</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BD6801" w:rsidP="00BD6801">
            <w:pPr>
              <w:jc w:val="both"/>
              <w:rPr>
                <w:rFonts w:ascii="Times New Roman" w:hAnsi="Times New Roman" w:cs="Times New Roman"/>
                <w:sz w:val="20"/>
                <w:szCs w:val="20"/>
              </w:rPr>
            </w:pPr>
            <w:r w:rsidRPr="007C1E0B">
              <w:rPr>
                <w:rFonts w:ascii="Times New Roman" w:hAnsi="Times New Roman" w:cs="Times New Roman"/>
                <w:sz w:val="20"/>
                <w:szCs w:val="20"/>
              </w:rPr>
              <w:t>s</w:t>
            </w:r>
            <w:r w:rsidR="00EE7838" w:rsidRPr="007C1E0B">
              <w:rPr>
                <w:rFonts w:ascii="Times New Roman" w:hAnsi="Times New Roman" w:cs="Times New Roman"/>
                <w:sz w:val="20"/>
                <w:szCs w:val="20"/>
                <w:vertAlign w:val="subscript"/>
              </w:rPr>
              <w:t>r</w:t>
            </w:r>
            <w:r w:rsidR="00EE7838" w:rsidRPr="007C1E0B">
              <w:rPr>
                <w:rFonts w:ascii="Times New Roman" w:hAnsi="Times New Roman" w:cs="Times New Roman"/>
                <w:sz w:val="20"/>
                <w:szCs w:val="20"/>
              </w:rPr>
              <w:t xml:space="preserve"> [IU/kg]</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0,51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0,039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22.080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12.280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682</w:t>
            </w:r>
          </w:p>
        </w:tc>
      </w:tr>
      <w:tr w:rsidR="007C1E0B" w:rsidRPr="007C1E0B" w:rsidTr="00834BA3">
        <w:trPr>
          <w:trHeight w:val="670"/>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r [IU/kg]</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1,43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0,109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61.824</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34.384</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1.910</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532225"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3,5</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8,1</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[IU/kg]</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1,36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0,069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46.300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23.060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3.614</w:t>
            </w:r>
          </w:p>
        </w:tc>
      </w:tr>
      <w:tr w:rsidR="007C1E0B" w:rsidRPr="007C1E0B" w:rsidTr="00834BA3">
        <w:trPr>
          <w:trHeight w:val="684"/>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R [IU/kg]</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3,81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0,193 x 10</w:t>
            </w:r>
            <w:r w:rsidRPr="007C1E0B">
              <w:rPr>
                <w:rFonts w:ascii="Times New Roman" w:hAnsi="Times New Roman" w:cs="Times New Roman"/>
                <w:sz w:val="20"/>
                <w:szCs w:val="20"/>
                <w:vertAlign w:val="superscript"/>
              </w:rPr>
              <w:t>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129.640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64.568</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10.119</w:t>
            </w:r>
          </w:p>
        </w:tc>
      </w:tr>
      <w:tr w:rsidR="007C1E0B" w:rsidRPr="007C1E0B" w:rsidTr="00834BA3">
        <w:trPr>
          <w:trHeight w:val="71"/>
        </w:trPr>
        <w:tc>
          <w:tcPr>
            <w:tcW w:w="1319"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8,0</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6,2</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8,6</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431" w:type="dxa"/>
            <w:tcBorders>
              <w:top w:val="single" w:sz="4" w:space="0" w:color="auto"/>
              <w:left w:val="single" w:sz="4" w:space="0" w:color="auto"/>
              <w:bottom w:val="single" w:sz="4" w:space="0" w:color="auto"/>
              <w:right w:val="single" w:sz="4" w:space="0" w:color="auto"/>
            </w:tcBorders>
            <w:hideMark/>
          </w:tcPr>
          <w:p w:rsidR="00EE7838" w:rsidRPr="007C1E0B" w:rsidRDefault="00EE7838" w:rsidP="001B722B">
            <w:pPr>
              <w:jc w:val="both"/>
              <w:rPr>
                <w:rFonts w:ascii="Times New Roman" w:hAnsi="Times New Roman" w:cs="Times New Roman"/>
                <w:sz w:val="20"/>
                <w:szCs w:val="20"/>
              </w:rPr>
            </w:pPr>
            <w:r w:rsidRPr="007C1E0B">
              <w:rPr>
                <w:rFonts w:ascii="Times New Roman" w:hAnsi="Times New Roman" w:cs="Times New Roman"/>
                <w:sz w:val="20"/>
                <w:szCs w:val="20"/>
              </w:rPr>
              <w:t>20</w:t>
            </w:r>
          </w:p>
        </w:tc>
      </w:tr>
    </w:tbl>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L = Laboratuvarların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Tekil değerlerin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r =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 = Tekrar üretilebilirlik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w:t>
      </w:r>
    </w:p>
    <w:p w:rsidR="00834BA3" w:rsidRPr="007C1E0B" w:rsidRDefault="00834BA3" w:rsidP="001B722B">
      <w:pPr>
        <w:jc w:val="both"/>
        <w:rPr>
          <w:rFonts w:ascii="Times New Roman" w:hAnsi="Times New Roman" w:cs="Times New Roman"/>
          <w:sz w:val="20"/>
          <w:szCs w:val="20"/>
        </w:rPr>
      </w:pPr>
    </w:p>
    <w:p w:rsidR="00834BA3" w:rsidRPr="007C1E0B" w:rsidRDefault="00575F64"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r w:rsidRPr="007C1E0B">
        <w:rPr>
          <w:rFonts w:ascii="Times New Roman" w:eastAsia="Times New Roman" w:hAnsi="Times New Roman" w:cs="Times New Roman"/>
          <w:b/>
          <w:sz w:val="18"/>
          <w:szCs w:val="18"/>
        </w:rPr>
        <w:tab/>
      </w:r>
      <w:r w:rsidRPr="007C1E0B">
        <w:rPr>
          <w:rFonts w:ascii="Times New Roman" w:eastAsia="Times New Roman" w:hAnsi="Times New Roman" w:cs="Times New Roman"/>
          <w:b/>
          <w:sz w:val="18"/>
          <w:szCs w:val="18"/>
        </w:rPr>
        <w:tab/>
      </w: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834BA3" w:rsidRPr="007C1E0B" w:rsidRDefault="00834BA3" w:rsidP="00834BA3">
      <w:pPr>
        <w:autoSpaceDE w:val="0"/>
        <w:autoSpaceDN w:val="0"/>
        <w:adjustRightInd w:val="0"/>
        <w:spacing w:before="120" w:after="0" w:line="240" w:lineRule="auto"/>
        <w:jc w:val="center"/>
        <w:rPr>
          <w:rFonts w:ascii="Times New Roman" w:eastAsia="Times New Roman" w:hAnsi="Times New Roman" w:cs="Times New Roman"/>
          <w:b/>
          <w:sz w:val="18"/>
          <w:szCs w:val="18"/>
        </w:rPr>
      </w:pPr>
    </w:p>
    <w:p w:rsidR="00371B9E" w:rsidRPr="007C1E0B" w:rsidRDefault="00371B9E" w:rsidP="00834BA3">
      <w:pPr>
        <w:autoSpaceDE w:val="0"/>
        <w:autoSpaceDN w:val="0"/>
        <w:adjustRightInd w:val="0"/>
        <w:spacing w:before="120" w:after="0" w:line="240" w:lineRule="auto"/>
        <w:jc w:val="center"/>
        <w:rPr>
          <w:rFonts w:ascii="Times New Roman" w:eastAsia="Times New Roman" w:hAnsi="Times New Roman" w:cs="Times New Roman"/>
          <w:sz w:val="18"/>
          <w:szCs w:val="18"/>
        </w:rPr>
      </w:pPr>
      <w:r w:rsidRPr="007C1E0B">
        <w:rPr>
          <w:rFonts w:ascii="Times New Roman" w:eastAsia="Times New Roman" w:hAnsi="Times New Roman" w:cs="Times New Roman"/>
          <w:b/>
          <w:sz w:val="18"/>
          <w:szCs w:val="18"/>
        </w:rPr>
        <w:t>Ektraksiyon Cihazları</w:t>
      </w:r>
      <w:r w:rsidR="00575F64" w:rsidRPr="007C1E0B">
        <w:rPr>
          <w:rFonts w:ascii="Times New Roman" w:hAnsi="Times New Roman" w:cs="Times New Roman"/>
          <w:noProof/>
          <w:sz w:val="20"/>
          <w:szCs w:val="20"/>
        </w:rPr>
        <w:drawing>
          <wp:anchor distT="0" distB="0" distL="114300" distR="114300" simplePos="0" relativeHeight="251662336" behindDoc="1" locked="0" layoutInCell="1" allowOverlap="1" wp14:anchorId="1D8C019D" wp14:editId="1F269471">
            <wp:simplePos x="0" y="0"/>
            <wp:positionH relativeFrom="margin">
              <wp:posOffset>-383412</wp:posOffset>
            </wp:positionH>
            <wp:positionV relativeFrom="paragraph">
              <wp:posOffset>241679</wp:posOffset>
            </wp:positionV>
            <wp:extent cx="6076315" cy="7978140"/>
            <wp:effectExtent l="0" t="0" r="635" b="3810"/>
            <wp:wrapNone/>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6315" cy="7978140"/>
                    </a:xfrm>
                    <a:prstGeom prst="rect">
                      <a:avLst/>
                    </a:prstGeom>
                    <a:noFill/>
                  </pic:spPr>
                </pic:pic>
              </a:graphicData>
            </a:graphic>
            <wp14:sizeRelH relativeFrom="page">
              <wp14:pctWidth>0</wp14:pctWidth>
            </wp14:sizeRelH>
            <wp14:sizeRelV relativeFrom="page">
              <wp14:pctHeight>0</wp14:pctHeight>
            </wp14:sizeRelV>
          </wp:anchor>
        </w:drawing>
      </w:r>
    </w:p>
    <w:p w:rsidR="00371B9E" w:rsidRPr="007C1E0B" w:rsidRDefault="00371B9E" w:rsidP="001B722B">
      <w:pPr>
        <w:jc w:val="both"/>
        <w:rPr>
          <w:rFonts w:ascii="Times New Roman" w:hAnsi="Times New Roman" w:cs="Times New Roman"/>
          <w:sz w:val="20"/>
          <w:szCs w:val="20"/>
        </w:rPr>
      </w:pPr>
    </w:p>
    <w:p w:rsidR="00371B9E" w:rsidRPr="007C1E0B" w:rsidRDefault="00371B9E" w:rsidP="001B722B">
      <w:pPr>
        <w:jc w:val="both"/>
        <w:rPr>
          <w:rFonts w:ascii="Times New Roman" w:hAnsi="Times New Roman" w:cs="Times New Roman"/>
          <w:sz w:val="20"/>
          <w:szCs w:val="20"/>
        </w:rPr>
      </w:pPr>
    </w:p>
    <w:p w:rsidR="00C8641C" w:rsidRPr="007C1E0B" w:rsidRDefault="00C8641C" w:rsidP="001B722B">
      <w:pPr>
        <w:ind w:left="6379"/>
        <w:jc w:val="both"/>
      </w:pPr>
      <w:r w:rsidRPr="007C1E0B">
        <w:rPr>
          <w:rFonts w:ascii="Times New Roman" w:hAnsi="Times New Roman" w:cs="Times New Roman"/>
          <w:sz w:val="20"/>
          <w:szCs w:val="20"/>
        </w:rPr>
        <w:t xml:space="preserve">şilifli cam ek (4.8.2) (yaklaşık </w:t>
      </w:r>
      <w:r w:rsidR="00BD7810" w:rsidRPr="007C1E0B">
        <w:rPr>
          <w:rFonts w:ascii="Times New Roman" w:hAnsi="Times New Roman" w:cs="Times New Roman"/>
          <w:sz w:val="20"/>
          <w:szCs w:val="20"/>
        </w:rPr>
        <w:t>uzunluk</w:t>
      </w:r>
      <w:r w:rsidRPr="007C1E0B">
        <w:rPr>
          <w:rFonts w:ascii="Times New Roman" w:hAnsi="Times New Roman" w:cs="Times New Roman"/>
          <w:sz w:val="20"/>
          <w:szCs w:val="20"/>
        </w:rPr>
        <w:t xml:space="preserve"> 45 cm)</w:t>
      </w:r>
    </w:p>
    <w:p w:rsidR="00371B9E" w:rsidRPr="007C1E0B" w:rsidRDefault="00C8641C" w:rsidP="001B722B">
      <w:pPr>
        <w:jc w:val="both"/>
        <w:rPr>
          <w:rFonts w:ascii="Times New Roman" w:hAnsi="Times New Roman" w:cs="Times New Roman"/>
          <w:sz w:val="20"/>
          <w:szCs w:val="20"/>
        </w:rPr>
      </w:pPr>
      <w:r w:rsidRPr="007C1E0B">
        <w:rPr>
          <w:rFonts w:ascii="Times New Roman" w:hAnsi="Times New Roman" w:cs="Times New Roman"/>
          <w:sz w:val="20"/>
          <w:szCs w:val="20"/>
        </w:rPr>
        <w:tab/>
      </w:r>
    </w:p>
    <w:p w:rsidR="00C8641C" w:rsidRPr="007C1E0B" w:rsidRDefault="00371B9E" w:rsidP="001B722B">
      <w:pPr>
        <w:ind w:right="4819"/>
        <w:jc w:val="both"/>
        <w:rPr>
          <w:rFonts w:ascii="Times New Roman" w:hAnsi="Times New Roman" w:cs="Times New Roman"/>
          <w:sz w:val="20"/>
          <w:szCs w:val="20"/>
        </w:rPr>
      </w:pPr>
      <w:r w:rsidRPr="007C1E0B">
        <w:rPr>
          <w:rFonts w:ascii="Times New Roman" w:hAnsi="Times New Roman" w:cs="Times New Roman"/>
          <w:sz w:val="20"/>
          <w:szCs w:val="20"/>
        </w:rPr>
        <w:t xml:space="preserve">Cam silindir (4.8.1) (yaklaşık yükseklik 48 cm </w:t>
      </w: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left="6372" w:firstLine="708"/>
        <w:jc w:val="both"/>
        <w:rPr>
          <w:rFonts w:ascii="Times New Roman" w:hAnsi="Times New Roman" w:cs="Times New Roman"/>
          <w:sz w:val="20"/>
          <w:szCs w:val="20"/>
        </w:rPr>
      </w:pPr>
      <w:r w:rsidRPr="007C1E0B">
        <w:rPr>
          <w:rFonts w:ascii="Times New Roman" w:hAnsi="Times New Roman" w:cs="Times New Roman"/>
          <w:sz w:val="20"/>
          <w:szCs w:val="20"/>
        </w:rPr>
        <w:t>Ayarlanabilir tüp</w:t>
      </w: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r w:rsidRPr="007C1E0B">
        <w:rPr>
          <w:rFonts w:ascii="Times New Roman" w:hAnsi="Times New Roman" w:cs="Times New Roman"/>
          <w:sz w:val="20"/>
          <w:szCs w:val="20"/>
        </w:rPr>
        <w:t xml:space="preserve">                  Petrol eteri </w:t>
      </w:r>
      <w:r w:rsidR="00BD7810" w:rsidRPr="007C1E0B">
        <w:rPr>
          <w:rFonts w:ascii="Times New Roman" w:hAnsi="Times New Roman" w:cs="Times New Roman"/>
          <w:sz w:val="20"/>
          <w:szCs w:val="20"/>
        </w:rPr>
        <w:t>fazı</w:t>
      </w: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p>
    <w:p w:rsidR="00C8641C" w:rsidRPr="007C1E0B" w:rsidRDefault="00C8641C" w:rsidP="001B722B">
      <w:pPr>
        <w:ind w:right="4819"/>
        <w:jc w:val="both"/>
        <w:rPr>
          <w:rFonts w:ascii="Times New Roman" w:hAnsi="Times New Roman" w:cs="Times New Roman"/>
          <w:sz w:val="20"/>
          <w:szCs w:val="20"/>
        </w:rPr>
      </w:pPr>
      <w:r w:rsidRPr="007C1E0B">
        <w:rPr>
          <w:rFonts w:ascii="Times New Roman" w:hAnsi="Times New Roman" w:cs="Times New Roman"/>
          <w:sz w:val="20"/>
          <w:szCs w:val="20"/>
        </w:rPr>
        <w:tab/>
        <w:t xml:space="preserve">Sulu katman + sabunlaştırılmış yem </w:t>
      </w:r>
    </w:p>
    <w:p w:rsidR="00C8641C" w:rsidRPr="007C1E0B" w:rsidRDefault="00C8641C" w:rsidP="001B722B">
      <w:pPr>
        <w:ind w:right="4819"/>
        <w:jc w:val="both"/>
        <w:rPr>
          <w:rFonts w:ascii="Times New Roman" w:hAnsi="Times New Roman" w:cs="Times New Roman"/>
          <w:sz w:val="20"/>
          <w:szCs w:val="20"/>
        </w:rPr>
      </w:pPr>
    </w:p>
    <w:p w:rsidR="00224BF9" w:rsidRPr="007C1E0B" w:rsidRDefault="00224BF9" w:rsidP="001B722B">
      <w:pPr>
        <w:jc w:val="both"/>
        <w:rPr>
          <w:rFonts w:ascii="Times New Roman" w:hAnsi="Times New Roman" w:cs="Times New Roman"/>
          <w:sz w:val="20"/>
          <w:szCs w:val="20"/>
        </w:rPr>
      </w:pPr>
    </w:p>
    <w:p w:rsidR="00224BF9" w:rsidRPr="007C1E0B" w:rsidRDefault="00224BF9" w:rsidP="001B722B">
      <w:pPr>
        <w:jc w:val="both"/>
        <w:rPr>
          <w:rFonts w:ascii="Times New Roman" w:hAnsi="Times New Roman" w:cs="Times New Roman"/>
          <w:sz w:val="20"/>
          <w:szCs w:val="20"/>
        </w:rPr>
      </w:pPr>
    </w:p>
    <w:p w:rsidR="00575F64" w:rsidRPr="007C1E0B" w:rsidRDefault="00575F64" w:rsidP="001B722B">
      <w:pPr>
        <w:jc w:val="both"/>
        <w:rPr>
          <w:rFonts w:ascii="Times New Roman" w:hAnsi="Times New Roman" w:cs="Times New Roman"/>
          <w:sz w:val="20"/>
          <w:szCs w:val="20"/>
        </w:rPr>
      </w:pPr>
    </w:p>
    <w:p w:rsidR="00834BA3" w:rsidRPr="007C1E0B" w:rsidRDefault="00834BA3" w:rsidP="001B722B">
      <w:pPr>
        <w:jc w:val="both"/>
        <w:rPr>
          <w:rFonts w:ascii="Times New Roman" w:hAnsi="Times New Roman" w:cs="Times New Roman"/>
          <w:b/>
          <w:sz w:val="20"/>
          <w:szCs w:val="20"/>
        </w:rPr>
      </w:pPr>
    </w:p>
    <w:p w:rsidR="00834BA3" w:rsidRPr="007C1E0B" w:rsidRDefault="00834BA3" w:rsidP="001B722B">
      <w:pPr>
        <w:jc w:val="both"/>
        <w:rPr>
          <w:rFonts w:ascii="Times New Roman" w:hAnsi="Times New Roman" w:cs="Times New Roman"/>
          <w:b/>
          <w:sz w:val="20"/>
          <w:szCs w:val="20"/>
        </w:rPr>
      </w:pPr>
    </w:p>
    <w:p w:rsidR="006B140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B. </w:t>
      </w:r>
      <w:r w:rsidR="008B71A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VİTAMİN E TAYİNİ</w:t>
      </w:r>
      <w:r w:rsidRPr="007C1E0B">
        <w:rPr>
          <w:rFonts w:ascii="Times New Roman" w:hAnsi="Times New Roman" w:cs="Times New Roman"/>
          <w:b/>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ve premikslerdeki E vitamini seviyesinin tayinini mümkün kılar. Vitamin E içeriği mg/kg DL-α-tokoferol asetat olarak ifade edilir. 1 mg DL-α-tokoferol asetat 0,91 mg DL-α-tokoferole (vitamin E) karşılık gelir.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Ölçüm limiti 2 mg/kg vitamin E’dir. Bu ölçüm limiti yalnızca floresans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üyle geçerlidir.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ünde ölçüm limiti 10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etanollü potasyum hidroksit çözeltisi ile hidrolize edilir ve vitamin E petrol eteri ile ekstrakte edilir. Çözücü buharlaştırılarak uzaklaştırılır ve kalıntı metanol içinde çözündürülür ve gerekiyorsa gereken konsantrasyona seyreltilir. Vitamin E içeriği, bir UV ya da floresans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ters fazlı yüksek performans sıvı kromatografisi (RP-HPLC)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 σ =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96.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Petrol eteri, kaynama aralığı 40-60°C.</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hidroksit çözeltisi, c = 50 g/100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askorbat çözeltisi, c = 10 g/100 ml (bakınız 7.7 ).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sülfit, Na</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S · x 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O (x = 7-9).</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sülfit çözeltisi, gliserol içinde c = 0,5 mol/l, ß = 120 g/l (x = 9 için) (bakınız 7.8 )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Fenolftalein çözeltisi, etanol (3.1) içinde c = 2 g/100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 metanol (3.3) ve su karışımı, örn. 980 + 20 (h + h). Tam oran, kullanılan kolon özellikleri ile tayin edilecektir.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Azot, oksijen içermemeli.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asetat, ekstra saf, onaylanan aktivitede.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asetatın stok çözeltisi: 100 mg DL-α-tokoferol asetat (3.10) 0,1 mg hassasiyetle 100 ml’lik balon jojeye tartılır. Etanol (3.1) içinde çözündürülür ve aynı çözücü ile işaret çizgisine kadar tamamlanır. Bu çözeltinin 1 ml’si 1 mg DL-α-tokoferol asetat içerir (UV kontrolü için bakınız 5.6.1.3; stabilizasyon için bakınız 7.4 ).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ekstra saf, onaylanan aktivitede.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stok çözeltisi: 100 mg DL-α-tokoferol (3.10) 0,1 mg hassasiyetle 100 ml’lik balon jojeye tartılır. Etanol (3.1) içinde çözündürülür ve aynı çözücü ile işaret çizgisine kadar tamamlanır. Bu çözeltinin 1 ml’si 1 mg DL-α-tokoferol içerir. (UV kontrolü için bakınız 5.6.2.3; stabilizasyon için bakınız 7.4 ).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3.12. 2,</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6-Di-tert-bütil-4-metilfenol (BHT) (bakınız 7.5 ).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Döner buharlaştırıcı (Rotary evaporator).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Amber renkli cam malzemeler.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500 ml’lik, şilifli, düz tabanlı ya da konik şişe.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Şilifli , dar ağızlı, 10, 25, 100 ve 500 ml’lik balon jojeler.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1000 ml’lik, şilifli, konik, ayırma hunileri.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250 ml’lik, şilifli , armut şekilli balon joje.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Allihn yoğunlaştırıcı, ceket uzunluğu 300 mm, şilifli cam ekleme, gaz besleme borusu için adaptör.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Faz ayrımı için, 185 mm çapında katlı filtre kağıdı (örn. Schleicher &amp; Schuell 597 HY 1/2).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Enjeksiyon sistemli HPLC cihazı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4.5.1.</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250 mm ×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5 ya da 10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4.5.2.</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UV ya da flüoresans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değişken dalga boyu ayarlı.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10 mm kuvars hücreli spektrofotometre.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Manyetik karıştırıcılı su banyosu.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Aşağıdakilerden oluşan ekstraksiyon cihazı (bakınız şekil 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1 litre kapasiteli, şilifli camdan bir boyun ve tıpa takılmış cam silindir.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Bir yan kol ve merkezden geçen ayarlanabilir bir tüp takılmış şilifli cam ek. Ayarlanabilir tüpün, silindirdeki üst sıvı katmanının ayırıcı bir huniye aktarılabileceği şekilde U şekilli bir alt ucu ve karşı uçta bir jeti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Vitamin E (UV-) ışığa ve oksitlenmeye duyarlıdır. Tüm işlemler ışık (amber cam malzemeler ya da alüminyum folyo ile korunan cam malzemeler kullanılarak) ve oksijen (azot ile yıkama) korunmalı bir ortamda gerçekleştirilmelidir. Ekstraksiyon sırasında sıvı üzerindeki hava, azotla değiştirilmelidir (ara sıra tıpayı gevşeterek </w:t>
      </w:r>
      <w:r w:rsidR="0058397D"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basınç oluşması engellenmelidir).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1 mm gözenekli elekten geçecek şekilde öğütülür, ısı oluşumunun önlemesine dikkat edilir. Öğütme işlemi tartım ve sabunlaştırmanın hemen öncesinde gerçekleştirilmelidir, aksi halde vitamin E kaybı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Sabunlaştırma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Vitamin E </w:t>
      </w:r>
      <w:r w:rsidR="00BD7810" w:rsidRPr="007C1E0B">
        <w:rPr>
          <w:rFonts w:ascii="Times New Roman" w:hAnsi="Times New Roman" w:cs="Times New Roman"/>
          <w:sz w:val="20"/>
          <w:szCs w:val="20"/>
        </w:rPr>
        <w:t>içeriğine</w:t>
      </w:r>
      <w:r w:rsidRPr="007C1E0B">
        <w:rPr>
          <w:rFonts w:ascii="Times New Roman" w:hAnsi="Times New Roman" w:cs="Times New Roman"/>
          <w:sz w:val="20"/>
          <w:szCs w:val="20"/>
        </w:rPr>
        <w:t xml:space="preserve"> bağlı olarak 2 g - 25 g numune 0,01 g hassasiyetle 500 ml’lik bir düz tabanlı ya da konik cam balona (4.2.1) </w:t>
      </w:r>
      <w:r w:rsidR="0015171E" w:rsidRPr="007C1E0B">
        <w:rPr>
          <w:rFonts w:ascii="Times New Roman" w:hAnsi="Times New Roman" w:cs="Times New Roman"/>
          <w:sz w:val="20"/>
          <w:szCs w:val="20"/>
        </w:rPr>
        <w:t>tartılır</w:t>
      </w:r>
      <w:r w:rsidRPr="007C1E0B">
        <w:rPr>
          <w:rFonts w:ascii="Times New Roman" w:hAnsi="Times New Roman" w:cs="Times New Roman"/>
          <w:sz w:val="20"/>
          <w:szCs w:val="20"/>
        </w:rPr>
        <w:t>. Karıştırarak sırasıyla</w:t>
      </w:r>
      <w:r w:rsidR="00D17E93"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130 ml etanol (3.1), yaklaşık 100 mg BHT (3,12), 2 ml sodyum askorbat çözeltisi (3.5) ve 2 ml sodyum sülfit çözeltisi (3.6) eklenir. Cam malzemeye yoğunlaştırıcı (4.3) takılır ve balon manyetik karıştırıcılı bir su banyosuna (4.7) daldırılır. 5 dakika boyunca geri soğutucuda </w:t>
      </w:r>
      <w:r w:rsidR="003A4E3D" w:rsidRPr="007C1E0B">
        <w:rPr>
          <w:rFonts w:ascii="Times New Roman" w:hAnsi="Times New Roman" w:cs="Times New Roman"/>
          <w:sz w:val="20"/>
          <w:szCs w:val="20"/>
        </w:rPr>
        <w:t>tutulur</w:t>
      </w:r>
      <w:r w:rsidRPr="007C1E0B">
        <w:rPr>
          <w:rFonts w:ascii="Times New Roman" w:hAnsi="Times New Roman" w:cs="Times New Roman"/>
          <w:sz w:val="20"/>
          <w:szCs w:val="20"/>
        </w:rPr>
        <w:t>. Ardından 25 ml potasyum hidroksit çözeltisi (3.4) yoğunlaştırıcı (4.3) içinden eklenir ve yavaş bir azot akımı altında karıştırılarak 25 dakika daha geri soğutucuda bırakılır. Ardından yoğunlaştırıcı yaklaşık 20 ml su ile durulanır ve balonun içeriği oda sıcaklığına soğutulur.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Sabunlaştırma çözeltisi, toplam hacmi 250 ml olan su ile durulanarak nicel olarak 1000 ml’lik bir ayırma hunisine (4.2.3) ya da ekstraksiyon cihazına (4.8) </w:t>
      </w:r>
      <w:r w:rsidR="00BD7810" w:rsidRPr="007C1E0B">
        <w:rPr>
          <w:rFonts w:ascii="Times New Roman" w:hAnsi="Times New Roman" w:cs="Times New Roman"/>
          <w:sz w:val="20"/>
          <w:szCs w:val="20"/>
        </w:rPr>
        <w:t>süzülerek</w:t>
      </w:r>
      <w:r w:rsidRPr="007C1E0B">
        <w:rPr>
          <w:rFonts w:ascii="Times New Roman" w:hAnsi="Times New Roman" w:cs="Times New Roman"/>
          <w:sz w:val="20"/>
          <w:szCs w:val="20"/>
        </w:rPr>
        <w:t xml:space="preserve"> aktarılır. Sabunlaştırma şişesi sırasıyla 25 ml etanol (3.1) ve 100 ml petrol eteri (3.2) ile durulanır ve durulama suyu ayırma hunisine ya da ekstraksiyon cihazına aktarılır. Birleştirilmiş çözeltilerdeki su ve etanol oranı yaklaşık 2:1 olmalıdır. 2 dakika boyunca kuvvetlice çalkalanır ve 2 dakika çökmesi için (faz ayrımı için) beklenir.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Ayırma hunisi (4.2.3) kullanarak ekstraksiyon</w:t>
      </w:r>
    </w:p>
    <w:p w:rsidR="008F593F" w:rsidRPr="007C1E0B" w:rsidRDefault="00BD7810" w:rsidP="001B722B">
      <w:pPr>
        <w:jc w:val="both"/>
        <w:rPr>
          <w:rFonts w:ascii="Times New Roman" w:hAnsi="Times New Roman" w:cs="Times New Roman"/>
          <w:sz w:val="20"/>
          <w:szCs w:val="20"/>
        </w:rPr>
      </w:pPr>
      <w:r w:rsidRPr="007C1E0B">
        <w:rPr>
          <w:rFonts w:ascii="Times New Roman" w:hAnsi="Times New Roman" w:cs="Times New Roman"/>
          <w:sz w:val="20"/>
          <w:szCs w:val="20"/>
        </w:rPr>
        <w:t>Fazlar</w:t>
      </w:r>
      <w:r w:rsidR="008F593F" w:rsidRPr="007C1E0B">
        <w:rPr>
          <w:rFonts w:ascii="Times New Roman" w:hAnsi="Times New Roman" w:cs="Times New Roman"/>
          <w:sz w:val="20"/>
          <w:szCs w:val="20"/>
        </w:rPr>
        <w:t xml:space="preserve"> ayrıldığında (bakınız 7.3) petrol eteri </w:t>
      </w:r>
      <w:r w:rsidRPr="007C1E0B">
        <w:rPr>
          <w:rFonts w:ascii="Times New Roman" w:hAnsi="Times New Roman" w:cs="Times New Roman"/>
          <w:sz w:val="20"/>
          <w:szCs w:val="20"/>
        </w:rPr>
        <w:t>Fazı</w:t>
      </w:r>
      <w:r w:rsidR="008F593F" w:rsidRPr="007C1E0B">
        <w:rPr>
          <w:rFonts w:ascii="Times New Roman" w:hAnsi="Times New Roman" w:cs="Times New Roman"/>
          <w:sz w:val="20"/>
          <w:szCs w:val="20"/>
        </w:rPr>
        <w:t xml:space="preserve"> başka bir ayırma hunisine (4.2.3) aktarılır. Bu ekstraksiyon işlemi 100 ml petrol</w:t>
      </w:r>
      <w:r w:rsidRPr="007C1E0B">
        <w:rPr>
          <w:rFonts w:ascii="Times New Roman" w:hAnsi="Times New Roman" w:cs="Times New Roman"/>
          <w:sz w:val="20"/>
          <w:szCs w:val="20"/>
        </w:rPr>
        <w:t xml:space="preserve"> eteri ile </w:t>
      </w:r>
      <w:r w:rsidR="008F593F" w:rsidRPr="007C1E0B">
        <w:rPr>
          <w:rFonts w:ascii="Times New Roman" w:hAnsi="Times New Roman" w:cs="Times New Roman"/>
          <w:sz w:val="20"/>
          <w:szCs w:val="20"/>
        </w:rPr>
        <w:t xml:space="preserve"> (3.2) iki kez ve 50 ml petrol</w:t>
      </w:r>
      <w:r w:rsidRPr="007C1E0B">
        <w:rPr>
          <w:rFonts w:ascii="Times New Roman" w:hAnsi="Times New Roman" w:cs="Times New Roman"/>
          <w:sz w:val="20"/>
          <w:szCs w:val="20"/>
        </w:rPr>
        <w:t xml:space="preserve"> eteri ile</w:t>
      </w:r>
      <w:r w:rsidR="008F593F" w:rsidRPr="007C1E0B">
        <w:rPr>
          <w:rFonts w:ascii="Times New Roman" w:hAnsi="Times New Roman" w:cs="Times New Roman"/>
          <w:sz w:val="20"/>
          <w:szCs w:val="20"/>
        </w:rPr>
        <w:t xml:space="preserve"> (3.2) iki kez yinelenir.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Ayırma hunisindeki birleştirilmiş ekstraktlara, 100 ml’lik su ekleyip hafifçe karıştırarak (emülsiyon oluşumunu önlemek için) ve ardından fenolftalein çözeltisi (3.7) eklenerek su renksiz kalana kadar 100 ml’lik su ile yeniden çalkalayarak (dört kez yıkamak genelde yeterlidir) iki kez yıkanır. Yıkanmış ekstrakt, süspansiyon halindeki suyu ayırmak amacıyla faz ayrımı (4.4) için bir kuru katmanlı filtreden 500 ml’lik balon jojeye (4.2.2) süzülür. Ayırma hunisi ve filtre 50 ml petrol eteri ile (3.2) durulanır, petrol eteri ile (3.2) işaretine kadar tamamlanır ve iyice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cihazı (4.8) kullanarak ekstraksiyon</w:t>
      </w:r>
    </w:p>
    <w:p w:rsidR="008F593F" w:rsidRPr="007C1E0B" w:rsidRDefault="00BD7810" w:rsidP="001B722B">
      <w:pPr>
        <w:jc w:val="both"/>
        <w:rPr>
          <w:rFonts w:ascii="Times New Roman" w:hAnsi="Times New Roman" w:cs="Times New Roman"/>
          <w:sz w:val="20"/>
          <w:szCs w:val="20"/>
        </w:rPr>
      </w:pPr>
      <w:r w:rsidRPr="007C1E0B">
        <w:rPr>
          <w:rFonts w:ascii="Times New Roman" w:hAnsi="Times New Roman" w:cs="Times New Roman"/>
          <w:sz w:val="20"/>
          <w:szCs w:val="20"/>
        </w:rPr>
        <w:t>Fazlar</w:t>
      </w:r>
      <w:r w:rsidR="008F593F" w:rsidRPr="007C1E0B">
        <w:rPr>
          <w:rFonts w:ascii="Times New Roman" w:hAnsi="Times New Roman" w:cs="Times New Roman"/>
          <w:sz w:val="20"/>
          <w:szCs w:val="20"/>
        </w:rPr>
        <w:t xml:space="preserve"> ayrıldığında (bakınız 7.3) cam silindirin tıpası (4.8.1) </w:t>
      </w:r>
      <w:r w:rsidR="00CE2A0E" w:rsidRPr="007C1E0B">
        <w:rPr>
          <w:rFonts w:ascii="Times New Roman" w:hAnsi="Times New Roman" w:cs="Times New Roman"/>
          <w:sz w:val="20"/>
          <w:szCs w:val="20"/>
        </w:rPr>
        <w:t xml:space="preserve">silifli </w:t>
      </w:r>
      <w:r w:rsidR="008F593F" w:rsidRPr="007C1E0B">
        <w:rPr>
          <w:rFonts w:ascii="Times New Roman" w:hAnsi="Times New Roman" w:cs="Times New Roman"/>
          <w:sz w:val="20"/>
          <w:szCs w:val="20"/>
        </w:rPr>
        <w:t xml:space="preserve">cam ek (4.8.2) ile değiştirilir ve ayarlanabilir tüpün U şekilli alt ucu, birleşme yüzeyi seviyesinin hemen üzerinde olacak şekilde yerleştirilir. Azot hattından yan kola basınç uygulayarak üstteki hafif petrol 1000 ml’lik bir ayırma hunisine (4.2.3) aktarılır. 100 ml petrol eteri (3.2) cam silindire eklenir, ağzı kapatılır ve iyice çalkalanır. Katmanların ayrılmasına izin verilir ve üstteki katman önceki gibi ayırma hunisine aktarılır. Ekstraksiyon işlemini 100 ml petrol eteri ile (3.2), ardından iki kez 50 ml’lik petrol eteri ile (3.2) yinelenir ve hafif petrol eteri </w:t>
      </w:r>
      <w:r w:rsidR="003A7D7F" w:rsidRPr="007C1E0B">
        <w:rPr>
          <w:rFonts w:ascii="Times New Roman" w:hAnsi="Times New Roman" w:cs="Times New Roman"/>
          <w:sz w:val="20"/>
          <w:szCs w:val="20"/>
        </w:rPr>
        <w:t>fazı</w:t>
      </w:r>
      <w:r w:rsidR="008F593F" w:rsidRPr="007C1E0B">
        <w:rPr>
          <w:rFonts w:ascii="Times New Roman" w:hAnsi="Times New Roman" w:cs="Times New Roman"/>
          <w:sz w:val="20"/>
          <w:szCs w:val="20"/>
        </w:rPr>
        <w:t xml:space="preserve"> ayırma hunisine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Birleştirilmiş petrol eteri ile ekstraktları 5.3.1’de anlatıldığı gibi yıkanır ve devam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numune çözeltisinin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Belli bir miktarda petrol eteri çözeltisi (5.3.1 ya da 5.3.2’den elde edilen) 250 ml’lik armut şekilli balona (4.2.4) pipetle alınır. En fazla 40°C’lik bir su banyosunda azaltılan basınçla döner buharlaştırıcıda (rotary evaporator) (4.1) çözücü neredeyse kuruyana kadar buharlaştırılır. Azot (3.9) içeri alınarak atmosferik basınç yeniden sağlanır ve balon joje döner buharlaştırıcıdan (rotary evaporator) çıkartılır. Kalan çözücü bir azot (3.9) buharı ile çıkartılır ve kalıntı hemen bilinen hacimdeki (10-100 ml) metanol (3.3) (DL-α-tokoferol konsantrasyonu 5 μg/ml ile 30 μg/ml arasında olmalıdır) içinde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ile tayin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Vitamin E, bir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xml:space="preserve"> ters faz kolonunda (4.5.1) ayrılır ve konsantrasyon bir floresans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ü (eksitasyon: 295 nm, emisyon: 330 nm) ya da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(292 nm) (4.2.1) kullanılarak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5.4’te elde edilen metanollü çözeltiden belli miktarda (örn. 20 μl) enjekte edilir ve mobil faz (3.8) ile elüe edilir. Aynı numune çözeltisinin çeşitli enjeksiyonlarının ortalama pik yükseklikleri (alanlar) ve kalibrasyon çözeltilerinin (5.6.2) çeşitli enjeksiyonlarının ortalama pik yükseklikleri (alanlar)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koşulları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p w:rsidR="006B140F" w:rsidRPr="007C1E0B" w:rsidRDefault="006B140F" w:rsidP="001B722B">
      <w:pPr>
        <w:jc w:val="both"/>
        <w:rPr>
          <w:rFonts w:ascii="Times New Roman" w:hAnsi="Times New Roman" w:cs="Times New Roman"/>
          <w:sz w:val="20"/>
          <w:szCs w:val="20"/>
        </w:rPr>
      </w:pPr>
    </w:p>
    <w:tbl>
      <w:tblPr>
        <w:tblStyle w:val="TabloKlavuzu"/>
        <w:tblpPr w:leftFromText="142" w:rightFromText="142" w:vertAnchor="text" w:horzAnchor="margin" w:tblpX="109" w:tblpY="1"/>
        <w:tblOverlap w:val="never"/>
        <w:tblW w:w="0" w:type="auto"/>
        <w:tblLayout w:type="fixed"/>
        <w:tblLook w:val="04A0" w:firstRow="1" w:lastRow="0" w:firstColumn="1" w:lastColumn="0" w:noHBand="0" w:noVBand="1"/>
      </w:tblPr>
      <w:tblGrid>
        <w:gridCol w:w="4503"/>
        <w:gridCol w:w="4625"/>
      </w:tblGrid>
      <w:tr w:rsidR="007C1E0B" w:rsidRPr="007C1E0B" w:rsidTr="00803CA9">
        <w:trPr>
          <w:trHeight w:val="736"/>
        </w:trPr>
        <w:tc>
          <w:tcPr>
            <w:tcW w:w="4503"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 (4.5.1):</w:t>
            </w:r>
          </w:p>
        </w:tc>
        <w:tc>
          <w:tcPr>
            <w:tcW w:w="4625"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250 mm"/>
              </w:smartTagPr>
              <w:r w:rsidRPr="007C1E0B">
                <w:rPr>
                  <w:rFonts w:ascii="Times New Roman" w:eastAsiaTheme="minorEastAsia" w:hAnsi="Times New Roman" w:cs="Times New Roman"/>
                  <w:sz w:val="20"/>
                  <w:szCs w:val="20"/>
                  <w:lang w:eastAsia="tr-TR"/>
                </w:rPr>
                <w:t>250 mm</w:t>
              </w:r>
            </w:smartTag>
            <w:r w:rsidRPr="007C1E0B">
              <w:rPr>
                <w:rFonts w:ascii="Times New Roman" w:eastAsiaTheme="minorEastAsia" w:hAnsi="Times New Roman" w:cs="Times New Roman"/>
                <w:sz w:val="20"/>
                <w:szCs w:val="20"/>
                <w:lang w:eastAsia="tr-TR"/>
              </w:rPr>
              <w:t xml:space="preserve"> × </w:t>
            </w:r>
            <w:smartTag w:uri="urn:schemas-microsoft-com:office:smarttags" w:element="metricconverter">
              <w:smartTagPr>
                <w:attr w:name="ProductID" w:val="4 mm"/>
              </w:smartTagPr>
              <w:r w:rsidRPr="007C1E0B">
                <w:rPr>
                  <w:rFonts w:ascii="Times New Roman" w:eastAsiaTheme="minorEastAsia" w:hAnsi="Times New Roman" w:cs="Times New Roman"/>
                  <w:sz w:val="20"/>
                  <w:szCs w:val="20"/>
                  <w:lang w:eastAsia="tr-TR"/>
                </w:rPr>
                <w:t>4 mm</w:t>
              </w:r>
            </w:smartTag>
            <w:r w:rsidRPr="007C1E0B">
              <w:rPr>
                <w:rFonts w:ascii="Times New Roman" w:eastAsiaTheme="minorEastAsia" w:hAnsi="Times New Roman" w:cs="Times New Roman"/>
                <w:sz w:val="20"/>
                <w:szCs w:val="20"/>
                <w:lang w:eastAsia="tr-TR"/>
              </w:rPr>
              <w:t>, C</w:t>
            </w:r>
            <w:r w:rsidRPr="007C1E0B">
              <w:rPr>
                <w:rFonts w:ascii="Times New Roman" w:eastAsiaTheme="minorEastAsia" w:hAnsi="Times New Roman" w:cs="Times New Roman"/>
                <w:sz w:val="20"/>
                <w:szCs w:val="20"/>
                <w:vertAlign w:val="subscript"/>
                <w:lang w:eastAsia="tr-TR"/>
              </w:rPr>
              <w:t>18</w:t>
            </w:r>
            <w:r w:rsidRPr="007C1E0B">
              <w:rPr>
                <w:rFonts w:ascii="Times New Roman" w:eastAsiaTheme="minorEastAsia" w:hAnsi="Times New Roman" w:cs="Times New Roman"/>
                <w:sz w:val="20"/>
                <w:szCs w:val="20"/>
                <w:lang w:eastAsia="tr-TR"/>
              </w:rPr>
              <w:t>, 5 ya da 10 μm dolgu ya da eşdeğeri</w:t>
            </w:r>
          </w:p>
        </w:tc>
      </w:tr>
      <w:tr w:rsidR="007C1E0B" w:rsidRPr="007C1E0B" w:rsidTr="006B140F">
        <w:trPr>
          <w:trHeight w:val="418"/>
        </w:trPr>
        <w:tc>
          <w:tcPr>
            <w:tcW w:w="4503"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Mobil faz (3.8):</w:t>
            </w:r>
          </w:p>
        </w:tc>
        <w:tc>
          <w:tcPr>
            <w:tcW w:w="4625" w:type="dxa"/>
          </w:tcPr>
          <w:p w:rsidR="00336519" w:rsidRPr="007C1E0B" w:rsidRDefault="00336519" w:rsidP="00BD7810">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Metanol (3.3) ve su karışımı, örn. 980 + 20 </w:t>
            </w:r>
            <w:r w:rsidR="00BD7810" w:rsidRPr="007C1E0B">
              <w:rPr>
                <w:rFonts w:ascii="Times New Roman" w:eastAsiaTheme="minorEastAsia" w:hAnsi="Times New Roman" w:cs="Times New Roman"/>
                <w:sz w:val="20"/>
                <w:szCs w:val="20"/>
                <w:lang w:eastAsia="tr-TR"/>
              </w:rPr>
              <w:t>v</w:t>
            </w:r>
            <w:r w:rsidRPr="007C1E0B">
              <w:rPr>
                <w:rFonts w:ascii="Times New Roman" w:eastAsiaTheme="minorEastAsia" w:hAnsi="Times New Roman" w:cs="Times New Roman"/>
                <w:sz w:val="20"/>
                <w:szCs w:val="20"/>
                <w:lang w:eastAsia="tr-TR"/>
              </w:rPr>
              <w:t>+</w:t>
            </w:r>
            <w:r w:rsidR="00BD7810" w:rsidRPr="007C1E0B">
              <w:rPr>
                <w:rFonts w:ascii="Times New Roman" w:eastAsiaTheme="minorEastAsia" w:hAnsi="Times New Roman" w:cs="Times New Roman"/>
                <w:sz w:val="20"/>
                <w:szCs w:val="20"/>
                <w:lang w:eastAsia="tr-TR"/>
              </w:rPr>
              <w:t>v</w:t>
            </w:r>
            <w:r w:rsidRPr="007C1E0B">
              <w:rPr>
                <w:rFonts w:ascii="Times New Roman" w:eastAsiaTheme="minorEastAsia" w:hAnsi="Times New Roman" w:cs="Times New Roman"/>
                <w:sz w:val="20"/>
                <w:szCs w:val="20"/>
                <w:lang w:eastAsia="tr-TR"/>
              </w:rPr>
              <w:t>).</w:t>
            </w:r>
          </w:p>
        </w:tc>
      </w:tr>
      <w:tr w:rsidR="007C1E0B" w:rsidRPr="007C1E0B" w:rsidTr="00803CA9">
        <w:trPr>
          <w:trHeight w:val="466"/>
        </w:trPr>
        <w:tc>
          <w:tcPr>
            <w:tcW w:w="4503"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Akış hızı:</w:t>
            </w:r>
          </w:p>
        </w:tc>
        <w:tc>
          <w:tcPr>
            <w:tcW w:w="4625"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1-2 ml/dak.</w:t>
            </w:r>
          </w:p>
        </w:tc>
      </w:tr>
      <w:tr w:rsidR="007C1E0B" w:rsidRPr="007C1E0B" w:rsidTr="006B140F">
        <w:trPr>
          <w:trHeight w:val="1169"/>
        </w:trPr>
        <w:tc>
          <w:tcPr>
            <w:tcW w:w="4503" w:type="dxa"/>
          </w:tcPr>
          <w:p w:rsidR="00336519" w:rsidRPr="007C1E0B" w:rsidRDefault="00A557CA"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Dedektör</w:t>
            </w:r>
            <w:r w:rsidR="00336519" w:rsidRPr="007C1E0B">
              <w:rPr>
                <w:rFonts w:ascii="Times New Roman" w:eastAsiaTheme="minorEastAsia" w:hAnsi="Times New Roman" w:cs="Times New Roman"/>
                <w:sz w:val="20"/>
                <w:szCs w:val="20"/>
                <w:lang w:eastAsia="tr-TR"/>
              </w:rPr>
              <w:t xml:space="preserve"> (4.5.2)</w:t>
            </w:r>
          </w:p>
        </w:tc>
        <w:tc>
          <w:tcPr>
            <w:tcW w:w="4625" w:type="dxa"/>
          </w:tcPr>
          <w:p w:rsidR="00336519" w:rsidRPr="007C1E0B" w:rsidRDefault="00336519"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Floresans </w:t>
            </w:r>
            <w:r w:rsidR="00A557CA" w:rsidRPr="007C1E0B">
              <w:rPr>
                <w:rFonts w:ascii="Times New Roman" w:eastAsiaTheme="minorEastAsia" w:hAnsi="Times New Roman" w:cs="Times New Roman"/>
                <w:sz w:val="20"/>
                <w:szCs w:val="20"/>
                <w:lang w:eastAsia="tr-TR"/>
              </w:rPr>
              <w:t>dedektör</w:t>
            </w:r>
            <w:r w:rsidRPr="007C1E0B">
              <w:rPr>
                <w:rFonts w:ascii="Times New Roman" w:eastAsiaTheme="minorEastAsia" w:hAnsi="Times New Roman" w:cs="Times New Roman"/>
                <w:sz w:val="20"/>
                <w:szCs w:val="20"/>
                <w:lang w:eastAsia="tr-TR"/>
              </w:rPr>
              <w:t>ü</w:t>
            </w:r>
          </w:p>
          <w:p w:rsidR="00336519" w:rsidRPr="007C1E0B" w:rsidRDefault="00336519" w:rsidP="006B140F">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(eksitasyon: 295 nm/emisyon: 330 nm) ya da UV </w:t>
            </w:r>
            <w:r w:rsidR="00A557CA" w:rsidRPr="007C1E0B">
              <w:rPr>
                <w:rFonts w:ascii="Times New Roman" w:eastAsiaTheme="minorEastAsia" w:hAnsi="Times New Roman" w:cs="Times New Roman"/>
                <w:sz w:val="20"/>
                <w:szCs w:val="20"/>
                <w:lang w:eastAsia="tr-TR"/>
              </w:rPr>
              <w:t>dedektör</w:t>
            </w:r>
            <w:r w:rsidRPr="007C1E0B">
              <w:rPr>
                <w:rFonts w:ascii="Times New Roman" w:eastAsiaTheme="minorEastAsia" w:hAnsi="Times New Roman" w:cs="Times New Roman"/>
                <w:sz w:val="20"/>
                <w:szCs w:val="20"/>
                <w:lang w:eastAsia="tr-TR"/>
              </w:rPr>
              <w:t>ü (292 nm)</w:t>
            </w:r>
            <w:r w:rsidR="006B140F" w:rsidRPr="007C1E0B">
              <w:rPr>
                <w:rFonts w:ascii="Times New Roman" w:eastAsiaTheme="minorEastAsia" w:hAnsi="Times New Roman" w:cs="Times New Roman"/>
                <w:sz w:val="20"/>
                <w:szCs w:val="20"/>
                <w:lang w:eastAsia="tr-TR"/>
              </w:rPr>
              <w:t xml:space="preserve"> </w:t>
            </w:r>
          </w:p>
        </w:tc>
      </w:tr>
    </w:tbl>
    <w:p w:rsidR="00336519" w:rsidRPr="007C1E0B" w:rsidRDefault="00336519"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(DL-α-tokoferol asetat ya da DL-α-tokoferol)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 tokoferol asetat standardı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Çalışma standard çözeltisinin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ml DL-α-tokoferol asetat stok çözeltisi (3.10.1) 500 ml’lik düz tabanlı ya da konik erlene (4.2.1) pipetle aktarılır ve 5.2’de anlatıldığı gibi hidrolize edilir. Ardından petrol eteri ile (3.2) 5.3’e göre ekstrakte edilir ve petrol eteri ile 500 ml’ye tamamlanır. Bu ekstraktın 25 ml’si döner buharlaştırıcıda (rotary evaporator)  (bakınız 5.4) neredeyse kuruyana kadar buharlaştırılır, kalan çözücü azot (3.9) buharı ile çıkartılır ve kalıntı 25,0 ml metanol (3.3) içinde yeniden çözündürülür. Bu çözeltinin nominal konsantrasyonu, 50 μg/ml DL-α-tokoferol asetata eşdeğer 45,5 μg/ml DL-α-tokoferoldür. Çalışma standard çözeltisi, kullanılmadan önce taze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5.6.1.2.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çözeltilerinin ve kalibrasyon grafiğinin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1,0- 2,0- 4,0 ve 10,0 ml çalışma standardı çözeltisi bir dizi 20 ml’lik balon jojeye aktarılır, metanol (3.3) ile işaretine kadar tamamlanır ve karıştırılır. Bu çözeltilerin nominal konsantrasyonları 2,5- 5,0- 10,0 ve 25,0 μg/ml DL-α-tokoferol asetattır ya da 2,28- 4,55- 9,10 μg/ml ve 22,8 μg/ml DL-α-tokoferoldür.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çözeltisinin 20 μl’si birkaç kez enjekte edilir ve ortalama pik yükseklikleri (alanlar) tayin edilir. Ortalama pik yükseklikleriyle (alanlar),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5.6.1.3.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asetat stok çözeltisinin UV standardizasyonu (3.10.1)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ml DL-α-tokoferol asetat stok çözeltisi (3.10.1) etanol ile 25,0 ml’ye seyreltilir ve bu çözeltinin UV spektrumu etanole (3.1) göre, 250 nm ile 320 nm arasında spektrofotometrede (4.6)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Absorpsiyon maksimumu 284 nm’de olmalıdır:</w:t>
      </w:r>
    </w:p>
    <w:p w:rsidR="008F593F" w:rsidRPr="007C1E0B" w:rsidRDefault="00DA413D" w:rsidP="001B722B">
      <w:pPr>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1cm</m:t>
            </m:r>
          </m:sub>
          <m:sup>
            <m:r>
              <w:rPr>
                <w:rFonts w:ascii="Cambria Math" w:hAnsi="Cambria Math" w:cs="Times New Roman"/>
                <w:sz w:val="20"/>
                <w:szCs w:val="20"/>
              </w:rPr>
              <m:t>1%</m:t>
            </m:r>
          </m:sup>
        </m:sSubSup>
      </m:oMath>
      <w:r w:rsidR="00336519"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 284 nm’de etanol içinde 43,6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seyreltmede 0,84 ila 0,88 arasında bir ekstinksiyon değeri elde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 tokoferol standardı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5.6.2.1.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Çalışma standard çözeltisinin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ml DL-α-tokoferol stok çözeltisi (3.11.1) 50 ml’lik balon jojeye pipetle alınır, metanol (3.3) içinde çözündürülür ve metanol ile işarete kadar tamamlanır. Bu çözeltinin nominal konsantrasyonu, 44,0 μg/ml DL-α-tokoferol asetata eşdeğer 40 μg/ml DL-α-tokoferoldür. Çalışma standardı çözeltisi, kullanılmadan önce taze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5.6.2.2.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çözeltilerinin ve kalibrasyon grafiğinin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1,0- 2,0- 4,0 ve 10,0 ml çalışma standardı çözeltisi bir dizi 20 ml’lik balon jojeye aktarılır, metanol (3.3) ile işaretine kadar tamamlanır ve karıştırılır. Bu çözeltilerin nominal konsantrasyonları 2,0- 4,0- 8,0 ve 20,0 μg/ml DL-α-tokoferol ya da 2,20, 4,40, 8,79 μg/ml ve 22,0 μg/ml DL-α-tokoferol asetattır.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çözeltisinin 20 μl’si birkaç kez enjekte edilir ve ortalama pik yükseklikleri (alanlar) tayin edilir. Ortalama pik yükseklikleriyle (alanlar),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5.6.2.3.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DL-α-tokoferol stok çözeltisinin UV standardizasyonu (3.11.1)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ml DL-α-tokoferol stok çözeltisi (3.11.1) etanol ile 25,0 ml’ye seyreltilir ve bu çözeltinin UV spektrumu etanole (3.1) göre, 250 nm ile 320 nm arasında spektrofotometrede (4.6) ölçülür. Absorpsiyon maksimumu 292 nm’de olmalıdır:</w:t>
      </w:r>
      <w:r w:rsidRPr="007C1E0B">
        <w:rPr>
          <w:rFonts w:ascii="Times New Roman" w:hAnsi="Times New Roman" w:cs="Times New Roman"/>
          <w:sz w:val="20"/>
          <w:szCs w:val="20"/>
        </w:rPr>
        <w:cr/>
      </w:r>
    </w:p>
    <w:p w:rsidR="008F593F" w:rsidRPr="007C1E0B" w:rsidRDefault="00DA413D" w:rsidP="001B722B">
      <w:pPr>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1cm</m:t>
            </m:r>
          </m:sub>
          <m:sup>
            <m:r>
              <w:rPr>
                <w:rFonts w:ascii="Cambria Math" w:hAnsi="Cambria Math" w:cs="Times New Roman"/>
                <w:sz w:val="20"/>
                <w:szCs w:val="20"/>
              </w:rPr>
              <m:t>1%</m:t>
            </m:r>
          </m:sup>
        </m:sSubSup>
      </m:oMath>
      <w:r w:rsidR="008F593F" w:rsidRPr="007C1E0B">
        <w:rPr>
          <w:rFonts w:ascii="Times New Roman" w:hAnsi="Times New Roman" w:cs="Times New Roman"/>
          <w:sz w:val="20"/>
          <w:szCs w:val="20"/>
        </w:rPr>
        <w:t>= 292 nm’de etanol içinde 75,8</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seyreltmede ekstinksiyon değeri 0,6 elde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grafiğini (5.6.1.2 ya da 5.6.2.2) referans alarak, numune çözeltisinin vitamin E piklerinin ortalama yüksekliği (alan), aynı çözeltinin konsantrasyonu μg/ml (α-tokoferol asetat olarak hesaplanan)cinsinden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mg/kg cinsinden vitamin E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336519" w:rsidRPr="007C1E0B">
        <w:rPr>
          <w:rFonts w:ascii="Times New Roman" w:hAnsi="Times New Roman" w:cs="Times New Roman"/>
          <w:noProof/>
          <w:sz w:val="20"/>
          <w:szCs w:val="20"/>
        </w:rPr>
        <w:drawing>
          <wp:inline distT="0" distB="0" distL="0" distR="0" wp14:anchorId="1B873994" wp14:editId="2DB894AB">
            <wp:extent cx="1868556" cy="413468"/>
            <wp:effectExtent l="0" t="0" r="0" b="571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73920" cy="41465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çözeltisinin (5.4) vitamin E konsantrasyonu (α-tokoferol asetat olarak),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çözeltisinin (5.4)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5.4’te alınan belirli miktarın hacmi,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Numunenin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 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Düşük vitamin E konsantrasyonu olan numunelerde iki sabunlaştırma yükünün (tartılan miktar: 25 g) petrol eteri ekstraktlarının HPLC tayini için bir numune çözeltisinde birleştirilmesi yararlı olabilir.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için alınan numunenin ağırlığı 2 g’dan fazla yağ içermemelidir.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Faz ayrımı oluşmazsa emülsiyonu kırmak için yaklaşık 10 ml etanol (3.1)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 DL-α-tokoferol asetat ya da DL-α-tokoferol çözeltisinin sırasıyla 5.6.1.3 ya da 5.6.2.3’e göre spektrofotometrik ölçümlerden sonra yaklaşık 10 mg BHT’yi (3.12) çözeltiye (3.10.1 ya da 3.10.2) eklenir ve çözelti bir buzdolabında tutulur (saklama ömrü en fazla 4 haftadır).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BHT yerine hidrokinon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7.6. </w:t>
      </w:r>
      <w:r w:rsidR="008B71AB" w:rsidRPr="007C1E0B">
        <w:rPr>
          <w:rFonts w:ascii="Times New Roman" w:hAnsi="Times New Roman" w:cs="Times New Roman"/>
          <w:sz w:val="20"/>
          <w:szCs w:val="20"/>
        </w:rPr>
        <w:t xml:space="preserve"> </w:t>
      </w:r>
      <w:r w:rsidR="00BD7810" w:rsidRPr="007C1E0B">
        <w:rPr>
          <w:rFonts w:ascii="Times New Roman" w:hAnsi="Times New Roman" w:cs="Times New Roman"/>
          <w:sz w:val="20"/>
          <w:szCs w:val="20"/>
        </w:rPr>
        <w:t>Bir n</w:t>
      </w:r>
      <w:r w:rsidRPr="007C1E0B">
        <w:rPr>
          <w:rFonts w:ascii="Times New Roman" w:hAnsi="Times New Roman" w:cs="Times New Roman"/>
          <w:sz w:val="20"/>
          <w:szCs w:val="20"/>
        </w:rPr>
        <w:t>ormal faz kolonu kullanılarak α-, β-, γ- ve δ-tokoferol ayrımı mümkündür.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askorbat çözeltisi yerine yaklaşık 150 mg askorbik asit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sülfit çözeltisi yerine yaklaşık 50 mg EDTA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Vitamin E asetat, alkali koşullar altında son derece hızlı hidrolize olur ve bu nedenle özellikle demir ve bakır gibi iz elementlerin varlığında oksitlenmeye çok duyarlıdır. 5000 mg/kg’dan yüksek seviyelerdeki </w:t>
      </w:r>
      <w:r w:rsidR="00BD7810" w:rsidRPr="007C1E0B">
        <w:rPr>
          <w:rFonts w:ascii="Times New Roman" w:hAnsi="Times New Roman" w:cs="Times New Roman"/>
          <w:sz w:val="20"/>
          <w:szCs w:val="20"/>
        </w:rPr>
        <w:t xml:space="preserve">premikslerde </w:t>
      </w:r>
      <w:r w:rsidRPr="007C1E0B">
        <w:rPr>
          <w:rFonts w:ascii="Times New Roman" w:hAnsi="Times New Roman" w:cs="Times New Roman"/>
          <w:sz w:val="20"/>
          <w:szCs w:val="20"/>
        </w:rPr>
        <w:t>vitamin E tayini yapılırken, bir vitamin E parçalanması oluşabilir. Bu nedenle onay için, alkalin sabunlaştırma adımı olmayan vitamin E formülasyonu enzimatik parçalanmasını içeren bir HPLC metodu önerilir.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B71AB" w:rsidRPr="007C1E0B">
        <w:rPr>
          <w:rFonts w:ascii="Times New Roman" w:hAnsi="Times New Roman" w:cs="Times New Roman"/>
          <w:sz w:val="20"/>
          <w:szCs w:val="20"/>
        </w:rPr>
        <w:t xml:space="preserve"> </w:t>
      </w:r>
      <w:r w:rsidR="001D7C7B"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daha yüksek sonuca bağıl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15’i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tbl>
      <w:tblPr>
        <w:tblW w:w="9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6"/>
        <w:gridCol w:w="1548"/>
        <w:gridCol w:w="1549"/>
        <w:gridCol w:w="1290"/>
        <w:gridCol w:w="1288"/>
        <w:gridCol w:w="1274"/>
      </w:tblGrid>
      <w:tr w:rsidR="007C1E0B" w:rsidRPr="007C1E0B" w:rsidTr="00803CA9">
        <w:trPr>
          <w:trHeight w:val="540"/>
        </w:trPr>
        <w:tc>
          <w:tcPr>
            <w:tcW w:w="2286" w:type="dxa"/>
            <w:tcBorders>
              <w:top w:val="single" w:sz="4" w:space="0" w:color="auto"/>
              <w:left w:val="single" w:sz="4" w:space="0" w:color="auto"/>
              <w:bottom w:val="single" w:sz="4" w:space="0" w:color="auto"/>
              <w:right w:val="single" w:sz="4" w:space="0" w:color="auto"/>
            </w:tcBorders>
          </w:tcPr>
          <w:p w:rsidR="00E66DC1" w:rsidRPr="007C1E0B" w:rsidRDefault="00E66DC1" w:rsidP="001B722B">
            <w:pPr>
              <w:jc w:val="both"/>
              <w:rPr>
                <w:rFonts w:ascii="Times New Roman" w:hAnsi="Times New Roman" w:cs="Times New Roman"/>
                <w:sz w:val="20"/>
                <w:szCs w:val="20"/>
              </w:rPr>
            </w:pP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Premiks</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Premiks yem</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Mineral konsantresi</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Protein yemi</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Domuz yavrusu</w:t>
            </w:r>
          </w:p>
        </w:tc>
      </w:tr>
      <w:tr w:rsidR="007C1E0B" w:rsidRPr="007C1E0B" w:rsidTr="00803CA9">
        <w:trPr>
          <w:trHeight w:val="267"/>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L</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r>
      <w:tr w:rsidR="007C1E0B" w:rsidRPr="007C1E0B" w:rsidTr="00803CA9">
        <w:trPr>
          <w:trHeight w:val="223"/>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r>
      <w:tr w:rsidR="007C1E0B" w:rsidRPr="007C1E0B" w:rsidTr="00803CA9">
        <w:trPr>
          <w:trHeight w:val="179"/>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17.380</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1.187</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926</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315</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61,3</w:t>
            </w:r>
          </w:p>
        </w:tc>
      </w:tr>
      <w:tr w:rsidR="007C1E0B" w:rsidRPr="007C1E0B" w:rsidTr="00803CA9">
        <w:trPr>
          <w:trHeight w:val="416"/>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BD6801" w:rsidP="00BD6801">
            <w:pPr>
              <w:jc w:val="both"/>
              <w:rPr>
                <w:rFonts w:ascii="Times New Roman" w:hAnsi="Times New Roman" w:cs="Times New Roman"/>
                <w:sz w:val="20"/>
                <w:szCs w:val="20"/>
              </w:rPr>
            </w:pPr>
            <w:r w:rsidRPr="007C1E0B">
              <w:rPr>
                <w:rFonts w:ascii="Times New Roman" w:hAnsi="Times New Roman" w:cs="Times New Roman"/>
                <w:sz w:val="20"/>
                <w:szCs w:val="20"/>
              </w:rPr>
              <w:t>s</w:t>
            </w:r>
            <w:r w:rsidR="00E66DC1" w:rsidRPr="007C1E0B">
              <w:rPr>
                <w:rFonts w:ascii="Times New Roman" w:hAnsi="Times New Roman" w:cs="Times New Roman"/>
                <w:sz w:val="20"/>
                <w:szCs w:val="20"/>
              </w:rPr>
              <w:t xml:space="preserve">r [mg/kg]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384</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45,3</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25,2</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13,0</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r>
      <w:tr w:rsidR="007C1E0B" w:rsidRPr="007C1E0B" w:rsidTr="00803CA9">
        <w:trPr>
          <w:trHeight w:val="416"/>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r [mg/kg]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1.075</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126,8</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70,6</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36,4</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6,4</w:t>
            </w:r>
          </w:p>
        </w:tc>
      </w:tr>
      <w:tr w:rsidR="007C1E0B" w:rsidRPr="007C1E0B" w:rsidTr="00803CA9">
        <w:trPr>
          <w:trHeight w:val="339"/>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CVr</w:t>
            </w:r>
            <w:r w:rsidR="00F3111E"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2,2</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2,7</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p>
        </w:tc>
      </w:tr>
      <w:tr w:rsidR="007C1E0B" w:rsidRPr="007C1E0B" w:rsidTr="00803CA9">
        <w:trPr>
          <w:trHeight w:val="416"/>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830</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65,0</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55,5</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18,9</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7,8</w:t>
            </w:r>
          </w:p>
        </w:tc>
      </w:tr>
      <w:tr w:rsidR="007C1E0B" w:rsidRPr="007C1E0B" w:rsidTr="00803CA9">
        <w:trPr>
          <w:trHeight w:val="257"/>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R [mg/kg]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2.324</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182,0</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155,4</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52,9</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21,8</w:t>
            </w:r>
          </w:p>
        </w:tc>
      </w:tr>
      <w:tr w:rsidR="007C1E0B" w:rsidRPr="007C1E0B" w:rsidTr="00803CA9">
        <w:trPr>
          <w:trHeight w:val="336"/>
        </w:trPr>
        <w:tc>
          <w:tcPr>
            <w:tcW w:w="2286"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54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549"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5,5</w:t>
            </w:r>
          </w:p>
        </w:tc>
        <w:tc>
          <w:tcPr>
            <w:tcW w:w="1290"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6,0</w:t>
            </w:r>
          </w:p>
        </w:tc>
        <w:tc>
          <w:tcPr>
            <w:tcW w:w="1288"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6,0</w:t>
            </w:r>
          </w:p>
        </w:tc>
        <w:tc>
          <w:tcPr>
            <w:tcW w:w="1274" w:type="dxa"/>
            <w:tcBorders>
              <w:top w:val="single" w:sz="4" w:space="0" w:color="auto"/>
              <w:left w:val="single" w:sz="4" w:space="0" w:color="auto"/>
              <w:bottom w:val="single" w:sz="4" w:space="0" w:color="auto"/>
              <w:right w:val="single" w:sz="4" w:space="0" w:color="auto"/>
            </w:tcBorders>
            <w:hideMark/>
          </w:tcPr>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12,7</w:t>
            </w:r>
          </w:p>
        </w:tc>
      </w:tr>
    </w:tbl>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 Tekil değerlerin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r     =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    = Tekrar üretilebilirlik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w:t>
      </w:r>
    </w:p>
    <w:p w:rsidR="00E66DC1" w:rsidRPr="007C1E0B" w:rsidRDefault="00E66DC1"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8F593F"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anchor distT="0" distB="0" distL="114300" distR="114300" simplePos="0" relativeHeight="251665408" behindDoc="1" locked="0" layoutInCell="1" allowOverlap="1" wp14:anchorId="1D2C3CEA" wp14:editId="452999D9">
            <wp:simplePos x="0" y="0"/>
            <wp:positionH relativeFrom="margin">
              <wp:posOffset>-779</wp:posOffset>
            </wp:positionH>
            <wp:positionV relativeFrom="paragraph">
              <wp:posOffset>235565</wp:posOffset>
            </wp:positionV>
            <wp:extent cx="5552767" cy="6985582"/>
            <wp:effectExtent l="0" t="0" r="0" b="635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65956" cy="7002174"/>
                    </a:xfrm>
                    <a:prstGeom prst="rect">
                      <a:avLst/>
                    </a:prstGeom>
                    <a:noFill/>
                  </pic:spPr>
                </pic:pic>
              </a:graphicData>
            </a:graphic>
            <wp14:sizeRelH relativeFrom="page">
              <wp14:pctWidth>0</wp14:pctWidth>
            </wp14:sizeRelH>
            <wp14:sizeRelV relativeFrom="page">
              <wp14:pctHeight>0</wp14:pctHeight>
            </wp14:sizeRelV>
          </wp:anchor>
        </w:drawing>
      </w:r>
    </w:p>
    <w:p w:rsidR="008F593F" w:rsidRPr="007C1E0B" w:rsidRDefault="00E66DC1" w:rsidP="001B722B">
      <w:pPr>
        <w:ind w:left="1416" w:firstLine="708"/>
        <w:jc w:val="both"/>
        <w:rPr>
          <w:rFonts w:ascii="Times New Roman" w:hAnsi="Times New Roman" w:cs="Times New Roman"/>
          <w:sz w:val="20"/>
          <w:szCs w:val="20"/>
        </w:rPr>
      </w:pPr>
      <w:r w:rsidRPr="007C1E0B">
        <w:rPr>
          <w:rFonts w:ascii="Times New Roman" w:hAnsi="Times New Roman" w:cs="Times New Roman"/>
          <w:sz w:val="20"/>
          <w:szCs w:val="20"/>
        </w:rPr>
        <w:t>Şekil 1: Ekstraksiyon cihazı (4.8)</w:t>
      </w:r>
    </w:p>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ind w:left="6372"/>
        <w:jc w:val="both"/>
        <w:rPr>
          <w:rFonts w:ascii="Times New Roman" w:hAnsi="Times New Roman" w:cs="Times New Roman"/>
          <w:sz w:val="20"/>
          <w:szCs w:val="20"/>
        </w:rPr>
      </w:pPr>
      <w:r w:rsidRPr="007C1E0B">
        <w:rPr>
          <w:rFonts w:ascii="Times New Roman" w:hAnsi="Times New Roman" w:cs="Times New Roman"/>
          <w:sz w:val="20"/>
          <w:szCs w:val="20"/>
        </w:rPr>
        <w:cr/>
      </w:r>
      <w:r w:rsidR="00E66DC1" w:rsidRPr="007C1E0B">
        <w:rPr>
          <w:rFonts w:ascii="Times New Roman" w:hAnsi="Times New Roman" w:cs="Times New Roman"/>
          <w:sz w:val="20"/>
          <w:szCs w:val="20"/>
        </w:rPr>
        <w:t xml:space="preserve">Buzlu cam ek (4.8.2.(yaklaşık </w:t>
      </w:r>
      <w:r w:rsidR="00834BA3" w:rsidRPr="007C1E0B">
        <w:rPr>
          <w:rFonts w:ascii="Times New Roman" w:hAnsi="Times New Roman" w:cs="Times New Roman"/>
          <w:sz w:val="20"/>
          <w:szCs w:val="20"/>
        </w:rPr>
        <w:t>uzunluk</w:t>
      </w:r>
      <w:r w:rsidR="00E66DC1" w:rsidRPr="007C1E0B">
        <w:rPr>
          <w:rFonts w:ascii="Times New Roman" w:hAnsi="Times New Roman" w:cs="Times New Roman"/>
          <w:sz w:val="20"/>
          <w:szCs w:val="20"/>
        </w:rPr>
        <w:t xml:space="preserve"> 45 cm)</w:t>
      </w:r>
    </w:p>
    <w:p w:rsidR="00E66DC1" w:rsidRPr="007C1E0B" w:rsidRDefault="00E66DC1"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t xml:space="preserve">                   Cam silindir (4.8.1.) </w:t>
      </w:r>
    </w:p>
    <w:p w:rsidR="00E66DC1" w:rsidRPr="007C1E0B" w:rsidRDefault="00E66DC1" w:rsidP="001B722B">
      <w:pPr>
        <w:spacing w:after="0" w:line="240" w:lineRule="auto"/>
        <w:jc w:val="both"/>
        <w:rPr>
          <w:rFonts w:ascii="Times New Roman" w:hAnsi="Times New Roman" w:cs="Times New Roman"/>
          <w:sz w:val="20"/>
          <w:szCs w:val="20"/>
        </w:rPr>
      </w:pPr>
      <w:r w:rsidRPr="007C1E0B">
        <w:rPr>
          <w:rFonts w:ascii="Times New Roman" w:hAnsi="Times New Roman" w:cs="Times New Roman"/>
          <w:sz w:val="20"/>
          <w:szCs w:val="20"/>
        </w:rPr>
        <w:t xml:space="preserve">              (Yaklaşık yükseklik 48 cm)</w:t>
      </w: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p>
    <w:p w:rsidR="00E66DC1" w:rsidRPr="007C1E0B" w:rsidRDefault="00E66DC1" w:rsidP="001B722B">
      <w:pPr>
        <w:jc w:val="both"/>
        <w:rPr>
          <w:rFonts w:ascii="Times New Roman" w:hAnsi="Times New Roman" w:cs="Times New Roman"/>
          <w:sz w:val="20"/>
          <w:szCs w:val="20"/>
        </w:rPr>
      </w:pP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r>
      <w:r w:rsidRPr="007C1E0B">
        <w:rPr>
          <w:rFonts w:ascii="Times New Roman" w:hAnsi="Times New Roman" w:cs="Times New Roman"/>
          <w:sz w:val="20"/>
          <w:szCs w:val="20"/>
        </w:rPr>
        <w:tab/>
        <w:t>Ayarlanabilir tüp</w:t>
      </w: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4B12BF" w:rsidRPr="007C1E0B" w:rsidRDefault="004B12BF" w:rsidP="001B722B">
      <w:pPr>
        <w:jc w:val="both"/>
        <w:rPr>
          <w:rFonts w:ascii="Times New Roman" w:hAnsi="Times New Roman" w:cs="Times New Roman"/>
          <w:sz w:val="20"/>
          <w:szCs w:val="20"/>
        </w:rPr>
      </w:pPr>
      <w:r w:rsidRPr="007C1E0B">
        <w:rPr>
          <w:rFonts w:ascii="Times New Roman" w:hAnsi="Times New Roman" w:cs="Times New Roman"/>
          <w:sz w:val="20"/>
          <w:szCs w:val="20"/>
        </w:rPr>
        <w:tab/>
      </w:r>
      <w:r w:rsidRPr="007C1E0B">
        <w:rPr>
          <w:rFonts w:ascii="Times New Roman" w:hAnsi="Times New Roman" w:cs="Times New Roman"/>
          <w:sz w:val="20"/>
          <w:szCs w:val="20"/>
        </w:rPr>
        <w:tab/>
      </w:r>
    </w:p>
    <w:p w:rsidR="004B12BF" w:rsidRPr="007C1E0B" w:rsidRDefault="004B12BF" w:rsidP="001B722B">
      <w:pPr>
        <w:jc w:val="both"/>
        <w:rPr>
          <w:rFonts w:ascii="Times New Roman" w:hAnsi="Times New Roman" w:cs="Times New Roman"/>
          <w:sz w:val="20"/>
          <w:szCs w:val="20"/>
        </w:rPr>
      </w:pPr>
    </w:p>
    <w:p w:rsidR="004B12BF" w:rsidRPr="007C1E0B" w:rsidRDefault="004B12BF" w:rsidP="001B722B">
      <w:pPr>
        <w:ind w:left="708" w:firstLine="708"/>
        <w:jc w:val="both"/>
        <w:rPr>
          <w:rFonts w:ascii="Times New Roman" w:hAnsi="Times New Roman" w:cs="Times New Roman"/>
          <w:sz w:val="20"/>
          <w:szCs w:val="20"/>
        </w:rPr>
      </w:pPr>
      <w:r w:rsidRPr="007C1E0B">
        <w:rPr>
          <w:rFonts w:ascii="Times New Roman" w:hAnsi="Times New Roman" w:cs="Times New Roman"/>
          <w:sz w:val="20"/>
          <w:szCs w:val="20"/>
        </w:rPr>
        <w:t xml:space="preserve">Petrol eteri </w:t>
      </w:r>
      <w:r w:rsidR="003A7D7F" w:rsidRPr="007C1E0B">
        <w:rPr>
          <w:rFonts w:ascii="Times New Roman" w:hAnsi="Times New Roman" w:cs="Times New Roman"/>
          <w:sz w:val="20"/>
          <w:szCs w:val="20"/>
        </w:rPr>
        <w:t>fazı</w:t>
      </w:r>
    </w:p>
    <w:p w:rsidR="004B12BF" w:rsidRPr="007C1E0B" w:rsidRDefault="004B12BF" w:rsidP="001B722B">
      <w:pPr>
        <w:ind w:left="708" w:firstLine="708"/>
        <w:jc w:val="both"/>
        <w:rPr>
          <w:rFonts w:ascii="Times New Roman" w:hAnsi="Times New Roman" w:cs="Times New Roman"/>
          <w:sz w:val="20"/>
          <w:szCs w:val="20"/>
        </w:rPr>
      </w:pPr>
    </w:p>
    <w:p w:rsidR="004B12BF" w:rsidRPr="007C1E0B" w:rsidRDefault="004B12BF" w:rsidP="001B722B">
      <w:pPr>
        <w:ind w:left="708" w:firstLine="708"/>
        <w:jc w:val="both"/>
        <w:rPr>
          <w:rFonts w:ascii="Times New Roman" w:hAnsi="Times New Roman" w:cs="Times New Roman"/>
          <w:sz w:val="20"/>
          <w:szCs w:val="20"/>
        </w:rPr>
      </w:pPr>
    </w:p>
    <w:p w:rsidR="004B12BF" w:rsidRPr="007C1E0B" w:rsidRDefault="004B12BF" w:rsidP="001B722B">
      <w:pPr>
        <w:ind w:left="708" w:firstLine="708"/>
        <w:jc w:val="both"/>
        <w:rPr>
          <w:rFonts w:ascii="Times New Roman" w:hAnsi="Times New Roman" w:cs="Times New Roman"/>
          <w:sz w:val="20"/>
          <w:szCs w:val="20"/>
        </w:rPr>
      </w:pPr>
    </w:p>
    <w:p w:rsidR="00E66DC1" w:rsidRPr="007C1E0B" w:rsidRDefault="004B12BF" w:rsidP="001B722B">
      <w:pPr>
        <w:ind w:left="708" w:firstLine="1"/>
        <w:jc w:val="both"/>
        <w:rPr>
          <w:rFonts w:ascii="Times New Roman" w:hAnsi="Times New Roman" w:cs="Times New Roman"/>
          <w:sz w:val="20"/>
          <w:szCs w:val="20"/>
        </w:rPr>
      </w:pPr>
      <w:r w:rsidRPr="007C1E0B">
        <w:rPr>
          <w:rFonts w:ascii="Times New Roman" w:hAnsi="Times New Roman" w:cs="Times New Roman"/>
          <w:sz w:val="20"/>
          <w:szCs w:val="20"/>
        </w:rPr>
        <w:t>Sulu katman +sabunlaştırılmış yem</w:t>
      </w:r>
      <w:r w:rsidRPr="007C1E0B">
        <w:rPr>
          <w:rFonts w:ascii="Times New Roman" w:hAnsi="Times New Roman" w:cs="Times New Roman"/>
          <w:sz w:val="20"/>
          <w:szCs w:val="20"/>
        </w:rPr>
        <w:tab/>
      </w:r>
      <w:r w:rsidR="00E66DC1" w:rsidRPr="007C1E0B">
        <w:rPr>
          <w:rFonts w:ascii="Times New Roman" w:hAnsi="Times New Roman" w:cs="Times New Roman"/>
          <w:sz w:val="20"/>
          <w:szCs w:val="20"/>
        </w:rPr>
        <w:tab/>
      </w: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E66DC1" w:rsidRPr="007C1E0B" w:rsidRDefault="00E66DC1"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AE5307" w:rsidRPr="007C1E0B" w:rsidRDefault="00AE5307"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C. </w:t>
      </w:r>
      <w:r w:rsidR="008B71A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DEMİR, BAKIR, MANGAN VE ÇİNKO İZ ELEMENTLERİNİN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iz miktardaki demir, bakır, mangan ve çinko elementlerinin tayinini mümkün kılar. Miktar tayini sınırları şunlardır: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demir (Fe): 20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bakır (Cu): 10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mangan (Mn): 20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çinko (Zn): 20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 xml:space="preserve">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B71AB"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organik maddeler hidroklorik asit içinde parçalandıktan sonra çözelti haline getirilir. Demir, bakır, mangan ve çinko elementleri, uygun bir seyreltmeden sonra atomik absorpsiyon spektrometresi</w:t>
      </w:r>
      <w:r w:rsidR="00757689" w:rsidRPr="007C1E0B">
        <w:rPr>
          <w:rFonts w:ascii="Times New Roman" w:hAnsi="Times New Roman" w:cs="Times New Roman"/>
          <w:sz w:val="20"/>
          <w:szCs w:val="20"/>
        </w:rPr>
        <w:t xml:space="preserve"> ya da diğer cihazlar </w:t>
      </w:r>
      <w:r w:rsidRPr="007C1E0B">
        <w:rPr>
          <w:rFonts w:ascii="Times New Roman" w:hAnsi="Times New Roman" w:cs="Times New Roman"/>
          <w:sz w:val="20"/>
          <w:szCs w:val="20"/>
        </w:rPr>
        <w:t xml:space="preserve"> ile tayin edilir.</w:t>
      </w:r>
    </w:p>
    <w:p w:rsidR="00A601A0" w:rsidRPr="007C1E0B" w:rsidRDefault="00DB0ACD"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B71AB" w:rsidRPr="007C1E0B">
        <w:rPr>
          <w:rFonts w:ascii="Times New Roman" w:hAnsi="Times New Roman" w:cs="Times New Roman"/>
          <w:sz w:val="20"/>
          <w:szCs w:val="20"/>
        </w:rPr>
        <w:t xml:space="preserve"> </w:t>
      </w:r>
      <w:r w:rsidR="00A601A0" w:rsidRPr="007C1E0B">
        <w:rPr>
          <w:rFonts w:ascii="Times New Roman" w:hAnsi="Times New Roman"/>
          <w:sz w:val="20"/>
          <w:szCs w:val="20"/>
        </w:rPr>
        <w:t>Malzemeler ve Çözeltiler</w:t>
      </w:r>
      <w:r w:rsidR="00A601A0" w:rsidRPr="007C1E0B" w:rsidDel="00A601A0">
        <w:rPr>
          <w:rFonts w:ascii="Times New Roman" w:hAnsi="Times New Roman" w:cs="Times New Roman"/>
          <w:sz w:val="20"/>
          <w:szCs w:val="20"/>
        </w:rPr>
        <w:t xml:space="preserve"> </w:t>
      </w:r>
    </w:p>
    <w:p w:rsidR="002A22D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Tanıtıcı yorumlar</w:t>
      </w:r>
      <w:r w:rsidRPr="007C1E0B">
        <w:rPr>
          <w:rFonts w:ascii="Times New Roman" w:hAnsi="Times New Roman" w:cs="Times New Roman"/>
          <w:sz w:val="20"/>
          <w:szCs w:val="20"/>
        </w:rPr>
        <w:cr/>
      </w:r>
      <w:r w:rsidR="002A22DF" w:rsidRPr="007C1E0B">
        <w:rPr>
          <w:rFonts w:ascii="Times New Roman" w:hAnsi="Times New Roman" w:cs="Times New Roman"/>
          <w:sz w:val="20"/>
          <w:szCs w:val="20"/>
        </w:rPr>
        <w:t>Ayıraçların ve analitik çözeltilerin hazırlanmasında tayin edilecek maddeleri içermeyen, borosilikat cam veya kuvars imbikte iki kere damıtılarak ya da iyon değişimi reçinesinde iki kez işlem görerek elde edilen su (ultra saf su) kullanılır.</w:t>
      </w:r>
    </w:p>
    <w:p w:rsidR="008F593F" w:rsidRPr="007C1E0B" w:rsidRDefault="00A601A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Analizde kullanılan kimyasallar </w:t>
      </w:r>
      <w:r w:rsidR="008F593F" w:rsidRPr="007C1E0B">
        <w:rPr>
          <w:rFonts w:ascii="Times New Roman" w:hAnsi="Times New Roman" w:cs="Times New Roman"/>
          <w:sz w:val="20"/>
          <w:szCs w:val="20"/>
        </w:rPr>
        <w:t>en azından analitik saflıkta olmalıdır. Tayin edilecek elementlerin var olmadığı, bir kör deneyle kontrol edilmelidir. Gerekiyorsa, ayıraçlar daha da saflaştırılmalıdır.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 açıklanan standart çözeltiler yerine, garantili olmaları ve kullanmadan önce kontrol edilmeleri kaydıyla ticari standart çözeltiler de kullanılabilir.</w:t>
      </w:r>
    </w:p>
    <w:p w:rsidR="00A601A0" w:rsidRPr="007C1E0B" w:rsidRDefault="00A601A0"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 açıklanan kimyasallar ve elementlere ait standart çözeltiler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(d:1,19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(6 mol/litre).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(0,5 mol/litre).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En fazla 1 mg/litre demir (Fe) içeriği olan ve buharlaştırmadan sonra en fazla 10 mg (sülfat olarak)/litre kalıntı bırakan hidroflorik asit,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38 -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40’lık (v/v).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Sülfürik asit (d: 1,84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Hidrojen peroksit (yaklaşık 100 hacim oksijen (ağırlıkça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30)).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Aşağıdaki gibi hazırlanan standart demir çözeltisi (1000 μg Fe/ml) ya da ticari olarak satın alınabilir eşdeğer bir çözelti: 1 g demir teli 200 ml 6 mol/litre hidroklorik asitte (3.2) çözündürülür, 16 ml hidrojen peroksit (3.6) eklenir ve suyla bir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Çalışma standardı demir çözeltisi (100 μg Fe/ml), standart çözeltinin bir kısmının (3.7) 9 kısım suyla seyreltilmesiyle hazırlanmaktadır.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Aşağıdaki gibi hazırlanan standart bakır çözeltisi (1000 μg Cu/ml) ya da ticari olarak satın alınabilir eşdeğer bir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 g toz formundaki bakır 25 ml 6 mol/litre hidroklorik asitte (3.2) çözündürülür, 5 ml hidrojen peroksit (3.6) eklenir ve suyla bir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Çalışma standardı bakır çözeltisi (10 μg Cu/ml), standart çözeltinin 1 kısmının (3.8) 9 kısım suyla seyreltilmesiyle ve ardından ortaya çıkan çözeltinin 1:9 suyla seyreltilmesiyle hazırlanır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Aşağıdaki gibi hazırlanan standart mangan çözeltisi (1000 μg Mn/ml) ya da ticari olarak satın alınabilir eşdeğer bir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 g toz formundaki bakır 25 ml 6 mol/litre hidroklorik asitte (3.2) çözündürülür ve suyla bir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Çalışma standardı mangan çözeltisi (10 μg Mn/ml), standart çözeltinin bir kısmının (3.9) 9 kısım suyla seyreltilmesiyle ve ardından ortaya çıkan çözeltinin 1:9 suyla seyreltilmesiyle hazırlanır.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Aşağıdaki gibi hazırlanan standart çinko çözeltisi (1000 μg Zn/ml) ya da ticari olarak satın alınabilir eşdeğer bir çözelti: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 g şerit ya da yaprak formundaki çinko 25 ml 6 mol/litre hidroklorik asitte (3.2) çözündürülür ve suyla bir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Çalışma standardı çinko çözeltisi (10 μg Zn/ml), standart çözeltinin bir kısmının (3.10) 9 kısım suyla seyreltilmesiyle ve ardından ortaya çıkan çözeltinin 1:9 suyla seyreltilmesiyle hazırlanır.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Lantan klorür çözeltisi: 12 g lantan oksit 150 ml suda çözündürülür, 100 ml 6 mol/litre hidroklorik asit (3.2) eklenir ve suyla bir litreye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Sıcaklık düzenlemesi ve tercihen kaydedicisi olan kül fırını.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Cam malzemeler dayanıklı borosilikat tipi olmalıdır ve özellikle eser element tayini için kullanıma ayrılmış cihaz kullanılması önerilir.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4.3. Gerekli aralıktaki hassasiyet ve kesinlik açısından metodun gerekliliklerini karşılayan atomik absorpsiyon spektrofotometresi.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w:t>
      </w:r>
      <w:r w:rsidR="00FE568C" w:rsidRPr="007C1E0B">
        <w:rPr>
          <w:rStyle w:val="DipnotBavurusu"/>
          <w:rFonts w:ascii="Times New Roman" w:hAnsi="Times New Roman" w:cs="Times New Roman"/>
          <w:sz w:val="20"/>
          <w:szCs w:val="20"/>
        </w:rPr>
        <w:footnoteReference w:id="6"/>
      </w:r>
      <w:r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Organik madde içeren numuneler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Yakma ve analiz için çözeltinin hazırlanması </w:t>
      </w:r>
      <w:r w:rsidR="00FE568C" w:rsidRPr="007C1E0B">
        <w:rPr>
          <w:rFonts w:ascii="Times New Roman" w:hAnsi="Times New Roman" w:cs="Times New Roman"/>
          <w:sz w:val="20"/>
          <w:szCs w:val="20"/>
        </w:rPr>
        <w:t>(</w:t>
      </w:r>
      <w:r w:rsidR="00FE568C" w:rsidRPr="007C1E0B">
        <w:rPr>
          <w:rStyle w:val="DipnotBavurusu"/>
          <w:rFonts w:ascii="Times New Roman" w:hAnsi="Times New Roman" w:cs="Times New Roman"/>
          <w:sz w:val="20"/>
          <w:szCs w:val="20"/>
        </w:rPr>
        <w:footnoteReference w:id="7"/>
      </w:r>
      <w:r w:rsidR="00FE568C"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5 ila 10 g numune 0,2 mg hassasiyetle tartılarak kuvars ya da platin krozeye (bakınız Not (b)) yerleştirilir, 105°C’deki bir etüvde kurutulur ve kroze soğuk kül fırınına (4.1) alınır. Fırın kapatılır (bakınız Not (c)) ve sıcaklığı, yaklaşık 90 dakika içinde kademeli olarak 450 ila 475°C’ye yükseltilir. Karbonlu materyali ortadan kaldırmak için bu sıcaklık 4 ila 16 saat (örneğin </w:t>
      </w:r>
      <w:r w:rsidR="00131E87" w:rsidRPr="007C1E0B">
        <w:rPr>
          <w:rFonts w:ascii="Times New Roman" w:hAnsi="Times New Roman" w:cs="Times New Roman"/>
          <w:sz w:val="20"/>
          <w:szCs w:val="20"/>
        </w:rPr>
        <w:t>g</w:t>
      </w:r>
      <w:r w:rsidRPr="007C1E0B">
        <w:rPr>
          <w:rFonts w:ascii="Times New Roman" w:hAnsi="Times New Roman" w:cs="Times New Roman"/>
          <w:sz w:val="20"/>
          <w:szCs w:val="20"/>
        </w:rPr>
        <w:t>ece boyunca) sürdürülür, ardından fırın açılır ve soğumaya bırakılır (bakınız Not (d)).</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Küller su ile nemlendirilir ve bunlar 250 ml’lik bir behere aktarılır. Kroze toplamda yaklaşık 5 ml hidroklorik asit (3.1) ile yıkanır ve hidroklorik asit yavaşça ve dikkatle behere eklenir (CO</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oluşumu nedeniyle şiddetli bir reaksiyon olabilir).</w:t>
      </w:r>
      <w:r w:rsidR="00D34C97" w:rsidRPr="007C1E0B">
        <w:rPr>
          <w:sz w:val="18"/>
          <w:szCs w:val="18"/>
        </w:rPr>
        <w:t xml:space="preserve">  </w:t>
      </w:r>
      <w:r w:rsidR="00D34C97" w:rsidRPr="007C1E0B">
        <w:rPr>
          <w:rFonts w:ascii="Times New Roman" w:hAnsi="Times New Roman" w:cs="Times New Roman"/>
          <w:sz w:val="20"/>
          <w:szCs w:val="20"/>
        </w:rPr>
        <w:t>Tüm köpürme durana kadar damla damla hidroklorik asit (3.1) eklenir. Kuruyana kadar buharlaştırılır, ara sıra cam bir çubukla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Sonra kalıntıya 15 ml 6 mol/l hidroklorik asit (3.2) ve ardından yaklaşık 120 ml su eklenir. Cam çubuk ile karıştırılır (çubuk beherin içinde bırakılmalıdır) ve beher bir saat camı ile örtülür. Yavaşca kaynama noktasına getirilir ve çözünecek kül kalmayana kadar kaynama noktasında tutulur. Kül içermeyen süzgeç kağıdından süzülür ve süzüntü 250 ml’lik bir balon jojeye alınır. Beher ve süzgeç kağıdı 5 ml sıcak 6 mol/litre hidroklorik asitle (3.2) ve iki kez kaynar suyla yıkanır. Balon joje işaretine kadar suyla doldurulur (HCl konsantrasyonu yaklaşık 0,5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Süzgeçteki kalıntı siyah (karbon) görünüyorsa, yeniden fırına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yeniden 450 ile 475°C’de yakılır. Bu yakma (yalnızca üç ila beş saat yeterlidir) işlemi, kül beyaz ya da beyaza yakın göründüğünde tamamlanır. Kalıntı yaklaşık 2 ml hidroklorik asit (3.1) ile çözündürülür, kuruyana kadar buharlaştırılır ve 5 ml 6 mol/litre hidroklorik asit (3.2) eklenir. Isıtılır, çözelti balon joje içerisine süzülür ve su ile işarete kadar tamamlanır (HCl konsantrasyonu yaklaşık 0,5 mol/l).</w:t>
      </w:r>
    </w:p>
    <w:p w:rsidR="00CC7137" w:rsidRPr="007C1E0B" w:rsidRDefault="00CC7137" w:rsidP="00CC7137">
      <w:pPr>
        <w:spacing w:before="120"/>
        <w:rPr>
          <w:rFonts w:ascii="Times New Roman" w:hAnsi="Times New Roman" w:cs="Times New Roman"/>
          <w:sz w:val="20"/>
          <w:szCs w:val="20"/>
        </w:rPr>
      </w:pPr>
      <w:r w:rsidRPr="007C1E0B">
        <w:rPr>
          <w:rFonts w:ascii="Times New Roman" w:hAnsi="Times New Roman" w:cs="Times New Roman"/>
          <w:sz w:val="20"/>
          <w:szCs w:val="20"/>
        </w:rPr>
        <w:t>Notlar: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İz elementlerin tayininde özellikle çinko, bakır ve demir kaynaklı kontaminasyon risklerine karşı dikkatli olmak önemlidir. Bu nedenle numunelerin hazırlanmasında kullanılan ekipman bu metalleri içermemelidir.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Genel kontaminasyon riskini azaltmak için tozsuz bir ortamda, dikkatlice temiz ekipmanla ve iyice yıkanmış cam malzemelerle çalışılır. Çinko tayini özellikle cam malzeme, reaktifler, toz vb. birçok kontaminasyon türüne duyarlıdır.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Yakılacak numunenin ağırlığı, kullanılan spektrofotometre duyarlılığına uygun olarak yemdeki yaklaşık iz element içeriğinden hesaplanır. İz element içeriği düşük belirli yemlerde 10 ila 20 g numune ile başlamak ve son çözeltiyi yalnızca 100 ml’ye tamamlamak gerekebilir.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Yakma işlemi, hava ya da oksijen girmeyen kapalı bir kül fırınında gerçekleştirilmelidir.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w:t>
      </w:r>
      <w:r w:rsidR="00FE568C" w:rsidRPr="007C1E0B">
        <w:rPr>
          <w:rFonts w:ascii="Times New Roman" w:hAnsi="Times New Roman" w:cs="Times New Roman"/>
          <w:sz w:val="20"/>
          <w:szCs w:val="20"/>
        </w:rPr>
        <w:t>ç</w:t>
      </w:r>
      <w:r w:rsidRPr="007C1E0B">
        <w:rPr>
          <w:rFonts w:ascii="Times New Roman" w:hAnsi="Times New Roman" w:cs="Times New Roman"/>
          <w:sz w:val="20"/>
          <w:szCs w:val="20"/>
        </w:rPr>
        <w:t>) Pirometre ile gösterilen sıcaklık en fazla 475°C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Spektrofotometrik tayin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Tayin edilecek her element için madde 3.7.1, 3.8.1, 3.9.1 ve 3.10.1’de verilen çalışma standardı çözeltisinden bir dizi kalibrasyon çözeltisi hazırlanır, her bir kalibrasyon çözeltisi yaklaşık 0,5 mol/litrelik bir HCl konsantrasyonu demir, mangan ve çinko söz konusu olduğunda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0,1 Lantanyuma (a/h) eşdeğer bir lantan klorür konsantrasyonu içermelidir.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Seçilen iz element konsantrasyonları kullanılan spektrofotometrenin hassaslık sınırı aralığında olmalıdır. Aşağıdaki tablolarda kalibrasyon çözeltilerinin bileşim aralıkları gösterilmektedir; bununla birlikte kullanılan spektrofotometrenin türüne ve duyarlılığına göre başka konsantrasyonlar seçmek gerekebilir.</w:t>
      </w:r>
    </w:p>
    <w:p w:rsidR="008B71AB" w:rsidRPr="007C1E0B" w:rsidRDefault="008B71AB" w:rsidP="001B722B">
      <w:pPr>
        <w:jc w:val="both"/>
        <w:rPr>
          <w:rFonts w:ascii="Times New Roman" w:hAnsi="Times New Roman" w:cs="Times New Roman"/>
          <w:sz w:val="20"/>
          <w:szCs w:val="20"/>
        </w:rPr>
      </w:pPr>
    </w:p>
    <w:p w:rsidR="00921071" w:rsidRPr="007C1E0B" w:rsidRDefault="00921071" w:rsidP="001B722B">
      <w:pPr>
        <w:jc w:val="both"/>
        <w:rPr>
          <w:rFonts w:ascii="Times New Roman" w:hAnsi="Times New Roman" w:cs="Times New Roman"/>
          <w:sz w:val="20"/>
          <w:szCs w:val="20"/>
        </w:rPr>
      </w:pPr>
    </w:p>
    <w:p w:rsidR="00921071" w:rsidRPr="007C1E0B" w:rsidRDefault="00921071" w:rsidP="001B722B">
      <w:pPr>
        <w:jc w:val="both"/>
        <w:rPr>
          <w:rFonts w:ascii="Times New Roman" w:hAnsi="Times New Roman" w:cs="Times New Roman"/>
          <w:sz w:val="20"/>
          <w:szCs w:val="20"/>
        </w:rPr>
      </w:pPr>
    </w:p>
    <w:p w:rsidR="00803CA9" w:rsidRPr="007C1E0B" w:rsidRDefault="00803CA9" w:rsidP="001B722B">
      <w:pPr>
        <w:jc w:val="both"/>
        <w:rPr>
          <w:rFonts w:ascii="Times New Roman" w:hAnsi="Times New Roman" w:cs="Times New Roman"/>
          <w:sz w:val="20"/>
          <w:szCs w:val="20"/>
        </w:rPr>
      </w:pPr>
    </w:p>
    <w:p w:rsidR="001C683D" w:rsidRPr="007C1E0B" w:rsidRDefault="001C683D" w:rsidP="001B722B">
      <w:pPr>
        <w:jc w:val="both"/>
        <w:rPr>
          <w:rFonts w:ascii="Times New Roman" w:hAnsi="Times New Roman" w:cs="Times New Roman"/>
          <w:sz w:val="20"/>
          <w:szCs w:val="20"/>
        </w:rPr>
      </w:pPr>
    </w:p>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Demir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0"/>
        <w:gridCol w:w="849"/>
        <w:gridCol w:w="850"/>
        <w:gridCol w:w="849"/>
        <w:gridCol w:w="850"/>
        <w:gridCol w:w="849"/>
        <w:gridCol w:w="850"/>
        <w:gridCol w:w="853"/>
      </w:tblGrid>
      <w:tr w:rsidR="007C1E0B" w:rsidRPr="007C1E0B" w:rsidTr="00803CA9">
        <w:trPr>
          <w:trHeight w:val="499"/>
        </w:trPr>
        <w:tc>
          <w:tcPr>
            <w:tcW w:w="311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μg Fe/ml</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0,5</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5</w:t>
            </w:r>
          </w:p>
        </w:tc>
      </w:tr>
      <w:tr w:rsidR="007C1E0B" w:rsidRPr="007C1E0B" w:rsidTr="00803CA9">
        <w:trPr>
          <w:trHeight w:val="786"/>
        </w:trPr>
        <w:tc>
          <w:tcPr>
            <w:tcW w:w="311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çalışma standardı çözeltisi (3.7.1) (1 ml = 100 μg Fe), ml</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0,5</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5</w:t>
            </w:r>
          </w:p>
        </w:tc>
      </w:tr>
      <w:tr w:rsidR="007C1E0B" w:rsidRPr="007C1E0B" w:rsidTr="00803CA9">
        <w:trPr>
          <w:trHeight w:val="486"/>
        </w:trPr>
        <w:tc>
          <w:tcPr>
            <w:tcW w:w="311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HCl (3.2), ml </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49"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r>
      <w:tr w:rsidR="00CA6F6F" w:rsidRPr="007C1E0B" w:rsidTr="00803CA9">
        <w:trPr>
          <w:trHeight w:val="511"/>
        </w:trPr>
        <w:tc>
          <w:tcPr>
            <w:tcW w:w="9060" w:type="dxa"/>
            <w:gridSpan w:val="8"/>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 ml of lantan klorür çözeltisi (3.11) eklenir ve suyla 100 ml’ye tamamlanır</w:t>
            </w:r>
          </w:p>
        </w:tc>
      </w:tr>
    </w:tbl>
    <w:p w:rsidR="00CA6F6F" w:rsidRPr="007C1E0B" w:rsidRDefault="00CA6F6F" w:rsidP="001B722B">
      <w:pPr>
        <w:jc w:val="both"/>
        <w:rPr>
          <w:rFonts w:ascii="Times New Roman" w:hAnsi="Times New Roman" w:cs="Times New Roman"/>
          <w:sz w:val="20"/>
          <w:szCs w:val="20"/>
        </w:rPr>
      </w:pPr>
    </w:p>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Bakır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5"/>
        <w:gridCol w:w="857"/>
        <w:gridCol w:w="858"/>
        <w:gridCol w:w="857"/>
        <w:gridCol w:w="858"/>
        <w:gridCol w:w="857"/>
        <w:gridCol w:w="858"/>
        <w:gridCol w:w="858"/>
      </w:tblGrid>
      <w:tr w:rsidR="007C1E0B" w:rsidRPr="007C1E0B" w:rsidTr="00803CA9">
        <w:trPr>
          <w:trHeight w:val="500"/>
        </w:trPr>
        <w:tc>
          <w:tcPr>
            <w:tcW w:w="313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μg Cu/ml</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0,1</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0,2</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0,6</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tc>
      </w:tr>
      <w:tr w:rsidR="007C1E0B" w:rsidRPr="007C1E0B" w:rsidTr="00803CA9">
        <w:trPr>
          <w:trHeight w:val="787"/>
        </w:trPr>
        <w:tc>
          <w:tcPr>
            <w:tcW w:w="313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Çalışma standardı çözeltisi (3.8.1) (1 ml = 10 μg Cu), ml</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tc>
      </w:tr>
      <w:tr w:rsidR="00CA6F6F" w:rsidRPr="007C1E0B" w:rsidTr="00803CA9">
        <w:trPr>
          <w:trHeight w:val="500"/>
        </w:trPr>
        <w:tc>
          <w:tcPr>
            <w:tcW w:w="313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HCl (3.2), ml </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7"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8"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r>
    </w:tbl>
    <w:p w:rsidR="00CA6F6F" w:rsidRPr="007C1E0B" w:rsidRDefault="00CA6F6F" w:rsidP="001B722B">
      <w:pPr>
        <w:jc w:val="both"/>
        <w:rPr>
          <w:rFonts w:ascii="Times New Roman" w:hAnsi="Times New Roman" w:cs="Times New Roman"/>
          <w:sz w:val="20"/>
          <w:szCs w:val="20"/>
        </w:rPr>
      </w:pPr>
    </w:p>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Mangan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6"/>
        <w:gridCol w:w="860"/>
        <w:gridCol w:w="861"/>
        <w:gridCol w:w="860"/>
        <w:gridCol w:w="861"/>
        <w:gridCol w:w="860"/>
        <w:gridCol w:w="861"/>
        <w:gridCol w:w="869"/>
      </w:tblGrid>
      <w:tr w:rsidR="007C1E0B" w:rsidRPr="007C1E0B" w:rsidTr="00803CA9">
        <w:trPr>
          <w:trHeight w:val="490"/>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μg Mn/ml </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0,1</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0,2</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0,6</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0,8</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tc>
      </w:tr>
      <w:tr w:rsidR="007C1E0B" w:rsidRPr="007C1E0B" w:rsidTr="00803CA9">
        <w:trPr>
          <w:trHeight w:val="770"/>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Çalışma standardı çözeltisi (3.9.1) (1 ml = 10 μg Mn), ml</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w:t>
            </w:r>
          </w:p>
        </w:tc>
      </w:tr>
      <w:tr w:rsidR="007C1E0B" w:rsidRPr="007C1E0B" w:rsidTr="00803CA9">
        <w:trPr>
          <w:trHeight w:val="490"/>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HCl (3.2), ml </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1"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r>
      <w:tr w:rsidR="00CA6F6F" w:rsidRPr="007C1E0B" w:rsidTr="00803CA9">
        <w:trPr>
          <w:trHeight w:val="490"/>
        </w:trPr>
        <w:tc>
          <w:tcPr>
            <w:tcW w:w="9178" w:type="dxa"/>
            <w:gridSpan w:val="8"/>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 ml of lantan klorür çözeltisi (3.11) eklenir ve suyla 100 ml’ye tamamlanır</w:t>
            </w:r>
          </w:p>
        </w:tc>
      </w:tr>
    </w:tbl>
    <w:p w:rsidR="00CA6F6F" w:rsidRPr="007C1E0B" w:rsidRDefault="00CA6F6F" w:rsidP="001B722B">
      <w:pPr>
        <w:jc w:val="both"/>
        <w:rPr>
          <w:rFonts w:ascii="Times New Roman" w:hAnsi="Times New Roman" w:cs="Times New Roman"/>
          <w:sz w:val="20"/>
          <w:szCs w:val="20"/>
        </w:rPr>
      </w:pPr>
    </w:p>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Çinko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6"/>
        <w:gridCol w:w="860"/>
        <w:gridCol w:w="862"/>
        <w:gridCol w:w="860"/>
        <w:gridCol w:w="862"/>
        <w:gridCol w:w="860"/>
        <w:gridCol w:w="862"/>
        <w:gridCol w:w="866"/>
      </w:tblGrid>
      <w:tr w:rsidR="007C1E0B" w:rsidRPr="007C1E0B" w:rsidTr="00803CA9">
        <w:trPr>
          <w:trHeight w:val="504"/>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μg Zn/ml</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0,05</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0,1</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0,2</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0,6</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0,8</w:t>
            </w:r>
          </w:p>
        </w:tc>
      </w:tr>
      <w:tr w:rsidR="007C1E0B" w:rsidRPr="007C1E0B" w:rsidTr="00803CA9">
        <w:trPr>
          <w:trHeight w:val="794"/>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Çalışma standardı çözeltisi (3.10.1) (1 ml = 10 μg Zn), ml</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0,5</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p>
        </w:tc>
      </w:tr>
      <w:tr w:rsidR="007C1E0B" w:rsidRPr="007C1E0B" w:rsidTr="00803CA9">
        <w:trPr>
          <w:trHeight w:val="504"/>
        </w:trPr>
        <w:tc>
          <w:tcPr>
            <w:tcW w:w="3146"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HCl (3.2), ml </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0"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2"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65" w:type="dxa"/>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p>
        </w:tc>
      </w:tr>
      <w:tr w:rsidR="00CA6F6F" w:rsidRPr="007C1E0B" w:rsidTr="00803CA9">
        <w:trPr>
          <w:trHeight w:val="504"/>
        </w:trPr>
        <w:tc>
          <w:tcPr>
            <w:tcW w:w="9178" w:type="dxa"/>
            <w:gridSpan w:val="8"/>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10 ml of lantan klorür çözeltisi (3.11) eklenir ve suyla 100 ml’ye tamamlanır</w:t>
            </w:r>
          </w:p>
        </w:tc>
      </w:tr>
    </w:tbl>
    <w:p w:rsidR="00CA6F6F" w:rsidRPr="007C1E0B" w:rsidRDefault="00CA6F6F" w:rsidP="001B722B">
      <w:pPr>
        <w:jc w:val="both"/>
        <w:rPr>
          <w:rFonts w:ascii="Times New Roman" w:hAnsi="Times New Roman" w:cs="Times New Roman"/>
          <w:b/>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için çözeltinin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Bakır tayini için madde 5.1.1’den hazırlanan çözelti normalde doğrudan kullanılabilir. Konsantrasyonunu kalibrasyon çözeltilerinin sınırına çekmek gerekiyorsa, belli bir miktarı 100 ml’lik bir balon jojeye pipetle alınır ve 0,5 mol/litre hidroklorik asit (3.3) ile işarete kadar tamamlanabilir.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Demir, mangan ve çinko tayini için madde 5.1.1’den hazırlanan çözeltiden belli bir miktar 100 ml’lik balon jojeye pipetle alınır, 10 ml lantan klorür çözeltisi (3.11) eklenir ve 0,5 mol/litre hidroklorik asit (3.3) ile işaretine kadar tamamlanır (ayrıca bkz. madde 8 ‘Gözlem’).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deney</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deney metodun belirtilen tüm adımlarını içermeli, ancak numune materyali göz ardı edilmelidir. Kalibrasyon çözeltisi ‘0’, kör olarak kullanılmamalıdır.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Atomik absorpsiyon ölçümü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çözeltilerinin ve analiz edilecek çözeltinin atomik absorpsiyonu, oksitlendirici bir hava-asetilen alevi kullanarak aşağıdaki dalga boylarında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Fe: 248,3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Cu: 324,8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Mn: 279,5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Zn: 213,8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ölçüm dört kez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Mineral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organik madde içermiyorsa, önceden yakmak gerekli değildir. Madde 5.1.1.1’de belirtilen şekilde ve ikinci paragraftan başlatılarak devam edilir. Hidroflorik asidin buharlaştırılması göz ardı edilebilir.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kalibrasyon eğrisi kullanarak, analiz edilecek çözeltideki iz element konsantrasyonunu hesaplanır ve sonuçlar bir kg numunede bulunan iz element miktarı, mg şeklinde (ppm) ifade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8B71AB"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 xml:space="preserve">Tekrar </w:t>
      </w:r>
      <w:r w:rsidR="00A601A0" w:rsidRPr="007C1E0B">
        <w:rPr>
          <w:rFonts w:ascii="Times New Roman" w:hAnsi="Times New Roman" w:cs="Times New Roman"/>
          <w:sz w:val="20"/>
          <w:szCs w:val="20"/>
        </w:rPr>
        <w:t>E</w:t>
      </w:r>
      <w:r w:rsidR="004B29C1" w:rsidRPr="007C1E0B">
        <w:rPr>
          <w:rFonts w:ascii="Times New Roman" w:hAnsi="Times New Roman" w:cs="Times New Roman"/>
          <w:sz w:val="20"/>
          <w:szCs w:val="20"/>
        </w:rPr>
        <w:t>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aynı analist ile gerçekleştirilen iki paralel tayininin sonuçları arasındaki fark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en fazla 50 mg/kg’a kadar iz element içeriği için mutlak değer olarak 5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50 ila 100 mg/kg’a kadar iz element içeriği için daha yüksek sonucun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10’u,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100 ila 200 mg/kg’a kadar iz element içeriği için mutlak değer olarak 10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200 mg/kg’dan fazla iz element içeriği için daha yüksek sonucun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5’i,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Çok miktarda fosfat varlığı demir, mangan ve çinko tayinini etkileyebilir. Bu etkileşim lantanyum klorür çözeltisi (3.11) eklenerek düzeltilmelidir. Ancak numunedeki ağırlık oranı Ca + Mg/P = &gt; 2 ise, analiz çözeltisine ve kalibrasyon çözeltilerine lantanyum klorür çözeltisi (3.11) eklenmesi göz ardı edilebilir.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Ç. </w:t>
      </w:r>
      <w:r w:rsidR="008B71A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HALOFUGİNON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DL-trans-7-bromo-6-kloro-3- [3-(3-hidroksi-2-piperidil)asetonil]-kuinazolin-4-(3H)-bir hidrobromür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Metot, yemdeki halofuginon seviyesinin tayinini mümkün kılar. Miktar tayinlerinin sınırı 1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Sıcak su ile işleme tabi tuttuktan sonra, halofuginon serbest baz olarak etil asetata ekstrakte edilir ve ardından hidroklorür olarak sulu asit çözeltisine ayrıştırılır. Ekstrakt iyon değişim kromatografisi ile saflaştırılır. Halofuginon içeriği,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ters fazlı yüksek performans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Asetonitril,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Amberlit XAD-2 reçinesi.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Amonyum asetat.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Etil asetat.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Asetik asit, Glasiyal.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Halofuginon standart maddesi DL-trans-7-bromo-6-kloro-3- [3-(3-hidroksi-2-piperidil)asetonil]- (quinazoline) -4-(3H)-bir hidrobromür, E 764).</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Halofuginon stok standart çözeltisi, 100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mg halofuginon (3.6) 0,1 mg hassasiyetle 500 ml’lik balon jojeye tartılır, amonyum asetat tampon çözeltisinde (3.18) çözündürülür, tampon çözeltiyle işarete kadar tamamlanır ve karıştırılır. Bu çözelti, karanlıkta 5°C’de saklanırsa üç hafta boyunca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dizi 100 ml’lik balon jojeye 1,0, 2,0, 3,0, 4,0 ve 6,0 ml stok standart çözelti (3.6.1) aktarılır. Mobil faz (3.21) ile işarete kadar tamamlanır ve karıştırılır. Bu çözeltiler sırasıyla 1,0, 2,0, 3,0, 4,0 ve 6,0 μg/ml halofuginon konsantrasyonlarına sahiptir. Bu çözeltiler kullanmadan önce taze olarak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(ρ20 yaklaşık 1,16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Gümüş nitrat.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askorbat.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karbonat.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3.12.</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Sodyum klorür.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3.13.</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EDTA (etilenediamintetraasetik asit, disodyum tuzu).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3.14.</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Su,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3.15.</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karbonat çözeltisi, c = 10 g/100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klorürce doymuş sodyum karbonat çözeltisi, c = 5 g/100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g sodyum karbonat (3.11) suda çözündürülür, 1 litreye seyreltilir ve çözelti doymuş hale gelene kadar sodyum klorür (3.12) eklenir.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yaklaşık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ml HCI (3.7) suyla 1 litreye seyreltilir.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Amonyum asetat tampon çözeltisi, yaklaşık 0,25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19,3 g amonyum asetat (3.3) ve 30 ml asetik asid (3.5) suda çözündürülür (3.14) ve 1 litreye seyreltilir.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3.19.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Amberlit XAD-2 reçinesi hazırlama.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Uygun miktarda Amberliti (3.2) tüm klorür iyonları giderilene kadar suyla yıkanır; bu, atılmış sulu faz üstünde gerçekleştirilen bir gümüş nitrat (3.20) testi ile belirlenebilir. Ardından reçine 50 ml metanol (3.8) ile yıkanır, metanolü atılır ve reçine taze metanol altında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3.20.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Gümüş nitrat çözeltisi, yaklaşık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0,17 g gümüş nitratı (3.9) 10 ml suda çözündürülür.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Mobil faz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500 ml asetonitril (3.1) 300 ml amonyum asetat tampon çözeltisi (3.18) ve 1200 ml su (3.14) ile karıştırılır. Asetik asit (3.5) kullanarak pH’ı 4,3’e ayarlanır. 0,22 μm filtreden (4.8) süzülür ve çözelti gazdan arındırılır (örn. 10 dakika ultrason ses dalgaları uygulayarak). Bu çözelti, kapalı bir kapta ve karanlıkta saklanırsa bir ay boyunca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Ultrasonik banyo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Döner buharlaştırıcı (Rotary evaporator)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Santrifüj</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HPLC cihazı, değişken dalga boyu mor ötesi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lü (UV Dedektör) ya da Diode Array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300 mm ×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10 μm dolgu ya da eşdeğeri bir kolon.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Sinterlenmiş bir cam filtre ve bir musluk takılmış cam kolon (300 mm x 10 mm)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Fiberglas filtreler, 150 mm çapında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filtreler,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4.8.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filtreler, 0,22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F876AA"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Halofuginon serbest baz olduğundan, alkali ya da etil asetat çözeltilerinde stabil değildir. Etil asetat içinde en fazla 30 dakika kalır.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Halofuginon ya da etkileyen maddelerin olmadığını kontrol etmek için bir kör yem testi yapılmalıdır.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Numunedeki varlığına yakın miktarda halofuginon eklenerek zenginleştirilen kör yem analiz edilerek bir geri kazanım testi yürütülmelidir. 3 mg/kg düzeyine ulaştırmak için 300 μl stok standart çözelti (3.6.1) 10 g kör yeme eklenir, karıştırılır ve ekstraksiyon basamağından (5.2) önce 10 dakika bekletilir.</w:t>
      </w:r>
    </w:p>
    <w:p w:rsidR="002A04C1" w:rsidRPr="007C1E0B" w:rsidRDefault="0010284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Bu metodun amacı doğrultusunda, kör yem, numunedekine benzer olmalı ve analizde halofuginon tespit edilmemelidir.</w:t>
      </w:r>
      <w:r w:rsidR="008F593F"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g hazırlanmış numune 0,1 mg hassasiyetle 200 ml’lik santrifüj tüpüne tartılır, 0,5 g sodyum askorbat (3.10), 0,5 g EDTA (3.13) ve 20 ml su eklenip karıştırılır. Tüp 5 dakika süreyle bir su banyosuna (80°C) konulur. Oda sıcaklığına soğuttuktan sonra 20 ml soydum karbonat çözeltisi (3.15) eklenir ve karıştırılır. Hemen 100 ml etil asetat (3.4) eklenir ve elle 15 saniye boyunca şiddetle çalkalanır. Ardından tüp üç dakika ultrasonik banyoya (4.1) konulur ve tapası gevşetilir. İki dakika santrifüje tabi tutulur ve etil asetat fazı boşaltılır fiberglas bir filtreden (4.6) 500 ml’lik ayırma hunisine boşaltılır. Numunenin ekstraksiyonu 100 ml’lik ikinci bir etil asetat ile yinelenir. Birleştirilen ekstraktlar bir dakika boyunca 50 ml sodyum karbonat bakımından doymuş sodyum klorür çözeltisiyle (3.16) yıkanır ve sulu katman atılır.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Organik katman 1 dakika boyunca 50 ml hidroklorik asitle (3.17) ekstrakte edilir. Alttaki asit katmanı 250 ml’lik ayırma hunisine akıtılır. Organik katman 1,5 dakika boyunca 50 ml’lik ilave hidroklorik asit ile yeniden ekstrakte edilir ve ilk ekstrakt ile birleştirilir. Birleştirilmiş asit ekstraktları yaklaşık 10 saniye 10 ml etil asetatla (3.4) karıştırılarak yıkanır.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Sulu katman nicel olarak 250 ml’lik yuvarlak tabanlı cam balona aktarılır ve organik faz atılır. Kalan tüm etil asetat, bir döner buharlaştırıcı (rotary evaporator) (4.2) kullanılarak asit çözeltisinden buharlaştırılır. Su banyosunun sıcaklığı en fazla 40°C olmalıdır. Tüm etil asetat kalıntısı, yaklaşık 25 mbar’lık bir vakum altında, 38°C’de 5 dakika içinde ayrılır.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Temizleme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Amberlit Kolonunun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numune ekstraktı için bir XAD-2 kolunu hazırlanır. 10 g hazırlanmış amberliti (3.19), metanol (3.8) ile cam kolona (4.5) aktarılır. Reçine yatağının üstüne cam yününden küçük bir tıpa eklenir. Metanol kolondan tahliye edilir ve reçine 100 ml suyla yıkanır, sıvı reçine yatağının üstüne ulaştığında akışı durdurulur. Kullanmadan önce kolonun dengeye ulaşması için 10 dakika beklenilir. Kesinlikle kolonun kurumasına izin verilmemelidir.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Temizleme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Ekstrakt (5.2), nicel olarak, hazırlanmış Amberlit kolonunun (5.3.1) üstüne aktarılır ve elüe edilir, elüatı atılır. Elüasyon hızı en fazla 20 ml/dakika olmalıdır. Yuvarlak tabanlı balon joje 20 ml hidroklorik asitle (3.17) yıkanır ve bu reçine kolonunu yıkamak için kullanılır. Kalan asit çözeltisi hava üfleyerek giderilir. Yıkama suları atılır. 100 ml metanol (3.8) kolona eklenir ve 5 ila 10 ml’sinin elüe olmasına izin verilir, elüatı 250 ml’lik yuvarlak tabanlı bir balona alınır. Kalan metanolün reçine ile dengelenmesi için 10 dakika beklenir ve elüasyon işlemine en fazla 20 ml/dakika hızda devam edilir, elüatı aynı yuvarlak tabanlı cam balona alınır. Metanol döner buharlaştırıcıda (rotary evaporator) (4.2) buharlaştırılır, su banyosunun sıcaklığı en fazla 40°C olmalıdır. Kalıntı, mobil faz (3.21) kullanarak ve nicel olarak 10 ml’lik kalibre edilmiş balon jojeye aktarılır. Mobil faz ile işarete kadar tamamlanır ve karıştırılır. Sulu kısım bir membran filtreden (4.7) süzülür. Bu çözelti HPLC tayini (5.4) için saklanır.</w:t>
      </w: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5.4.1.</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Sıvı kromatografik kolon (4.4.1)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Mobil faz (3.21)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Akış hızı: 1,5 - 2 ml/dak.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Dalga boyu: 243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Enjeksiyon hacmi: 40 ila 100 μl.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3,0 μg/ml içeren kalibrasyon çözeltisi (3.6.2), tutarlı pik yükseklikleri (alanlar) ve alıkonma süreleri elde edilene kadar birkaç kez enjekte edilerek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5.4.2.</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Kalibrasyon grafiği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(3.6.2) birkaç kez enjekte edilir ve her bir konsantrasyonun pik yükseklikleri (alanları) ölçülür.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çözeltilerinin apsisteki μg/ml cinsinden konsantrasyonlarına ordinatlarda denk gelen ortalama pik yükseklikleri ya da alanları kullanılarak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 aynı hacmi kullanarak numune ekstraktı (5.3.2) birkaç kez enjekte edilir ve halofuginon piklerinin ortalama pik yüksekliği (alan)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çözeltisinin konsantrasyonunu, kalibrasyon grafiğini (5.4.2) referans alarak numune çözeltisinin halofuginon piklerinin ortalama yüksekliğinden (alan) ve μg/ml cinsinden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mg/kg cinsinden halofuginon içeriği “w” aşağıdaki formülle elde edilir:</w:t>
      </w:r>
    </w:p>
    <w:p w:rsidR="008F593F" w:rsidRPr="007C1E0B" w:rsidRDefault="008F593F" w:rsidP="001B722B">
      <w:pPr>
        <w:jc w:val="both"/>
        <w:rPr>
          <w:rFonts w:ascii="Times New Roman" w:hAnsi="Times New Roman" w:cs="Times New Roman"/>
          <w:sz w:val="24"/>
          <w:szCs w:val="24"/>
        </w:rPr>
      </w:pPr>
      <w:r w:rsidRPr="007C1E0B">
        <w:rPr>
          <w:rFonts w:ascii="Times New Roman" w:hAnsi="Times New Roman" w:cs="Times New Roman"/>
          <w:sz w:val="20"/>
          <w:szCs w:val="20"/>
        </w:rPr>
        <w:t xml:space="preserve"> </w:t>
      </w:r>
      <m:oMath>
        <m:r>
          <w:rPr>
            <w:rFonts w:ascii="Cambria Math" w:hAnsi="Cambria Math" w:cs="Times New Roman"/>
            <w:sz w:val="24"/>
            <w:szCs w:val="24"/>
          </w:rPr>
          <m:t>w=</m:t>
        </m:r>
        <m:f>
          <m:fPr>
            <m:ctrlPr>
              <w:rPr>
                <w:rFonts w:ascii="Cambria Math" w:hAnsi="Cambria Math" w:cs="Times New Roman"/>
                <w:sz w:val="24"/>
                <w:szCs w:val="24"/>
              </w:rPr>
            </m:ctrlPr>
          </m:fPr>
          <m:num>
            <m:r>
              <w:rPr>
                <w:rFonts w:ascii="Cambria Math" w:hAnsi="Cambria Math" w:cs="Times New Roman"/>
                <w:sz w:val="24"/>
                <w:szCs w:val="24"/>
              </w:rPr>
              <m:t>c x 10</m:t>
            </m:r>
          </m:num>
          <m:den>
            <m:r>
              <w:rPr>
                <w:rFonts w:ascii="Cambria Math" w:hAnsi="Cambria Math" w:cs="Times New Roman"/>
                <w:sz w:val="24"/>
                <w:szCs w:val="24"/>
              </w:rPr>
              <m:t>m</m:t>
            </m:r>
          </m:den>
        </m:f>
      </m:oMath>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çözeltisinin μg/ml cinsinden halofuginon konsantrasyonu,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Test </w:t>
      </w:r>
      <w:r w:rsidR="00EC3739" w:rsidRPr="007C1E0B">
        <w:rPr>
          <w:rFonts w:ascii="Times New Roman" w:hAnsi="Times New Roman" w:cs="Times New Roman"/>
          <w:sz w:val="20"/>
          <w:szCs w:val="20"/>
        </w:rPr>
        <w:t xml:space="preserve">numunesinin </w:t>
      </w:r>
      <w:r w:rsidRPr="007C1E0B">
        <w:rPr>
          <w:rFonts w:ascii="Times New Roman" w:hAnsi="Times New Roman" w:cs="Times New Roman"/>
          <w:sz w:val="20"/>
          <w:szCs w:val="20"/>
        </w:rPr>
        <w:t>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 Sonuçların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Tanım</w:t>
      </w:r>
      <w:r w:rsidR="006B77F9" w:rsidRPr="007C1E0B">
        <w:rPr>
          <w:rFonts w:ascii="Times New Roman" w:hAnsi="Times New Roman" w:cs="Times New Roman"/>
          <w:sz w:val="20"/>
          <w:szCs w:val="20"/>
        </w:rPr>
        <w:t>l</w:t>
      </w:r>
      <w:r w:rsidRPr="007C1E0B">
        <w:rPr>
          <w:rFonts w:ascii="Times New Roman" w:hAnsi="Times New Roman" w:cs="Times New Roman"/>
          <w:sz w:val="20"/>
          <w:szCs w:val="20"/>
        </w:rPr>
        <w:t>a</w:t>
      </w:r>
      <w:r w:rsidR="006B77F9" w:rsidRPr="007C1E0B">
        <w:rPr>
          <w:rFonts w:ascii="Times New Roman" w:hAnsi="Times New Roman" w:cs="Times New Roman"/>
          <w:sz w:val="20"/>
          <w:szCs w:val="20"/>
        </w:rPr>
        <w: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Analitin tanıması ortak kromatografi ile ya da numune ekstraktının ve 6,0 μg/ml içeren kalibrasyon çözeltisinin (3.6.2) spektrumlarının karşılaştırılacağı bir Diode Array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onaylanabilir.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7.1.1.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kromatografi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numune ekstraktı, uygun miktarda kalibrasyon çözeltisi (3.6.2) eklenerek zenginleştirilir. Eklenen halofuginon miktarı numune ekstraktında bulunan tahmini halofuginon miktarına benzer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Hem eklenen miktar hem de ekstraktın seyreltilmesi hesaba katılarak yalnızca halofuginon pikinin yüksekliği geliştirilmelidir. Maksimum yüksekliğinin yarısı boyutundaki pik genişliği orijinal genişliğin ±</w:t>
      </w:r>
      <w:r w:rsidR="00BE2B32"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10 aralığında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7.1.2.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Diode Array ile Tanımlama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numunenin ve standart spektrumlarının, kromatogramın pik apeksinde kaydedilen maksimum absorpsiyon dalga boyu, tespit sisteminin çözüleme gücüyle tayin edilen bir marj aralığında aynı olmalıdır. Diode Array tespit için bu tipik olarak ± 2 nm’dir;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225 ile 300 nm arasında, kromatogramın pik apeksinde kaydedilen numune ve standart spektrumlar, spektrumun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290A8C"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farklı olmamalıdır. Bu kriter aynı maksimum piki olduğunda ve gözlenen noktaların hiçbirinde iki spektrum arasındaki sapma, standart analizin absorbansının %</w:t>
      </w:r>
      <w:r w:rsidR="00E62986"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225 ile 300 nm arasında, aynı ekstrakt tarafından üretilen pikin yukarı eğim, apeks ve aşağı eğim spektrumları, spektrumun %</w:t>
      </w:r>
      <w:r w:rsidR="00E62986"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E62986"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birbirinden farklı olmamalıdır. Bu kriter, aynı maksimum piki olduğunda ve gözlenen tüm noktalarda spektrumlar arasındaki sapma, apeks spektrumunun absorbansının %</w:t>
      </w:r>
      <w:r w:rsidR="00E62986"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8B71AB"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halofuginon içeriği için 3 mg/kg’a kadar 0,5 mg/kg’ı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8B71AB"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Zenginleştirilmiş kör numune için geri kazanım en az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80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Üç numunenin 8 laboratuvarda analiz edilmesi için bir çalışma düzenlenmiştir.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w:t>
      </w:r>
    </w:p>
    <w:tbl>
      <w:tblPr>
        <w:tblW w:w="9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0"/>
        <w:gridCol w:w="1795"/>
        <w:gridCol w:w="1214"/>
        <w:gridCol w:w="1214"/>
        <w:gridCol w:w="1214"/>
        <w:gridCol w:w="2188"/>
      </w:tblGrid>
      <w:tr w:rsidR="007C1E0B" w:rsidRPr="007C1E0B" w:rsidTr="00803CA9">
        <w:trPr>
          <w:trHeight w:val="547"/>
        </w:trPr>
        <w:tc>
          <w:tcPr>
            <w:tcW w:w="1540" w:type="dxa"/>
            <w:tcBorders>
              <w:top w:val="single" w:sz="4" w:space="0" w:color="auto"/>
              <w:left w:val="single" w:sz="4" w:space="0" w:color="auto"/>
              <w:bottom w:val="single" w:sz="4" w:space="0" w:color="auto"/>
              <w:right w:val="single" w:sz="4" w:space="0" w:color="auto"/>
            </w:tcBorders>
          </w:tcPr>
          <w:p w:rsidR="00CA6F6F" w:rsidRPr="007C1E0B" w:rsidRDefault="00CA6F6F" w:rsidP="001B722B">
            <w:pPr>
              <w:jc w:val="both"/>
              <w:rPr>
                <w:rFonts w:ascii="Times New Roman" w:hAnsi="Times New Roman" w:cs="Times New Roman"/>
                <w:sz w:val="20"/>
                <w:szCs w:val="20"/>
              </w:rPr>
            </w:pPr>
          </w:p>
        </w:tc>
        <w:tc>
          <w:tcPr>
            <w:tcW w:w="1795"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A (kör): </w:t>
            </w:r>
          </w:p>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Alındığında</w:t>
            </w:r>
          </w:p>
        </w:tc>
        <w:tc>
          <w:tcPr>
            <w:tcW w:w="2428" w:type="dxa"/>
            <w:gridSpan w:val="2"/>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Numune B (Öğutülmüş halde   İnce yem):</w:t>
            </w:r>
          </w:p>
        </w:tc>
        <w:tc>
          <w:tcPr>
            <w:tcW w:w="3402" w:type="dxa"/>
            <w:gridSpan w:val="2"/>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Numune C (Pelet halde yem):</w:t>
            </w:r>
          </w:p>
        </w:tc>
      </w:tr>
      <w:tr w:rsidR="007C1E0B" w:rsidRPr="007C1E0B" w:rsidTr="00803CA9">
        <w:trPr>
          <w:trHeight w:val="376"/>
        </w:trPr>
        <w:tc>
          <w:tcPr>
            <w:tcW w:w="1540" w:type="dxa"/>
            <w:tcBorders>
              <w:top w:val="single" w:sz="4" w:space="0" w:color="auto"/>
              <w:left w:val="single" w:sz="4" w:space="0" w:color="auto"/>
              <w:bottom w:val="single" w:sz="4" w:space="0" w:color="auto"/>
              <w:right w:val="single" w:sz="4" w:space="0" w:color="auto"/>
            </w:tcBorders>
          </w:tcPr>
          <w:p w:rsidR="00CA6F6F" w:rsidRPr="007C1E0B" w:rsidRDefault="00CA6F6F" w:rsidP="001B722B">
            <w:pPr>
              <w:jc w:val="both"/>
              <w:rPr>
                <w:rFonts w:ascii="Times New Roman" w:hAnsi="Times New Roman" w:cs="Times New Roman"/>
                <w:sz w:val="20"/>
                <w:szCs w:val="20"/>
              </w:rPr>
            </w:pPr>
          </w:p>
        </w:tc>
        <w:tc>
          <w:tcPr>
            <w:tcW w:w="1795" w:type="dxa"/>
            <w:tcBorders>
              <w:top w:val="single" w:sz="4" w:space="0" w:color="auto"/>
              <w:left w:val="single" w:sz="4" w:space="0" w:color="auto"/>
              <w:bottom w:val="single" w:sz="4" w:space="0" w:color="auto"/>
              <w:right w:val="single" w:sz="4" w:space="0" w:color="auto"/>
            </w:tcBorders>
          </w:tcPr>
          <w:p w:rsidR="00CA6F6F" w:rsidRPr="007C1E0B" w:rsidRDefault="00CA6F6F" w:rsidP="001B722B">
            <w:pPr>
              <w:jc w:val="both"/>
              <w:rPr>
                <w:rFonts w:ascii="Times New Roman" w:hAnsi="Times New Roman" w:cs="Times New Roman"/>
                <w:sz w:val="20"/>
                <w:szCs w:val="20"/>
              </w:rPr>
            </w:pP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Alındığında</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İki ay sonra</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Alındığında</w:t>
            </w:r>
          </w:p>
        </w:tc>
        <w:tc>
          <w:tcPr>
            <w:tcW w:w="2188"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İki ay sonra</w:t>
            </w:r>
          </w:p>
        </w:tc>
      </w:tr>
      <w:tr w:rsidR="007C1E0B" w:rsidRPr="007C1E0B" w:rsidTr="00803CA9">
        <w:trPr>
          <w:trHeight w:val="271"/>
        </w:trPr>
        <w:tc>
          <w:tcPr>
            <w:tcW w:w="1540"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795"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ND</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2,80</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2,42</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2,89</w:t>
            </w:r>
          </w:p>
        </w:tc>
        <w:tc>
          <w:tcPr>
            <w:tcW w:w="2188"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2,45</w:t>
            </w:r>
          </w:p>
        </w:tc>
      </w:tr>
      <w:tr w:rsidR="007C1E0B" w:rsidRPr="007C1E0B" w:rsidTr="00803CA9">
        <w:trPr>
          <w:trHeight w:val="275"/>
        </w:trPr>
        <w:tc>
          <w:tcPr>
            <w:tcW w:w="1540"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795"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0,45</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0,43</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0,40</w:t>
            </w:r>
          </w:p>
        </w:tc>
        <w:tc>
          <w:tcPr>
            <w:tcW w:w="2188"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0,42</w:t>
            </w:r>
          </w:p>
        </w:tc>
      </w:tr>
      <w:tr w:rsidR="007C1E0B" w:rsidRPr="007C1E0B" w:rsidTr="00803CA9">
        <w:trPr>
          <w:trHeight w:val="175"/>
        </w:trPr>
        <w:tc>
          <w:tcPr>
            <w:tcW w:w="1540"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795"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16</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18</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2188"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17</w:t>
            </w:r>
          </w:p>
        </w:tc>
      </w:tr>
      <w:tr w:rsidR="00CA6F6F" w:rsidRPr="007C1E0B" w:rsidTr="00803CA9">
        <w:trPr>
          <w:trHeight w:val="175"/>
        </w:trPr>
        <w:tc>
          <w:tcPr>
            <w:tcW w:w="1540"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Rec. [%] </w:t>
            </w:r>
          </w:p>
        </w:tc>
        <w:tc>
          <w:tcPr>
            <w:tcW w:w="1795" w:type="dxa"/>
            <w:tcBorders>
              <w:top w:val="single" w:sz="4" w:space="0" w:color="auto"/>
              <w:left w:val="single" w:sz="4" w:space="0" w:color="auto"/>
              <w:bottom w:val="single" w:sz="4" w:space="0" w:color="auto"/>
              <w:right w:val="single" w:sz="4" w:space="0" w:color="auto"/>
            </w:tcBorders>
          </w:tcPr>
          <w:p w:rsidR="00CA6F6F" w:rsidRPr="007C1E0B" w:rsidRDefault="00CA6F6F" w:rsidP="001B722B">
            <w:pPr>
              <w:jc w:val="both"/>
              <w:rPr>
                <w:rFonts w:ascii="Times New Roman" w:hAnsi="Times New Roman" w:cs="Times New Roman"/>
                <w:sz w:val="20"/>
                <w:szCs w:val="20"/>
              </w:rPr>
            </w:pP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86</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74</w:t>
            </w:r>
          </w:p>
        </w:tc>
        <w:tc>
          <w:tcPr>
            <w:tcW w:w="1214"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88</w:t>
            </w:r>
          </w:p>
        </w:tc>
        <w:tc>
          <w:tcPr>
            <w:tcW w:w="2188" w:type="dxa"/>
            <w:tcBorders>
              <w:top w:val="single" w:sz="4" w:space="0" w:color="auto"/>
              <w:left w:val="single" w:sz="4" w:space="0" w:color="auto"/>
              <w:bottom w:val="single" w:sz="4" w:space="0" w:color="auto"/>
              <w:right w:val="single" w:sz="4" w:space="0" w:color="auto"/>
            </w:tcBorders>
            <w:hideMark/>
          </w:tcPr>
          <w:p w:rsidR="00CA6F6F" w:rsidRPr="007C1E0B" w:rsidRDefault="00CA6F6F" w:rsidP="001B722B">
            <w:pPr>
              <w:jc w:val="both"/>
              <w:rPr>
                <w:rFonts w:ascii="Times New Roman" w:hAnsi="Times New Roman" w:cs="Times New Roman"/>
                <w:sz w:val="20"/>
                <w:szCs w:val="20"/>
              </w:rPr>
            </w:pPr>
            <w:r w:rsidRPr="007C1E0B">
              <w:rPr>
                <w:rFonts w:ascii="Times New Roman" w:hAnsi="Times New Roman" w:cs="Times New Roman"/>
                <w:sz w:val="20"/>
                <w:szCs w:val="20"/>
              </w:rPr>
              <w:t>75</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ND = Tespit edilmedi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Rec. = Geri kazanım (%)</w:t>
      </w:r>
    </w:p>
    <w:p w:rsidR="00CA6F6F" w:rsidRPr="007C1E0B" w:rsidRDefault="00CA6F6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D. </w:t>
      </w:r>
      <w:r w:rsidR="008119F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ROBENİDİN TAYİNİ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1,3-bis [(4-klorobenziliden)amino]guanidin — hidroklorür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robenidin seviyelerinin tayinini mümkün kılar. Miktar tayinlerinin sınırı 5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asitleştirilmiş metanol ile ekstrakte edilir. Ekstrakt kurutulur ve temsili bir miktarı bir alüminyum oksit kolonunda temizlemeye tabi tutulur. Robenidin, metanol ile kolondan elüe edilir, konsantre edilir ve mobil faz ile uygun hacme tamamlanır. Robenidin içeriği,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ters fazlı yüksek performans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Asitleştirilmiş 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4,0 ml hidroklorik asidi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 1,18 g/ml) 500 ml’lik balon jojeye aktarılır, metanol (3.1) ile işarete kadar tamamlanılır ve karıştırılır. Bu çözelti kullanılmadan önce taze olarak hazırlanılmalıdır.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Asetonitril,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Moleküler </w:t>
      </w:r>
      <w:r w:rsidR="00125CE0" w:rsidRPr="007C1E0B">
        <w:rPr>
          <w:rFonts w:ascii="Times New Roman" w:hAnsi="Times New Roman" w:cs="Times New Roman"/>
          <w:sz w:val="20"/>
          <w:szCs w:val="20"/>
        </w:rPr>
        <w:t>süzgeç</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Tip 3A, 8 ila 12 gözlü </w:t>
      </w:r>
      <w:r w:rsidR="00125CE0" w:rsidRPr="007C1E0B">
        <w:rPr>
          <w:rFonts w:ascii="Times New Roman" w:hAnsi="Times New Roman" w:cs="Times New Roman"/>
          <w:sz w:val="20"/>
          <w:szCs w:val="20"/>
        </w:rPr>
        <w:t>boncuk</w:t>
      </w:r>
      <w:r w:rsidRPr="007C1E0B">
        <w:rPr>
          <w:rFonts w:ascii="Times New Roman" w:hAnsi="Times New Roman" w:cs="Times New Roman"/>
          <w:sz w:val="20"/>
          <w:szCs w:val="20"/>
        </w:rPr>
        <w:t xml:space="preserve"> (1,6-2,5 mm’lik </w:t>
      </w:r>
      <w:r w:rsidR="00125CE0" w:rsidRPr="007C1E0B">
        <w:rPr>
          <w:rFonts w:ascii="Times New Roman" w:hAnsi="Times New Roman" w:cs="Times New Roman"/>
          <w:sz w:val="20"/>
          <w:szCs w:val="20"/>
        </w:rPr>
        <w:t>boncuk</w:t>
      </w:r>
      <w:r w:rsidRPr="007C1E0B">
        <w:rPr>
          <w:rFonts w:ascii="Times New Roman" w:hAnsi="Times New Roman" w:cs="Times New Roman"/>
          <w:sz w:val="20"/>
          <w:szCs w:val="20"/>
        </w:rPr>
        <w:t>, kristalimsi alüminyum silikat, 0,3 mm’lik gözenek çapı).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Kolon kromatografisi için alüminyum oksit asidik etkinlik sınıfı 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100 g alüminyum oksidi uygun bir kaba aktarılır ve 2,0 ml su eklenir. Kapatılır ve yaklaşık 20 dakika çalkalanır. İyi kapatılmış bir kapta saklanılır.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dihidrojen fosfat çözeltisi, c = 0,025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3,40 g potasyum dihidrojen fosfatı 1000 ml’lik balon jojede suda (HPLC kullanım saflığında) çözündürülür, işarete kadar tamamlanır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Disodyum hidrojen fosfat çözeltisi, c = 0,025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3,55 g susuz (ya da 4,45 g dihidrat ya da 8,95 g dodesahidrat) di-sodyum hidrojen fosfatı 1 litrelik balon jojede su (HPLC kullanım saflığında) içinde çözündürülür, işarete kadar tamamlanır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mobil faz.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reaktiflerle birlikte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650 ml asetonitril (3.3),</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250 ml su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ml potasyum di-hidrojen fosfat çözeltisi (3.6),</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ml di-sodyum hidrojen fosfat çözeltisi (3.7).</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0,22 μm filtreden (4,6) süzülür ve çözelti gazdan arındırılır (örn. 10 dakika ultrason ses dalgaları uygulayarak).</w:t>
      </w:r>
    </w:p>
    <w:p w:rsidR="008F593F" w:rsidRPr="007C1E0B" w:rsidRDefault="0089667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8119FB"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Standard madde.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Saf robenidin: 1,3-bis [(4-klorobenziliden)amino]guanidin — hidroklorür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Robenidin stok standart çözeltisi: 300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30 mg robenidin standart maddesi (3.9) 0,1 mg hassasiyetle tartılır. Asitleştirilmiş metanol (3.2) içinde 100 ml’lik balon jojede çözündürülür, aynı çözücüyle işarete kadar tamamlanılır ve karıştırılır. Balon joje alüminyum folyo ile sarılır ve karanlık bir yerde saklanılır.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Robenidin ara standart çözeltisi: 12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10,0 ml stok standart çözeltisi (3.9.1) 250 ml’lik balon jojeye aktarılır, mobil fazla (3.8) işarete kadar tamamlanır ve karıştırılır. Balon joje alüminyum folyo ile sarılır ve karanlık bir yerde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dizi 50 ml’lik kalibre edilmiş balon jojeye 5,0, 10,0, 15,0, 20,0 ve 25,0 ml ara standart çözeltisi (3.6.1) aktarılır. Mobil faz (3.8) ile işarete kadar tamamlanır ve karıştırılır. Bu çözeltiler sırasıyla 1,2, 2,4, 3,6, 4,8 ve 6,0 μg/ml robenidine karşılık gelir. Bu çözeltiler kullanmadan önce taze olarak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3.10.</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Su,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Cam kolon.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Amber camdan üretilmiş, musluk ve yaklaşık 150 ml kapasiteli bir hazne takılmış, iç çapı 10 – 15 mm, uzunluğu 250 mm.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Mekanik çalkalayıcı ya da manyetik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Döner buharlaştırıcı (Rotary evaporator).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HPLC cihazı, değişken dalga boyu mor ötesi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lü (ultraviolet detector) ya da 250 – 400 nm aralığında çalışan Diode Array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4.4.1.</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Sıvı kromatografik kolon: 300 mm x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10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Fiberglas süzgeç kağıdı (Whatman GF/A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filtreler, 0,22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filtreler,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 xml:space="preserve">5.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9667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Robenidin ışığa duyarlıdır. Tüm işlemlerde amber renkli cam malzeme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Robenidin ya da etkileyen maddelerin olmadığını kontrol etmek için bir kör yem analiz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Numunedeki varlığına yakın miktarda robenidin eklenen kör yem (5.1.1) analiz edilerek bir geri kazanım testi yürütülmelidir. 60 mg/kg seviyesine ulaştırmak için 3,0 ml stok standart çözeltisi (3.9.1) 250 ml’lik erlene aktarılır. Çözelti, bir azot akışında yaklaşık 0,5 ml’ye buharlaştırılır. 15 g kör yem eklenir, karıştırılır ve ekstraksiyon aşamasına (5.2) devam etmeden önce 10 dakika bekleyin.</w:t>
      </w:r>
    </w:p>
    <w:p w:rsidR="008F593F" w:rsidRPr="007C1E0B" w:rsidRDefault="00E76B7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Bu metodun amacı doğrultusunda, kör yem numunedekine benzer olmalı ve analizde robenidin tespit edilmemelidir.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Yaklaşık 15 g hazırlanmış numune 0,01 g hassasiyetle tartılır. 250 ml’lik bir konik cam balona aktarılır ve 100,0 ml asitleştirilmiş metanol (3.2) eklenilir, kapatılır ve çalkalayıcı (4.2) ile bir saat çalkalanılır. Çözelti fiberglas süzgeç kağıdından (4.5) süzülür ve süzüntünün tümü 150 ml’lik konik cam balona alınır. 7,5 g moleküler </w:t>
      </w:r>
      <w:r w:rsidR="00125CE0" w:rsidRPr="007C1E0B">
        <w:rPr>
          <w:rFonts w:ascii="Times New Roman" w:hAnsi="Times New Roman" w:cs="Times New Roman"/>
          <w:sz w:val="20"/>
          <w:szCs w:val="20"/>
        </w:rPr>
        <w:t xml:space="preserve">süzgeç </w:t>
      </w:r>
      <w:r w:rsidRPr="007C1E0B">
        <w:rPr>
          <w:rFonts w:ascii="Times New Roman" w:hAnsi="Times New Roman" w:cs="Times New Roman"/>
          <w:sz w:val="20"/>
          <w:szCs w:val="20"/>
        </w:rPr>
        <w:t>(3.4) eklenir, kapatılır ve beş dakika çalkalanılır. Hemen fiberglas süzgeç kağıdından süzülür. Bu çözelti saflaştırma adımı (5.3) için tutulur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Saflaştırma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Alüminyum oksit kolonunun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cam kolonunun (4.1) alt ucuna cam yününden küçük bir tıpa sokulur ve bir cam çubuk kullanılarak sıkıştırılır.11,0 g hazırlanmış alüminyum oksit (3.5) tartılır ve kolona aktarılır. Bu aşamada havayla temasın en az düzeyde olmasına dikkat edinilmelidir. Yüklenen kolona alt ucundan nazikçe vurarak alüminyum oksidin çökmesi sağlanılır.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saflaştırma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Pipetle kolona (5.2) maddesinde hazırlanan 5,0 ml numune ekstraktı aktarılır. Pipetin ucu kolon duvarına yakın tutulur ve çözeltinin alüminyum okside absorbe edilmesi beklenilir. 100 ml metanol (3.1) kullanılarak, 2 - 3 ml/dakikalık bir hızla robenidini kolondan elüe edilir ve elüatı 250 ml’lik yuvarlak tabanlı bir balona alınır. Metanol çözeltisi, azaltılmış basınç altında, 40°C’de, bir döner buharlaştırıcı (rotary evaporator) (4.3) ile kuruyana kadar buharlaştırılır. Kalıntı 3 - 4 ml mobil faz (3.8) içinde yeniden çözündürülür ve nicel olarak 10 ml’lik balon jojeye aktarılır. Balon birkaç kez 1 ila 2 ml’lik mobil faz ile durulanır ve bu durulama suları balon jojeye aktarılır. Aynı çözücü ile işarete kadar tamamlanır ve karıştırılır. Temsili bir miktar, 0,45 μm’lik bir membran filtreden (4.7) süzülür. Bu çözelti HPLC tayini (5.4) için saklanır.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Sıvı kromatografik kolon (4.4.1),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HPLC Mobil faz (3.8),</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Akış hızı: 1,5 - 2 ml/dakika,</w:t>
      </w:r>
    </w:p>
    <w:p w:rsidR="008F593F" w:rsidRPr="007C1E0B" w:rsidRDefault="00A557CA" w:rsidP="001B722B">
      <w:pPr>
        <w:jc w:val="both"/>
        <w:rPr>
          <w:rFonts w:ascii="Times New Roman" w:hAnsi="Times New Roman" w:cs="Times New Roman"/>
          <w:sz w:val="20"/>
          <w:szCs w:val="20"/>
        </w:rPr>
      </w:pPr>
      <w:r w:rsidRPr="007C1E0B">
        <w:rPr>
          <w:rFonts w:ascii="Times New Roman" w:hAnsi="Times New Roman" w:cs="Times New Roman"/>
          <w:sz w:val="20"/>
          <w:szCs w:val="20"/>
        </w:rPr>
        <w:t>Dedektör</w:t>
      </w:r>
      <w:r w:rsidR="008F593F" w:rsidRPr="007C1E0B">
        <w:rPr>
          <w:rFonts w:ascii="Times New Roman" w:hAnsi="Times New Roman" w:cs="Times New Roman"/>
          <w:sz w:val="20"/>
          <w:szCs w:val="20"/>
        </w:rPr>
        <w:t xml:space="preserve"> dalga boyu: 317 nm,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Enjeksiyon hacmi: 20 ila 50 μl.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μg/ml içeren kalibrasyon çözeltisini (3.9.3), tutarlı pik yükseklikleri ve alıkonma süreleri elde edene kadar birkaç kez enjekte ederek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grafiği</w:t>
      </w:r>
    </w:p>
    <w:p w:rsidR="008F593F" w:rsidRPr="007C1E0B" w:rsidRDefault="000A7F92"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Her bir kalibrasyon çözeltisi (3.9.3) birkaç kez enjekte edilir. </w:t>
      </w:r>
      <w:r w:rsidR="008F593F" w:rsidRPr="007C1E0B">
        <w:rPr>
          <w:rFonts w:ascii="Times New Roman" w:hAnsi="Times New Roman" w:cs="Times New Roman"/>
          <w:sz w:val="20"/>
          <w:szCs w:val="20"/>
        </w:rPr>
        <w:t xml:space="preserve"> </w:t>
      </w:r>
      <w:r w:rsidRPr="007C1E0B">
        <w:rPr>
          <w:rFonts w:ascii="Times New Roman" w:hAnsi="Times New Roman" w:cs="Times New Roman"/>
          <w:sz w:val="20"/>
          <w:szCs w:val="20"/>
        </w:rPr>
        <w:t>H</w:t>
      </w:r>
      <w:r w:rsidR="008F593F" w:rsidRPr="007C1E0B">
        <w:rPr>
          <w:rFonts w:ascii="Times New Roman" w:hAnsi="Times New Roman" w:cs="Times New Roman"/>
          <w:sz w:val="20"/>
          <w:szCs w:val="20"/>
        </w:rPr>
        <w:t>er bir kon</w:t>
      </w:r>
      <w:r w:rsidRPr="007C1E0B">
        <w:rPr>
          <w:rFonts w:ascii="Times New Roman" w:hAnsi="Times New Roman" w:cs="Times New Roman"/>
          <w:sz w:val="20"/>
          <w:szCs w:val="20"/>
        </w:rPr>
        <w:t>santrasyonun pik yükseklikleri</w:t>
      </w:r>
      <w:r w:rsidR="008F593F" w:rsidRPr="007C1E0B">
        <w:rPr>
          <w:rFonts w:ascii="Times New Roman" w:hAnsi="Times New Roman" w:cs="Times New Roman"/>
          <w:sz w:val="20"/>
          <w:szCs w:val="20"/>
        </w:rPr>
        <w:t xml:space="preserve"> (alanları) ölçülür.</w:t>
      </w: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Kalibrasyon çözeltilerinin apsisteki μg/ml cinsinden konsantrasyonlarına ordinatlarda denk ge</w:t>
      </w:r>
      <w:r w:rsidRPr="007C1E0B">
        <w:rPr>
          <w:rFonts w:ascii="Times New Roman" w:hAnsi="Times New Roman" w:cs="Times New Roman"/>
          <w:sz w:val="20"/>
          <w:szCs w:val="20"/>
        </w:rPr>
        <w:t>len ortalama pik yükseklikleri ya da alanları</w:t>
      </w:r>
      <w:r w:rsidR="008F593F" w:rsidRPr="007C1E0B">
        <w:rPr>
          <w:rFonts w:ascii="Times New Roman" w:hAnsi="Times New Roman" w:cs="Times New Roman"/>
          <w:sz w:val="20"/>
          <w:szCs w:val="20"/>
        </w:rPr>
        <w:t xml:space="preserve"> kullan</w:t>
      </w:r>
      <w:r w:rsidRPr="007C1E0B">
        <w:rPr>
          <w:rFonts w:ascii="Times New Roman" w:hAnsi="Times New Roman" w:cs="Times New Roman"/>
          <w:sz w:val="20"/>
          <w:szCs w:val="20"/>
        </w:rPr>
        <w:t>ıl</w:t>
      </w:r>
      <w:r w:rsidR="008F593F" w:rsidRPr="007C1E0B">
        <w:rPr>
          <w:rFonts w:ascii="Times New Roman" w:hAnsi="Times New Roman" w:cs="Times New Roman"/>
          <w:sz w:val="20"/>
          <w:szCs w:val="20"/>
        </w:rPr>
        <w:t>arak bi</w:t>
      </w:r>
      <w:r w:rsidR="00D449B7" w:rsidRPr="007C1E0B">
        <w:rPr>
          <w:rFonts w:ascii="Times New Roman" w:hAnsi="Times New Roman" w:cs="Times New Roman"/>
          <w:sz w:val="20"/>
          <w:szCs w:val="20"/>
        </w:rPr>
        <w:t>r kalibrasyon eğrisi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 aynı hacmi kullanarak numune ekstraktı (5.3.2) birkaç kez enjekte edilir ve robenidin piklerinin ortalama pik yüksekliği (alan)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1936EA" w:rsidRPr="007C1E0B">
        <w:rPr>
          <w:rFonts w:ascii="Times New Roman" w:hAnsi="Times New Roman" w:cs="Times New Roman"/>
          <w:sz w:val="20"/>
          <w:szCs w:val="20"/>
        </w:rPr>
        <w:t xml:space="preserve">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grafiğini (5.4.2) referans alarak, aynı çözeltinin robenidin piklerinin ortalama yüksekliğinden (alan), numune çözeltisinin konsantrasyonunu μg/ml cinsinden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robenidin içeriği “w” aşağıdaki formülle elde edilir:</w:t>
      </w:r>
    </w:p>
    <w:p w:rsidR="00D449B7" w:rsidRPr="007C1E0B" w:rsidRDefault="008F593F" w:rsidP="001B722B">
      <w:pPr>
        <w:jc w:val="both"/>
        <w:rPr>
          <w:rFonts w:ascii="Times New Roman" w:hAnsi="Times New Roman" w:cs="Times New Roman"/>
          <w:sz w:val="24"/>
          <w:szCs w:val="24"/>
        </w:rPr>
      </w:pPr>
      <w:r w:rsidRPr="007C1E0B">
        <w:rPr>
          <w:rFonts w:ascii="Times New Roman" w:hAnsi="Times New Roman" w:cs="Times New Roman"/>
          <w:sz w:val="20"/>
          <w:szCs w:val="20"/>
        </w:rPr>
        <w:t xml:space="preserve"> </w:t>
      </w:r>
      <m:oMath>
        <m:r>
          <w:rPr>
            <w:rFonts w:ascii="Cambria Math" w:hAnsi="Cambria Math" w:cs="Times New Roman"/>
            <w:sz w:val="24"/>
            <w:szCs w:val="24"/>
          </w:rPr>
          <m:t>w=</m:t>
        </m:r>
        <m:f>
          <m:fPr>
            <m:ctrlPr>
              <w:rPr>
                <w:rFonts w:ascii="Cambria Math" w:hAnsi="Cambria Math" w:cs="Times New Roman"/>
                <w:sz w:val="24"/>
                <w:szCs w:val="24"/>
              </w:rPr>
            </m:ctrlPr>
          </m:fPr>
          <m:num>
            <m:r>
              <w:rPr>
                <w:rFonts w:ascii="Cambria Math" w:hAnsi="Cambria Math" w:cs="Times New Roman"/>
                <w:sz w:val="24"/>
                <w:szCs w:val="24"/>
              </w:rPr>
              <m:t>c x 10</m:t>
            </m:r>
          </m:num>
          <m:den>
            <m:r>
              <w:rPr>
                <w:rFonts w:ascii="Cambria Math" w:hAnsi="Cambria Math" w:cs="Times New Roman"/>
                <w:sz w:val="24"/>
                <w:szCs w:val="24"/>
              </w:rPr>
              <m:t>m</m:t>
            </m:r>
          </m:den>
        </m:f>
      </m:oMath>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çözeltisinin μg/ml cinsinden robenidin konsantrasyonu,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Test </w:t>
      </w:r>
      <w:r w:rsidR="00EC3739" w:rsidRPr="007C1E0B">
        <w:rPr>
          <w:rFonts w:ascii="Times New Roman" w:hAnsi="Times New Roman" w:cs="Times New Roman"/>
          <w:sz w:val="20"/>
          <w:szCs w:val="20"/>
        </w:rPr>
        <w:t xml:space="preserve">numunesinin </w:t>
      </w:r>
      <w:r w:rsidRPr="007C1E0B">
        <w:rPr>
          <w:rFonts w:ascii="Times New Roman" w:hAnsi="Times New Roman" w:cs="Times New Roman"/>
          <w:sz w:val="20"/>
          <w:szCs w:val="20"/>
        </w:rPr>
        <w:t xml:space="preserve"> gram cinsinden ağırlığı.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1936EA" w:rsidRPr="007C1E0B">
        <w:rPr>
          <w:rFonts w:ascii="Times New Roman" w:hAnsi="Times New Roman" w:cs="Times New Roman"/>
          <w:sz w:val="20"/>
          <w:szCs w:val="20"/>
        </w:rPr>
        <w:t xml:space="preserve">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Tanım</w:t>
      </w:r>
      <w:r w:rsidR="006B77F9" w:rsidRPr="007C1E0B">
        <w:rPr>
          <w:rFonts w:ascii="Times New Roman" w:hAnsi="Times New Roman" w:cs="Times New Roman"/>
          <w:sz w:val="20"/>
          <w:szCs w:val="20"/>
        </w:rPr>
        <w:t>l</w:t>
      </w:r>
      <w:r w:rsidRPr="007C1E0B">
        <w:rPr>
          <w:rFonts w:ascii="Times New Roman" w:hAnsi="Times New Roman" w:cs="Times New Roman"/>
          <w:sz w:val="20"/>
          <w:szCs w:val="20"/>
        </w:rPr>
        <w:t>a</w:t>
      </w:r>
      <w:r w:rsidR="006B77F9" w:rsidRPr="007C1E0B">
        <w:rPr>
          <w:rFonts w:ascii="Times New Roman" w:hAnsi="Times New Roman" w:cs="Times New Roman"/>
          <w:sz w:val="20"/>
          <w:szCs w:val="20"/>
        </w:rPr>
        <w: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Analitin tanıması ortak kromatografi ile ya da numune ekstraktının ve 6 μg/ml içeren kalibrasyon çözeltisinin (3.9.3) spektrumlarının karşılaştırılacağı bir Diode Array dedektörü kullanılarak onaylanabilir.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7.1.1.</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kromatografi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numune ekstraktı, uygun miktarda kalibrasyon çözeltisi (3.9.3) eklenerek güçlendirilir. Eklenen robenidin miktarı numune ekstraktında bulunan tahmini robenidin miktarına benzer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Hem eklenen miktar hem de ekstraktın seyreltilmesi hesaba katılarak yalnızca robenidin pikinin yüksekliği geliştirilmelidir. Maksimum yüksekliğinin yarısı boyutundaki pik genişliği orijinal genişliğin yaklaşık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10’u aralığında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7.1.2. </w:t>
      </w:r>
      <w:r w:rsidR="001936EA" w:rsidRPr="007C1E0B">
        <w:rPr>
          <w:rFonts w:ascii="Times New Roman" w:hAnsi="Times New Roman" w:cs="Times New Roman"/>
          <w:sz w:val="20"/>
          <w:szCs w:val="20"/>
        </w:rPr>
        <w:t xml:space="preserve">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Diode Array Tanımlama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numunenin ve standart spektrumlarının, kromatogramın pik apeksinde kaydedilen maksimum absorpsiyon dalga boyu, tespit sisteminin çözüleme gücüyle tayin edilen bir marj aralığında aynı olmalıdır. Diode Array ile tespit için bu tipik olarak yaklaşık 2 nm’dir;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250 ile 400 nm arasında, kromatogramın pik apeksinde kaydedilen numune ve standart spektrumlar, spektrumun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farklı olmamalıdır. Bu kriter aynı maksimum piki olduğunda ve gözlenen noktaların hiçbirinde iki spektrum arasındaki sapma, standart analizin absorbansının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250 ile 400 nm arasında, aynı ekstrakt tarafından üretilen pikin yukarı eğim, apeks ve aşağı eğim spektrumları, spektrumun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birbirinden farklı olmamalıdır. Bu kriter, aynı maksimum piki olduğunda ve gözlenen tüm noktalarda spektrumlar arasındaki sapma, apeks spektrumunun absorbansının %</w:t>
      </w:r>
      <w:r w:rsidR="001936EA"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473FC5" w:rsidRPr="007C1E0B" w:rsidRDefault="00473FC5"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8119FB"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numunede gerçekleştirilen iki paralel tayininin sonuçları arasındaki fark, 15 mg/kg’den yüksek robenidin içeriği için daha yüksek sonucun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10’unu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Güçlendirilmiş bir kör numune için geri kazanım en az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85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EC ortak çalışması düzenlenmiş, bu çalışmada 12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toz Öğütülmüş ya da pelet formunda dört kanatlı ve tavşan yemi numunesi analiz edilmiştir. Her numunede analizler paralel olarak gerçekleştirilmiştir. Sonuçlar aşağıdaki tabloda verilmiştir:</w:t>
      </w:r>
    </w:p>
    <w:tbl>
      <w:tblPr>
        <w:tblW w:w="90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7"/>
        <w:gridCol w:w="1829"/>
        <w:gridCol w:w="1829"/>
        <w:gridCol w:w="1829"/>
        <w:gridCol w:w="1829"/>
      </w:tblGrid>
      <w:tr w:rsidR="007C1E0B" w:rsidRPr="007C1E0B" w:rsidTr="00803CA9">
        <w:trPr>
          <w:trHeight w:val="460"/>
        </w:trPr>
        <w:tc>
          <w:tcPr>
            <w:tcW w:w="1727" w:type="dxa"/>
          </w:tcPr>
          <w:p w:rsidR="00D449B7" w:rsidRPr="007C1E0B" w:rsidRDefault="00D449B7" w:rsidP="001B722B">
            <w:pPr>
              <w:ind w:firstLine="708"/>
              <w:jc w:val="both"/>
              <w:rPr>
                <w:rFonts w:ascii="Times New Roman" w:hAnsi="Times New Roman" w:cs="Times New Roman"/>
                <w:sz w:val="20"/>
                <w:szCs w:val="20"/>
              </w:rPr>
            </w:pPr>
          </w:p>
        </w:tc>
        <w:tc>
          <w:tcPr>
            <w:tcW w:w="3658" w:type="dxa"/>
            <w:gridSpan w:val="2"/>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Kanatlı</w:t>
            </w:r>
          </w:p>
        </w:tc>
        <w:tc>
          <w:tcPr>
            <w:tcW w:w="3658" w:type="dxa"/>
            <w:gridSpan w:val="2"/>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Tavşan</w:t>
            </w:r>
          </w:p>
        </w:tc>
      </w:tr>
      <w:tr w:rsidR="007C1E0B" w:rsidRPr="007C1E0B" w:rsidTr="00803CA9">
        <w:trPr>
          <w:trHeight w:val="725"/>
        </w:trPr>
        <w:tc>
          <w:tcPr>
            <w:tcW w:w="1727" w:type="dxa"/>
          </w:tcPr>
          <w:p w:rsidR="00D449B7" w:rsidRPr="007C1E0B" w:rsidRDefault="00D449B7" w:rsidP="001B722B">
            <w:pPr>
              <w:ind w:firstLine="708"/>
              <w:jc w:val="both"/>
              <w:rPr>
                <w:rFonts w:ascii="Times New Roman" w:hAnsi="Times New Roman" w:cs="Times New Roman"/>
                <w:sz w:val="20"/>
                <w:szCs w:val="20"/>
              </w:rPr>
            </w:pPr>
          </w:p>
        </w:tc>
        <w:tc>
          <w:tcPr>
            <w:tcW w:w="1829"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Öğütülmüş toz ince formda</w:t>
            </w:r>
          </w:p>
        </w:tc>
        <w:tc>
          <w:tcPr>
            <w:tcW w:w="1829"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Pelet formda</w:t>
            </w:r>
          </w:p>
        </w:tc>
        <w:tc>
          <w:tcPr>
            <w:tcW w:w="1829"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Öğütülmüş toz ince formda</w:t>
            </w:r>
          </w:p>
        </w:tc>
        <w:tc>
          <w:tcPr>
            <w:tcW w:w="1829"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Pelet formda</w:t>
            </w:r>
          </w:p>
        </w:tc>
      </w:tr>
      <w:tr w:rsidR="007C1E0B" w:rsidRPr="007C1E0B" w:rsidTr="00803CA9">
        <w:trPr>
          <w:trHeight w:val="460"/>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Ortalama [mg/kg]</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27,00</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27,99</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43,6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40,1</w:t>
            </w:r>
          </w:p>
        </w:tc>
      </w:tr>
      <w:tr w:rsidR="007C1E0B" w:rsidRPr="007C1E0B" w:rsidTr="00803CA9">
        <w:trPr>
          <w:trHeight w:val="460"/>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1,46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1,26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1,44</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1,66</w:t>
            </w:r>
          </w:p>
        </w:tc>
      </w:tr>
      <w:tr w:rsidR="007C1E0B" w:rsidRPr="007C1E0B" w:rsidTr="00803CA9">
        <w:trPr>
          <w:trHeight w:val="449"/>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BE2B32"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 xml:space="preserve">[%] </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5,4</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4,5</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3,3</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4,1</w:t>
            </w:r>
          </w:p>
        </w:tc>
      </w:tr>
      <w:tr w:rsidR="007C1E0B" w:rsidRPr="007C1E0B" w:rsidTr="00803CA9">
        <w:trPr>
          <w:trHeight w:val="460"/>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4,36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3,36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4,61</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3,91</w:t>
            </w:r>
          </w:p>
        </w:tc>
      </w:tr>
      <w:tr w:rsidR="007C1E0B" w:rsidRPr="007C1E0B" w:rsidTr="00803CA9">
        <w:trPr>
          <w:trHeight w:val="460"/>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 xml:space="preserve">R </w:t>
            </w:r>
            <w:r w:rsidRPr="007C1E0B">
              <w:rPr>
                <w:rFonts w:ascii="Times New Roman" w:hAnsi="Times New Roman" w:cs="Times New Roman"/>
                <w:sz w:val="20"/>
                <w:szCs w:val="20"/>
              </w:rPr>
              <w:t xml:space="preserve">[%] </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16,1</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12,0</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10,6</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9,7</w:t>
            </w:r>
          </w:p>
        </w:tc>
      </w:tr>
      <w:tr w:rsidR="00D449B7" w:rsidRPr="007C1E0B" w:rsidTr="00803CA9">
        <w:trPr>
          <w:trHeight w:val="471"/>
        </w:trPr>
        <w:tc>
          <w:tcPr>
            <w:tcW w:w="1727" w:type="dxa"/>
          </w:tcPr>
          <w:p w:rsidR="00D449B7" w:rsidRPr="007C1E0B" w:rsidRDefault="00D449B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Geri kazanım [%] </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90,0</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93,3</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87,2</w:t>
            </w:r>
          </w:p>
        </w:tc>
        <w:tc>
          <w:tcPr>
            <w:tcW w:w="1829" w:type="dxa"/>
          </w:tcPr>
          <w:p w:rsidR="00D449B7" w:rsidRPr="007C1E0B" w:rsidRDefault="00D449B7"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80,2</w:t>
            </w:r>
          </w:p>
        </w:tc>
      </w:tr>
    </w:tbl>
    <w:p w:rsidR="008F593F" w:rsidRPr="007C1E0B" w:rsidRDefault="008F593F" w:rsidP="001B722B">
      <w:pPr>
        <w:ind w:firstLine="708"/>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F52DA3" w:rsidRPr="007C1E0B" w:rsidDel="00F52DA3">
        <w:rPr>
          <w:rFonts w:ascii="Times New Roman" w:hAnsi="Times New Roman" w:cs="Times New Roman"/>
          <w:sz w:val="20"/>
          <w:szCs w:val="20"/>
        </w:rPr>
        <w:t xml:space="preserve"> </w:t>
      </w:r>
      <w:r w:rsidRPr="007C1E0B">
        <w:rPr>
          <w:rFonts w:ascii="Times New Roman" w:hAnsi="Times New Roman" w:cs="Times New Roman"/>
          <w:sz w:val="20"/>
          <w:szCs w:val="20"/>
        </w:rPr>
        <w:t>katsayısı. %</w:t>
      </w:r>
    </w:p>
    <w:p w:rsidR="002A04C1" w:rsidRPr="007C1E0B" w:rsidRDefault="002A04C1" w:rsidP="001B722B">
      <w:pPr>
        <w:jc w:val="both"/>
        <w:rPr>
          <w:rFonts w:ascii="Times New Roman" w:hAnsi="Times New Roman" w:cs="Times New Roman"/>
          <w:b/>
          <w:sz w:val="20"/>
          <w:szCs w:val="20"/>
        </w:rPr>
      </w:pPr>
    </w:p>
    <w:p w:rsidR="002A04C1" w:rsidRPr="007C1E0B" w:rsidRDefault="002A04C1" w:rsidP="001B722B">
      <w:pPr>
        <w:jc w:val="both"/>
        <w:rPr>
          <w:rFonts w:ascii="Times New Roman" w:hAnsi="Times New Roman" w:cs="Times New Roman"/>
          <w:b/>
          <w:sz w:val="20"/>
          <w:szCs w:val="20"/>
        </w:rPr>
      </w:pPr>
    </w:p>
    <w:p w:rsidR="002A04C1" w:rsidRPr="007C1E0B" w:rsidRDefault="002A04C1" w:rsidP="001B722B">
      <w:pPr>
        <w:jc w:val="both"/>
        <w:rPr>
          <w:rFonts w:ascii="Times New Roman" w:hAnsi="Times New Roman" w:cs="Times New Roman"/>
          <w:b/>
          <w:sz w:val="20"/>
          <w:szCs w:val="20"/>
        </w:rPr>
      </w:pPr>
    </w:p>
    <w:p w:rsidR="002A04C1" w:rsidRPr="007C1E0B" w:rsidRDefault="002A04C1" w:rsidP="001B722B">
      <w:pPr>
        <w:jc w:val="both"/>
        <w:rPr>
          <w:rFonts w:ascii="Times New Roman" w:hAnsi="Times New Roman" w:cs="Times New Roman"/>
          <w:b/>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E. </w:t>
      </w:r>
      <w:r w:rsidR="008119F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DİKLAZURİL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(+)-4-klorfenil [2,6-dikloro-4-(2,3,4,5-tetrahidro-3,5-diokso-1,2,4-triazin-2-il)fenil] asetonitril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Metot, yemdeki ve premikslerdeki diklazuril seviyesinin tayinini mümkün kılar. Tespit limiti 0,1 mg/kg, ölçüm limiti 0,5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iç standart ekledikten sonra, numune asitleştirilmiş metanol ile ekstrakte edilir. Yem için temsili bir miktar ekstrakt, bir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xml:space="preserve"> katı fazlı ekstraksiyon kartuşunda saflaştırılır. Diklazuril, asitleştirilmiş metanol ve su karışımı ile kartuştan elüe edilir. Buharlaştırmadan sonra kalıntı DMF/su içinde çözündürülür. Premiksler için ekstrakt buharlaştırılır ve kalıntı, DMF/su içinde çözündürülür. Diklazuril içeriği, bir UV dedektörü kullanılarak gradyan ters fazlı yüksek performans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Su,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8119FB" w:rsidRPr="007C1E0B">
        <w:rPr>
          <w:rFonts w:ascii="Times New Roman" w:hAnsi="Times New Roman" w:cs="Times New Roman"/>
          <w:sz w:val="20"/>
          <w:szCs w:val="20"/>
        </w:rPr>
        <w:t xml:space="preserve"> </w:t>
      </w:r>
      <w:r w:rsidRPr="007C1E0B">
        <w:rPr>
          <w:rFonts w:ascii="Times New Roman" w:hAnsi="Times New Roman" w:cs="Times New Roman"/>
          <w:sz w:val="20"/>
          <w:szCs w:val="20"/>
        </w:rPr>
        <w:t>Amonyum asetat.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Tetrabutilamonyum hidrojen sülfat (TBHS)</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Asetonitril,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Metanol,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3.6. N, N-dimetilformamid (DMF)</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 Hidroklorik asit, ρ</w:t>
      </w:r>
      <w:r w:rsidRPr="007C1E0B">
        <w:rPr>
          <w:rFonts w:ascii="Times New Roman" w:hAnsi="Times New Roman" w:cs="Times New Roman"/>
          <w:sz w:val="20"/>
          <w:szCs w:val="20"/>
          <w:vertAlign w:val="subscript"/>
        </w:rPr>
        <w:t>20</w:t>
      </w:r>
      <w:r w:rsidRPr="007C1E0B">
        <w:rPr>
          <w:rFonts w:ascii="Times New Roman" w:hAnsi="Times New Roman" w:cs="Times New Roman"/>
          <w:sz w:val="20"/>
          <w:szCs w:val="20"/>
        </w:rPr>
        <w:t xml:space="preserve"> = 1,19 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 Standard madde: diklazuril II-24: (+)-4-klorfenil [2,6-dikloro-4-(2,3,4,5-tetrahidro-3,5-diokso-1,2,4-triazin-2-il)fenil] asetonitril, garantili saflıkta,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3.8.1.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Diklazuril stok standart çözeltisi, 500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mg diklazuril standart maddesi (3.8) 0,1 mg hassasiyetle 50 ml’lik balon jojeye tartılır. DMF (3.6) içinde çözündürülür ve DMF (3.6) ile işarete kadar tamamlanır ve karıştırılır. Balon joje alüminyum folyo ile sarılır ya da amber renkli cam malzeme kullanılır ve buzdolabında saklanılır.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Diklazuril standart çözeltisi, 50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5,00 ml stok standart çözeltisi (3.8.1) 50 ml’lik balon jojeye aktarılır, DMF (3.6) ile işarete kadar tamamlanır ve karıştırılır. Balon joje alüminyum folyo ile sarılır ya da amber renkli cam malzeme kullanılır ve buzdolabında saklanır.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3.9. İç standart maddesi: 2,6 dikloro-α-(4-klorofenil)-4-(4,5 dihidro-3,5-diokso-1,2,4-triazine-2 (3H) —il) α-metilbenzen-asetonitril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İç stok standart çözeltisi, 500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mg iç standart maddesini (3.9) 0,1 mg hassasiyetle 50 ml’lik balon jojeye tartın. DMF (3.6) içinde çözündürülür ve DMF (3.6) ile işarete kadar tamamlanır ve karıştırılır. Balon joje alüminyum folyo ile sarılır ya da amber renkli balon joje kullanılır ve buzdolabında saklanır.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3.9.2.</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İç standart çözeltisi, 50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5,00 ml iç stok standart çözeltisi (3.9.1) 50 ml’lik balon jojeye aktarılır, DMF (3.6) ile işarete kadar tamamlanır ve karıştırılır. Balon joje alüminyum folyo ile sarılır ya da amber renkli balon joje kullanılır ve bir buzdolabında saklanır.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 için iç standart çözeltisi, p/1000 mg/ml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 = premiksdeki diklazuril’in nominal içeriği,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p/10 mg iç standart maddesi 0,1 mg hassasiyetle 100 ml’lik balon jojeye tartılır, DMF (3.6) içinde, ultrasonik banyoda (4.6) çözündürülür, DMF ile işarete kadar tamamlanır ve karıştırılır. Balon joje alüminyum folyo ile sarılır ya da amber renkli cam malzeme kullanılır ve bir buzdolabında saklanılırr.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çözeltisi, 2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2,00 ml diklazuril standart çözeltisi (3.8.2) ve 2,00 ml iç standart çözeltisi (3.9.2) 50 ml’lik balon jojeye pipetle alınır. 16 ml DMF (3.6) eklenir, DMF (3.6) ile işarete kadar tamamlanır ve karıştırılır. Bu çözelti kullanmadan önce taze olarak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xml:space="preserve"> katı fazlı ekstraksiyon kartuşu, örn. Bond Elut, boyut: 1 cc, sorban ağırlığı: 100 mg.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2C589E"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çözücüsü: asitleştirilmiş 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5,0 ml hidroklorik asit (3.7) pipetle alınarak 1000 ml metanol (3.5) içerisine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Elüent A: amonyum asetat — tetrabutilamonyum hidrojen sülfat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g amonyum asetat (3.2) ve 3,4 g TBHS (3.3) 1000 ml suda (3.1) çözündürülür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Elüent B: asetonitril (3.4).</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3.13.3.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Elüent C: metanol (3.5).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Mekanik çalkalayıcı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Üçlü gradyan HPLC cihazı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Hipersil ODS, 3 μm dolgu, 100 mm x 4,6 mm,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Değişken dalga boyu ayarlı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ya da Diode Array dedektörü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Döner buharlaştırıcı (Rotary evaporator)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Vakumlu manifold</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Ultrasonik banyo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Diklazuril ya da etkileşime giren maddelerin olmadığını kontrol etmek için bir kör yem analiz edilmelidir. Kör yem numunedekine benzer türde olmalı ve analizde, diklazuril ya da etkileyen maddeler tespit edilmemelidir.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 testi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varlığına yakın miktarda diklazuril eklenen kör yem analiz edilerek bir geri kazanım testi yürütülmelidir. 1 mg/kg düzeyine ulaştırmak için 0,1 ml stok standart çözeltisi (3.8.1) 50 g’lık kör yeme eklenilir, iyice karıştırılır ve 10 dakika dinlendirilir. (5.2) maddesine geçmeden önce birkaç kez yeniden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Alternatif olarak, numune ile benzer türde bir kör yem mümkün değilse (bkz. 5.1.1), standart ekleme metodu yoluyla bir geri kazanım testi gerçekleştirilebilir. Bu durumda analiz edilecek numune, zaten numune içinde mevcut olana benzer bir miktar diklazuril ile zenginleştirilir. Bu numune zenginleştirilmemiş numune ile birlikte analiz edilir ve çıkartma yoluyla geri kazanım hesaplanabilir.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Yaklaşık 50 g numune 0,01 g hassasiyetle tartılır. 500 ml’lik bir erlene aktarılır, 1,00 ml iç standart çözeltisi (3.2), 200 ml ekstraksiyon çözücüsü (3.12) eklenilir ve balon joje kapatılır. Karışım çalkalayıcıda (4.1) gece boyunca çalkalanır.  Çökmesi için 10 dakika dinlendirilir. 20 ml temsili miktarda süpernatant uygun bir cam kaba aktarılır ve 20 ml su ile seyreltilir. Bu çözelti bir ekstraksiyon kartuşuna (3.11) aktarılır ve vakum (4.5) uygulayarak geçirilir. Kartuş 25 ml ekstraksiyon çözücü karışımı (3.12) ve suyla [65 + 35 (V + V)] yıkanır. Toplanan fraksiyonlar atılır ve bileşikler 25 ml ekstraksiyon çözücü karışımı (3.12) ve suyla [80 + 20 (V + V)] elüe edilir. Bu fraksiyonu, döner buharlaştırıcı (rotary evaporator) (4.3) ile 60°C’de kuruyana kadar buharlaştırılır. Kalıntı 1,0 ml DMF (3.6) içinde çözündürülür, 1,5 ml su (3.1) eklenir ve karıştırılır. Bir membran filtreden (4.4) süzülür. HPLC tayinine (5.3)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Yaklaşık 1 g numune 0,001 g hassasiyetle tartılır. 500 ml’lik konik erlene aktarılır, 1,00 ml iç standart çözeltisi (3.9.2), 200 ml ekstraksiyon çözücüsü (3.12) eklenir ve erlenin ağzı kapatılır. Karışım çalkalayıcıda (4.1) gece boyunca çalkalanır. Çökmesi için 10 dakika dinlendirilir. 10.000/p ml’lik (p = premiksdeki diklazuril’in nominal içeriği, mg/kg ) temsili miktarda süpernatant uygun boyuttaki yuvarlak tabanlı bir balona aktarılır. Azaltılan basınç altında, 60°C’de, döner buharlaştırıcı (rotary evaporator) (4.3) ile kuruyana kadar buharlaştırılır. Kalıntı 10,0</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ml DMF (3.6) içinde yeniden çözündürülür, 15,0 ml su (3.1) eklenir ve karıştırılır. HPLC tayinine (5.3)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3A7F7B"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tbl>
      <w:tblPr>
        <w:tblStyle w:val="TabloKlavuzu"/>
        <w:tblW w:w="0" w:type="auto"/>
        <w:tblInd w:w="108" w:type="dxa"/>
        <w:tblLayout w:type="fixed"/>
        <w:tblLook w:val="04A0" w:firstRow="1" w:lastRow="0" w:firstColumn="1" w:lastColumn="0" w:noHBand="0" w:noVBand="1"/>
      </w:tblPr>
      <w:tblGrid>
        <w:gridCol w:w="2958"/>
        <w:gridCol w:w="2929"/>
        <w:gridCol w:w="3142"/>
      </w:tblGrid>
      <w:tr w:rsidR="007C1E0B" w:rsidRPr="007C1E0B" w:rsidTr="00803CA9">
        <w:trPr>
          <w:trHeight w:val="375"/>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 (4.2.1):</w:t>
            </w: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100 mm"/>
              </w:smartTagPr>
              <w:r w:rsidRPr="007C1E0B">
                <w:rPr>
                  <w:rFonts w:ascii="Times New Roman" w:eastAsiaTheme="minorEastAsia" w:hAnsi="Times New Roman" w:cs="Times New Roman"/>
                  <w:sz w:val="20"/>
                  <w:szCs w:val="20"/>
                  <w:lang w:eastAsia="tr-TR"/>
                </w:rPr>
                <w:t>100 mm</w:t>
              </w:r>
            </w:smartTag>
            <w:r w:rsidRPr="007C1E0B">
              <w:rPr>
                <w:rFonts w:ascii="Times New Roman" w:eastAsiaTheme="minorEastAsia" w:hAnsi="Times New Roman" w:cs="Times New Roman"/>
                <w:sz w:val="20"/>
                <w:szCs w:val="20"/>
                <w:lang w:eastAsia="tr-TR"/>
              </w:rPr>
              <w:t xml:space="preserve"> x </w:t>
            </w:r>
            <w:smartTag w:uri="urn:schemas-microsoft-com:office:smarttags" w:element="metricconverter">
              <w:smartTagPr>
                <w:attr w:name="ProductID" w:val="4,6 mm"/>
              </w:smartTagPr>
              <w:r w:rsidRPr="007C1E0B">
                <w:rPr>
                  <w:rFonts w:ascii="Times New Roman" w:eastAsiaTheme="minorEastAsia" w:hAnsi="Times New Roman" w:cs="Times New Roman"/>
                  <w:sz w:val="20"/>
                  <w:szCs w:val="20"/>
                  <w:lang w:eastAsia="tr-TR"/>
                </w:rPr>
                <w:t>4,6 mm</w:t>
              </w:r>
            </w:smartTag>
            <w:r w:rsidRPr="007C1E0B">
              <w:rPr>
                <w:rFonts w:ascii="Times New Roman" w:eastAsiaTheme="minorEastAsia" w:hAnsi="Times New Roman" w:cs="Times New Roman"/>
                <w:sz w:val="20"/>
                <w:szCs w:val="20"/>
                <w:lang w:eastAsia="tr-TR"/>
              </w:rPr>
              <w:t>, Hipersil ODS, 3 μm dolgu ya da eşdeğeri</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796"/>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Mobil faz:</w:t>
            </w: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Elüent A (3.13.1):</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Sulu amonyum asetat ve tetrabutil-amonyum hidrojen sülfat çözeltisi.</w:t>
            </w:r>
          </w:p>
        </w:tc>
      </w:tr>
      <w:tr w:rsidR="007C1E0B" w:rsidRPr="007C1E0B" w:rsidTr="00803CA9">
        <w:trPr>
          <w:trHeight w:val="40"/>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Elüent B (3.13.2): </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asetonitril</w:t>
            </w:r>
          </w:p>
        </w:tc>
      </w:tr>
      <w:tr w:rsidR="007C1E0B" w:rsidRPr="007C1E0B" w:rsidTr="00803CA9">
        <w:trPr>
          <w:trHeight w:val="665"/>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Elüent C (3.13.3): </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metanol</w:t>
            </w:r>
          </w:p>
        </w:tc>
      </w:tr>
      <w:tr w:rsidR="007C1E0B" w:rsidRPr="007C1E0B" w:rsidTr="00803CA9">
        <w:trPr>
          <w:trHeight w:val="204"/>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Elüsyon modu</w:t>
            </w:r>
          </w:p>
        </w:tc>
        <w:tc>
          <w:tcPr>
            <w:tcW w:w="6071" w:type="dxa"/>
            <w:gridSpan w:val="2"/>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doğrusal gradyan</w:t>
            </w:r>
          </w:p>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başlangıç koşulları</w:t>
            </w:r>
          </w:p>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 + B + C = 60 + 20 + 20 (V + V + V)</w:t>
            </w:r>
          </w:p>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10 dakika gradyan elüsyonundan sonraki 30 dakika boyunca hedef: A + B + C = 45 + 20 + 35 (V + V + V)</w:t>
            </w:r>
          </w:p>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10 dakika boyunca B ile yıkanır.</w:t>
            </w:r>
          </w:p>
        </w:tc>
      </w:tr>
      <w:tr w:rsidR="007C1E0B" w:rsidRPr="007C1E0B" w:rsidTr="00803CA9">
        <w:trPr>
          <w:trHeight w:val="159"/>
        </w:trPr>
        <w:tc>
          <w:tcPr>
            <w:tcW w:w="2958"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Akış hızı</w:t>
            </w: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1,5-2 ml/dak.</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Enjeksiyon hacmi: 20 μl</w:t>
            </w:r>
          </w:p>
        </w:tc>
      </w:tr>
      <w:tr w:rsidR="003A7F7B" w:rsidRPr="007C1E0B" w:rsidTr="00803CA9">
        <w:trPr>
          <w:trHeight w:val="122"/>
        </w:trPr>
        <w:tc>
          <w:tcPr>
            <w:tcW w:w="2958" w:type="dxa"/>
          </w:tcPr>
          <w:p w:rsidR="003A7F7B" w:rsidRPr="007C1E0B" w:rsidRDefault="00A557CA"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Dedektör</w:t>
            </w:r>
            <w:r w:rsidR="003A7F7B" w:rsidRPr="007C1E0B">
              <w:rPr>
                <w:rFonts w:ascii="Times New Roman" w:eastAsiaTheme="minorEastAsia" w:hAnsi="Times New Roman" w:cs="Times New Roman"/>
                <w:sz w:val="20"/>
                <w:szCs w:val="20"/>
                <w:lang w:eastAsia="tr-TR"/>
              </w:rPr>
              <w:t xml:space="preserve"> dalga boyu</w:t>
            </w:r>
          </w:p>
        </w:tc>
        <w:tc>
          <w:tcPr>
            <w:tcW w:w="2929"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280 nm.</w:t>
            </w:r>
          </w:p>
        </w:tc>
        <w:tc>
          <w:tcPr>
            <w:tcW w:w="3142" w:type="dxa"/>
          </w:tcPr>
          <w:p w:rsidR="003A7F7B" w:rsidRPr="007C1E0B" w:rsidRDefault="003A7F7B" w:rsidP="001B722B">
            <w:pPr>
              <w:spacing w:after="200" w:line="276" w:lineRule="auto"/>
              <w:jc w:val="both"/>
              <w:rPr>
                <w:rFonts w:ascii="Times New Roman" w:eastAsiaTheme="minorEastAsia" w:hAnsi="Times New Roman" w:cs="Times New Roman"/>
                <w:sz w:val="20"/>
                <w:szCs w:val="20"/>
                <w:lang w:eastAsia="tr-TR"/>
              </w:rPr>
            </w:pP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μg/ml içeren kalibrasyon çözeltisini (3.10), tutarlı pik yükseklikleri ve alıkonma süreleri elde edene kadar birkaç kez enjekte ederek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μl kalibrasyon çözeltisi (3.10) birkaç kez enjekte edilir ve diklazuril ortalama pik yüksekliği (alan) ile iç standart pikleri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5.3.3.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20 μl numune çözeltisi (5.2.1 ya da 5.2.2) birkaç kez enjekte edilir ve diklazuril ortalama pik ile iç standart piklerinin yüksekliği (alan)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6.1. 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diklazuril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3A7F7B" w:rsidRPr="007C1E0B">
        <w:rPr>
          <w:rFonts w:ascii="Times New Roman" w:hAnsi="Times New Roman" w:cs="Times New Roman"/>
          <w:noProof/>
          <w:sz w:val="20"/>
          <w:szCs w:val="20"/>
        </w:rPr>
        <w:drawing>
          <wp:inline distT="0" distB="0" distL="0" distR="0" wp14:anchorId="6800068D" wp14:editId="64083E90">
            <wp:extent cx="2506980" cy="487680"/>
            <wp:effectExtent l="0" t="0" r="7620" b="762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06980" cy="48768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 xml:space="preserve">d,s </w:t>
      </w:r>
      <w:r w:rsidRPr="007C1E0B">
        <w:rPr>
          <w:rFonts w:ascii="Times New Roman" w:hAnsi="Times New Roman" w:cs="Times New Roman"/>
          <w:sz w:val="20"/>
          <w:szCs w:val="20"/>
        </w:rPr>
        <w:t>= Diklazurilin numune çözeltisindeki (5.2.1)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 xml:space="preserve">i,s </w:t>
      </w:r>
      <w:r w:rsidRPr="007C1E0B">
        <w:rPr>
          <w:rFonts w:ascii="Times New Roman" w:hAnsi="Times New Roman" w:cs="Times New Roman"/>
          <w:sz w:val="20"/>
          <w:szCs w:val="20"/>
        </w:rPr>
        <w:t>= İç standardın numune çözeltisindeki (5.2.1)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 xml:space="preserve">d,c </w:t>
      </w:r>
      <w:r w:rsidRPr="007C1E0B">
        <w:rPr>
          <w:rFonts w:ascii="Times New Roman" w:hAnsi="Times New Roman" w:cs="Times New Roman"/>
          <w:sz w:val="20"/>
          <w:szCs w:val="20"/>
        </w:rPr>
        <w:t>= Diklazurilin kalibrasyon çözeltisindeki (3.10)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i,c</w:t>
      </w:r>
      <w:r w:rsidRPr="007C1E0B">
        <w:rPr>
          <w:rFonts w:ascii="Times New Roman" w:hAnsi="Times New Roman" w:cs="Times New Roman"/>
          <w:sz w:val="20"/>
          <w:szCs w:val="20"/>
        </w:rPr>
        <w:t xml:space="preserve"> = İç standardın kalibrasyon çözeltisindeki (3.10)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d,c</w:t>
      </w:r>
      <w:r w:rsidRPr="007C1E0B">
        <w:rPr>
          <w:rFonts w:ascii="Times New Roman" w:hAnsi="Times New Roman" w:cs="Times New Roman"/>
          <w:sz w:val="20"/>
          <w:szCs w:val="20"/>
        </w:rPr>
        <w:t xml:space="preserve"> = Kalibrasyon çözeltisindeki diklazuril konsantrasyonu (3.10),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Test </w:t>
      </w:r>
      <w:r w:rsidR="00EC3739" w:rsidRPr="007C1E0B">
        <w:rPr>
          <w:rFonts w:ascii="Times New Roman" w:hAnsi="Times New Roman" w:cs="Times New Roman"/>
          <w:sz w:val="20"/>
          <w:szCs w:val="20"/>
        </w:rPr>
        <w:t>numunesinin</w:t>
      </w:r>
      <w:r w:rsidRPr="007C1E0B">
        <w:rPr>
          <w:rFonts w:ascii="Times New Roman" w:hAnsi="Times New Roman" w:cs="Times New Roman"/>
          <w:sz w:val="20"/>
          <w:szCs w:val="20"/>
        </w:rPr>
        <w:t xml:space="preserve">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Numune ekstraktının 5.2.1’e göre hacmi (örneğin 2,5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 Premiksler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diklazuril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3A7F7B" w:rsidRPr="007C1E0B">
        <w:rPr>
          <w:rFonts w:ascii="Times New Roman" w:hAnsi="Times New Roman" w:cs="Times New Roman"/>
          <w:noProof/>
          <w:sz w:val="20"/>
          <w:szCs w:val="20"/>
        </w:rPr>
        <w:drawing>
          <wp:inline distT="0" distB="0" distL="0" distR="0" wp14:anchorId="2B55175F" wp14:editId="7A6E510E">
            <wp:extent cx="2842260" cy="46482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42260" cy="46482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d,c</w:t>
      </w:r>
      <w:r w:rsidRPr="007C1E0B">
        <w:rPr>
          <w:rFonts w:ascii="Times New Roman" w:hAnsi="Times New Roman" w:cs="Times New Roman"/>
          <w:sz w:val="20"/>
          <w:szCs w:val="20"/>
        </w:rPr>
        <w:t xml:space="preserve"> = Diklazurilin kalibrasyon çözeltisindeki (3.10)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i,c</w:t>
      </w:r>
      <w:r w:rsidRPr="007C1E0B">
        <w:rPr>
          <w:rFonts w:ascii="Times New Roman" w:hAnsi="Times New Roman" w:cs="Times New Roman"/>
          <w:sz w:val="20"/>
          <w:szCs w:val="20"/>
        </w:rPr>
        <w:t xml:space="preserve"> = İç standardın kalibrasyon çözeltisindeki (3.10)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d,s</w:t>
      </w:r>
      <w:r w:rsidRPr="007C1E0B">
        <w:rPr>
          <w:rFonts w:ascii="Times New Roman" w:hAnsi="Times New Roman" w:cs="Times New Roman"/>
          <w:sz w:val="20"/>
          <w:szCs w:val="20"/>
        </w:rPr>
        <w:t xml:space="preserve"> = Diklazurilin numune çözeltisindeki (5.2.2)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i,s</w:t>
      </w:r>
      <w:r w:rsidRPr="007C1E0B">
        <w:rPr>
          <w:rFonts w:ascii="Times New Roman" w:hAnsi="Times New Roman" w:cs="Times New Roman"/>
          <w:sz w:val="20"/>
          <w:szCs w:val="20"/>
        </w:rPr>
        <w:t xml:space="preserve"> = İç standardın numune çözeltisindeki (5.2.2) pik yüksekliği (alan)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w:t>
      </w:r>
      <w:r w:rsidRPr="007C1E0B">
        <w:rPr>
          <w:rFonts w:ascii="Times New Roman" w:hAnsi="Times New Roman" w:cs="Times New Roman"/>
          <w:sz w:val="20"/>
          <w:szCs w:val="20"/>
          <w:vertAlign w:val="subscript"/>
        </w:rPr>
        <w:t>d,c</w:t>
      </w:r>
      <w:r w:rsidRPr="007C1E0B">
        <w:rPr>
          <w:rFonts w:ascii="Times New Roman" w:hAnsi="Times New Roman" w:cs="Times New Roman"/>
          <w:sz w:val="20"/>
          <w:szCs w:val="20"/>
        </w:rPr>
        <w:t xml:space="preserve"> = Kalibrasyon çözeltisindeki diklazuril konsantrasyonu (3.10),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Test </w:t>
      </w:r>
      <w:r w:rsidR="00EC3739" w:rsidRPr="007C1E0B">
        <w:rPr>
          <w:rFonts w:ascii="Times New Roman" w:hAnsi="Times New Roman" w:cs="Times New Roman"/>
          <w:sz w:val="20"/>
          <w:szCs w:val="20"/>
        </w:rPr>
        <w:t>numunesinin</w:t>
      </w:r>
      <w:r w:rsidRPr="007C1E0B">
        <w:rPr>
          <w:rFonts w:ascii="Times New Roman" w:hAnsi="Times New Roman" w:cs="Times New Roman"/>
          <w:sz w:val="20"/>
          <w:szCs w:val="20"/>
        </w:rPr>
        <w:t xml:space="preserve">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Numune ekstraktının 5.2.2’ye göre hacmi (örneğin 25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 = Premiksdeki diklazuril’in nominal içeriği,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Sonuçların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Tanım</w:t>
      </w:r>
      <w:r w:rsidR="006B77F9" w:rsidRPr="007C1E0B">
        <w:rPr>
          <w:rFonts w:ascii="Times New Roman" w:hAnsi="Times New Roman" w:cs="Times New Roman"/>
          <w:sz w:val="20"/>
          <w:szCs w:val="20"/>
        </w:rPr>
        <w:t>l</w:t>
      </w:r>
      <w:r w:rsidRPr="007C1E0B">
        <w:rPr>
          <w:rFonts w:ascii="Times New Roman" w:hAnsi="Times New Roman" w:cs="Times New Roman"/>
          <w:sz w:val="20"/>
          <w:szCs w:val="20"/>
        </w:rPr>
        <w:t>a</w:t>
      </w:r>
      <w:r w:rsidR="006B77F9" w:rsidRPr="007C1E0B">
        <w:rPr>
          <w:rFonts w:ascii="Times New Roman" w:hAnsi="Times New Roman" w:cs="Times New Roman"/>
          <w:sz w:val="20"/>
          <w:szCs w:val="20"/>
        </w:rPr>
        <w: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Analitin tanıması ortak kromatografi ile ya da numune ekstraktının (5.2.1 ya da 5.2.2) ve kalibrasyon çözeltisinin (3.10) spektrumlarının karşılaştırılacağı bir Diode Array dedektörü kullanılarak onaylanabilir.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7.1.1.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kromatografi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numune ekstraktı (5.2.1 ya da 5.2.2), uygun miktarda kalibrasyon çözeltisi (3.10) eklenerek zenginleştirilir. Eklenen diklazuril miktarı numune ekstraktında bulunan diklazuril miktarına benzer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Hem eklenen miktar hem de ekstraktın seyreltilmesi hesaba katıldıktan sonra yalnızca diklazuril piki ve iç standart pikinin yüksekliği geliştirilmelidir. Yüksekliğinin yarısı boyutundaki pik genişliği, orijinal diklazuril piki genişliğinin ya da zenginleştirilmemiş numune ekstraktının iç standart piki ±</w:t>
      </w:r>
      <w:r w:rsidR="00C5493C"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 aralığında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7.1.2.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Diode Array Tanımlama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Numunenin ve standart spektrumlarının, kromatogramın pik apeksinde kaydedilen maksimum absorpsiyon dalga boyu, tespit sisteminin çözüleme gücüyle tayin edilen bir marj aralığında aynı olmalıdır. Diode Array metodu için bu tipik olarak ± 2 nm’dir.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 230 - 320 nm arasında, kromatogramın pik apeksinde kaydedilen numune ve standart spektrumlar, spektrumun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farklı olmamalıdır. Bu kriter aynı maksimum piki olduğunda ve gözlenen noktaların hiçbirinde iki spektrum arasındaki sapma, standart analizin absorbansının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230 - 320 nm arasında, aynı ekstrakt tarafından üretilen pikin yukarı eğim, apeks ve aşağı eğim spektrumları, spektrumun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100 bağıl absorbans aralığındaki bölümleri için birbirinden farklı olmamalıdır. Bu kriter, aynı maksimum piki olduğunda ve gözlenen tüm noktalarda spektrumlar arasındaki sapma, pik apeksi spektrumunun absorbansının %</w:t>
      </w:r>
      <w:r w:rsidR="005F4B57" w:rsidRPr="007C1E0B">
        <w:rPr>
          <w:rFonts w:ascii="Times New Roman" w:hAnsi="Times New Roman" w:cs="Times New Roman"/>
          <w:sz w:val="20"/>
          <w:szCs w:val="20"/>
        </w:rPr>
        <w:t xml:space="preserve"> </w:t>
      </w:r>
      <w:r w:rsidRPr="007C1E0B">
        <w:rPr>
          <w:rFonts w:ascii="Times New Roman" w:hAnsi="Times New Roman" w:cs="Times New Roman"/>
          <w:sz w:val="20"/>
          <w:szCs w:val="20"/>
        </w:rPr>
        <w:t>15’ini geçmediğinde karşılanır.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1C683D"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farkı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0,5 mg/kg ila 2,5 mg/kg diklazuril içeriği için daha yüksek değere bağıl %</w:t>
      </w:r>
      <w:r w:rsidR="00BF2945" w:rsidRPr="007C1E0B">
        <w:rPr>
          <w:rFonts w:ascii="Times New Roman" w:hAnsi="Times New Roman" w:cs="Times New Roman"/>
          <w:sz w:val="20"/>
          <w:szCs w:val="20"/>
        </w:rPr>
        <w:t xml:space="preserve"> </w:t>
      </w:r>
      <w:r w:rsidRPr="007C1E0B">
        <w:rPr>
          <w:rFonts w:ascii="Times New Roman" w:hAnsi="Times New Roman" w:cs="Times New Roman"/>
          <w:sz w:val="20"/>
          <w:szCs w:val="20"/>
        </w:rPr>
        <w:t>30,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2,5 mg/kg ile 5 mg/kg arasındaki diklazuril içeriği için 0,75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5 mg/kg’dan fazla diklazuril içeriği için daha yüksek değere bağıl %</w:t>
      </w:r>
      <w:r w:rsidR="00BF2945" w:rsidRPr="007C1E0B">
        <w:rPr>
          <w:rFonts w:ascii="Times New Roman" w:hAnsi="Times New Roman" w:cs="Times New Roman"/>
          <w:sz w:val="20"/>
          <w:szCs w:val="20"/>
        </w:rPr>
        <w:t xml:space="preserve"> </w:t>
      </w:r>
      <w:r w:rsidRPr="007C1E0B">
        <w:rPr>
          <w:rFonts w:ascii="Times New Roman" w:hAnsi="Times New Roman" w:cs="Times New Roman"/>
          <w:sz w:val="20"/>
          <w:szCs w:val="20"/>
        </w:rPr>
        <w:t>15,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 Geri kazanım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Zenginleştirilmiş bir (kör) numune için geri kazanım en az %</w:t>
      </w:r>
      <w:r w:rsidR="00BF2945" w:rsidRPr="007C1E0B">
        <w:rPr>
          <w:rFonts w:ascii="Times New Roman" w:hAnsi="Times New Roman" w:cs="Times New Roman"/>
          <w:sz w:val="20"/>
          <w:szCs w:val="20"/>
        </w:rPr>
        <w:t xml:space="preserve"> </w:t>
      </w:r>
      <w:r w:rsidRPr="007C1E0B">
        <w:rPr>
          <w:rFonts w:ascii="Times New Roman" w:hAnsi="Times New Roman" w:cs="Times New Roman"/>
          <w:sz w:val="20"/>
          <w:szCs w:val="20"/>
        </w:rPr>
        <w:t>80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1C683D"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EC ortak çalışması düzenlenmiş, bu çalışmada 11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5 numune analiz edilmiştir. Bu numuneler iki premiksden oluşmaktadır; biri organik bir matris (O 100) ile ve diğeri inorganik bir matris (A 100) ile karıştırılmıştır. Teorik içerik 100 mg/kg diklazurildir. 3 farklı üreticiden (NL) (L1/Z1/K1) üç kanatlı</w:t>
      </w:r>
      <w:r w:rsidR="00872B5B" w:rsidRPr="007C1E0B">
        <w:rPr>
          <w:rFonts w:ascii="Times New Roman" w:hAnsi="Times New Roman" w:cs="Times New Roman"/>
          <w:sz w:val="20"/>
          <w:szCs w:val="20"/>
        </w:rPr>
        <w:t xml:space="preserve"> karma </w:t>
      </w:r>
      <w:r w:rsidRPr="007C1E0B">
        <w:rPr>
          <w:rFonts w:ascii="Times New Roman" w:hAnsi="Times New Roman" w:cs="Times New Roman"/>
          <w:sz w:val="20"/>
          <w:szCs w:val="20"/>
        </w:rPr>
        <w:t xml:space="preserve">yemi oluşturulmuştur. Teorik içerik 1 mg/kg diklazurildir.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lara numunelerin her birini bir kez ya da iki kez analiz etme talimatı verilmiştir. (Bu ortak çalışma hakkında daha ayrıntılı bilgi için bkz. Journal of AOAC International, Volume 77, No 6, 1994, p. 1359-1361). Sonuçlar aşağıdaki tabloda verilmiştir.</w:t>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1576"/>
        <w:gridCol w:w="1364"/>
        <w:gridCol w:w="1338"/>
        <w:gridCol w:w="1339"/>
        <w:gridCol w:w="1190"/>
      </w:tblGrid>
      <w:tr w:rsidR="007C1E0B" w:rsidRPr="007C1E0B" w:rsidTr="00803CA9">
        <w:trPr>
          <w:trHeight w:val="726"/>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Numune 1 </w:t>
            </w:r>
          </w:p>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A 100</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Numune 2 </w:t>
            </w:r>
          </w:p>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O 100</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Numune 3 </w:t>
            </w:r>
          </w:p>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L1</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Numune 4 </w:t>
            </w:r>
          </w:p>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Z1</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Numune 5 </w:t>
            </w:r>
          </w:p>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K1</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L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11</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11</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11</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11</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6</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n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19</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18</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19</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19</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12</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Ortalama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100,8</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103,5</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0,89</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1,15</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0,89</w:t>
            </w:r>
          </w:p>
        </w:tc>
      </w:tr>
      <w:tr w:rsidR="007C1E0B" w:rsidRPr="007C1E0B" w:rsidTr="00803CA9">
        <w:trPr>
          <w:trHeight w:val="362"/>
        </w:trPr>
        <w:tc>
          <w:tcPr>
            <w:tcW w:w="2267" w:type="dxa"/>
          </w:tcPr>
          <w:p w:rsidR="008D3BD1" w:rsidRPr="007C1E0B" w:rsidRDefault="00BD6801" w:rsidP="00BD6801">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s</w:t>
            </w:r>
            <w:r w:rsidR="008D3BD1" w:rsidRPr="007C1E0B">
              <w:rPr>
                <w:rFonts w:ascii="Times New Roman" w:eastAsia="Times New Roman" w:hAnsi="Times New Roman" w:cs="Times New Roman"/>
                <w:sz w:val="20"/>
                <w:szCs w:val="20"/>
                <w:vertAlign w:val="subscript"/>
              </w:rPr>
              <w:t xml:space="preserve">r </w:t>
            </w:r>
            <w:r w:rsidR="008D3BD1" w:rsidRPr="007C1E0B">
              <w:rPr>
                <w:rFonts w:ascii="Times New Roman" w:eastAsia="Times New Roman" w:hAnsi="Times New Roman" w:cs="Times New Roman"/>
                <w:sz w:val="20"/>
                <w:szCs w:val="20"/>
              </w:rPr>
              <w:t>(mg/kg)</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5,88</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7,64</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0,15</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0,02</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0,03</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CV</w:t>
            </w:r>
            <w:r w:rsidRPr="007C1E0B">
              <w:rPr>
                <w:rFonts w:ascii="Times New Roman" w:eastAsia="Times New Roman" w:hAnsi="Times New Roman" w:cs="Times New Roman"/>
                <w:sz w:val="20"/>
                <w:szCs w:val="20"/>
                <w:vertAlign w:val="subscript"/>
              </w:rPr>
              <w:t>r</w:t>
            </w:r>
            <w:r w:rsidRPr="007C1E0B">
              <w:rPr>
                <w:rFonts w:ascii="Times New Roman" w:eastAsia="Times New Roman" w:hAnsi="Times New Roman" w:cs="Times New Roman"/>
                <w:sz w:val="20"/>
                <w:szCs w:val="20"/>
              </w:rPr>
              <w:t xml:space="preserve"> (%)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5,83</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7,38</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17,32</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1,92</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3,34</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S</w:t>
            </w:r>
            <w:r w:rsidRPr="007C1E0B">
              <w:rPr>
                <w:rFonts w:ascii="Times New Roman" w:eastAsia="Times New Roman" w:hAnsi="Times New Roman" w:cs="Times New Roman"/>
                <w:sz w:val="20"/>
                <w:szCs w:val="20"/>
                <w:vertAlign w:val="subscript"/>
              </w:rPr>
              <w:t xml:space="preserve">R </w:t>
            </w:r>
            <w:r w:rsidRPr="007C1E0B">
              <w:rPr>
                <w:rFonts w:ascii="Times New Roman" w:eastAsia="Times New Roman" w:hAnsi="Times New Roman" w:cs="Times New Roman"/>
                <w:sz w:val="20"/>
                <w:szCs w:val="20"/>
              </w:rPr>
              <w:t xml:space="preserve">(mg/kg)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7,59</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7,64</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0,17</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0,11</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0,12</w:t>
            </w:r>
          </w:p>
        </w:tc>
      </w:tr>
      <w:tr w:rsidR="007C1E0B" w:rsidRPr="007C1E0B" w:rsidTr="00803CA9">
        <w:trPr>
          <w:trHeight w:val="362"/>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CV</w:t>
            </w:r>
            <w:r w:rsidRPr="007C1E0B">
              <w:rPr>
                <w:rFonts w:ascii="Times New Roman" w:eastAsia="Times New Roman" w:hAnsi="Times New Roman" w:cs="Times New Roman"/>
                <w:sz w:val="20"/>
                <w:szCs w:val="20"/>
                <w:vertAlign w:val="subscript"/>
              </w:rPr>
              <w:t>R</w:t>
            </w:r>
            <w:r w:rsidRPr="007C1E0B">
              <w:rPr>
                <w:rFonts w:ascii="Times New Roman" w:eastAsia="Times New Roman" w:hAnsi="Times New Roman" w:cs="Times New Roman"/>
                <w:sz w:val="20"/>
                <w:szCs w:val="20"/>
              </w:rPr>
              <w:t xml:space="preserve"> (%) </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7,53</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7,38</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18,61</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9,67</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13,65</w:t>
            </w:r>
          </w:p>
        </w:tc>
      </w:tr>
      <w:tr w:rsidR="008D3BD1" w:rsidRPr="007C1E0B" w:rsidTr="00803CA9">
        <w:trPr>
          <w:trHeight w:val="375"/>
        </w:trPr>
        <w:tc>
          <w:tcPr>
            <w:tcW w:w="2267"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Nominal içerik (mg/kg)</w:t>
            </w:r>
          </w:p>
        </w:tc>
        <w:tc>
          <w:tcPr>
            <w:tcW w:w="1576"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100</w:t>
            </w:r>
          </w:p>
        </w:tc>
        <w:tc>
          <w:tcPr>
            <w:tcW w:w="1364"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100</w:t>
            </w:r>
          </w:p>
        </w:tc>
        <w:tc>
          <w:tcPr>
            <w:tcW w:w="1338"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w:t>
            </w:r>
          </w:p>
        </w:tc>
        <w:tc>
          <w:tcPr>
            <w:tcW w:w="1339"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w:t>
            </w:r>
          </w:p>
        </w:tc>
        <w:tc>
          <w:tcPr>
            <w:tcW w:w="1190" w:type="dxa"/>
          </w:tcPr>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1</w:t>
            </w:r>
          </w:p>
        </w:tc>
      </w:tr>
    </w:tbl>
    <w:p w:rsidR="008D3BD1" w:rsidRPr="007C1E0B" w:rsidRDefault="008D3BD1" w:rsidP="001B722B">
      <w:pPr>
        <w:autoSpaceDE w:val="0"/>
        <w:autoSpaceDN w:val="0"/>
        <w:adjustRightInd w:val="0"/>
        <w:spacing w:before="120" w:after="0" w:line="240" w:lineRule="auto"/>
        <w:jc w:val="both"/>
        <w:rPr>
          <w:rFonts w:ascii="Times New Roman" w:eastAsia="Times New Roman" w:hAnsi="Times New Roman" w:cs="Times New Roman"/>
          <w:sz w:val="18"/>
          <w:szCs w:val="18"/>
        </w:rPr>
      </w:pPr>
    </w:p>
    <w:p w:rsidR="008D3BD1" w:rsidRPr="007C1E0B" w:rsidRDefault="008D3BD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 xml:space="preserve">L = </w:t>
      </w:r>
      <w:r w:rsidR="00381839" w:rsidRPr="007C1E0B">
        <w:rPr>
          <w:rFonts w:ascii="Times New Roman" w:eastAsia="Times New Roman" w:hAnsi="Times New Roman" w:cs="Times New Roman"/>
          <w:sz w:val="20"/>
          <w:szCs w:val="20"/>
        </w:rPr>
        <w:t>Laboratuvar</w:t>
      </w:r>
      <w:r w:rsidRPr="007C1E0B">
        <w:rPr>
          <w:rFonts w:ascii="Times New Roman" w:eastAsia="Times New Roman" w:hAnsi="Times New Roman" w:cs="Times New Roman"/>
          <w:sz w:val="20"/>
          <w:szCs w:val="20"/>
        </w:rPr>
        <w:t>ların sayısı</w:t>
      </w:r>
    </w:p>
    <w:p w:rsidR="008D3BD1" w:rsidRPr="007C1E0B" w:rsidRDefault="008D3BD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n = Tekil değerlerin sayısı</w:t>
      </w:r>
    </w:p>
    <w:p w:rsidR="008D3BD1" w:rsidRPr="007C1E0B" w:rsidRDefault="00BD680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s</w:t>
      </w:r>
      <w:r w:rsidR="008D3BD1" w:rsidRPr="007C1E0B">
        <w:rPr>
          <w:rFonts w:ascii="Times New Roman" w:eastAsia="Times New Roman" w:hAnsi="Times New Roman" w:cs="Times New Roman"/>
          <w:sz w:val="20"/>
          <w:szCs w:val="20"/>
          <w:vertAlign w:val="subscript"/>
        </w:rPr>
        <w:t>r</w:t>
      </w:r>
      <w:r w:rsidR="008D3BD1" w:rsidRPr="007C1E0B">
        <w:rPr>
          <w:rFonts w:ascii="Times New Roman" w:eastAsia="Times New Roman" w:hAnsi="Times New Roman" w:cs="Times New Roman"/>
          <w:sz w:val="20"/>
          <w:szCs w:val="20"/>
        </w:rPr>
        <w:t xml:space="preserve"> = </w:t>
      </w:r>
      <w:r w:rsidR="004B29C1" w:rsidRPr="007C1E0B">
        <w:rPr>
          <w:rFonts w:ascii="Times New Roman" w:eastAsia="Times New Roman" w:hAnsi="Times New Roman" w:cs="Times New Roman"/>
          <w:sz w:val="20"/>
          <w:szCs w:val="20"/>
        </w:rPr>
        <w:t>Tekrar edilebilirliğin</w:t>
      </w:r>
      <w:r w:rsidR="008D3BD1" w:rsidRPr="007C1E0B">
        <w:rPr>
          <w:rFonts w:ascii="Times New Roman" w:eastAsia="Times New Roman" w:hAnsi="Times New Roman" w:cs="Times New Roman"/>
          <w:sz w:val="20"/>
          <w:szCs w:val="20"/>
        </w:rPr>
        <w:t xml:space="preserve"> standart sapması</w:t>
      </w:r>
    </w:p>
    <w:p w:rsidR="008D3BD1" w:rsidRPr="007C1E0B" w:rsidRDefault="008D3BD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CV</w:t>
      </w:r>
      <w:r w:rsidRPr="007C1E0B">
        <w:rPr>
          <w:rFonts w:ascii="Times New Roman" w:eastAsia="Times New Roman" w:hAnsi="Times New Roman" w:cs="Times New Roman"/>
          <w:sz w:val="20"/>
          <w:szCs w:val="20"/>
          <w:vertAlign w:val="subscript"/>
        </w:rPr>
        <w:t>r</w:t>
      </w:r>
      <w:r w:rsidRPr="007C1E0B">
        <w:rPr>
          <w:rFonts w:ascii="Times New Roman" w:eastAsia="Times New Roman" w:hAnsi="Times New Roman" w:cs="Times New Roman"/>
          <w:sz w:val="20"/>
          <w:szCs w:val="20"/>
        </w:rPr>
        <w:t xml:space="preserve"> = </w:t>
      </w:r>
      <w:r w:rsidR="004B29C1" w:rsidRPr="007C1E0B">
        <w:rPr>
          <w:rFonts w:ascii="Times New Roman" w:eastAsia="Times New Roman" w:hAnsi="Times New Roman" w:cs="Times New Roman"/>
          <w:sz w:val="20"/>
          <w:szCs w:val="20"/>
        </w:rPr>
        <w:t>Tekrar edilebilirliğin</w:t>
      </w:r>
      <w:r w:rsidRPr="007C1E0B">
        <w:rPr>
          <w:rFonts w:ascii="Times New Roman" w:eastAsia="Times New Roman" w:hAnsi="Times New Roman" w:cs="Times New Roman"/>
          <w:sz w:val="20"/>
          <w:szCs w:val="20"/>
        </w:rPr>
        <w:t xml:space="preserve"> </w:t>
      </w:r>
      <w:r w:rsidR="00F52DA3" w:rsidRPr="007C1E0B">
        <w:rPr>
          <w:rFonts w:ascii="Times New Roman" w:eastAsia="Times New Roman" w:hAnsi="Times New Roman" w:cs="Times New Roman"/>
          <w:sz w:val="20"/>
          <w:szCs w:val="20"/>
        </w:rPr>
        <w:t>değişim</w:t>
      </w:r>
      <w:r w:rsidRPr="007C1E0B">
        <w:rPr>
          <w:rFonts w:ascii="Times New Roman" w:eastAsia="Times New Roman" w:hAnsi="Times New Roman" w:cs="Times New Roman"/>
          <w:sz w:val="20"/>
          <w:szCs w:val="20"/>
        </w:rPr>
        <w:t xml:space="preserve"> katsayısı</w:t>
      </w:r>
    </w:p>
    <w:p w:rsidR="008D3BD1" w:rsidRPr="007C1E0B" w:rsidRDefault="008D3BD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S</w:t>
      </w:r>
      <w:r w:rsidRPr="007C1E0B">
        <w:rPr>
          <w:rFonts w:ascii="Times New Roman" w:eastAsia="Times New Roman" w:hAnsi="Times New Roman" w:cs="Times New Roman"/>
          <w:sz w:val="20"/>
          <w:szCs w:val="20"/>
          <w:vertAlign w:val="subscript"/>
        </w:rPr>
        <w:t>R</w:t>
      </w:r>
      <w:r w:rsidRPr="007C1E0B">
        <w:rPr>
          <w:rFonts w:ascii="Times New Roman" w:eastAsia="Times New Roman" w:hAnsi="Times New Roman" w:cs="Times New Roman"/>
          <w:sz w:val="20"/>
          <w:szCs w:val="20"/>
        </w:rPr>
        <w:t xml:space="preserve"> = Tekrar </w:t>
      </w:r>
      <w:r w:rsidR="001D7C7B" w:rsidRPr="007C1E0B">
        <w:rPr>
          <w:rFonts w:ascii="Times New Roman" w:eastAsia="Times New Roman" w:hAnsi="Times New Roman" w:cs="Times New Roman"/>
          <w:sz w:val="20"/>
          <w:szCs w:val="20"/>
        </w:rPr>
        <w:t>üretilebilirliğin</w:t>
      </w:r>
      <w:r w:rsidRPr="007C1E0B">
        <w:rPr>
          <w:rFonts w:ascii="Times New Roman" w:eastAsia="Times New Roman" w:hAnsi="Times New Roman" w:cs="Times New Roman"/>
          <w:sz w:val="20"/>
          <w:szCs w:val="20"/>
        </w:rPr>
        <w:t xml:space="preserve"> standart sapması</w:t>
      </w:r>
    </w:p>
    <w:p w:rsidR="008D3BD1" w:rsidRPr="007C1E0B" w:rsidRDefault="008D3BD1" w:rsidP="001B722B">
      <w:pPr>
        <w:spacing w:after="0" w:line="240" w:lineRule="auto"/>
        <w:jc w:val="both"/>
        <w:rPr>
          <w:rFonts w:ascii="Times New Roman" w:eastAsia="Times New Roman" w:hAnsi="Times New Roman" w:cs="Times New Roman"/>
          <w:sz w:val="20"/>
          <w:szCs w:val="20"/>
        </w:rPr>
      </w:pPr>
      <w:r w:rsidRPr="007C1E0B">
        <w:rPr>
          <w:rFonts w:ascii="Times New Roman" w:eastAsia="Times New Roman" w:hAnsi="Times New Roman" w:cs="Times New Roman"/>
          <w:sz w:val="20"/>
          <w:szCs w:val="20"/>
        </w:rPr>
        <w:t>CV</w:t>
      </w:r>
      <w:r w:rsidRPr="007C1E0B">
        <w:rPr>
          <w:rFonts w:ascii="Times New Roman" w:eastAsia="Times New Roman" w:hAnsi="Times New Roman" w:cs="Times New Roman"/>
          <w:sz w:val="20"/>
          <w:szCs w:val="20"/>
          <w:vertAlign w:val="subscript"/>
        </w:rPr>
        <w:t>R</w:t>
      </w:r>
      <w:r w:rsidRPr="007C1E0B">
        <w:rPr>
          <w:rFonts w:ascii="Times New Roman" w:eastAsia="Times New Roman" w:hAnsi="Times New Roman" w:cs="Times New Roman"/>
          <w:sz w:val="20"/>
          <w:szCs w:val="20"/>
        </w:rPr>
        <w:t xml:space="preserve"> = Tekrar </w:t>
      </w:r>
      <w:r w:rsidR="001D7C7B" w:rsidRPr="007C1E0B">
        <w:rPr>
          <w:rFonts w:ascii="Times New Roman" w:eastAsia="Times New Roman" w:hAnsi="Times New Roman" w:cs="Times New Roman"/>
          <w:sz w:val="20"/>
          <w:szCs w:val="20"/>
        </w:rPr>
        <w:t>üretilebilirliğin</w:t>
      </w:r>
      <w:r w:rsidRPr="007C1E0B">
        <w:rPr>
          <w:rFonts w:ascii="Times New Roman" w:eastAsia="Times New Roman" w:hAnsi="Times New Roman" w:cs="Times New Roman"/>
          <w:sz w:val="20"/>
          <w:szCs w:val="20"/>
        </w:rPr>
        <w:t xml:space="preserve"> </w:t>
      </w:r>
      <w:r w:rsidR="00F52DA3" w:rsidRPr="007C1E0B">
        <w:rPr>
          <w:rFonts w:ascii="Times New Roman" w:eastAsia="Times New Roman" w:hAnsi="Times New Roman" w:cs="Times New Roman"/>
          <w:sz w:val="20"/>
          <w:szCs w:val="20"/>
        </w:rPr>
        <w:t>değişim</w:t>
      </w:r>
      <w:r w:rsidRPr="007C1E0B">
        <w:rPr>
          <w:rFonts w:ascii="Times New Roman" w:eastAsia="Times New Roman" w:hAnsi="Times New Roman" w:cs="Times New Roman"/>
          <w:sz w:val="20"/>
          <w:szCs w:val="20"/>
        </w:rPr>
        <w:t xml:space="preserve"> katsayısı</w:t>
      </w:r>
    </w:p>
    <w:p w:rsidR="00B747E7" w:rsidRPr="007C1E0B" w:rsidRDefault="00B747E7"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Diklazuril yanıtının ölçülen konsantrasyon dizisinde doğrusal olduğu önceden gösterilmiş olmalıdır.</w:t>
      </w:r>
    </w:p>
    <w:p w:rsidR="002A04C1" w:rsidRPr="007C1E0B" w:rsidRDefault="002A04C1" w:rsidP="001B722B">
      <w:pPr>
        <w:jc w:val="both"/>
        <w:rPr>
          <w:rFonts w:ascii="Times New Roman" w:hAnsi="Times New Roman" w:cs="Times New Roman"/>
          <w:b/>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F. </w:t>
      </w:r>
      <w:r w:rsidR="00B747E7"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LASALOSİD SODYUM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Streptomyces lasaliensis ile üretilen bir polieter monokarboksilik asidin sodyum tuzu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yemlerdeki ve premikslerdeki lasalosid sodyum seviyesinin tayinini mümkün kılar. Tespit limiti 5 mg/kg, Ölçüm limiti 10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Lasalosid sodyum numuneden asitleştirilmiş metanolle ekstrakte edilir ve spektroflorometrik bir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 kullanılarak ters fazlı yüksek performans sıvı kromatografisi (HPLC) ile tayin edilir.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Ayıraçlar </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Potasyum dihidrojen fosfat (KH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PO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Ortofosforik asit, w (w/w) = %</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85</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Ortofosforik asit çözeltisi, c = %</w:t>
      </w:r>
      <w:r w:rsidR="00C5493C" w:rsidRPr="007C1E0B">
        <w:rPr>
          <w:rFonts w:ascii="Times New Roman" w:hAnsi="Times New Roman" w:cs="Times New Roman"/>
          <w:sz w:val="20"/>
          <w:szCs w:val="20"/>
        </w:rPr>
        <w:t xml:space="preserve"> </w:t>
      </w:r>
      <w:r w:rsidRPr="007C1E0B">
        <w:rPr>
          <w:rFonts w:ascii="Times New Roman" w:hAnsi="Times New Roman" w:cs="Times New Roman"/>
          <w:sz w:val="20"/>
          <w:szCs w:val="20"/>
        </w:rPr>
        <w:t>20,  23,5 ml ortofosforik asit (3.2) suyla 100 ml’ye seyreltilir.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6-Metil-2-heptilamin (1,5-dimetilheksilamin), w (w/w) = %</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99</w:t>
      </w:r>
    </w:p>
    <w:p w:rsidR="008D3BD1" w:rsidRPr="007C1E0B" w:rsidRDefault="008D3BD1" w:rsidP="001B722B">
      <w:pPr>
        <w:jc w:val="both"/>
        <w:rPr>
          <w:rFonts w:ascii="Times New Roman" w:hAnsi="Times New Roman" w:cs="Times New Roman"/>
          <w:b/>
          <w:sz w:val="20"/>
          <w:szCs w:val="20"/>
        </w:rPr>
      </w:pPr>
      <w:r w:rsidRPr="007C1E0B">
        <w:rPr>
          <w:rFonts w:ascii="Times New Roman" w:hAnsi="Times New Roman" w:cs="Times New Roman"/>
          <w:sz w:val="20"/>
          <w:szCs w:val="20"/>
        </w:rPr>
        <w:t xml:space="preserve">3.5.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 HPLC kullanım saflığında</w:t>
      </w:r>
      <w:r w:rsidRPr="007C1E0B">
        <w:rPr>
          <w:rFonts w:ascii="Times New Roman" w:hAnsi="Times New Roman" w:cs="Times New Roman"/>
          <w:b/>
          <w:sz w:val="20"/>
          <w:szCs w:val="20"/>
        </w:rPr>
        <w:t xml:space="preserve"> </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Hidroklorik asit, yoğunluk = 1,19 g/ml</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Fosfat tampon çözeltisi, c = 0,01 mol/l, </w:t>
      </w:r>
      <w:smartTag w:uri="urn:schemas-microsoft-com:office:smarttags" w:element="metricconverter">
        <w:smartTagPr>
          <w:attr w:name="ProductID" w:val="1,36 g"/>
        </w:smartTagPr>
        <w:r w:rsidRPr="007C1E0B">
          <w:rPr>
            <w:rFonts w:ascii="Times New Roman" w:hAnsi="Times New Roman" w:cs="Times New Roman"/>
            <w:sz w:val="20"/>
            <w:szCs w:val="20"/>
          </w:rPr>
          <w:t>1,36 g</w:t>
        </w:r>
      </w:smartTag>
      <w:r w:rsidRPr="007C1E0B">
        <w:rPr>
          <w:rFonts w:ascii="Times New Roman" w:hAnsi="Times New Roman" w:cs="Times New Roman"/>
          <w:sz w:val="20"/>
          <w:szCs w:val="20"/>
        </w:rPr>
        <w:t xml:space="preserve"> KH</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PO</w:t>
      </w:r>
      <w:r w:rsidRPr="007C1E0B">
        <w:rPr>
          <w:rFonts w:ascii="Times New Roman" w:hAnsi="Times New Roman" w:cs="Times New Roman"/>
          <w:sz w:val="20"/>
          <w:szCs w:val="20"/>
          <w:vertAlign w:val="subscript"/>
        </w:rPr>
        <w:t>4</w:t>
      </w:r>
      <w:r w:rsidRPr="007C1E0B">
        <w:rPr>
          <w:rFonts w:ascii="Times New Roman" w:hAnsi="Times New Roman" w:cs="Times New Roman"/>
          <w:sz w:val="20"/>
          <w:szCs w:val="20"/>
        </w:rPr>
        <w:t xml:space="preserve"> (3.1) 500 ml suda (3.11) çözündürülür, 3,5 ml ortofosforik asit (3.2) ve 10,0 ml 6-metil-2-heptilamin (3.4) eklenir. Ortofosforik asit çözeltisiyle (3.3) pH 4,0’e ayarlanır ve su ile (3.11) 1000 ml’ye tamamlanır.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Asitleştirilmiş metanol, 5,0 ml hidroklorik asit (3.6) 1000 ml’lik balon jojeye aktarılır, metanol (3.5) ile işarete kadar tamamlanır ve karıştırılır. Bu çözelti kullanılmadan önce taze olarak hazırlanmalıdır.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3.9.</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mobil fazı, fosfat tampon metanol çözeltisi 5 + 95 (V + V), 5 ml fosfat tampon çözeltisi (3.7) 95 ml metanol (3.5) ile karıştırılır.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3.10. Garantili saflıkta lasalosid sodyum standart maddesi, C</w:t>
      </w:r>
      <w:r w:rsidRPr="007C1E0B">
        <w:rPr>
          <w:rFonts w:ascii="Times New Roman" w:hAnsi="Times New Roman" w:cs="Times New Roman"/>
          <w:sz w:val="20"/>
          <w:szCs w:val="20"/>
          <w:vertAlign w:val="subscript"/>
        </w:rPr>
        <w:t>34</w:t>
      </w:r>
      <w:r w:rsidRPr="007C1E0B">
        <w:rPr>
          <w:rFonts w:ascii="Times New Roman" w:hAnsi="Times New Roman" w:cs="Times New Roman"/>
          <w:sz w:val="20"/>
          <w:szCs w:val="20"/>
        </w:rPr>
        <w:t>H</w:t>
      </w:r>
      <w:r w:rsidRPr="007C1E0B">
        <w:rPr>
          <w:rFonts w:ascii="Times New Roman" w:hAnsi="Times New Roman" w:cs="Times New Roman"/>
          <w:sz w:val="20"/>
          <w:szCs w:val="20"/>
          <w:vertAlign w:val="subscript"/>
        </w:rPr>
        <w:t>53</w:t>
      </w:r>
      <w:r w:rsidRPr="007C1E0B">
        <w:rPr>
          <w:rFonts w:ascii="Times New Roman" w:hAnsi="Times New Roman" w:cs="Times New Roman"/>
          <w:sz w:val="20"/>
          <w:szCs w:val="20"/>
        </w:rPr>
        <w:t>O</w:t>
      </w:r>
      <w:r w:rsidRPr="007C1E0B">
        <w:rPr>
          <w:rFonts w:ascii="Times New Roman" w:hAnsi="Times New Roman" w:cs="Times New Roman"/>
          <w:sz w:val="20"/>
          <w:szCs w:val="20"/>
          <w:vertAlign w:val="subscript"/>
        </w:rPr>
        <w:t>8</w:t>
      </w:r>
      <w:r w:rsidRPr="007C1E0B">
        <w:rPr>
          <w:rFonts w:ascii="Times New Roman" w:hAnsi="Times New Roman" w:cs="Times New Roman"/>
          <w:sz w:val="20"/>
          <w:szCs w:val="20"/>
        </w:rPr>
        <w:t>Na (</w:t>
      </w:r>
      <w:r w:rsidRPr="007C1E0B">
        <w:rPr>
          <w:rFonts w:ascii="Times New Roman" w:hAnsi="Times New Roman" w:cs="Times New Roman"/>
          <w:i/>
          <w:sz w:val="20"/>
          <w:szCs w:val="20"/>
        </w:rPr>
        <w:t>Streptomyces lasaliensis</w:t>
      </w:r>
      <w:r w:rsidRPr="007C1E0B">
        <w:rPr>
          <w:rFonts w:ascii="Times New Roman" w:hAnsi="Times New Roman" w:cs="Times New Roman"/>
          <w:sz w:val="20"/>
          <w:szCs w:val="20"/>
        </w:rPr>
        <w:t xml:space="preserve"> ile üretilen bir polieter monokarboksilik asidin sodyum tuzu), E763</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3.10.1. Lasalosid sodyum stok standart çözeltisi, 500 μg/ml, 50 mg lasalosid sodyum (3.10) 0,1 mg hassasiyetle 100 ml’lik balon jojeye tartılır, asitleştirilmiş metanolde (3.8) çözündürülür, aynı çözücü ile işarete kadar tamamlanır ve karıştırılır. Bu çözelti, kullanmadan önce taze olarak hazırlanmalıdır.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Lasalosid sodyum ara standart çözeltisi, 50 μg/ml, 10,0 ml stok standart çözeltisi (3.10.1) 100 ml’lik balon jojeye pipetlenir, asitleştirilmiş metanol (3.8) ile işarete kadar tamamlanır ve karıştırılır. Bu çözelti, kullanmadan önce taze olarak hazırlanmalıdır.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Bir dizi 50 ml’lik balon jojeye 1,0, 2,0, 4,0, 5,0 ve 10,0 ml ara standart çözeltisi (3.10.2) aktarılır. Asitleştirilmiş metanol (3.8) ile işarete kadar tamamlanır ve karıştırılır. Bu çözeltiler sırasıyla 1,0, 2,0, 4,0, 5,0 ve 10,0 μg/ml lasalosid sodyuma karşılık gelir. Bu çözeltiler kullanmadan önce taze olarak hazırlanmalıdır.</w:t>
      </w:r>
    </w:p>
    <w:p w:rsidR="008D3BD1" w:rsidRPr="007C1E0B" w:rsidRDefault="008D3BD1" w:rsidP="001B722B">
      <w:pPr>
        <w:jc w:val="both"/>
        <w:rPr>
          <w:rFonts w:ascii="Times New Roman" w:hAnsi="Times New Roman" w:cs="Times New Roman"/>
          <w:sz w:val="20"/>
          <w:szCs w:val="20"/>
        </w:rPr>
      </w:pPr>
      <w:r w:rsidRPr="007C1E0B">
        <w:rPr>
          <w:rFonts w:ascii="Times New Roman" w:hAnsi="Times New Roman" w:cs="Times New Roman"/>
          <w:sz w:val="20"/>
          <w:szCs w:val="20"/>
        </w:rPr>
        <w:t>3.11.</w:t>
      </w:r>
      <w:r w:rsidRPr="007C1E0B">
        <w:rPr>
          <w:rFonts w:ascii="Times New Roman" w:hAnsi="Times New Roman" w:cs="Times New Roman"/>
          <w:b/>
          <w:sz w:val="20"/>
          <w:szCs w:val="20"/>
        </w:rPr>
        <w:t xml:space="preserve"> </w:t>
      </w:r>
      <w:r w:rsidR="00B747E7" w:rsidRPr="007C1E0B">
        <w:rPr>
          <w:rFonts w:ascii="Times New Roman" w:hAnsi="Times New Roman" w:cs="Times New Roman"/>
          <w:b/>
          <w:sz w:val="20"/>
          <w:szCs w:val="20"/>
        </w:rPr>
        <w:t xml:space="preserve"> </w:t>
      </w:r>
      <w:r w:rsidRPr="007C1E0B">
        <w:rPr>
          <w:rFonts w:ascii="Times New Roman" w:hAnsi="Times New Roman" w:cs="Times New Roman"/>
          <w:sz w:val="20"/>
          <w:szCs w:val="20"/>
        </w:rPr>
        <w:t>Su,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Sıcaklık kontrollü ultrasonik banyo (ya da çalkalanan su banyosu).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filtreler,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20 μl’lik hacimleri enjekte etmeye uygun enjeksiyon sistemli HPLC cihazı.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125 mm x 4 mm, ters fazlı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5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Eksitasyon ve emisyon dalga boyları için değişken dalga boyu ayarlı spektroflorometre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Geri kazanım testinin (5.1.2) performansında, lasalosid sodyum ya da etkileşime giren maddelerin olmadığını kontrol etmek için bir kör yem analiz edilmelidir. Kör yem numunedekine benzer türde olmalı ve analizde, lasalosid sodyum ya da etkileyen maddeler tespit edilmemelidir.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w:t>
      </w:r>
      <w:r w:rsidR="00BB20A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testi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varlığına yakın miktarda lasalosid sodyum eklenen kör yem analiz edilerek bir geri kazanım testi yürütülmelidir. Lasalosid sodyumu 100 mg/kg düzeyine ulaştırmak için 10,0 ml stok standardı (3.10.1) 250 ml’lik erlene aktarılır ve çözelti yaklaşık 0,5 ml’ye buharlaştırılır. 50 g kör yem eklenir, iyice karıştırılır, 10 dakika dinlendirilir, ekstraksiyon aşamasına (5.2) devam etmeden önce birkaç kez yeniden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Alternatif olarak, numune ile benzer türde bir kör yem mümkün değilse (bakınız 5.1.1), standart ekleme metodu yoluyla bir geri kazanım testi gerçekleştirilebilir. Bu durumda analiz edilecek numune, zaten numune içinde mevcut olana benzer bir miktar lasalosid sodyum ile zenginleştirilir. Bu numune zenginleştirilmemiş numune ile birlikte analiz edilir ve çıkartma yoluyla geri kazanım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Yem</w:t>
      </w:r>
      <w:r w:rsidRPr="007C1E0B">
        <w:rPr>
          <w:rFonts w:ascii="Times New Roman" w:hAnsi="Times New Roman" w:cs="Times New Roman"/>
          <w:sz w:val="20"/>
          <w:szCs w:val="20"/>
        </w:rPr>
        <w:tab/>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 g ile 10 g numune 0,01 g hassasiyetle 250 ml’lik tapalı bir konik cam erlene tartılır. 100,0 ml asitleştirilmiş metanol (3.8) pipetle eklenir. Gevşekçe kapatılır ve içeriğin dağılması için karıştırılır. Erlen yaklaşık 40°C’deki bir ultrasonik banyoya (4.1) 20 dakika konulur, ardından banyodan alınır ve oda sıcaklığına soğutulur. Süspansiyon halindeki madde oturana kadar yaklaşık bir saat dinlendirilir, ardından temsili bir miktar 0,45 μm’lik bir membran filtreden (4.2) uygun bir kaba süzülür. HPLC tayinine (5.3)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Yaklaşık 2 g öğütülmemiş premiks 0,001 g hassasiyetle 250 ml’lik balon jojeye tartılır. 100,0 ml asitleştirilmiş metanol (3.8) eklenir ve içeriğin dağılması için karıştırılır. Balon joje ve içindekiler yaklaşık 40°C’deki bir ultrasonik banyoya (4.1) 20 dakika süreyle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ardından banyodan alınır ve oda sıcaklığına soğutulur. Asitleştirilmiş metanol (3.8) ile işarete kadar tamamlanır ve iyice karıştırılır. Süspansiyon halindeki madde oturana kadar bir saat dinlendirilir, ardından temsili bir miktar 0,45 μm’lik bir membran filtreden (4.2) süzülür. Yaklaşık 4 μg/ml lasalosid sodyum içeren nihai test çözeltisi üretmek için uygun hacimdeki berrak filtrat asitleştirilmiş metanol (3.8) ile seyreltilir. HPLC tayinine (5.3)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tbl>
      <w:tblPr>
        <w:tblStyle w:val="TabloKlavuzu"/>
        <w:tblpPr w:leftFromText="142" w:rightFromText="142" w:vertAnchor="text" w:tblpX="109" w:tblpY="1"/>
        <w:tblOverlap w:val="never"/>
        <w:tblW w:w="9083" w:type="dxa"/>
        <w:tblLayout w:type="fixed"/>
        <w:tblLook w:val="04A0" w:firstRow="1" w:lastRow="0" w:firstColumn="1" w:lastColumn="0" w:noHBand="0" w:noVBand="1"/>
      </w:tblPr>
      <w:tblGrid>
        <w:gridCol w:w="4487"/>
        <w:gridCol w:w="4596"/>
      </w:tblGrid>
      <w:tr w:rsidR="007C1E0B" w:rsidRPr="007C1E0B" w:rsidTr="00803CA9">
        <w:trPr>
          <w:trHeight w:val="714"/>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Sıvı kromatografik kolon (4.3.1):</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125 mm"/>
              </w:smartTagPr>
              <w:r w:rsidRPr="007C1E0B">
                <w:rPr>
                  <w:rFonts w:ascii="Times New Roman" w:eastAsiaTheme="minorEastAsia" w:hAnsi="Times New Roman" w:cs="Times New Roman"/>
                  <w:sz w:val="20"/>
                  <w:szCs w:val="20"/>
                  <w:lang w:eastAsia="tr-TR"/>
                </w:rPr>
                <w:t>125 mm</w:t>
              </w:r>
            </w:smartTag>
            <w:r w:rsidRPr="007C1E0B">
              <w:rPr>
                <w:rFonts w:ascii="Times New Roman" w:eastAsiaTheme="minorEastAsia" w:hAnsi="Times New Roman" w:cs="Times New Roman"/>
                <w:sz w:val="20"/>
                <w:szCs w:val="20"/>
                <w:lang w:eastAsia="tr-TR"/>
              </w:rPr>
              <w:t xml:space="preserve"> x </w:t>
            </w:r>
            <w:smartTag w:uri="urn:schemas-microsoft-com:office:smarttags" w:element="metricconverter">
              <w:smartTagPr>
                <w:attr w:name="ProductID" w:val="4 mm"/>
              </w:smartTagPr>
              <w:r w:rsidRPr="007C1E0B">
                <w:rPr>
                  <w:rFonts w:ascii="Times New Roman" w:eastAsiaTheme="minorEastAsia" w:hAnsi="Times New Roman" w:cs="Times New Roman"/>
                  <w:sz w:val="20"/>
                  <w:szCs w:val="20"/>
                  <w:lang w:eastAsia="tr-TR"/>
                </w:rPr>
                <w:t>4 mm</w:t>
              </w:r>
            </w:smartTag>
            <w:r w:rsidRPr="007C1E0B">
              <w:rPr>
                <w:rFonts w:ascii="Times New Roman" w:eastAsiaTheme="minorEastAsia" w:hAnsi="Times New Roman" w:cs="Times New Roman"/>
                <w:sz w:val="20"/>
                <w:szCs w:val="20"/>
                <w:lang w:eastAsia="tr-TR"/>
              </w:rPr>
              <w:t>, ters fazlı C</w:t>
            </w:r>
            <w:r w:rsidRPr="007C1E0B">
              <w:rPr>
                <w:rFonts w:ascii="Times New Roman" w:eastAsiaTheme="minorEastAsia" w:hAnsi="Times New Roman" w:cs="Times New Roman"/>
                <w:sz w:val="20"/>
                <w:szCs w:val="20"/>
                <w:vertAlign w:val="subscript"/>
                <w:lang w:eastAsia="tr-TR"/>
              </w:rPr>
              <w:t>18</w:t>
            </w:r>
            <w:r w:rsidRPr="007C1E0B">
              <w:rPr>
                <w:rFonts w:ascii="Times New Roman" w:eastAsiaTheme="minorEastAsia" w:hAnsi="Times New Roman" w:cs="Times New Roman"/>
                <w:sz w:val="20"/>
                <w:szCs w:val="20"/>
                <w:lang w:eastAsia="tr-TR"/>
              </w:rPr>
              <w:t>, 5 μm dolgu ya da eşdeğeri.</w:t>
            </w:r>
          </w:p>
        </w:tc>
      </w:tr>
      <w:tr w:rsidR="007C1E0B" w:rsidRPr="007C1E0B" w:rsidTr="00803CA9">
        <w:trPr>
          <w:trHeight w:val="525"/>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Mobil faz (3.9):</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Fosfat tampon çözeltisi (3.7) ve metanol (3.5) karışımı, 5 + 95 (V+V)</w:t>
            </w:r>
          </w:p>
        </w:tc>
      </w:tr>
      <w:tr w:rsidR="007C1E0B" w:rsidRPr="007C1E0B" w:rsidTr="00803CA9">
        <w:trPr>
          <w:trHeight w:val="224"/>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Akış hızı:</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1,2 ml/dak.</w:t>
            </w:r>
          </w:p>
        </w:tc>
      </w:tr>
      <w:tr w:rsidR="007C1E0B" w:rsidRPr="007C1E0B" w:rsidTr="00803CA9">
        <w:trPr>
          <w:trHeight w:val="159"/>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Tespit dalga boyları:</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454"/>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Eksitasyon:</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310 nm</w:t>
            </w:r>
          </w:p>
        </w:tc>
      </w:tr>
      <w:tr w:rsidR="007C1E0B" w:rsidRPr="007C1E0B" w:rsidTr="00803CA9">
        <w:trPr>
          <w:trHeight w:val="442"/>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Emisyon:</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419 nm</w:t>
            </w:r>
          </w:p>
        </w:tc>
      </w:tr>
      <w:tr w:rsidR="007C1E0B" w:rsidRPr="007C1E0B" w:rsidTr="00803CA9">
        <w:trPr>
          <w:trHeight w:val="454"/>
        </w:trPr>
        <w:tc>
          <w:tcPr>
            <w:tcW w:w="4487"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Enjeksiyon hacmi:</w:t>
            </w:r>
          </w:p>
        </w:tc>
        <w:tc>
          <w:tcPr>
            <w:tcW w:w="4596" w:type="dxa"/>
          </w:tcPr>
          <w:p w:rsidR="008D3BD1" w:rsidRPr="007C1E0B" w:rsidRDefault="008D3BD1" w:rsidP="00803CA9">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20 μl</w:t>
            </w:r>
          </w:p>
        </w:tc>
      </w:tr>
    </w:tbl>
    <w:p w:rsidR="008D3BD1" w:rsidRPr="007C1E0B" w:rsidRDefault="008D3BD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4,0 μg/ml içeren kalibrasyon çözeltisi (3.10.3), tutarlı pik yükseklikleri (alanlar) ve alıkonma süreleri elde edene kadar birkaç kez enjekte ederek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grafiği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(3.10.3) birkaç kez enjekte edilir ve her bir konsantrasyonun ortalama pik yükseklikleri (alanları) tayin edilir. Apsisteki μg/ml cinsinden konsantrasyonlara ordinatlarda denk gelen ortalama pik yükseklikleri ya da alanları kullanarak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 aynı hacim kullanılarak 5.2.1 ya da 5.2.2’deki numune ekstraktları birkaç kez enjekte edilir ve lasalosid sodyum piklerinin ortalama pik yüksekliği (alanlar)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 referans alınarak, aynı çözeltinin (5.3.3) enjeksiyonu ile üretilen ortalama pik yüksekliğinden (alan) lasalosid sodyum çözeltisinin konsantrasyonu (μg/ml)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lasalosid sodyum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D3BD1" w:rsidRPr="007C1E0B">
        <w:rPr>
          <w:rFonts w:ascii="Times New Roman" w:hAnsi="Times New Roman" w:cs="Times New Roman"/>
          <w:noProof/>
          <w:sz w:val="20"/>
          <w:szCs w:val="20"/>
        </w:rPr>
        <w:drawing>
          <wp:inline distT="0" distB="0" distL="0" distR="0" wp14:anchorId="7528731B" wp14:editId="2BD4B7BD">
            <wp:extent cx="1470660" cy="434340"/>
            <wp:effectExtent l="0" t="0" r="0" b="381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70660" cy="43434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çözeltisinin lasalosid sodyum konsantrasyonu,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Numune ekstraktının 5.2.1’e göre hacmi, ml (örneğin 100)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Test kısmının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lasalosid sodyum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D3BD1" w:rsidRPr="007C1E0B">
        <w:rPr>
          <w:rFonts w:ascii="Times New Roman" w:hAnsi="Times New Roman" w:cs="Times New Roman"/>
          <w:noProof/>
          <w:sz w:val="20"/>
          <w:szCs w:val="20"/>
        </w:rPr>
        <w:drawing>
          <wp:inline distT="0" distB="0" distL="0" distR="0" wp14:anchorId="1A999AEA" wp14:editId="11D8C0E7">
            <wp:extent cx="1554480" cy="457200"/>
            <wp:effectExtent l="0" t="0" r="762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54480" cy="45720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çözeltisinin (5.2.2.) lasalosid sodyum konsantrasyonu,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Numune ekstraktının 5.2.2’ye göre hacmi, ml (örn. 250)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 = 5.2.2’ye göre seyreltme faktörü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Test kısmının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Tanım</w:t>
      </w:r>
      <w:r w:rsidR="006B77F9" w:rsidRPr="007C1E0B">
        <w:rPr>
          <w:rFonts w:ascii="Times New Roman" w:hAnsi="Times New Roman" w:cs="Times New Roman"/>
          <w:sz w:val="20"/>
          <w:szCs w:val="20"/>
        </w:rPr>
        <w:t>l</w:t>
      </w:r>
      <w:r w:rsidRPr="007C1E0B">
        <w:rPr>
          <w:rFonts w:ascii="Times New Roman" w:hAnsi="Times New Roman" w:cs="Times New Roman"/>
          <w:sz w:val="20"/>
          <w:szCs w:val="20"/>
        </w:rPr>
        <w:t>a</w:t>
      </w:r>
      <w:r w:rsidR="006B77F9" w:rsidRPr="007C1E0B">
        <w:rPr>
          <w:rFonts w:ascii="Times New Roman" w:hAnsi="Times New Roman" w:cs="Times New Roman"/>
          <w:sz w:val="20"/>
          <w:szCs w:val="20"/>
        </w:rPr>
        <w:t>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Spektroflorometriye dayanan metotlar, UV tespitinin kullanıldığı metotlara göre etkilenmeye daha az duyarlıdır. Analitin tanıması ortak kromatografi ile doğrulanabilir.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7.1.1.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kromatografi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numune ekstraktına (5.2.1 ya da 5.2.2), uygun miktarda kalibrasyon çözeltisi (3.10.3) eklenir. Eklenen lasalosid sodyum miktarı numune ekstraktında bulunan lasalosid sodyum miktarına benzer olmalıdır. Hem eklenen lasalosid sodyum miktarı hem de ekstraktın seyreltilmesi hesaba katılarak yalnızca lasalosid sodyum pikinin yüksekliği geliştirilmelidir. Yüksekliğinin yarısı boyutundaki pik genişliği, zenginleştirilmemiş numune ekstraktı ile üretilen orijinal pik genişliğinin ±</w:t>
      </w:r>
      <w:r w:rsidR="003D0473"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10 aralığında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farkı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30 mg/kg ile 100 mg/kg lasalosid sodyum içeriği için daha yüksek değere bağıl %</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15,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100 mg/kg ile 200 mg/kg arasındaki lasalosid sodyum içeriği için 15 mg/kg,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200 mg/kg’dan fazla lasalosid sodyum içeriği için daha yüksek değere bağıl %</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7,5.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Zenginleştirilmiş (kör) numune için geri kazanım en az %</w:t>
      </w:r>
      <w:r w:rsidR="00712D33" w:rsidRPr="007C1E0B">
        <w:rPr>
          <w:rFonts w:ascii="Times New Roman" w:hAnsi="Times New Roman" w:cs="Times New Roman"/>
          <w:sz w:val="20"/>
          <w:szCs w:val="20"/>
        </w:rPr>
        <w:t xml:space="preserve"> </w:t>
      </w:r>
      <w:r w:rsidRPr="007C1E0B">
        <w:rPr>
          <w:rFonts w:ascii="Times New Roman" w:hAnsi="Times New Roman" w:cs="Times New Roman"/>
          <w:sz w:val="20"/>
          <w:szCs w:val="20"/>
        </w:rPr>
        <w:t>80 olmalıdır. Güçlendirilmiş premiks numuneleri için geri kazanım en az %</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90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EC ortak çalışması düzenlenmiş, bu çalışmada 12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2 premiks numunesi (numuneler 1 ve 2) ile 5 yem (numuneler 3-7) analiz edilmiştir. Her numunede analizler paralel olarak gerçekleştirilmiştir. Sonuçlar aşağıdaki tabloda verilmiştir:</w:t>
      </w:r>
    </w:p>
    <w:p w:rsidR="002A04C1" w:rsidRPr="007C1E0B" w:rsidRDefault="002A04C1" w:rsidP="001B722B">
      <w:pPr>
        <w:jc w:val="both"/>
        <w:rPr>
          <w:rFonts w:ascii="Times New Roman" w:hAnsi="Times New Roman" w:cs="Times New Roman"/>
          <w:sz w:val="20"/>
          <w:szCs w:val="20"/>
        </w:rPr>
      </w:pP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8"/>
        <w:gridCol w:w="1158"/>
        <w:gridCol w:w="1158"/>
        <w:gridCol w:w="1158"/>
        <w:gridCol w:w="1303"/>
        <w:gridCol w:w="1013"/>
        <w:gridCol w:w="1303"/>
        <w:gridCol w:w="1303"/>
      </w:tblGrid>
      <w:tr w:rsidR="007C1E0B" w:rsidRPr="007C1E0B" w:rsidTr="00F804EF">
        <w:trPr>
          <w:trHeight w:val="1204"/>
        </w:trPr>
        <w:tc>
          <w:tcPr>
            <w:tcW w:w="1158" w:type="dxa"/>
          </w:tcPr>
          <w:p w:rsidR="001F51FD" w:rsidRPr="007C1E0B" w:rsidRDefault="001F51FD" w:rsidP="001B722B">
            <w:pPr>
              <w:jc w:val="both"/>
              <w:rPr>
                <w:rFonts w:ascii="Times New Roman" w:hAnsi="Times New Roman" w:cs="Times New Roman"/>
                <w:sz w:val="20"/>
                <w:szCs w:val="20"/>
              </w:rPr>
            </w:pP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 1</w:t>
            </w:r>
          </w:p>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Tavuk premiksi</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w:t>
            </w:r>
            <w:r w:rsidR="00B747E7" w:rsidRPr="007C1E0B">
              <w:rPr>
                <w:rFonts w:ascii="Times New Roman" w:hAnsi="Times New Roman" w:cs="Times New Roman"/>
                <w:sz w:val="20"/>
                <w:szCs w:val="20"/>
              </w:rPr>
              <w:t xml:space="preserve"> </w:t>
            </w:r>
            <w:r w:rsidRPr="007C1E0B">
              <w:rPr>
                <w:rFonts w:ascii="Times New Roman" w:hAnsi="Times New Roman" w:cs="Times New Roman"/>
                <w:sz w:val="20"/>
                <w:szCs w:val="20"/>
              </w:rPr>
              <w:t>2 Hindi premiksi</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 3 Hindi yemi, Pelet formunda</w:t>
            </w:r>
          </w:p>
        </w:tc>
        <w:tc>
          <w:tcPr>
            <w:tcW w:w="1303" w:type="dxa"/>
          </w:tcPr>
          <w:p w:rsidR="001F51FD" w:rsidRPr="007C1E0B" w:rsidRDefault="001F51FD" w:rsidP="004122D5">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4 Tavuk yemi </w:t>
            </w:r>
            <w:r w:rsidR="004122D5" w:rsidRPr="007C1E0B">
              <w:rPr>
                <w:rFonts w:ascii="Times New Roman" w:hAnsi="Times New Roman" w:cs="Times New Roman"/>
                <w:sz w:val="20"/>
                <w:szCs w:val="20"/>
              </w:rPr>
              <w:t xml:space="preserve">ince-toz </w:t>
            </w:r>
            <w:r w:rsidRPr="007C1E0B">
              <w:rPr>
                <w:rFonts w:ascii="Times New Roman" w:hAnsi="Times New Roman" w:cs="Times New Roman"/>
                <w:sz w:val="20"/>
                <w:szCs w:val="20"/>
              </w:rPr>
              <w:t>formunda</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 5 Hindi Yemi</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 6 Tavuk Yemi A</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Numune 7 Tavuk Yemi B</w:t>
            </w:r>
          </w:p>
        </w:tc>
      </w:tr>
      <w:tr w:rsidR="007C1E0B" w:rsidRPr="007C1E0B" w:rsidTr="00F804EF">
        <w:trPr>
          <w:trHeight w:val="367"/>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L</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w:t>
            </w:r>
          </w:p>
        </w:tc>
      </w:tr>
      <w:tr w:rsidR="007C1E0B" w:rsidRPr="007C1E0B" w:rsidTr="00F804EF">
        <w:trPr>
          <w:trHeight w:val="367"/>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23</w:t>
            </w:r>
          </w:p>
        </w:tc>
      </w:tr>
      <w:tr w:rsidR="007C1E0B" w:rsidRPr="007C1E0B" w:rsidTr="00F804EF">
        <w:trPr>
          <w:trHeight w:val="634"/>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5050</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16200</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76,5</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78,4</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92,9</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48,3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32,6</w:t>
            </w:r>
          </w:p>
        </w:tc>
      </w:tr>
      <w:tr w:rsidR="007C1E0B" w:rsidRPr="007C1E0B" w:rsidTr="00F804EF">
        <w:trPr>
          <w:trHeight w:val="781"/>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 xml:space="preserve">r </w:t>
            </w:r>
            <w:r w:rsidRPr="007C1E0B">
              <w:rPr>
                <w:rFonts w:ascii="Times New Roman" w:hAnsi="Times New Roman" w:cs="Times New Roman"/>
                <w:sz w:val="20"/>
                <w:szCs w:val="20"/>
              </w:rPr>
              <w:t xml:space="preserve">[mg/kg]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107</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408</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1,71</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2,23</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2,27</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1,93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1,75</w:t>
            </w:r>
          </w:p>
        </w:tc>
      </w:tr>
      <w:tr w:rsidR="007C1E0B" w:rsidRPr="007C1E0B" w:rsidTr="00F804EF">
        <w:trPr>
          <w:trHeight w:val="369"/>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E97AE2"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 xml:space="preserve">[%]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2,12</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2,52</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2,24</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2,84</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2,44</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4,00</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5,37</w:t>
            </w:r>
          </w:p>
        </w:tc>
      </w:tr>
      <w:tr w:rsidR="007C1E0B" w:rsidRPr="007C1E0B" w:rsidTr="00F804EF">
        <w:trPr>
          <w:trHeight w:val="555"/>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286</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883</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3,85</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7,32</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5,29</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3,47</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3,49</w:t>
            </w:r>
          </w:p>
        </w:tc>
      </w:tr>
      <w:tr w:rsidR="007C1E0B" w:rsidRPr="007C1E0B" w:rsidTr="00F804EF">
        <w:trPr>
          <w:trHeight w:val="441"/>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5,66</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5,45</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5,03</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9,34</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5,69</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7,18</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10,70</w:t>
            </w:r>
          </w:p>
        </w:tc>
      </w:tr>
      <w:tr w:rsidR="00F804EF" w:rsidRPr="007C1E0B" w:rsidTr="00F804EF">
        <w:trPr>
          <w:trHeight w:val="777"/>
        </w:trPr>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Nominal içerik [mg/kg]</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5 000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16 000 (*)</w:t>
            </w:r>
          </w:p>
        </w:tc>
        <w:tc>
          <w:tcPr>
            <w:tcW w:w="1158"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80 (*)</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105 (*)</w:t>
            </w:r>
          </w:p>
        </w:tc>
        <w:tc>
          <w:tcPr>
            <w:tcW w:w="101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120 (*)</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50 (**)</w:t>
            </w:r>
          </w:p>
        </w:tc>
        <w:tc>
          <w:tcPr>
            <w:tcW w:w="1303" w:type="dxa"/>
          </w:tcPr>
          <w:p w:rsidR="001F51FD" w:rsidRPr="007C1E0B" w:rsidRDefault="001F51FD" w:rsidP="001B722B">
            <w:pPr>
              <w:jc w:val="both"/>
              <w:rPr>
                <w:rFonts w:ascii="Times New Roman" w:hAnsi="Times New Roman" w:cs="Times New Roman"/>
                <w:sz w:val="20"/>
                <w:szCs w:val="20"/>
              </w:rPr>
            </w:pPr>
            <w:r w:rsidRPr="007C1E0B">
              <w:rPr>
                <w:rFonts w:ascii="Times New Roman" w:hAnsi="Times New Roman" w:cs="Times New Roman"/>
                <w:sz w:val="20"/>
                <w:szCs w:val="20"/>
              </w:rPr>
              <w:t>35 (**)</w:t>
            </w:r>
          </w:p>
        </w:tc>
      </w:tr>
    </w:tbl>
    <w:p w:rsidR="001F51FD" w:rsidRPr="007C1E0B" w:rsidRDefault="001F51FD" w:rsidP="001B722B">
      <w:pPr>
        <w:jc w:val="both"/>
        <w:rPr>
          <w:rFonts w:ascii="Times New Roman" w:hAnsi="Times New Roman" w:cs="Times New Roman"/>
          <w:sz w:val="20"/>
          <w:szCs w:val="20"/>
        </w:rPr>
      </w:pPr>
    </w:p>
    <w:p w:rsidR="00F804EF" w:rsidRPr="007C1E0B" w:rsidRDefault="00F804E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Üretici tarafından beyan edilen içerik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da hazırlanan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 Tekil sonuçların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 %</w:t>
      </w:r>
    </w:p>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8F593F" w:rsidRPr="007C1E0B" w:rsidRDefault="0039089F">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EK-5</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YEM</w:t>
      </w:r>
      <w:r w:rsidR="00F9117E" w:rsidRPr="007C1E0B">
        <w:rPr>
          <w:rFonts w:ascii="Times New Roman" w:hAnsi="Times New Roman" w:cs="Times New Roman"/>
          <w:b/>
          <w:sz w:val="20"/>
          <w:szCs w:val="20"/>
        </w:rPr>
        <w:t xml:space="preserve">LERDE </w:t>
      </w:r>
      <w:r w:rsidRPr="007C1E0B">
        <w:rPr>
          <w:rFonts w:ascii="Times New Roman" w:hAnsi="Times New Roman" w:cs="Times New Roman"/>
          <w:b/>
          <w:sz w:val="20"/>
          <w:szCs w:val="20"/>
        </w:rPr>
        <w:t>İSTENMEYEN MADDELERİNİN KONTROLÜ</w:t>
      </w:r>
      <w:r w:rsidR="00F9117E" w:rsidRPr="007C1E0B">
        <w:rPr>
          <w:rFonts w:ascii="Times New Roman" w:hAnsi="Times New Roman" w:cs="Times New Roman"/>
          <w:b/>
          <w:sz w:val="20"/>
          <w:szCs w:val="20"/>
        </w:rPr>
        <w:t xml:space="preserve">NE YÖNELİK </w:t>
      </w:r>
      <w:r w:rsidRPr="007C1E0B">
        <w:rPr>
          <w:rFonts w:ascii="Times New Roman" w:hAnsi="Times New Roman" w:cs="Times New Roman"/>
          <w:b/>
          <w:sz w:val="20"/>
          <w:szCs w:val="20"/>
        </w:rPr>
        <w:t>ANALİZ METOTLARI</w:t>
      </w:r>
    </w:p>
    <w:p w:rsidR="008F593F" w:rsidRPr="007C1E0B" w:rsidRDefault="00F6706B" w:rsidP="001B722B">
      <w:pPr>
        <w:jc w:val="both"/>
        <w:rPr>
          <w:rFonts w:ascii="Times New Roman" w:hAnsi="Times New Roman" w:cs="Times New Roman"/>
          <w:b/>
          <w:sz w:val="20"/>
          <w:szCs w:val="20"/>
        </w:rPr>
      </w:pPr>
      <w:r w:rsidRPr="007C1E0B">
        <w:rPr>
          <w:rFonts w:ascii="Times New Roman" w:hAnsi="Times New Roman" w:cs="Times New Roman"/>
          <w:b/>
          <w:sz w:val="20"/>
          <w:szCs w:val="20"/>
        </w:rPr>
        <w:t>A. SERBEST VE TOPLAM GOSİPOL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20 mg/kg’dan fazla serbest gosipol, toplam gosipol ve kimyasal olarak bu maddelerle ilgili maddeleri içeren pamuk tohumu, pamuk tohumu küspesinde ve bu yem materyallerini içeren karma yemlerde serbest gosipol, toplam gosipol ve kimyasal olarak bu maddelerle ilgili maddelerin tayinini mümkün kılar.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Gosipol, 3-aminopropan-1-ol varlığında serbest gosipol tayini için bir propan-2-ol ve hekzan karışımı ile ya da toplam gosipol tayini için dimetilformamid ile ekstrakte edilir. Gosipol, anilin ile, optik yoğunluğu 440 nm’de ölçülen gosipol-dianiline dönüştürülür.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Propan-2-ol- hekzan karışımı: hacmen 60 birim propan-2-ol ile hacmen 40 birim n- hekzan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Çözücü A: 1 litrelik balon jojeye yaklaşık 500 ml propan-2-ol- hekzan karışımı (3.1), 2 ml 3- aminopropan-1-ol, 8 ml glasiyal asetik asit ve 50 ml su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Propan-2-ol- hekzan karşımı (3.1) ile hacmine tamamlanır. Bu ayıraç bir hafta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 Çözücü B: 2 ml 3-aminopropan-1-ol ile 10 ml glasiyal asetik asit 100 ml’lik balon jojeye pipetlenir. Oda sıcaklığına soğutulur ve N, N-dimetilformamid ile gereken hacme tamamlanır. Bu ayıraç bir hafta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Anilin: Kör testinin optik yoğunluğu 0,022’yi geçerse, anilin çinko tozu üstünde damıtılır, distilatın ilk ve son %</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10’luk fraksiyonları atılır. Kahverengi, kapalı bir şişede, </w:t>
      </w:r>
      <w:r w:rsidR="00B04D6F" w:rsidRPr="007C1E0B">
        <w:rPr>
          <w:rFonts w:ascii="Times New Roman" w:hAnsi="Times New Roman" w:cs="Times New Roman"/>
          <w:sz w:val="20"/>
          <w:szCs w:val="20"/>
        </w:rPr>
        <w:t>(</w:t>
      </w:r>
      <w:r w:rsidRPr="007C1E0B">
        <w:rPr>
          <w:rFonts w:ascii="Times New Roman" w:hAnsi="Times New Roman" w:cs="Times New Roman"/>
          <w:sz w:val="20"/>
          <w:szCs w:val="20"/>
        </w:rPr>
        <w:t>soğutulup saklanırsa</w:t>
      </w:r>
      <w:r w:rsidR="00B04D6F" w:rsidRPr="007C1E0B">
        <w:rPr>
          <w:rFonts w:ascii="Times New Roman" w:hAnsi="Times New Roman" w:cs="Times New Roman"/>
          <w:sz w:val="20"/>
          <w:szCs w:val="20"/>
        </w:rPr>
        <w:t>)</w:t>
      </w:r>
      <w:r w:rsidRPr="007C1E0B">
        <w:rPr>
          <w:rFonts w:ascii="Times New Roman" w:hAnsi="Times New Roman" w:cs="Times New Roman"/>
          <w:sz w:val="20"/>
          <w:szCs w:val="20"/>
        </w:rPr>
        <w:t xml:space="preserve"> bu ayıraç birkaç ay </w:t>
      </w:r>
      <w:r w:rsidR="001E7943" w:rsidRPr="007C1E0B">
        <w:rPr>
          <w:rFonts w:ascii="Times New Roman" w:hAnsi="Times New Roman" w:cs="Times New Roman"/>
          <w:sz w:val="20"/>
          <w:szCs w:val="20"/>
        </w:rPr>
        <w:t>saklanacak</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Standart gosipol çözeltisi A: 27,9 mg gosipol asetat 250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Çözündürülür ve çözücü A (3.2) ile hacmine tamamlanır. Bu çözeltinin 50 ml’si 250 ml’lik balon jojeye pipetlenir ve çözücü A ile hacmine kadar tamamlanır. Bu çözeltideki gosipol konsantrasyonu 0,02 mg/ml’dir. Kullanmadan önce oda sıcaklığında bir saat dinlenmeye bırakılır.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Standart gosipol çözeltisi B : 27,9 mg gosipol asetat 50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çözündürülür ve çözücü B (3.3) ile hacmine kadar tamamlanır. Bu çözeltideki gosipol konsantrasyonu 0,5 mg/ml’dir.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Standart gosipol çözeltileri A ve B, ışıktan korunduklarında 24 saat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Karıştırıcı : yaklaşık 35 rpm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Spektrofotometre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Test numunesi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Kullanılan test numunesi miktarı numunenin varsayılan gosipol içeriğine göre değişir. Tercihen az miktarda test numunesi ve bağıl olarak daha fazla temsili miktarda filtrat ile çalışılır, bu sayede hassas fotometrik ölçüm yapılabilmesi için yeterli gosipol elde edilir. Pamuk ve pamuk tohumu küspesinde serbest gosipol tayini için, test numunesi 1 g’ı geçmemelidir, karma yemlerde en fazla 5 g olabilir. 10 ml’lik temsili miktarda filtrat çoğu durumda uygundur, 50 ile 100 μg gosipol içermelidir. Toplam gosipol tayini için test numunesi 0,5 ile 5 g arasında olmalıdır, bu durumda 2 ml temlisi miktarda filtrat 40 ile 200 μg gosipol içerecektir.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yaklaşık 20°C’deki oda sıcaklığında gerçekleştirilmelidir.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Serbest gosipol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yuvarlak boyunlu, dibi ezilmiş camla kaplanmış 250 ml’lik bir cam balona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Bir pipet kullanılarak 50 ml çözücü A (3.2) eklenir, balon joje kapatılır ve bir karıştırıcıda bir saat karıştırılır. Kuru bir süzgeç kağıdından süzülür ve süzüntü küçük, yuvarlak boyunlu bir cam balona alınır. Süzme sırasında huni bir saat camı ile örtülür.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50 ile 100 μg gosipol içeren benzer temsili miktarda süzüntü, 25 ml’lik balon jojelerin (A ve B) her birine pipetlenir. Gerekiyorsa hacmi çözücü A (3.2) ile 10 ml’ye tamamlanır. Ardından şişedeki (A) içeriği propan-2-ol- hekzan karşımı (3.1) ile hacmine tamamlanır. Bu çözelti, numune çözeltisinin ölçümünde referans çözelti olarak kullanılacaktır.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ml çözücü A (3.2) diğer 25 ml’lik balon jojelerden (C ve D) her birine pipetlenir. Şişedeki (C) içeriği propan-2-ol- hekzan karşımı (3.1) ile hacmine tamamlanır. Bu çözelti, kör test çözeltisinin ölçümünde referans çözelti olarak kullanılacaktır.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ml anilin (3.4) şişelerden (D ve B) her birine eklenir. Renk geliştirmek için kaynar su banyosunda 30 dakika ısıtılır. Oda sıcaklığına soğutulur, propan-2-ol- hekzan karşımı (3.1) ile hacmine tamamlanır, homojenleştirilir ve bir saat dinlendirilir.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cm cam hücreler kullanılarak 440 nm’deki spektrofotometrede, kör testin (D) optik yoğunluğu referans çözelti (C) ile karşılaştırılarak ve numune çözeltisinin (B) optik yoğunluğu referans çözeltisi (A) ile karşılaştırılarak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testin optik yoğunluğu numune çözeltisinin optik yoğunluğundan çıkartılır (=düzeltilmiş optik yoğunluk). Bu değerden, serbest gosipol içeriği madde 6’da belirtilen şekilde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Toplam gosipol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1 - 5 mg gosipol içeren bir test numunesi 50 ml’lik balon jojeye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10 ml çözücü B (3.3) eklenir. Aynı zamanda, 10 ml çözücü B (3.3) başka bir 50 ml’lik balon jojeye koyularak bir kör test hazırlanır. İki balon joje 30 dakika kaynar su banyosunda ısıtılır. Oda sıcaklığına soğutulur ve her bir şişedeki içerik propan-2-ol-hekzan karşımı (3.1) ile hacmine tamamlanır. Homojenleştirilir ve 10 ile 15 dakika çökmesi beklenir, ardından süzülür ve süzüntüler yuvarlak boyunlu erlenlere alınır.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ml numune filtratı iki 25 ml’lik balon jojelerden her birine ve 2 ml kör test filtratı diğer iki 25 ml’lik şişelerden her birine pipetlenir. Her seriden bir şişenin içeriğini propan-2-ol-hekzan karşımı (3.1) ile 25 ml’ye tamamlanır. Bu çözeltiler referans çözeltiler olarak kullanılacaktır.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ml anilin (3.4) diğer iki şişeden her birine eklenir. Renk geliştirmek için kaynar su banyosunda 30 dakika ısıtılır. Oda sıcaklığına soğutulur, propan-2-ol-hekzan karşımı (3.1) ile 25 ml’ye tamamlanır, homojenleştirilir ve bir saat dinlendirilir.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Optik yoğunluğu, serbest gosipol için 5.2’de belirtildiği gibi ölçülür. Bu değerden, toplam gosipol içeriği madde 6’da belirtilen şekilde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 spesifik optik yoğunluktan (6.1) ya da bir kalibrasyon eğrisini (6.2) referans alarak hesaplanabilir.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Spesifik optik yoğunluk ile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Belirtilen koşullar altındaki spesifik optik yoğunluklar aşağıdaki gibidir:</w:t>
      </w:r>
    </w:p>
    <w:p w:rsidR="001F51FD" w:rsidRPr="007C1E0B" w:rsidRDefault="00DA413D" w:rsidP="001B722B">
      <w:pPr>
        <w:jc w:val="both"/>
        <w:rPr>
          <w:rFonts w:ascii="Cambria Math" w:hAnsi="Cambria Math" w:cs="Cambria Math"/>
          <w:sz w:val="20"/>
          <w:szCs w:val="20"/>
        </w:rPr>
      </w:pPr>
      <m:oMath>
        <m:sSubSup>
          <m:sSubSupPr>
            <m:ctrlPr>
              <w:rPr>
                <w:rFonts w:ascii="Cambria Math" w:hAnsi="Cambria Math" w:cs="Cambria Math"/>
                <w:i/>
                <w:sz w:val="20"/>
                <w:szCs w:val="20"/>
              </w:rPr>
            </m:ctrlPr>
          </m:sSubSupPr>
          <m:e>
            <m:r>
              <m:rPr>
                <m:sty m:val="p"/>
              </m:rPr>
              <w:rPr>
                <w:rFonts w:ascii="Cambria Math" w:hAnsi="Cambria Math" w:cs="Cambria Math"/>
                <w:sz w:val="20"/>
                <w:szCs w:val="20"/>
              </w:rPr>
              <m:t>Serbest gosipol:</m:t>
            </m:r>
            <m:r>
              <w:rPr>
                <w:rFonts w:ascii="Cambria Math" w:hAnsi="Cambria Math" w:cs="Cambria Math"/>
                <w:sz w:val="20"/>
                <w:szCs w:val="20"/>
              </w:rPr>
              <m:t>E</m:t>
            </m:r>
          </m:e>
          <m:sub>
            <m:r>
              <w:rPr>
                <w:rFonts w:ascii="Cambria Math" w:hAnsi="Cambria Math" w:cs="Cambria Math"/>
                <w:sz w:val="20"/>
                <w:szCs w:val="20"/>
              </w:rPr>
              <m:t>1 cm</m:t>
            </m:r>
          </m:sub>
          <m:sup>
            <m:r>
              <w:rPr>
                <w:rFonts w:ascii="Cambria Math" w:hAnsi="Cambria Math" w:cs="Cambria Math"/>
                <w:sz w:val="20"/>
                <w:szCs w:val="20"/>
              </w:rPr>
              <m:t>1%</m:t>
            </m:r>
          </m:sup>
        </m:sSubSup>
      </m:oMath>
      <w:r w:rsidR="001F51FD" w:rsidRPr="007C1E0B">
        <w:rPr>
          <w:rFonts w:ascii="Cambria Math" w:hAnsi="Cambria Math" w:cs="Cambria Math"/>
          <w:sz w:val="20"/>
          <w:szCs w:val="20"/>
        </w:rPr>
        <w:t>=625</w:t>
      </w:r>
    </w:p>
    <w:p w:rsidR="001F51FD" w:rsidRPr="007C1E0B" w:rsidRDefault="001F51FD" w:rsidP="001B722B">
      <w:pPr>
        <w:jc w:val="both"/>
        <w:rPr>
          <w:rFonts w:ascii="Times New Roman" w:hAnsi="Times New Roman" w:cs="Times New Roman"/>
          <w:sz w:val="20"/>
          <w:szCs w:val="20"/>
        </w:rPr>
      </w:pPr>
      <m:oMath>
        <m:r>
          <m:rPr>
            <m:sty m:val="p"/>
          </m:rPr>
          <w:rPr>
            <w:rFonts w:ascii="Cambria Math" w:hAnsi="Cambria Math" w:cs="Times New Roman"/>
            <w:sz w:val="20"/>
            <w:szCs w:val="20"/>
          </w:rPr>
          <m:t>Toplam gosipol:</m:t>
        </m:r>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1 c</m:t>
            </m:r>
          </m:sub>
          <m:sup>
            <m:r>
              <w:rPr>
                <w:rFonts w:ascii="Cambria Math" w:hAnsi="Cambria Math" w:cs="Times New Roman"/>
                <w:sz w:val="20"/>
                <w:szCs w:val="20"/>
              </w:rPr>
              <m:t>1%</m:t>
            </m:r>
          </m:sup>
        </m:sSubSup>
      </m:oMath>
      <w:r w:rsidRPr="007C1E0B">
        <w:rPr>
          <w:rFonts w:ascii="Times New Roman" w:hAnsi="Times New Roman" w:cs="Times New Roman"/>
          <w:sz w:val="20"/>
          <w:szCs w:val="20"/>
        </w:rPr>
        <w:t>=600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Numunenin serbest ya da toplam gosipol içeriği aşağıdaki formül kullanılarak hesaplanır:</w:t>
      </w:r>
    </w:p>
    <w:p w:rsidR="008F593F" w:rsidRPr="007C1E0B" w:rsidRDefault="00F6706B" w:rsidP="001B722B">
      <w:pPr>
        <w:jc w:val="both"/>
        <w:rPr>
          <w:rFonts w:ascii="Times New Roman" w:hAnsi="Times New Roman" w:cs="Times New Roman"/>
          <w:sz w:val="20"/>
          <w:szCs w:val="20"/>
        </w:rPr>
      </w:pPr>
      <w:r w:rsidRPr="007C1E0B">
        <w:rPr>
          <w:rFonts w:ascii="Times New Roman" w:hAnsi="Times New Roman" w:cs="Times New Roman"/>
          <w:noProof/>
          <w:sz w:val="20"/>
          <w:szCs w:val="20"/>
        </w:rPr>
        <w:drawing>
          <wp:anchor distT="0" distB="0" distL="114300" distR="114300" simplePos="0" relativeHeight="251668480" behindDoc="0" locked="0" layoutInCell="1" allowOverlap="1" wp14:anchorId="436D12BE" wp14:editId="4A74DF09">
            <wp:simplePos x="0" y="0"/>
            <wp:positionH relativeFrom="column">
              <wp:posOffset>825910</wp:posOffset>
            </wp:positionH>
            <wp:positionV relativeFrom="paragraph">
              <wp:posOffset>7374</wp:posOffset>
            </wp:positionV>
            <wp:extent cx="906780" cy="475615"/>
            <wp:effectExtent l="0" t="0" r="7620" b="635"/>
            <wp:wrapNone/>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67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F593F" w:rsidRPr="007C1E0B">
        <w:rPr>
          <w:rFonts w:ascii="Times New Roman" w:hAnsi="Times New Roman" w:cs="Times New Roman"/>
          <w:sz w:val="20"/>
          <w:szCs w:val="20"/>
        </w:rPr>
        <w:t xml:space="preserve">%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gosipol :</w:t>
      </w:r>
      <w:r w:rsidRPr="007C1E0B">
        <w:rPr>
          <w:rFonts w:ascii="Times New Roman" w:hAnsi="Times New Roman" w:cs="Times New Roman"/>
          <w:noProof/>
          <w:sz w:val="20"/>
          <w:szCs w:val="20"/>
        </w:rPr>
        <w:t xml:space="preserve"> </w:t>
      </w:r>
    </w:p>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 = Düzeltilmiş optik yoğunluk, madde 5.2’de belirtilen şekilde tayin edilmiş,</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 = Test numunesi,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 = Filtratın temsili miktarı,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 Kalibrasyon eğrisi ile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6.2.1. Serbest gosipol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seri beş adet 25 ml’lik balon joje hazırlanır. 2,0, 4,0, 6,0, 8,0 ve 10,0 ml’lik standart gosipol çözeltisi A (3.5) temsili miktarları her bir balon joje serisine pipetlenir. Çözücü A (3.2) ile 10 ml’ye tamamlanır. Her seri yalnızca 10 ml çözücü A (3.2) içeren 25 ml’lik balon jojeyle tamamlanır (kör test).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İ</w:t>
      </w:r>
      <w:r w:rsidRPr="007C1E0B">
        <w:rPr>
          <w:rFonts w:ascii="Times New Roman" w:hAnsi="Times New Roman" w:cs="Times New Roman"/>
          <w:sz w:val="20"/>
          <w:szCs w:val="20"/>
        </w:rPr>
        <w:t>lk serideki balon jojelerin hacmi (kör testinin şişesi de dahil) propan-2-ol-hekzan karışımı (3.1) ile 25 ml’ye tamamlanır (referans serisi).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İ</w:t>
      </w:r>
      <w:r w:rsidRPr="007C1E0B">
        <w:rPr>
          <w:rFonts w:ascii="Times New Roman" w:hAnsi="Times New Roman" w:cs="Times New Roman"/>
          <w:sz w:val="20"/>
          <w:szCs w:val="20"/>
        </w:rPr>
        <w:t>kinci serideki her bir balon jojeye (kör testinin balon jojesi de dahil) 2 ml anilin (3.4) eklenir. Renk geliştirmek için kaynar su banyosunda 30 dakika ısıtılır. Oda sıcaklığına soğutulur, propan-2-ol-hekzan karşımı (3.1) ile hacmine tamamlanır, homojenleştirilir ve bir saat dinlendirilir (standart serisi).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5.2’de belirtilen şekilde, standart serisindeki çözeltilerin optik yoğunluğu, referans serisindeki çözeltilerle karşılaştırarak tayin edilir. Gosipol (μg) miktarlarına göre optik yoğunlukları yazılarak kalibrasyon eğrisi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6.2.2.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Toplam gosipol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Altı adet 50 ml’lik balon joje hazırlanır. Birinci cam malzemeye 10 ml çözücü B (3.3) ve diğerlerine sırasıyla 2,0, 4,0, 6,0, 8,0 ve 10,0 ml’lik standart gosipol çözeltisi B (3.6)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Her balon jojedeki içerik çözücü B (3.3) ile 10 ml’ye tamamlanır. 30 dakika kaynar su banyosunda ısıtılır. Oda sıcaklığına soğutulur, propan-2-ol-hekzan karşımı (3.1) ile hacmine tamamlanır ve homojenleştirilir.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çözeltilerin 2,0 ml’si altı adet 25 ml’lik balon jojelerin iki serisinden her birine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İlk serideki balon jojelerin içeriği propan-2-ol-hekzan karışımı (3.1) ile 25 ml’ye tamamlanır (referans serisi).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 ml anilin (3.4) ikinci serideki her bir balon jojeye eklenir. 30 dakika kaynar su banyosunda ısıtılır. Oda sıcaklığına soğutulur, propan-2-ol-hekzan karşımı (3.1) ile gerekli hacme tamamlanır, homojenleştirilir ve bir saat dinlendirilir (standart serisi).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5.2’de belirtilen şekilde, standart serisindeki çözeltilerin optik yoğunluğu, referans serisindeki çözeltilerle karşılaştırarak tayin edilir. Gosipol (μg) miktarlarına göre optik yoğunlukları yazılarak kalibrasyon eğrisi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6.3. </w:t>
      </w:r>
      <w:r w:rsidR="00FF575A"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aşağıdaki değerleri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w:t>
      </w:r>
      <w:r w:rsidRPr="007C1E0B">
        <w:rPr>
          <w:rFonts w:ascii="Times New Roman" w:hAnsi="Times New Roman" w:cs="Times New Roman"/>
          <w:sz w:val="20"/>
          <w:szCs w:val="20"/>
        </w:rPr>
        <w:t xml:space="preserve"> 500 ppm’den az gosipol içeriği için daha yüksek değere bağıl %</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15</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w:t>
      </w:r>
      <w:r w:rsidRPr="007C1E0B">
        <w:rPr>
          <w:rFonts w:ascii="Times New Roman" w:hAnsi="Times New Roman" w:cs="Times New Roman"/>
          <w:sz w:val="20"/>
          <w:szCs w:val="20"/>
        </w:rPr>
        <w:t xml:space="preserve"> 500 ppm ile 750 ppm arasındaki gosipol içeriği için mutlak değer olarak 75 ppm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w:t>
      </w:r>
      <w:r w:rsidRPr="007C1E0B">
        <w:rPr>
          <w:rFonts w:ascii="Times New Roman" w:hAnsi="Times New Roman" w:cs="Times New Roman"/>
          <w:sz w:val="20"/>
          <w:szCs w:val="20"/>
        </w:rPr>
        <w:t xml:space="preserve"> 750 ppm’den fazla gosipol içeriği için daha yüksek değere bağıl %</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10</w:t>
      </w:r>
    </w:p>
    <w:p w:rsidR="00473FC5" w:rsidRPr="007C1E0B" w:rsidRDefault="00473FC5" w:rsidP="001B722B">
      <w:pPr>
        <w:jc w:val="both"/>
        <w:rPr>
          <w:rFonts w:ascii="Times New Roman" w:hAnsi="Times New Roman" w:cs="Times New Roman"/>
          <w:b/>
          <w:sz w:val="20"/>
          <w:szCs w:val="20"/>
        </w:rPr>
      </w:pPr>
    </w:p>
    <w:p w:rsidR="008F593F" w:rsidRPr="007C1E0B" w:rsidRDefault="00F6706B"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B. </w:t>
      </w:r>
      <w:r w:rsidR="00FF575A"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DİOKSİN (PCDD/PCDF) VE DİOKSİN BENZERİ PCB SEVİYELERİNİN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BÖLÜM 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alma metotları ve analiz sonuçlarının yorumlanması</w:t>
      </w:r>
    </w:p>
    <w:p w:rsidR="008F593F" w:rsidRPr="007C1E0B" w:rsidRDefault="00F6706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Poliklorlu dibenzo-p-dioksinler (PCDD’ler), poliklorlu dibenzofuranlar (PCDF’ler), dioksin benzeri poliklorlu bifeniller (PCB’ler) (</w:t>
      </w:r>
      <w:r w:rsidR="00F6706B" w:rsidRPr="007C1E0B">
        <w:rPr>
          <w:rStyle w:val="DipnotBavurusu"/>
          <w:rFonts w:ascii="Times New Roman" w:hAnsi="Times New Roman" w:cs="Times New Roman"/>
          <w:sz w:val="20"/>
          <w:szCs w:val="20"/>
        </w:rPr>
        <w:footnoteReference w:id="8"/>
      </w:r>
      <w:r w:rsidRPr="007C1E0B">
        <w:rPr>
          <w:rFonts w:ascii="Times New Roman" w:hAnsi="Times New Roman" w:cs="Times New Roman"/>
          <w:sz w:val="20"/>
          <w:szCs w:val="20"/>
        </w:rPr>
        <w:t>) ve dioksin benzeri olmayan PCB’lerin yemdeki düzeylerine ilişkin resmi kontroller amacıyla alınacak numuneler Yönetmeliğin  E</w:t>
      </w:r>
      <w:r w:rsidR="00E76E92" w:rsidRPr="007C1E0B">
        <w:rPr>
          <w:rFonts w:ascii="Times New Roman" w:hAnsi="Times New Roman" w:cs="Times New Roman"/>
          <w:sz w:val="20"/>
          <w:szCs w:val="20"/>
        </w:rPr>
        <w:t>K</w:t>
      </w:r>
      <w:r w:rsidRPr="007C1E0B">
        <w:rPr>
          <w:rFonts w:ascii="Times New Roman" w:hAnsi="Times New Roman" w:cs="Times New Roman"/>
          <w:sz w:val="20"/>
          <w:szCs w:val="20"/>
        </w:rPr>
        <w:t xml:space="preserve">-1’indeki hükümleriyle uyumlu olarak alınmalıdır. Yemde homojen olarak dağılmış madde veya ürünlerin kontrolüyle ilişkili nicel gereklilikler </w:t>
      </w:r>
      <w:r w:rsidR="00E76E92" w:rsidRPr="007C1E0B">
        <w:rPr>
          <w:rFonts w:ascii="Times New Roman" w:hAnsi="Times New Roman" w:cs="Times New Roman"/>
          <w:sz w:val="20"/>
          <w:szCs w:val="20"/>
        </w:rPr>
        <w:t xml:space="preserve">EK </w:t>
      </w:r>
      <w:r w:rsidRPr="007C1E0B">
        <w:rPr>
          <w:rFonts w:ascii="Times New Roman" w:hAnsi="Times New Roman" w:cs="Times New Roman"/>
          <w:sz w:val="20"/>
          <w:szCs w:val="20"/>
        </w:rPr>
        <w:t>-1’in 3.1 inci maddesinde belirtildiği gibi uygulanacaktır. Bu şekilde alınan paçal numunelerin alındıkları parti veya alt partiyi temsil ettikleri kabul edilmektedir. Yemlerde İstenmeyen Maddeler Hakkında Tebliğ’deki maksimum düzeylerle laboratuvar numunelerinde belirlenen düzeyler temelinde uyum sağlanacaktır.</w:t>
      </w:r>
    </w:p>
    <w:p w:rsidR="00270F56" w:rsidRPr="007C1E0B" w:rsidRDefault="00270F56">
      <w:pPr>
        <w:jc w:val="both"/>
        <w:rPr>
          <w:rFonts w:ascii="Times New Roman" w:hAnsi="Times New Roman" w:cs="Times New Roman"/>
          <w:sz w:val="20"/>
          <w:szCs w:val="20"/>
        </w:rPr>
      </w:pPr>
      <w:r w:rsidRPr="007C1E0B">
        <w:rPr>
          <w:rFonts w:ascii="Times New Roman" w:hAnsi="Times New Roman" w:cs="Times New Roman"/>
          <w:sz w:val="20"/>
          <w:szCs w:val="20"/>
        </w:rPr>
        <w:t xml:space="preserve">Bölüm B’deki amaçlara yönelik olarak “Analiz </w:t>
      </w:r>
      <w:r w:rsidR="00381839" w:rsidRPr="007C1E0B">
        <w:rPr>
          <w:rFonts w:ascii="Times New Roman" w:hAnsi="Times New Roman" w:cs="Times New Roman"/>
          <w:sz w:val="20"/>
          <w:szCs w:val="20"/>
        </w:rPr>
        <w:t>Metot</w:t>
      </w:r>
      <w:r w:rsidRPr="007C1E0B">
        <w:rPr>
          <w:rFonts w:ascii="Times New Roman" w:hAnsi="Times New Roman" w:cs="Times New Roman"/>
          <w:sz w:val="20"/>
          <w:szCs w:val="20"/>
        </w:rPr>
        <w:t>l</w:t>
      </w:r>
      <w:r w:rsidR="00DD29C2" w:rsidRPr="007C1E0B">
        <w:rPr>
          <w:rFonts w:ascii="Times New Roman" w:hAnsi="Times New Roman" w:cs="Times New Roman"/>
          <w:sz w:val="20"/>
          <w:szCs w:val="20"/>
        </w:rPr>
        <w:t>arının</w:t>
      </w:r>
      <w:r w:rsidRPr="007C1E0B">
        <w:rPr>
          <w:rFonts w:ascii="Times New Roman" w:hAnsi="Times New Roman" w:cs="Times New Roman"/>
          <w:sz w:val="20"/>
          <w:szCs w:val="20"/>
        </w:rPr>
        <w:t xml:space="preserve"> Uygulanması ve Sonuçların Yorumlanmasına İlişkin 96/23/EC sayılı Konsey Direktifini uygulayan 12 Ağustos 2002 tarihli ve 2002/657/EC (</w:t>
      </w:r>
      <w:r w:rsidR="00305FE7" w:rsidRPr="007C1E0B">
        <w:rPr>
          <w:rStyle w:val="DipnotBavurusu"/>
          <w:rFonts w:ascii="Times New Roman" w:hAnsi="Times New Roman" w:cs="Times New Roman"/>
          <w:sz w:val="20"/>
          <w:szCs w:val="20"/>
        </w:rPr>
        <w:footnoteReference w:id="9"/>
      </w:r>
      <w:r w:rsidR="00305FE7" w:rsidRPr="007C1E0B">
        <w:rPr>
          <w:rFonts w:ascii="Times New Roman" w:hAnsi="Times New Roman" w:cs="Times New Roman"/>
          <w:sz w:val="20"/>
          <w:szCs w:val="20"/>
        </w:rPr>
        <w:t>)</w:t>
      </w:r>
      <w:r w:rsidRPr="007C1E0B">
        <w:rPr>
          <w:rFonts w:ascii="Times New Roman" w:hAnsi="Times New Roman" w:cs="Times New Roman"/>
          <w:sz w:val="20"/>
          <w:szCs w:val="20"/>
        </w:rPr>
        <w:t xml:space="preserve"> sayılı Komisyon Kararı” Ek I’inde belirtilen tanımlar geçerli olacaktır. </w:t>
      </w:r>
    </w:p>
    <w:p w:rsidR="008F593F" w:rsidRPr="007C1E0B" w:rsidRDefault="00270F56"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 xml:space="preserve"> </w:t>
      </w:r>
      <w:r w:rsidR="008F593F" w:rsidRPr="007C1E0B">
        <w:rPr>
          <w:rFonts w:ascii="Times New Roman" w:hAnsi="Times New Roman" w:cs="Times New Roman" w:hint="eastAsia"/>
          <w:sz w:val="20"/>
          <w:szCs w:val="20"/>
        </w:rPr>
        <w:t>“</w:t>
      </w:r>
      <w:r w:rsidR="008F593F" w:rsidRPr="007C1E0B">
        <w:rPr>
          <w:rFonts w:ascii="Times New Roman" w:hAnsi="Times New Roman" w:cs="Times New Roman"/>
          <w:i/>
          <w:sz w:val="20"/>
          <w:szCs w:val="20"/>
        </w:rPr>
        <w:t>Tarama metotları</w:t>
      </w:r>
      <w:r w:rsidR="008F593F" w:rsidRPr="007C1E0B">
        <w:rPr>
          <w:rFonts w:ascii="Times New Roman" w:hAnsi="Times New Roman" w:cs="Times New Roman"/>
          <w:sz w:val="20"/>
          <w:szCs w:val="20"/>
        </w:rPr>
        <w:t xml:space="preserve">” maksimum düzeyleri veya müdahale eşiklerini geçen PCDD/F ve dioksin benzeri PCB düzeylerine sahip numunelerin seçimi için kullanılan metotlardır. Bunlar maliyet açısından etkin ve yüksek bir numune analiz hacmine olanak sağlar ve yüksek maruziyet ve tüketiciler açısından sağlık riski teşkil eden yeni olayların tespit olasılığını arttırır. Tarama metotları biyoanalitik veya GC-MS metotlarına dayanacaktır. Maksimum düzeyle uyumun kontrolü için eşik değerini aşan numunelere ait sonuçlar, orijinal numunede doğrulayıcı bir </w:t>
      </w:r>
      <w:r w:rsidR="00381839" w:rsidRPr="007C1E0B">
        <w:rPr>
          <w:rFonts w:ascii="Times New Roman" w:hAnsi="Times New Roman" w:cs="Times New Roman"/>
          <w:sz w:val="20"/>
          <w:szCs w:val="20"/>
        </w:rPr>
        <w:t>metotla</w:t>
      </w:r>
      <w:r w:rsidR="008F593F" w:rsidRPr="007C1E0B">
        <w:rPr>
          <w:rFonts w:ascii="Times New Roman" w:hAnsi="Times New Roman" w:cs="Times New Roman"/>
          <w:sz w:val="20"/>
          <w:szCs w:val="20"/>
        </w:rPr>
        <w:t xml:space="preserve"> yapılacak tam kapsamlı yeni bir analizle doğrulanacaktır.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w:t>
      </w:r>
      <w:r w:rsidRPr="007C1E0B">
        <w:rPr>
          <w:rFonts w:ascii="Times New Roman" w:hAnsi="Times New Roman" w:cs="Times New Roman"/>
          <w:i/>
          <w:sz w:val="20"/>
          <w:szCs w:val="20"/>
        </w:rPr>
        <w:t>Doğrulayıcı metotlar</w:t>
      </w:r>
      <w:r w:rsidRPr="007C1E0B">
        <w:rPr>
          <w:rFonts w:ascii="Times New Roman" w:hAnsi="Times New Roman" w:cs="Times New Roman"/>
          <w:sz w:val="20"/>
          <w:szCs w:val="20"/>
        </w:rPr>
        <w:t xml:space="preserve">” PCDD/F’ler ve dioksin benzeri PCB’lerin maksimum düzeyde veya ihtiyaç duyulduğu takdirde müdahale eşiğinde kesin biçimde belirlenmesi ve miktarının ölçülmesine olanak sağlayan tam veya tamamlayıcı bilgileri sağlayan metotlardır. Söz konusu metotlar gaz kromatografi/yüksek çözünürlüklü kütle spektrometreden (GC-HRMS) veya gaz kromatografi/tandem kütle spektrometreden (GC-MS/MS) faydalanır. </w:t>
      </w:r>
    </w:p>
    <w:p w:rsidR="008F593F" w:rsidRPr="007C1E0B" w:rsidRDefault="00270F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Parti veya alt partinin maksimum düzeyle uyumu</w:t>
      </w:r>
    </w:p>
    <w:p w:rsidR="008F593F" w:rsidRPr="007C1E0B" w:rsidRDefault="00270F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Dioksin benzeri olmayan PCB’ler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sonucunun Yemlerde İstenmeyen Maddeler Tebliği’nde dioksin benzeri olmayan PCB’lerin maksimum düzeyi aşmaması durumunda, söz konusu parti ölçüm belirsizliği göz önüne alınarak maksimum düzeyle uyumlu kabul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Ü</w:t>
      </w:r>
      <w:r w:rsidRPr="007C1E0B">
        <w:rPr>
          <w:rFonts w:ascii="Times New Roman" w:hAnsi="Times New Roman" w:cs="Times New Roman"/>
          <w:sz w:val="20"/>
          <w:szCs w:val="20"/>
        </w:rPr>
        <w:t>st sınır (</w:t>
      </w:r>
      <w:r w:rsidR="00305FE7" w:rsidRPr="007C1E0B">
        <w:rPr>
          <w:rStyle w:val="DipnotBavurusu"/>
          <w:rFonts w:ascii="Times New Roman" w:hAnsi="Times New Roman" w:cs="Times New Roman"/>
          <w:sz w:val="20"/>
          <w:szCs w:val="20"/>
        </w:rPr>
        <w:footnoteReference w:id="10"/>
      </w:r>
      <w:r w:rsidRPr="007C1E0B">
        <w:rPr>
          <w:rFonts w:ascii="Times New Roman" w:hAnsi="Times New Roman" w:cs="Times New Roman"/>
          <w:sz w:val="20"/>
          <w:szCs w:val="20"/>
        </w:rPr>
        <w:t>) analiz sonucunun tekrarlı analizle (</w:t>
      </w:r>
      <w:r w:rsidR="000617B6" w:rsidRPr="007C1E0B">
        <w:rPr>
          <w:rStyle w:val="DipnotBavurusu"/>
          <w:rFonts w:ascii="Times New Roman" w:hAnsi="Times New Roman" w:cs="Times New Roman"/>
          <w:sz w:val="20"/>
          <w:szCs w:val="20"/>
        </w:rPr>
        <w:footnoteReference w:id="11"/>
      </w:r>
      <w:r w:rsidRPr="007C1E0B">
        <w:rPr>
          <w:rFonts w:ascii="Times New Roman" w:hAnsi="Times New Roman" w:cs="Times New Roman"/>
          <w:sz w:val="20"/>
          <w:szCs w:val="20"/>
        </w:rPr>
        <w:t>) doğrulandığı</w:t>
      </w:r>
      <w:r w:rsidR="000B2BB0" w:rsidRPr="007C1E0B">
        <w:rPr>
          <w:rFonts w:ascii="Times New Roman" w:hAnsi="Times New Roman" w:cs="Times New Roman"/>
          <w:sz w:val="20"/>
          <w:szCs w:val="20"/>
        </w:rPr>
        <w:t xml:space="preserve">nda </w:t>
      </w:r>
      <w:r w:rsidRPr="007C1E0B">
        <w:rPr>
          <w:rFonts w:ascii="Times New Roman" w:hAnsi="Times New Roman" w:cs="Times New Roman"/>
          <w:sz w:val="20"/>
          <w:szCs w:val="20"/>
        </w:rPr>
        <w:t xml:space="preserve"> Yemlerde İstenmeyen Maddeler Tebliği’ndeki maksimum düzeyi aşması durumunda, söz konusu parti ölçüm belirsizliği göz önüne alınarak maksimum düzeyle uyumsuz kabul edilir. İki tespitin ortalaması, ölçüm belirsizliği göz önüne alınarak uyumun doğrulanması amacıyla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Ö</w:t>
      </w:r>
      <w:r w:rsidRPr="007C1E0B">
        <w:rPr>
          <w:rFonts w:ascii="Times New Roman" w:hAnsi="Times New Roman" w:cs="Times New Roman"/>
          <w:sz w:val="20"/>
          <w:szCs w:val="20"/>
        </w:rPr>
        <w:t>lçüm belirsizliği aşağıdaki yaklaşımların birisine göre dikkate alınacaktır:</w:t>
      </w:r>
    </w:p>
    <w:p w:rsidR="008F593F" w:rsidRPr="007C1E0B" w:rsidRDefault="008F593F" w:rsidP="000748B1">
      <w:pPr>
        <w:pStyle w:val="ListeParagraf"/>
        <w:numPr>
          <w:ilvl w:val="0"/>
          <w:numId w:val="3"/>
        </w:numPr>
        <w:jc w:val="both"/>
        <w:rPr>
          <w:sz w:val="20"/>
          <w:szCs w:val="20"/>
        </w:rPr>
      </w:pPr>
      <w:r w:rsidRPr="007C1E0B">
        <w:rPr>
          <w:sz w:val="20"/>
          <w:szCs w:val="20"/>
        </w:rPr>
        <w:t>Yaklaşık % 95 güven aralığı veren kapsam faktörünün 2 (k=2) olarak alınmasıyla genişletilmiş belirsizlik hesaplanır. “Ölçülen değer eksi U” maksimum düzeyin üzerindeyse bir parti veya alt parti uyumsuz olarak kabul edilir.</w:t>
      </w:r>
    </w:p>
    <w:p w:rsidR="00BA5EF4" w:rsidRPr="007C1E0B" w:rsidRDefault="00BA5EF4" w:rsidP="000748B1">
      <w:pPr>
        <w:pStyle w:val="ListeParagraf"/>
        <w:numPr>
          <w:ilvl w:val="0"/>
          <w:numId w:val="3"/>
        </w:numPr>
        <w:spacing w:before="120" w:after="120"/>
        <w:jc w:val="both"/>
        <w:rPr>
          <w:sz w:val="20"/>
          <w:szCs w:val="20"/>
        </w:rPr>
      </w:pPr>
      <w:r w:rsidRPr="007C1E0B">
        <w:rPr>
          <w:sz w:val="20"/>
          <w:szCs w:val="20"/>
        </w:rPr>
        <w:t>Karar sınırı (CCα) tesis edilerek ölçülen değer CCα’ya eşit ya da daha yüksekse numune alınan kısım ile uyumlu değildir.</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Mevcut yorum kuralları, resmî kontrol amacıyla numunede elde edilen analitik sonuçlar için geçerlidir.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PCDD/F ve dioksin benzeri PCB’ler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Parti aşağıdaki koşullarda maksimum düzeylerle uyumlu kabul edilir:</w:t>
      </w:r>
    </w:p>
    <w:p w:rsidR="008F593F" w:rsidRPr="007C1E0B" w:rsidRDefault="008F593F" w:rsidP="000748B1">
      <w:pPr>
        <w:pStyle w:val="ListeParagraf"/>
        <w:numPr>
          <w:ilvl w:val="0"/>
          <w:numId w:val="3"/>
        </w:numPr>
        <w:ind w:left="709" w:hanging="283"/>
        <w:jc w:val="both"/>
        <w:rPr>
          <w:sz w:val="20"/>
          <w:szCs w:val="20"/>
        </w:rPr>
      </w:pPr>
      <w:r w:rsidRPr="007C1E0B">
        <w:rPr>
          <w:sz w:val="20"/>
          <w:szCs w:val="20"/>
        </w:rPr>
        <w:t>Yanlış uyumluluk oranı % 5’in altında olan bir tarama metoduyla gerçekleştirilen tek bir analizin sonucuna göre söz konusu düzeyin Yemlerde İstenmeyen Maddeler Tebliği’ndeki maksimum PCDD/PCDF düzeyi ve PCDD/PCDF’ler ile dioksin benzeri PCB’lerin toplamın</w:t>
      </w:r>
      <w:r w:rsidRPr="007C1E0B">
        <w:rPr>
          <w:rFonts w:hint="eastAsia"/>
          <w:sz w:val="20"/>
          <w:szCs w:val="20"/>
        </w:rPr>
        <w:t>ı</w:t>
      </w:r>
      <w:r w:rsidRPr="007C1E0B">
        <w:rPr>
          <w:sz w:val="20"/>
          <w:szCs w:val="20"/>
        </w:rPr>
        <w:t xml:space="preserve"> geçmemesi.</w:t>
      </w:r>
    </w:p>
    <w:p w:rsidR="008F593F" w:rsidRPr="007C1E0B" w:rsidRDefault="008F593F" w:rsidP="000748B1">
      <w:pPr>
        <w:pStyle w:val="ListeParagraf"/>
        <w:numPr>
          <w:ilvl w:val="0"/>
          <w:numId w:val="3"/>
        </w:numPr>
        <w:jc w:val="both"/>
        <w:rPr>
          <w:sz w:val="20"/>
          <w:szCs w:val="20"/>
        </w:rPr>
      </w:pPr>
      <w:r w:rsidRPr="007C1E0B">
        <w:rPr>
          <w:sz w:val="20"/>
          <w:szCs w:val="20"/>
        </w:rPr>
        <w:t>Doğrulayıcı metotla gerçekleştirilen tek bir analizin sonucuna göre söz konusu düzeyin ölçüm belirsizliği göz önüne alınarak Yemlerde İstenmeyen Maddeler Tebliği’ndeki maksimum PCDD/PCDF düzeyi ve PCDD/PCDF’ler ile dioksin benzeri PCB’lerin toplamını geçmemesi.</w:t>
      </w:r>
    </w:p>
    <w:p w:rsidR="00261EF4" w:rsidRPr="007C1E0B" w:rsidRDefault="00261EF4" w:rsidP="001B722B">
      <w:pPr>
        <w:pStyle w:val="ListeParagraf"/>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Tarama tayinleri için maksimum PCDD/PCDF düzeyi veya PCDD/PCDF’ler ile dioksin benzeri PCB’lerin toplamı için numune uyumuna ilişkin kararlara yönelik olarak bir eşik değeri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Doğrulayıcı metotla elde edilen ve tekrarlı analizle doğrulanan üst sınır (</w:t>
      </w:r>
      <w:r w:rsidR="000617B6" w:rsidRPr="007C1E0B">
        <w:rPr>
          <w:rStyle w:val="DipnotBavurusu"/>
          <w:rFonts w:ascii="Times New Roman" w:hAnsi="Times New Roman" w:cs="Times New Roman"/>
          <w:sz w:val="20"/>
          <w:szCs w:val="20"/>
        </w:rPr>
        <w:footnoteReference w:id="12"/>
      </w:r>
      <w:r w:rsidRPr="007C1E0B">
        <w:rPr>
          <w:rFonts w:ascii="Times New Roman" w:hAnsi="Times New Roman" w:cs="Times New Roman"/>
          <w:sz w:val="20"/>
          <w:szCs w:val="20"/>
        </w:rPr>
        <w:t>) analiz sonucunun Yemlerde İstenmeyen Maddeler Tebliği’ndeki maksimum düzeyi aşması durumunda, söz konusu parti ölçüm belirsizliği</w:t>
      </w:r>
      <w:r w:rsidR="00B8264A" w:rsidRPr="007C1E0B">
        <w:rPr>
          <w:rFonts w:ascii="Times New Roman" w:hAnsi="Times New Roman" w:cs="Times New Roman"/>
          <w:sz w:val="20"/>
          <w:szCs w:val="20"/>
        </w:rPr>
        <w:t>(</w:t>
      </w:r>
      <w:r w:rsidR="00B8264A" w:rsidRPr="007C1E0B">
        <w:rPr>
          <w:rStyle w:val="DipnotBavurusu"/>
          <w:rFonts w:ascii="Times New Roman" w:hAnsi="Times New Roman" w:cs="Times New Roman"/>
          <w:sz w:val="20"/>
          <w:szCs w:val="20"/>
        </w:rPr>
        <w:footnoteReference w:id="13"/>
      </w:r>
      <w:r w:rsidR="00B8264A" w:rsidRPr="007C1E0B">
        <w:rPr>
          <w:rFonts w:ascii="Times New Roman" w:hAnsi="Times New Roman" w:cs="Times New Roman"/>
          <w:sz w:val="20"/>
          <w:szCs w:val="20"/>
        </w:rPr>
        <w:t>)</w:t>
      </w:r>
      <w:r w:rsidRPr="007C1E0B">
        <w:rPr>
          <w:rFonts w:ascii="Times New Roman" w:hAnsi="Times New Roman" w:cs="Times New Roman"/>
          <w:sz w:val="20"/>
          <w:szCs w:val="20"/>
        </w:rPr>
        <w:t xml:space="preserve"> göz önüne alınarak maksimum düzeyle uyumsuz kabul edilir. İki tespitin ortalaması, ölçüm belirsizliği göz önüne alınarak uyumun doğrulanması amacıyla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Ö</w:t>
      </w:r>
      <w:r w:rsidRPr="007C1E0B">
        <w:rPr>
          <w:rFonts w:ascii="Times New Roman" w:hAnsi="Times New Roman" w:cs="Times New Roman"/>
          <w:sz w:val="20"/>
          <w:szCs w:val="20"/>
        </w:rPr>
        <w:t>lçüm belirsizliği aşağıdaki yaklaşımların birisine göre dikkate alınacaktır:</w:t>
      </w:r>
    </w:p>
    <w:p w:rsidR="008F593F" w:rsidRPr="007C1E0B" w:rsidRDefault="008F593F" w:rsidP="000748B1">
      <w:pPr>
        <w:pStyle w:val="ListeParagraf"/>
        <w:numPr>
          <w:ilvl w:val="0"/>
          <w:numId w:val="3"/>
        </w:numPr>
        <w:jc w:val="both"/>
        <w:rPr>
          <w:sz w:val="20"/>
          <w:szCs w:val="20"/>
        </w:rPr>
      </w:pPr>
      <w:r w:rsidRPr="007C1E0B">
        <w:rPr>
          <w:sz w:val="20"/>
          <w:szCs w:val="20"/>
        </w:rPr>
        <w:t>Yaklaşık % 95 güven aralığı veren kapsam faktörünün 2 (k=2)  olarak alınmasıyla genişletilmiş belirsizlik hesaplanır. “Ölçülen değer eksi U” maksimum düzeyin üzerindeyse bir parti veya alt parti uyumsuz olarak kabul edilir. PCDD/PCDF’ler ve dioksin benzeri PCB’lerin ayrı tayini durumunda, PCDD/PCDF’ler ve dioksin benzeri PCB’lerin ayrı analiz sonuçlarının tahmini genişletilmiş belirsizlik toplamı PCDD/PCDF’ler ve dioksin benzeri PCB’lerin toplamı için kullanılacaktır.</w:t>
      </w:r>
    </w:p>
    <w:p w:rsidR="008F593F" w:rsidRPr="007C1E0B" w:rsidRDefault="008F593F" w:rsidP="000748B1">
      <w:pPr>
        <w:pStyle w:val="ListeParagraf"/>
        <w:numPr>
          <w:ilvl w:val="0"/>
          <w:numId w:val="3"/>
        </w:numPr>
        <w:jc w:val="both"/>
        <w:rPr>
          <w:sz w:val="20"/>
          <w:szCs w:val="20"/>
        </w:rPr>
      </w:pPr>
      <w:r w:rsidRPr="007C1E0B">
        <w:rPr>
          <w:sz w:val="20"/>
          <w:szCs w:val="20"/>
        </w:rPr>
        <w:t>Karar sınırı (CCα) tesis edilerek ölçülen değer CCα’ya eşit ya da daha yüksekse numune alınan kısım ile uyumlu değildir.</w:t>
      </w:r>
    </w:p>
    <w:p w:rsidR="00300D98" w:rsidRPr="007C1E0B" w:rsidRDefault="00300D98" w:rsidP="001B722B">
      <w:pPr>
        <w:pStyle w:val="ListeParagraf"/>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Mevcut yorum kuralları, resmî kontrol amacıyla numunede elde edilen analitik sonuçlar için geçerlidir. </w:t>
      </w:r>
    </w:p>
    <w:p w:rsidR="008F593F" w:rsidRPr="007C1E0B" w:rsidRDefault="00300D9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Yemlerde İstenmeyen Maddeler Tebliği’nin Ek 2’sindeki müdahale eşiklerini aşan sonuçlar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Müdahale eşikleri, bulaşma kaynağı belirlenmesi ve bunları azaltacak ya da ortadan kaldıracak önlemler alınmasının gerekli olduğu durumlarda numune seçimine yönelik bir araç görevi görür. Tarama metotlarıyla söz konusu numunelerin seçimi için uygun eşik de</w:t>
      </w:r>
      <w:r w:rsidRPr="007C1E0B">
        <w:rPr>
          <w:rFonts w:ascii="Times New Roman" w:hAnsi="Times New Roman" w:cs="Times New Roman" w:hint="eastAsia"/>
          <w:sz w:val="20"/>
          <w:szCs w:val="20"/>
        </w:rPr>
        <w:t>ğ</w:t>
      </w:r>
      <w:r w:rsidRPr="007C1E0B">
        <w:rPr>
          <w:rFonts w:ascii="Times New Roman" w:hAnsi="Times New Roman" w:cs="Times New Roman"/>
          <w:sz w:val="20"/>
          <w:szCs w:val="20"/>
        </w:rPr>
        <w:t>erleri belirlenir. Bir kaynak belirlenmesi ve bulaşmanın azaltılması veya ortadan kaldırılması için önemli çabalara ihtiyaç duyulması durumunda, bir doğrulama metodu kullanarak ve ölçüm belirsizliğini dikkate alarak tekrarlı analiz yoluyla müdahale eşiklerinin aşıldığının doğrulanması uygun olabilir (</w:t>
      </w:r>
      <w:r w:rsidR="00A56FAE" w:rsidRPr="007C1E0B">
        <w:rPr>
          <w:rStyle w:val="DipnotBavurusu"/>
          <w:rFonts w:ascii="Times New Roman" w:hAnsi="Times New Roman" w:cs="Times New Roman"/>
          <w:sz w:val="20"/>
          <w:szCs w:val="20"/>
        </w:rPr>
        <w:footnoteReference w:id="14"/>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BÖLÜM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Yemde dioksin (PCDD/PCDF) ve dioksin benzeri PCB düzeylerinin resmi kontrolünde kullanılan analiz metotları için numune hazırlama ve gereklilikler</w:t>
      </w:r>
    </w:p>
    <w:p w:rsidR="008F593F" w:rsidRPr="007C1E0B" w:rsidRDefault="00300D9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 xml:space="preserve">Uygulama </w:t>
      </w:r>
      <w:r w:rsidRPr="007C1E0B">
        <w:rPr>
          <w:rFonts w:ascii="Times New Roman" w:hAnsi="Times New Roman" w:cs="Times New Roman"/>
          <w:sz w:val="20"/>
          <w:szCs w:val="20"/>
        </w:rPr>
        <w:t>A</w:t>
      </w:r>
      <w:r w:rsidR="008F593F" w:rsidRPr="007C1E0B">
        <w:rPr>
          <w:rFonts w:ascii="Times New Roman" w:hAnsi="Times New Roman" w:cs="Times New Roman"/>
          <w:sz w:val="20"/>
          <w:szCs w:val="20"/>
        </w:rPr>
        <w:t>lanı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Bölümde belirlenen gereklilikler, poliklorlu dibenzo-p-dioksinler ve poliklorlu dibenzofuranlar (PCDD/F’ler) ve dioksin benzeri poliklorlu bifenillerin (dioksin benzeri PCB’ler) resmi kontrolü ve diğer yasal amaçlarla yemin analiz edildiği durumlarda geçerli olur.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PCDD/F’ler ve dioksin benzeri PCB’lerin yemdeki varlığının izlenmesi iki tür analiz metoduyla birlikte gerçekleştirilebilir:</w:t>
      </w:r>
    </w:p>
    <w:p w:rsidR="008F593F" w:rsidRPr="007C1E0B" w:rsidRDefault="008F593F" w:rsidP="000748B1">
      <w:pPr>
        <w:pStyle w:val="ListeParagraf"/>
        <w:numPr>
          <w:ilvl w:val="0"/>
          <w:numId w:val="4"/>
        </w:numPr>
        <w:tabs>
          <w:tab w:val="left" w:pos="284"/>
          <w:tab w:val="left" w:pos="426"/>
        </w:tabs>
        <w:spacing w:before="120" w:after="120"/>
        <w:ind w:left="0" w:firstLine="0"/>
        <w:jc w:val="both"/>
        <w:rPr>
          <w:sz w:val="20"/>
          <w:szCs w:val="20"/>
        </w:rPr>
      </w:pPr>
      <w:r w:rsidRPr="007C1E0B">
        <w:rPr>
          <w:sz w:val="20"/>
          <w:szCs w:val="20"/>
        </w:rPr>
        <w:t xml:space="preserve">Tarama metotları </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Tarama metotlarının amacı maksimum düzeyleri veya müdahale eşiklerini geçen PCDD/F ve dioksin benzeri PCB düzeylerine sahip numuneleri seçmektir. Tarama metotları maliyet açısından etkin ve yüksek bir numune analiz hacmine olanak sağlar ve yüksek maruziyet ve tüketiciler açısından sağlık riski teşkil eden yeni olayların tespit olasılığını arttırır.  Bunların uygulanması yanlış uyumlu sonuçların önlenmesini hedeflemelidir. Tarama metotları biyoanalitik veya GC-MS metotlarını kapsayabilir.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Tarama metotları analiz sonucunu eşik noktasıyla karşılaştırır ve maksimum düzey veya müdahale eşiğinin muhtemel aşımına yönelik evet/hayır şeklinde karar verilmesini sağlar. Maksimum düzeyle uyumsuz olmasından şüphelenilen numunelerde PCDD/F’lerin konsantrasyonu ve PCDD/F’ler ve dioksin benzeri PCB’lerin toplamı bir doğrulama metoduyla tespit edilmeli/doğrulanmalıdır.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İ</w:t>
      </w:r>
      <w:r w:rsidRPr="007C1E0B">
        <w:rPr>
          <w:rFonts w:ascii="Times New Roman" w:hAnsi="Times New Roman" w:cs="Times New Roman"/>
          <w:sz w:val="20"/>
          <w:szCs w:val="20"/>
        </w:rPr>
        <w:t>lave olarak, tarama metotları numunede mevcut olan PCDD/F ve dioksin benzeri PCB’lerin düzeylerinin belirlenmesini sağlayabilir. Biyoanalitik tarama metotlarının uygulanması durumunda, sonuç Biyoanalitik Ekivalanlar (BEQ) olarak ifade edilirken, fizikokimyasal GC-MS metotlarının uygulanması durumunda sonuç Toksik Ekivalanlar (TEQ) olarak ifade edilmektedir. Tarama metotlarının sayısal olarak belirtilen sonuçları, uyumu, uyumsuzluk şüphesini veya müdahale eşiklerinin aşılmasını göstermek için uygundur ve do</w:t>
      </w:r>
      <w:r w:rsidRPr="007C1E0B">
        <w:rPr>
          <w:rFonts w:ascii="Times New Roman" w:hAnsi="Times New Roman" w:cs="Times New Roman" w:hint="eastAsia"/>
          <w:sz w:val="20"/>
          <w:szCs w:val="20"/>
        </w:rPr>
        <w:t>ğ</w:t>
      </w:r>
      <w:r w:rsidRPr="007C1E0B">
        <w:rPr>
          <w:rFonts w:ascii="Times New Roman" w:hAnsi="Times New Roman" w:cs="Times New Roman"/>
          <w:sz w:val="20"/>
          <w:szCs w:val="20"/>
        </w:rPr>
        <w:t>rulayıcı metotlarla takip durumunda düzeylerin aralığını belirtir. Düşük zemin seviyelerinin belirlenmesi, maruziyet seviyelerinin zamana bağlı olarak değişiminin izlenmesi veya müdahale seviyesi ve maksimum limitlerin yeniden değerlendirilmesi gibi durumlar için tarama metotları uygun değildir.</w:t>
      </w:r>
    </w:p>
    <w:p w:rsidR="008F593F" w:rsidRPr="007C1E0B" w:rsidRDefault="008F593F" w:rsidP="000748B1">
      <w:pPr>
        <w:pStyle w:val="ListeParagraf"/>
        <w:numPr>
          <w:ilvl w:val="0"/>
          <w:numId w:val="4"/>
        </w:numPr>
        <w:tabs>
          <w:tab w:val="left" w:pos="284"/>
        </w:tabs>
        <w:spacing w:before="120" w:after="120"/>
        <w:ind w:left="0" w:firstLine="0"/>
        <w:jc w:val="both"/>
        <w:rPr>
          <w:sz w:val="20"/>
          <w:szCs w:val="20"/>
        </w:rPr>
      </w:pPr>
      <w:r w:rsidRPr="007C1E0B">
        <w:rPr>
          <w:sz w:val="20"/>
          <w:szCs w:val="20"/>
        </w:rPr>
        <w:t xml:space="preserve">Doğrulama metotları </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Numunedeki mevcut PCDD/F ve dioksin benzeri PCB’lerin kesin bir şekilde hesaplanması ve tanımlanmasını ve türdeş bileşen bazında da tam bilgiye ulaşılmasını sağlar.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nedenle bu metotlar tarama metotları ile elde edilen sonuçların doğrulanması da olmak üzere maksimum limit ve müdahale seviyelerinin kontrolünü sağlar. Buna ilave olarak bu metotlar; yem izlemede düşük zemin seviyelerinin tespiti, zamana bağlı olarak de</w:t>
      </w:r>
      <w:r w:rsidRPr="007C1E0B">
        <w:rPr>
          <w:rFonts w:ascii="Times New Roman" w:hAnsi="Times New Roman" w:cs="Times New Roman" w:hint="eastAsia"/>
          <w:sz w:val="20"/>
          <w:szCs w:val="20"/>
        </w:rPr>
        <w:t>ğ</w:t>
      </w:r>
      <w:r w:rsidRPr="007C1E0B">
        <w:rPr>
          <w:rFonts w:ascii="Times New Roman" w:hAnsi="Times New Roman" w:cs="Times New Roman"/>
          <w:sz w:val="20"/>
          <w:szCs w:val="20"/>
        </w:rPr>
        <w:t>işimlerin izlenmesi, popülasyonun maruziyet değerlendirmesi ve müdahale seviyesi ve maksimum limitlerin olası yeniden değerlendirilmesi için veri tabanının oluşturulması gibi farklı amaçlar için de kullanılabilir. Doğrulama metotları aynı zamanda muhtemel bulaşı kaynağını ortaya çıkarmak üzere türdeş bileşen dağılımlarının belirlenmesi hususunda da önemlidirler. Bu metotlar GC-HRMS kullanırlar. Maksimum limit</w:t>
      </w:r>
      <w:r w:rsidR="00305CB8" w:rsidRPr="007C1E0B">
        <w:rPr>
          <w:rFonts w:ascii="Times New Roman" w:hAnsi="Times New Roman" w:cs="Times New Roman"/>
          <w:sz w:val="20"/>
          <w:szCs w:val="20"/>
        </w:rPr>
        <w:t>lere</w:t>
      </w:r>
      <w:r w:rsidRPr="007C1E0B">
        <w:rPr>
          <w:rFonts w:ascii="Times New Roman" w:hAnsi="Times New Roman" w:cs="Times New Roman"/>
          <w:sz w:val="20"/>
          <w:szCs w:val="20"/>
        </w:rPr>
        <w:t xml:space="preserve"> uygunluk ve</w:t>
      </w:r>
      <w:r w:rsidR="00305CB8" w:rsidRPr="007C1E0B">
        <w:rPr>
          <w:rFonts w:ascii="Times New Roman" w:hAnsi="Times New Roman" w:cs="Times New Roman"/>
          <w:sz w:val="20"/>
          <w:szCs w:val="20"/>
        </w:rPr>
        <w:t>ya</w:t>
      </w:r>
      <w:r w:rsidRPr="007C1E0B">
        <w:rPr>
          <w:rFonts w:ascii="Times New Roman" w:hAnsi="Times New Roman" w:cs="Times New Roman"/>
          <w:sz w:val="20"/>
          <w:szCs w:val="20"/>
        </w:rPr>
        <w:t xml:space="preserve"> uygunsuzlu</w:t>
      </w:r>
      <w:r w:rsidR="00305CB8" w:rsidRPr="007C1E0B">
        <w:rPr>
          <w:rFonts w:ascii="Times New Roman" w:hAnsi="Times New Roman" w:cs="Times New Roman"/>
          <w:sz w:val="20"/>
          <w:szCs w:val="20"/>
        </w:rPr>
        <w:t>ğun kontrolünde</w:t>
      </w:r>
      <w:r w:rsidRPr="007C1E0B">
        <w:rPr>
          <w:rFonts w:ascii="Times New Roman" w:hAnsi="Times New Roman" w:cs="Times New Roman"/>
          <w:sz w:val="20"/>
          <w:szCs w:val="20"/>
        </w:rPr>
        <w:t xml:space="preserve">  aynı zamanda GC-MS/MS de kullanılabilir.</w:t>
      </w:r>
    </w:p>
    <w:p w:rsidR="008F593F" w:rsidRPr="007C1E0B" w:rsidRDefault="00300D9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FF575A" w:rsidRPr="007C1E0B">
        <w:rPr>
          <w:rFonts w:ascii="Times New Roman" w:hAnsi="Times New Roman" w:cs="Times New Roman"/>
          <w:sz w:val="20"/>
          <w:szCs w:val="20"/>
        </w:rPr>
        <w:t xml:space="preserve"> </w:t>
      </w:r>
      <w:r w:rsidR="003858EC" w:rsidRPr="007C1E0B">
        <w:rPr>
          <w:rFonts w:ascii="Times New Roman" w:hAnsi="Times New Roman" w:cs="Times New Roman"/>
          <w:sz w:val="20"/>
          <w:szCs w:val="20"/>
        </w:rPr>
        <w:t>Arka plan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Toksik Ekivalan (TEQ) konsantrasyonlarının hesaplanması için, belirli bir numunede maddelerin tek başına konsantrasyonları kendilerine ait Toksik Ekivalans Faktörleriyle (TEF) çarpılacak (bkz. Bölüm 1’deki dipnot (</w:t>
      </w:r>
      <w:r w:rsidR="00B56281" w:rsidRPr="007C1E0B">
        <w:rPr>
          <w:rFonts w:ascii="Times New Roman" w:hAnsi="Times New Roman" w:cs="Times New Roman"/>
          <w:sz w:val="20"/>
          <w:szCs w:val="20"/>
        </w:rPr>
        <w:t>8</w:t>
      </w:r>
      <w:r w:rsidRPr="007C1E0B">
        <w:rPr>
          <w:rFonts w:ascii="Times New Roman" w:hAnsi="Times New Roman" w:cs="Times New Roman"/>
          <w:sz w:val="20"/>
          <w:szCs w:val="20"/>
        </w:rPr>
        <w:t xml:space="preserve">) ve sonrasında TEQ cinsinden ifade edilen dioksin benzeri bileşiklerin toplam </w:t>
      </w:r>
      <w:r w:rsidR="00D97C80" w:rsidRPr="007C1E0B">
        <w:rPr>
          <w:rFonts w:ascii="Times New Roman" w:hAnsi="Times New Roman" w:cs="Times New Roman"/>
          <w:sz w:val="20"/>
          <w:szCs w:val="20"/>
        </w:rPr>
        <w:t>k</w:t>
      </w:r>
      <w:r w:rsidRPr="007C1E0B">
        <w:rPr>
          <w:rFonts w:ascii="Times New Roman" w:hAnsi="Times New Roman" w:cs="Times New Roman"/>
          <w:sz w:val="20"/>
          <w:szCs w:val="20"/>
        </w:rPr>
        <w:t>onsantrasyonlarını ortaya koymak için toplanacaktır.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Söz konusu Bölüm B’ye yönelik olarak, tek bir türdeşin kabul edilen spesifik miktar tayini limiti, bir analitin en düşük miktarının makul istatistiksel belirlilikle ölçülebileceği ve uluslararası düzeyde tanınan standartlarda belirtilen teşhis kriterlerini (örneğin EN 16215:2012 (Hayvan yemi — Dioksin ve dioksin benzeri PCB’lerin GC-HRMS ile belirlenmesi, indikatör PCB’lerin GCHRMS ile belirlenmesi) ve/veya revize edilen EPA 1613 ve 1668 metotları.) yerine getireceği anlamına gelir.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Tekli bir türdeşin miktar tayin limiti aşağıdaki şekilde belirlenebilir:</w:t>
      </w:r>
    </w:p>
    <w:p w:rsidR="008F593F" w:rsidRPr="007C1E0B" w:rsidRDefault="008F593F" w:rsidP="000748B1">
      <w:pPr>
        <w:pStyle w:val="ListeParagraf"/>
        <w:numPr>
          <w:ilvl w:val="0"/>
          <w:numId w:val="5"/>
        </w:numPr>
        <w:tabs>
          <w:tab w:val="left" w:pos="284"/>
        </w:tabs>
        <w:ind w:left="284" w:hanging="284"/>
        <w:jc w:val="both"/>
        <w:rPr>
          <w:sz w:val="20"/>
          <w:szCs w:val="20"/>
        </w:rPr>
      </w:pPr>
      <w:r w:rsidRPr="007C1E0B">
        <w:rPr>
          <w:sz w:val="20"/>
          <w:szCs w:val="20"/>
        </w:rPr>
        <w:t>Daha düşük yoğunluktaki ham veri sinyali için 3:1’lik S/N (sinyal/gürültü) oranıyla izlenmesi gereken iki farklı iyonda instrumental yanıt (response) üreten bir numune ekstraktında analitin konsantrasyonu veya</w:t>
      </w:r>
    </w:p>
    <w:p w:rsidR="00B56281" w:rsidRPr="007C1E0B" w:rsidRDefault="00B56281" w:rsidP="000748B1">
      <w:pPr>
        <w:pStyle w:val="ListeParagraf"/>
        <w:numPr>
          <w:ilvl w:val="0"/>
          <w:numId w:val="5"/>
        </w:numPr>
        <w:tabs>
          <w:tab w:val="left" w:pos="284"/>
        </w:tabs>
        <w:ind w:left="284" w:hanging="284"/>
        <w:jc w:val="both"/>
        <w:rPr>
          <w:sz w:val="20"/>
          <w:szCs w:val="20"/>
        </w:rPr>
      </w:pPr>
      <w:r w:rsidRPr="007C1E0B">
        <w:rPr>
          <w:sz w:val="20"/>
          <w:szCs w:val="20"/>
        </w:rPr>
        <w:t>Teknik gerekçeler dolayısıyla, sinyal/gürültü hesaplamasında güvenilir sonuçlar elde edilemezse, her numune serisinde kalibrasyon eğrisindeki tüm noktalar için hesaplanan ortalama bağıl yanıt faktöründen kabul edilebilir (≤</w:t>
      </w:r>
      <w:r w:rsidR="00E97AE2" w:rsidRPr="007C1E0B">
        <w:rPr>
          <w:sz w:val="20"/>
          <w:szCs w:val="20"/>
        </w:rPr>
        <w:t xml:space="preserve"> </w:t>
      </w:r>
      <w:r w:rsidRPr="007C1E0B">
        <w:rPr>
          <w:sz w:val="20"/>
          <w:szCs w:val="20"/>
        </w:rPr>
        <w:t>%</w:t>
      </w:r>
      <w:r w:rsidR="00771510" w:rsidRPr="007C1E0B">
        <w:rPr>
          <w:sz w:val="20"/>
          <w:szCs w:val="20"/>
        </w:rPr>
        <w:t xml:space="preserve"> </w:t>
      </w:r>
      <w:r w:rsidRPr="007C1E0B">
        <w:rPr>
          <w:sz w:val="20"/>
          <w:szCs w:val="20"/>
        </w:rPr>
        <w:t>30) ve tutarlı (analitik numune serisinin en azından başında ve sonunda ölçülen) sapma. LOQ iç standartların geri kazanımı ve numune alımı dikkate alınarak en düşük konsantrasyondan hesaplanır</w:t>
      </w:r>
    </w:p>
    <w:p w:rsidR="00A26870" w:rsidRPr="007C1E0B" w:rsidRDefault="00A26870" w:rsidP="001B722B">
      <w:pPr>
        <w:pStyle w:val="ListeParagraf"/>
        <w:tabs>
          <w:tab w:val="left" w:pos="284"/>
        </w:tabs>
        <w:ind w:left="0"/>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Biyoanalitik tarama metotları türdeş düzeyinde sonuç vermez</w:t>
      </w:r>
      <w:r w:rsidR="00862F0B"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r w:rsidR="00862F0B" w:rsidRPr="007C1E0B">
        <w:rPr>
          <w:rFonts w:ascii="Times New Roman" w:hAnsi="Times New Roman" w:cs="Times New Roman"/>
          <w:sz w:val="20"/>
          <w:szCs w:val="20"/>
        </w:rPr>
        <w:t>F</w:t>
      </w:r>
      <w:r w:rsidRPr="007C1E0B">
        <w:rPr>
          <w:rFonts w:ascii="Times New Roman" w:hAnsi="Times New Roman" w:cs="Times New Roman"/>
          <w:sz w:val="20"/>
          <w:szCs w:val="20"/>
        </w:rPr>
        <w:t>akat sadece TEQ düzeyinin Biyoanalitik Ekivalanlar (BEQ) cinsinden ifade edilen bir göstergesidir (</w:t>
      </w:r>
      <w:r w:rsidR="00B56281" w:rsidRPr="007C1E0B">
        <w:rPr>
          <w:rStyle w:val="DipnotBavurusu"/>
          <w:rFonts w:ascii="Times New Roman" w:hAnsi="Times New Roman" w:cs="Times New Roman"/>
          <w:sz w:val="20"/>
          <w:szCs w:val="20"/>
        </w:rPr>
        <w:footnoteReference w:id="15"/>
      </w:r>
      <w:r w:rsidRPr="007C1E0B">
        <w:rPr>
          <w:rFonts w:ascii="Times New Roman" w:hAnsi="Times New Roman" w:cs="Times New Roman"/>
          <w:sz w:val="20"/>
          <w:szCs w:val="20"/>
        </w:rPr>
        <w:t>) ve testte yanıt meydana getiren bir numune ekstraktındaki tüm bileşiklerin TEQ prensibinin t</w:t>
      </w:r>
      <w:r w:rsidRPr="007C1E0B">
        <w:rPr>
          <w:rFonts w:ascii="Times New Roman" w:hAnsi="Times New Roman" w:cs="Times New Roman" w:hint="eastAsia"/>
          <w:sz w:val="20"/>
          <w:szCs w:val="20"/>
        </w:rPr>
        <w:t>ü</w:t>
      </w:r>
      <w:r w:rsidRPr="007C1E0B">
        <w:rPr>
          <w:rFonts w:ascii="Times New Roman" w:hAnsi="Times New Roman" w:cs="Times New Roman"/>
          <w:sz w:val="20"/>
          <w:szCs w:val="20"/>
        </w:rPr>
        <w:t>m gerekliliklerine uymayabileceğini gösterir.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Tarama ve doğrulama metotları, müdahale eşiği veya maksimum düzeyde seviyeleri güvenilir şekilde tespit etmek için yeterli düzeyde duyarlı olmaları halinde sadece belirli bir matriksin kontrolü için uygulanabilirler.</w:t>
      </w:r>
    </w:p>
    <w:p w:rsidR="008F593F" w:rsidRPr="007C1E0B" w:rsidRDefault="00300D98"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8F593F" w:rsidRPr="007C1E0B">
        <w:rPr>
          <w:rFonts w:ascii="Times New Roman" w:hAnsi="Times New Roman" w:cs="Times New Roman"/>
          <w:sz w:val="20"/>
          <w:szCs w:val="20"/>
        </w:rPr>
        <w:t>Kalite güvence gereklilikleri</w:t>
      </w:r>
    </w:p>
    <w:p w:rsidR="008F593F" w:rsidRPr="007C1E0B" w:rsidRDefault="00300D98" w:rsidP="001B722B">
      <w:pPr>
        <w:jc w:val="both"/>
        <w:rPr>
          <w:rFonts w:ascii="Times New Roman" w:hAnsi="Times New Roman" w:cs="Times New Roman"/>
          <w:sz w:val="20"/>
          <w:szCs w:val="20"/>
        </w:rPr>
      </w:pPr>
      <w:r w:rsidRPr="007C1E0B">
        <w:rPr>
          <w:rFonts w:ascii="Times New Roman" w:hAnsi="Times New Roman" w:cs="Times New Roman"/>
          <w:sz w:val="20"/>
          <w:szCs w:val="20"/>
        </w:rPr>
        <w:t>a)</w:t>
      </w:r>
      <w:r w:rsidR="00A2687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Numune alma ve analiz prosedürünün her bir basamağında çapraz bulaşmayı önleyecek tedbirler alınmalıdır.</w:t>
      </w:r>
    </w:p>
    <w:p w:rsidR="008F593F" w:rsidRPr="007C1E0B" w:rsidRDefault="008F593F" w:rsidP="00FF575A">
      <w:pPr>
        <w:tabs>
          <w:tab w:val="left" w:pos="426"/>
        </w:tabs>
        <w:jc w:val="both"/>
        <w:rPr>
          <w:rFonts w:ascii="Times New Roman" w:hAnsi="Times New Roman" w:cs="Times New Roman"/>
          <w:sz w:val="20"/>
          <w:szCs w:val="20"/>
        </w:rPr>
      </w:pPr>
      <w:r w:rsidRPr="007C1E0B">
        <w:rPr>
          <w:rFonts w:ascii="Times New Roman" w:hAnsi="Times New Roman" w:cs="Times New Roman"/>
          <w:sz w:val="20"/>
          <w:szCs w:val="20"/>
        </w:rPr>
        <w:t xml:space="preserve">b) </w:t>
      </w:r>
      <w:r w:rsidR="00A2687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Numuneler, numunelerdeki PCDD/F’ler ve dioksin benzeri PCB’lerin seviyeleri üzerine etki etmeyecek şekilde saklamaya uygun cam, alüminyum, polipropilen veya polietilen kaplarda muhafaza edilmeli ve taşınmalıdır. Eser miktarda olsa dahi kağıt tozlarının kalıntıları numune kabından uzaklaştırılmalıdır. </w:t>
      </w:r>
    </w:p>
    <w:p w:rsidR="008F593F" w:rsidRPr="007C1E0B" w:rsidRDefault="008F593F" w:rsidP="00FF575A">
      <w:pPr>
        <w:tabs>
          <w:tab w:val="left" w:pos="284"/>
        </w:tabs>
        <w:jc w:val="both"/>
        <w:rPr>
          <w:rFonts w:ascii="Times New Roman" w:hAnsi="Times New Roman" w:cs="Times New Roman"/>
          <w:sz w:val="20"/>
          <w:szCs w:val="20"/>
        </w:rPr>
      </w:pPr>
      <w:r w:rsidRPr="007C1E0B">
        <w:rPr>
          <w:rFonts w:ascii="Times New Roman" w:hAnsi="Times New Roman" w:cs="Times New Roman"/>
          <w:sz w:val="20"/>
          <w:szCs w:val="20"/>
        </w:rPr>
        <w:t xml:space="preserve">c)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Numuneler, bütünlüğü korunarak özellikleri değişmeyecek koşullarda muhafaza edilmeli ve taşınmalıdır.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ç</w:t>
      </w:r>
      <w:r w:rsidRPr="007C1E0B">
        <w:rPr>
          <w:rFonts w:ascii="Times New Roman" w:hAnsi="Times New Roman" w:cs="Times New Roman"/>
          <w:sz w:val="20"/>
          <w:szCs w:val="20"/>
        </w:rPr>
        <w:t xml:space="preserve">)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Her bir laboratuvar numunesi mümkün olduğu kadar, tam homojenizasyonu sağlamak üzere, iyice öğütülmeli (örneğin 1 mm’lik elekten geçecek şekilde) ve iyice karıştırılmalıdır. Numuneler, rutubet içeriği çok yüksek ise, öğütülmeden önce kurutulmalıdır.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d) </w:t>
      </w:r>
      <w:r w:rsidR="00A26870" w:rsidRPr="007C1E0B">
        <w:rPr>
          <w:rFonts w:ascii="Times New Roman" w:hAnsi="Times New Roman" w:cs="Times New Roman"/>
          <w:sz w:val="20"/>
          <w:szCs w:val="20"/>
        </w:rPr>
        <w:t xml:space="preserve">  </w:t>
      </w:r>
      <w:r w:rsidRPr="007C1E0B">
        <w:rPr>
          <w:rFonts w:ascii="Times New Roman" w:hAnsi="Times New Roman" w:cs="Times New Roman"/>
          <w:sz w:val="20"/>
          <w:szCs w:val="20"/>
        </w:rPr>
        <w:t>Kimyasallar, cam malzemeler ve ekipmanların, TEQ veya BEQ’e dayalı sonuçları etkilememesi için kontrol edilmiş olması çok önemlidir.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e) </w:t>
      </w:r>
      <w:r w:rsidR="00A26870"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hariç tutularak, tüm analitik prosedürün uygulanması ile kör analiz gerçekleştirilmelidir.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f)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Biyoanalitik metotlar için, analizde kullanılan tüm cam malzeme ve çözücülerin çalışma aralığı içerisinde hedef bileşiklerin tespitinde girişim yapan bileşikler içermediğinin kontrol edilmiş olması oldukça önemlidir. Cam malzemeler, PCDD/F’ler, dioksin benzeri PCB’ler ve girişim yapan bileşiklerin kalıntılarını uzaklaştırmak için uygun sıcaklıklarda ısıtılmalı ve/veya çözücüler ile çalkalanmalıdır.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 Ekstraksiyon için kullanılan numune miktarı, müdahale seviyesi veya maksimum limit konsantrasyonunu içeren yeterince düşük çalışma aralığındaki gereklilikleri karşılamalıdır.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ğ)</w:t>
      </w:r>
      <w:r w:rsidR="00A26870"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Analiz edilecek ürünler için kullanılan özel numune hazırlama prosedürleri, uluslararası kabul edilen talimatlara uygun olmalıdır.</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Laboratuvarların gereklilikleri</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4.1</w:t>
      </w:r>
      <w:r w:rsidR="003858EC" w:rsidRPr="007C1E0B">
        <w:t xml:space="preserve"> </w:t>
      </w:r>
      <w:r w:rsidR="003858EC" w:rsidRPr="007C1E0B">
        <w:rPr>
          <w:rFonts w:ascii="Times New Roman" w:hAnsi="Times New Roman" w:cs="Times New Roman"/>
          <w:sz w:val="20"/>
          <w:szCs w:val="20"/>
        </w:rPr>
        <w:t>Laboratuvarlar, Gıda ve Yemin Resmi Kontrollerine Dair Yönetmeli</w:t>
      </w:r>
      <w:r w:rsidR="00EF5E5C" w:rsidRPr="007C1E0B">
        <w:rPr>
          <w:rFonts w:ascii="Times New Roman" w:hAnsi="Times New Roman" w:cs="Times New Roman"/>
          <w:sz w:val="20"/>
          <w:szCs w:val="20"/>
        </w:rPr>
        <w:t xml:space="preserve">kte </w:t>
      </w:r>
      <w:r w:rsidR="003858EC" w:rsidRPr="007C1E0B">
        <w:rPr>
          <w:rFonts w:ascii="Times New Roman" w:hAnsi="Times New Roman" w:cs="Times New Roman"/>
          <w:sz w:val="20"/>
          <w:szCs w:val="20"/>
        </w:rPr>
        <w:t>laboratuvarlar için belirtilen hükümlere uymak zorundadır</w:t>
      </w:r>
      <w:r w:rsidRPr="007C1E0B">
        <w:rPr>
          <w:rFonts w:ascii="Times New Roman" w:hAnsi="Times New Roman" w:cs="Times New Roman"/>
          <w:sz w:val="20"/>
          <w:szCs w:val="20"/>
        </w:rPr>
        <w:t>.</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İlgili yem matrisleri ve konsantrasyon aralıklarında PCDD/PCDF ve dioksin benzeri PCB’lerin tespiti için laboratuvarlar arası çalışmalara devamlı olarak başarılı şekilde katılım yoluyla laboratuvar yeterliliği kanıtlanacaktır.</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8F593F" w:rsidRPr="007C1E0B">
        <w:rPr>
          <w:rFonts w:ascii="Times New Roman" w:hAnsi="Times New Roman" w:cs="Times New Roman"/>
          <w:sz w:val="20"/>
          <w:szCs w:val="20"/>
        </w:rPr>
        <w:t>Numunelerin rutin kontrolü için tarama metotları uygulayan laboratuvarlar, doğrulama metodunu uygulayan laboratuvarlarla kalite kontrol ve şüpheli numunelerin analiz sonucunun doğrulanması bakımından yakın bir işbirliği oluşturacaklardır.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Dioksinler (PCDD/PCDF’ler) ve dioksin benzeri PCB’lerin analiz prosedürünün karşılaması gereken temel gereklilikler</w:t>
      </w:r>
      <w:r w:rsidR="001857B9"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Düşük çalışma aralığı ve miktar tayin limitleri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PCDD/F’ler için, bu bileşiklerin bazılarının </w:t>
      </w:r>
      <w:r w:rsidR="0058397D"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toksisiteleri nedeniyle tespit edilebilir miktarlar femtogram(10</w:t>
      </w:r>
      <w:r w:rsidRPr="007C1E0B">
        <w:rPr>
          <w:rFonts w:ascii="Times New Roman" w:hAnsi="Times New Roman" w:cs="Times New Roman"/>
          <w:sz w:val="20"/>
          <w:szCs w:val="20"/>
          <w:vertAlign w:val="superscript"/>
        </w:rPr>
        <w:t>-15</w:t>
      </w:r>
      <w:r w:rsidRPr="007C1E0B">
        <w:rPr>
          <w:rFonts w:ascii="Times New Roman" w:hAnsi="Times New Roman" w:cs="Times New Roman"/>
          <w:sz w:val="20"/>
          <w:szCs w:val="20"/>
        </w:rPr>
        <w:t>g) düzeyinde olmalıdır. Çoğu PCB türdeş bileşeni için nanogram (10</w:t>
      </w:r>
      <w:r w:rsidRPr="007C1E0B">
        <w:rPr>
          <w:rFonts w:ascii="Times New Roman" w:hAnsi="Times New Roman" w:cs="Times New Roman"/>
          <w:sz w:val="20"/>
          <w:szCs w:val="20"/>
          <w:vertAlign w:val="superscript"/>
        </w:rPr>
        <w:t>-9</w:t>
      </w:r>
      <w:r w:rsidRPr="007C1E0B">
        <w:rPr>
          <w:rFonts w:ascii="Times New Roman" w:hAnsi="Times New Roman" w:cs="Times New Roman"/>
          <w:sz w:val="20"/>
          <w:szCs w:val="20"/>
        </w:rPr>
        <w:t>g) düzeyinde ölçüm limiti yeterlidir. Ancak, daha toksik dioksin benzeri PCB türdeş bileşenlerinin (özellikle non-orto türdeş bileşenlerin) ölçümü için, çalışma aralığı pikogram (10</w:t>
      </w:r>
      <w:r w:rsidRPr="007C1E0B">
        <w:rPr>
          <w:rFonts w:ascii="Times New Roman" w:hAnsi="Times New Roman" w:cs="Times New Roman"/>
          <w:sz w:val="20"/>
          <w:szCs w:val="20"/>
          <w:vertAlign w:val="superscript"/>
        </w:rPr>
        <w:t>-12</w:t>
      </w:r>
      <w:r w:rsidRPr="007C1E0B">
        <w:rPr>
          <w:rFonts w:ascii="Times New Roman" w:hAnsi="Times New Roman" w:cs="Times New Roman"/>
          <w:sz w:val="20"/>
          <w:szCs w:val="20"/>
        </w:rPr>
        <w:t>g) seviyelerine inmelidir.</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FF575A"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Yüksek seçicilik (spesifiklik)</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5.2.1. </w:t>
      </w:r>
      <w:r w:rsidR="008F593F" w:rsidRPr="007C1E0B">
        <w:rPr>
          <w:rFonts w:ascii="Times New Roman" w:hAnsi="Times New Roman" w:cs="Times New Roman"/>
          <w:sz w:val="20"/>
          <w:szCs w:val="20"/>
        </w:rPr>
        <w:t>PCDD/F’ler ve dioksin benzeri PCB’leri, ilgili analitlerden birkaç kat fazla konsantrasyonlarda mevcut olan, ilgili analitlerle birlikte ekstrakte edilen ve girişim yapması muhtemel bileşiklerden ayırt etmek gereklidir. Gaz kromatografisi/kütle spektrometresi (GC-MS) metotlarında, toksik bileşikler (17 adet PCDD/F’ler ve 12 adet dioksin benzeri PCB’ler) ve diğer türdeş bileşenlerin ayrımı gereklidir.</w:t>
      </w:r>
    </w:p>
    <w:p w:rsidR="008F593F" w:rsidRPr="007C1E0B" w:rsidRDefault="00A26870"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8F593F" w:rsidRPr="007C1E0B">
        <w:rPr>
          <w:rFonts w:ascii="Times New Roman" w:hAnsi="Times New Roman" w:cs="Times New Roman"/>
          <w:sz w:val="20"/>
          <w:szCs w:val="20"/>
        </w:rPr>
        <w:t>Biyoanalitik metotlar, PCDD/F’ler ve/veya dioksin benzeri PCB’lerin toplamı olarak, hedef bileşikleri tespit edebilir olmalıdır. Clean-up işlemi “hatalı-uygunsuz” sonuçlara sebep olan bileşikleri ya da hatalı-uygun sonuçlara sebep olan yanıtı düşürecek bileşikleri uzaklaştıracak şekilde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Yüksek doğruluk ( gerçeklik ve kesinlik, biyoanaliz görünür geri kazanımı)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5.3.1. GC-MS metotları ile tespit; numunedeki gerçek konsantrasyon için geçerli bir değerlendirme sağlamalıdır. Yüksek doğruluk (Ölçüm doğruluğu: Analite ilişkin gerçek veya atfedilen değer ile ölçülen sonucun birbirine yakınlığı), hesaplanan TEQ seviyesinin zayıf güvenilirliği sebebiyle analiz sonucunun reddinden kaçınmak için gereklidir. Doğruluk, gerçeklik ve kesinlik olarak ifade edilir. Gerçeklik, sertifikalı materyal içindeki analit için ölçülen ortalama değer ve onun sertifikalanmış değeri arasındaki farktır ve bu farkın sertifikalanmış değere göre yüzdesi olarak ifade edilir. Kesinlik ise tekrar üretilebilirlik koşulları altında elde edilen sonuçlardan hesaplanan bağıl standart sapmadır (RSDR).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5.3.2. Biyoanalitik metotlar için biyoanaliz görünür geri kazanımı belirlenir. Biyoanaliz görünür geri kazanımı, kör tayin için düzeltilmiş TCDD veya PCB 126 kalibrasyon eğrisinden hesaplanan ve sonrasında doğrulama metoduyla belirlenmiş TEQ düzeyine bölünen BEQ düzeyidir. Ekstraksiyon ve temizleme aşamalarında PCDD/PCDF’ler ve dioksin benzeri bileşiklerin kaybı, yanıtı arttıran veya azaltan (agonistik ve antagonistik etkiler) ve birlikte ekstrakte edilen bileşikler, veya Toksik Ekivalans Faktörü (TEF) ve Bağıl Güç (REP) değerleri arasındaki farklar gibi faktörlerin düzeltilmesini hedefler. Biyoanaliz görünür geri kazanımı ilgi düzeyi çevresinde temsili türdeş bileşenlerine sahip uygun referans numunelerinden hesaplanmaktadır.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Maksimum düzey aralığı ve genel kalite kontrol önlemlerinin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Laboratuvarlar,  geçerli kılma işleminde ve/veya rutin analizlerde maksimum limitin 0.5, 1 ve 2 katı gibi maksimum limit aralığında tekrarlanan analizlerde kabul edilebilir bir varyasyon katsayısı sağlanacak şekilde, metodun performansını göstermelidir.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5.4.2.  Kontrol numunelerinin düzenli kör kontrolleri ve eklenmiş denemeler veya analiz (tercihen mevcut olması halinde sertifikalı referans materyali) iç kalite kontrol tedbirleri olarak yürütülür. Analizin gerekliliklere uygun olarak yürütülmesinin teyidi için kontrol numunelerinin kör kontrolleri, eklenmiş denemeleri veya analizleri kaydedilmeli ve kontrol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5.5.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Ölçüm Limiti (LOQ)</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5.5.1.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Biyoanalitik tarama metotları için, ölçüm limitinin belirlenmesi zorunlu bir gereklilik değildir ancak bu metodun eşik değeri ve kör değerini birbirinden ayırt edebildiğini kanıtlaması gerekmektedir. Bir BEQ düzeyi verildiği zaman, bu seviyenin altında yanıt veren numuneleri ele almak için bir raporlama limiti belirlenmelidir. Raporlama limitinin, çalışma aralığı altında kalmak kaydıyla, “prosedür kör numunelerinden” en az 3 kat fazla olabileceği gösterilmelidir. Bu sebeple, bu limit, bir deneme köründen ya da S/N oranından değil;  istenen minimum seviye civarındaki hedef bileşenleri içeren numunelerden hesaplanmalıdır.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5.5.2.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Bir doğrulama metodu için; ölçüm limiti, maksimum limitin ortalama 1/5’i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5.6. </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Analiz kriterleri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Doğrulama veya tarama metotlarından güvenilir sonuçlar elde etmek amacıyla; maksimum limit veya müdahale seviyesi aralığında, gerek toplam TEQ değeri olarak hesaplanan (PCDD/F ve dioksin benzeri PCB’lerin toplamı) ve gerekse PCDD/F ve dioksin benzeri PCB’ler olarak ayrı ayrı hesaplanan TEQ değeri ve BEQ değeri için Tablo- 5’teki kriterler karşılanmalıdır.</w:t>
      </w:r>
    </w:p>
    <w:tbl>
      <w:tblPr>
        <w:tblStyle w:val="TabloKlavuzu"/>
        <w:tblpPr w:leftFromText="141" w:rightFromText="141" w:vertAnchor="text" w:horzAnchor="margin" w:tblpX="108" w:tblpY="280"/>
        <w:tblOverlap w:val="never"/>
        <w:tblW w:w="9069" w:type="dxa"/>
        <w:tblLayout w:type="fixed"/>
        <w:tblLook w:val="04A0" w:firstRow="1" w:lastRow="0" w:firstColumn="1" w:lastColumn="0" w:noHBand="0" w:noVBand="1"/>
      </w:tblPr>
      <w:tblGrid>
        <w:gridCol w:w="4141"/>
        <w:gridCol w:w="2349"/>
        <w:gridCol w:w="2579"/>
      </w:tblGrid>
      <w:tr w:rsidR="007C1E0B" w:rsidRPr="007C1E0B" w:rsidTr="00803CA9">
        <w:trPr>
          <w:trHeight w:val="1016"/>
        </w:trPr>
        <w:tc>
          <w:tcPr>
            <w:tcW w:w="4141" w:type="dxa"/>
            <w:tcBorders>
              <w:top w:val="single" w:sz="4" w:space="0" w:color="auto"/>
              <w:left w:val="single" w:sz="4" w:space="0" w:color="auto"/>
              <w:bottom w:val="single" w:sz="4" w:space="0" w:color="auto"/>
              <w:right w:val="single" w:sz="4" w:space="0" w:color="auto"/>
            </w:tcBorders>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p>
        </w:tc>
        <w:tc>
          <w:tcPr>
            <w:tcW w:w="234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Biyoanalitik veya fizikokimyasal metotlarla tarama</w:t>
            </w:r>
          </w:p>
        </w:tc>
        <w:tc>
          <w:tcPr>
            <w:tcW w:w="257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Doğrulama metotları</w:t>
            </w:r>
          </w:p>
        </w:tc>
      </w:tr>
      <w:tr w:rsidR="007C1E0B" w:rsidRPr="007C1E0B" w:rsidTr="00803CA9">
        <w:trPr>
          <w:trHeight w:val="276"/>
        </w:trPr>
        <w:tc>
          <w:tcPr>
            <w:tcW w:w="4141"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Yanlış uyumlu oran(</w:t>
            </w:r>
            <w:r w:rsidRPr="007C1E0B">
              <w:rPr>
                <w:rFonts w:ascii="Times New Roman" w:eastAsiaTheme="minorEastAsia" w:hAnsi="Times New Roman" w:cs="Times New Roman"/>
                <w:sz w:val="20"/>
                <w:szCs w:val="20"/>
                <w:lang w:eastAsia="tr-TR"/>
              </w:rPr>
              <w:t>*</w:t>
            </w:r>
            <w:r w:rsidRPr="007C1E0B">
              <w:rPr>
                <w:rFonts w:ascii="Times New Roman" w:hAnsi="Times New Roman" w:cs="Times New Roman"/>
                <w:sz w:val="20"/>
                <w:szCs w:val="20"/>
              </w:rPr>
              <w:t>)</w:t>
            </w:r>
          </w:p>
        </w:tc>
        <w:tc>
          <w:tcPr>
            <w:tcW w:w="234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&lt;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5</w:t>
            </w:r>
          </w:p>
        </w:tc>
        <w:tc>
          <w:tcPr>
            <w:tcW w:w="2579" w:type="dxa"/>
            <w:tcBorders>
              <w:top w:val="single" w:sz="4" w:space="0" w:color="auto"/>
              <w:left w:val="single" w:sz="4" w:space="0" w:color="auto"/>
              <w:bottom w:val="single" w:sz="4" w:space="0" w:color="auto"/>
              <w:right w:val="single" w:sz="4" w:space="0" w:color="auto"/>
            </w:tcBorders>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225"/>
        </w:trPr>
        <w:tc>
          <w:tcPr>
            <w:tcW w:w="4141" w:type="dxa"/>
            <w:tcBorders>
              <w:top w:val="single" w:sz="4" w:space="0" w:color="auto"/>
              <w:left w:val="single" w:sz="4" w:space="0" w:color="auto"/>
              <w:bottom w:val="single" w:sz="4" w:space="0" w:color="auto"/>
              <w:right w:val="single" w:sz="4" w:space="0" w:color="auto"/>
            </w:tcBorders>
            <w:hideMark/>
          </w:tcPr>
          <w:p w:rsidR="00A26870" w:rsidRPr="007C1E0B" w:rsidRDefault="003858EC" w:rsidP="003858EC">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Geçerlilik</w:t>
            </w:r>
          </w:p>
        </w:tc>
        <w:tc>
          <w:tcPr>
            <w:tcW w:w="2349" w:type="dxa"/>
            <w:tcBorders>
              <w:top w:val="single" w:sz="4" w:space="0" w:color="auto"/>
              <w:left w:val="single" w:sz="4" w:space="0" w:color="auto"/>
              <w:bottom w:val="single" w:sz="4" w:space="0" w:color="auto"/>
              <w:right w:val="single" w:sz="4" w:space="0" w:color="auto"/>
            </w:tcBorders>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p>
        </w:tc>
        <w:tc>
          <w:tcPr>
            <w:tcW w:w="257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numPr>
                <w:ilvl w:val="0"/>
                <w:numId w:val="1"/>
              </w:numPr>
              <w:jc w:val="both"/>
              <w:rPr>
                <w:rFonts w:eastAsiaTheme="minorEastAsia"/>
                <w:sz w:val="20"/>
                <w:szCs w:val="20"/>
                <w:lang w:eastAsia="tr-TR"/>
              </w:rPr>
            </w:pPr>
            <w:r w:rsidRPr="007C1E0B">
              <w:rPr>
                <w:rFonts w:ascii="Times New Roman" w:eastAsiaTheme="minorEastAsia" w:hAnsi="Times New Roman" w:cs="Times New Roman"/>
                <w:sz w:val="20"/>
                <w:szCs w:val="20"/>
              </w:rPr>
              <w:t>%</w:t>
            </w:r>
            <w:r w:rsidR="00771510" w:rsidRPr="007C1E0B">
              <w:rPr>
                <w:rFonts w:ascii="Times New Roman" w:eastAsiaTheme="minorEastAsia" w:hAnsi="Times New Roman" w:cs="Times New Roman"/>
                <w:sz w:val="20"/>
                <w:szCs w:val="20"/>
              </w:rPr>
              <w:t xml:space="preserve"> </w:t>
            </w:r>
            <w:r w:rsidRPr="007C1E0B">
              <w:rPr>
                <w:rFonts w:ascii="Times New Roman" w:eastAsiaTheme="minorEastAsia" w:hAnsi="Times New Roman" w:cs="Times New Roman"/>
                <w:sz w:val="20"/>
                <w:szCs w:val="20"/>
              </w:rPr>
              <w:t>20 ila + %</w:t>
            </w:r>
            <w:r w:rsidR="00771510" w:rsidRPr="007C1E0B">
              <w:rPr>
                <w:rFonts w:ascii="Times New Roman" w:eastAsiaTheme="minorEastAsia" w:hAnsi="Times New Roman" w:cs="Times New Roman"/>
                <w:sz w:val="20"/>
                <w:szCs w:val="20"/>
              </w:rPr>
              <w:t xml:space="preserve"> </w:t>
            </w:r>
            <w:r w:rsidRPr="007C1E0B">
              <w:rPr>
                <w:rFonts w:ascii="Times New Roman" w:eastAsiaTheme="minorEastAsia" w:hAnsi="Times New Roman" w:cs="Times New Roman"/>
                <w:sz w:val="20"/>
                <w:szCs w:val="20"/>
              </w:rPr>
              <w:t>20</w:t>
            </w:r>
          </w:p>
        </w:tc>
      </w:tr>
      <w:tr w:rsidR="007C1E0B" w:rsidRPr="007C1E0B" w:rsidTr="00803CA9">
        <w:trPr>
          <w:trHeight w:val="319"/>
        </w:trPr>
        <w:tc>
          <w:tcPr>
            <w:tcW w:w="4141" w:type="dxa"/>
            <w:tcBorders>
              <w:top w:val="single" w:sz="4" w:space="0" w:color="auto"/>
              <w:left w:val="single" w:sz="4" w:space="0" w:color="auto"/>
              <w:bottom w:val="single" w:sz="4" w:space="0" w:color="auto"/>
              <w:right w:val="single" w:sz="4" w:space="0" w:color="auto"/>
            </w:tcBorders>
            <w:hideMark/>
          </w:tcPr>
          <w:p w:rsidR="00A26870" w:rsidRPr="007C1E0B" w:rsidRDefault="004B29C1"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Tekrar edilebilirlik</w:t>
            </w:r>
            <w:r w:rsidR="00A26870" w:rsidRPr="007C1E0B">
              <w:rPr>
                <w:rFonts w:ascii="Times New Roman" w:hAnsi="Times New Roman" w:cs="Times New Roman"/>
                <w:sz w:val="20"/>
                <w:szCs w:val="20"/>
              </w:rPr>
              <w:t xml:space="preserve"> (RSD</w:t>
            </w:r>
            <w:r w:rsidR="00A26870" w:rsidRPr="007C1E0B">
              <w:rPr>
                <w:rFonts w:ascii="Times New Roman" w:hAnsi="Times New Roman" w:cs="Times New Roman"/>
                <w:sz w:val="20"/>
                <w:szCs w:val="20"/>
                <w:vertAlign w:val="subscript"/>
              </w:rPr>
              <w:t>r</w:t>
            </w:r>
            <w:r w:rsidR="00A26870" w:rsidRPr="007C1E0B">
              <w:rPr>
                <w:rFonts w:ascii="Times New Roman" w:hAnsi="Times New Roman" w:cs="Times New Roman"/>
                <w:sz w:val="20"/>
                <w:szCs w:val="20"/>
              </w:rPr>
              <w:t>)</w:t>
            </w:r>
          </w:p>
        </w:tc>
        <w:tc>
          <w:tcPr>
            <w:tcW w:w="234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&lt;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20</w:t>
            </w:r>
          </w:p>
        </w:tc>
        <w:tc>
          <w:tcPr>
            <w:tcW w:w="2579" w:type="dxa"/>
            <w:tcBorders>
              <w:top w:val="single" w:sz="4" w:space="0" w:color="auto"/>
              <w:left w:val="single" w:sz="4" w:space="0" w:color="auto"/>
              <w:bottom w:val="single" w:sz="4" w:space="0" w:color="auto"/>
              <w:right w:val="single" w:sz="4" w:space="0" w:color="auto"/>
            </w:tcBorders>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p>
        </w:tc>
      </w:tr>
      <w:tr w:rsidR="007C1E0B" w:rsidRPr="007C1E0B" w:rsidTr="00803CA9">
        <w:trPr>
          <w:trHeight w:val="473"/>
        </w:trPr>
        <w:tc>
          <w:tcPr>
            <w:tcW w:w="4141" w:type="dxa"/>
            <w:tcBorders>
              <w:top w:val="single" w:sz="4" w:space="0" w:color="auto"/>
              <w:left w:val="single" w:sz="4" w:space="0" w:color="auto"/>
              <w:bottom w:val="single" w:sz="4" w:space="0" w:color="auto"/>
              <w:right w:val="single" w:sz="4" w:space="0" w:color="auto"/>
            </w:tcBorders>
            <w:hideMark/>
          </w:tcPr>
          <w:p w:rsidR="00A26870" w:rsidRPr="007C1E0B" w:rsidRDefault="00A26870" w:rsidP="006F0D8C">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xml:space="preserve">Laboratuvarda </w:t>
            </w:r>
            <w:r w:rsidR="006F0D8C" w:rsidRPr="007C1E0B">
              <w:rPr>
                <w:rFonts w:ascii="Times New Roman" w:hAnsi="Times New Roman" w:cs="Times New Roman"/>
                <w:sz w:val="20"/>
                <w:szCs w:val="20"/>
              </w:rPr>
              <w:t xml:space="preserve">tekrar </w:t>
            </w:r>
            <w:r w:rsidRPr="007C1E0B">
              <w:rPr>
                <w:rFonts w:ascii="Times New Roman" w:hAnsi="Times New Roman" w:cs="Times New Roman"/>
                <w:sz w:val="20"/>
                <w:szCs w:val="20"/>
              </w:rPr>
              <w:t>üretilebilirlik (</w:t>
            </w:r>
            <w:r w:rsidR="006F0D8C" w:rsidRPr="007C1E0B">
              <w:rPr>
                <w:rFonts w:ascii="Times New Roman" w:hAnsi="Times New Roman" w:cs="Times New Roman"/>
                <w:sz w:val="20"/>
                <w:szCs w:val="20"/>
              </w:rPr>
              <w:t>RSD</w:t>
            </w:r>
            <w:r w:rsidR="006F0D8C"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w:t>
            </w:r>
          </w:p>
        </w:tc>
        <w:tc>
          <w:tcPr>
            <w:tcW w:w="234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&lt;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25</w:t>
            </w:r>
          </w:p>
        </w:tc>
        <w:tc>
          <w:tcPr>
            <w:tcW w:w="2579" w:type="dxa"/>
            <w:tcBorders>
              <w:top w:val="single" w:sz="4" w:space="0" w:color="auto"/>
              <w:left w:val="single" w:sz="4" w:space="0" w:color="auto"/>
              <w:bottom w:val="single" w:sz="4" w:space="0" w:color="auto"/>
              <w:right w:val="single" w:sz="4" w:space="0" w:color="auto"/>
            </w:tcBorders>
            <w:hideMark/>
          </w:tcPr>
          <w:p w:rsidR="00A26870" w:rsidRPr="007C1E0B" w:rsidRDefault="00A26870"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&lt;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771510" w:rsidRPr="007C1E0B">
              <w:rPr>
                <w:rFonts w:ascii="Times New Roman" w:hAnsi="Times New Roman" w:cs="Times New Roman"/>
                <w:sz w:val="20"/>
                <w:szCs w:val="20"/>
              </w:rPr>
              <w:t xml:space="preserve"> </w:t>
            </w:r>
            <w:r w:rsidRPr="007C1E0B">
              <w:rPr>
                <w:rFonts w:ascii="Times New Roman" w:hAnsi="Times New Roman" w:cs="Times New Roman"/>
                <w:sz w:val="20"/>
                <w:szCs w:val="20"/>
              </w:rPr>
              <w:t>15</w:t>
            </w:r>
          </w:p>
        </w:tc>
      </w:tr>
      <w:tr w:rsidR="007C1E0B" w:rsidRPr="007C1E0B" w:rsidTr="00803CA9">
        <w:trPr>
          <w:trHeight w:val="473"/>
        </w:trPr>
        <w:tc>
          <w:tcPr>
            <w:tcW w:w="9069" w:type="dxa"/>
            <w:gridSpan w:val="3"/>
            <w:tcBorders>
              <w:top w:val="single" w:sz="4" w:space="0" w:color="auto"/>
              <w:left w:val="single" w:sz="4" w:space="0" w:color="auto"/>
              <w:bottom w:val="single" w:sz="4" w:space="0" w:color="auto"/>
              <w:right w:val="single" w:sz="4" w:space="0" w:color="auto"/>
            </w:tcBorders>
          </w:tcPr>
          <w:p w:rsidR="00A26870" w:rsidRPr="007C1E0B" w:rsidRDefault="00A26870" w:rsidP="00AE5307">
            <w:pPr>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w:t>
            </w:r>
            <w:r w:rsidR="00175AE4" w:rsidRPr="007C1E0B">
              <w:rPr>
                <w:rFonts w:ascii="Times New Roman" w:hAnsi="Times New Roman" w:cs="Times New Roman"/>
                <w:sz w:val="20"/>
                <w:szCs w:val="20"/>
              </w:rPr>
              <w:t>*</w:t>
            </w:r>
            <w:r w:rsidRPr="007C1E0B">
              <w:rPr>
                <w:rFonts w:ascii="Times New Roman" w:hAnsi="Times New Roman" w:cs="Times New Roman"/>
                <w:sz w:val="20"/>
                <w:szCs w:val="20"/>
              </w:rPr>
              <w:t>)Maksimum düzeylere istinaden</w:t>
            </w:r>
          </w:p>
          <w:p w:rsidR="00A26870" w:rsidRPr="007C1E0B" w:rsidRDefault="00A26870" w:rsidP="00AE5307">
            <w:pPr>
              <w:jc w:val="both"/>
              <w:rPr>
                <w:rFonts w:ascii="Times New Roman" w:eastAsiaTheme="minorEastAsia" w:hAnsi="Times New Roman" w:cs="Times New Roman"/>
                <w:sz w:val="20"/>
                <w:szCs w:val="20"/>
                <w:lang w:eastAsia="tr-TR"/>
              </w:rPr>
            </w:pPr>
          </w:p>
        </w:tc>
      </w:tr>
    </w:tbl>
    <w:p w:rsidR="008F593F" w:rsidRPr="007C1E0B" w:rsidRDefault="003858E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Tablo yukarıda belirtildiği üzere no:5 e tekabül ediyorsa numaralandırılmalıdır.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   Tarama metotları için özel gereklilikler</w:t>
      </w:r>
      <w:r w:rsidRPr="007C1E0B">
        <w:rPr>
          <w:rFonts w:ascii="Times New Roman" w:hAnsi="Times New Roman" w:cs="Times New Roman"/>
          <w:sz w:val="20"/>
          <w:szCs w:val="20"/>
        </w:rPr>
        <w:cr/>
        <w:t>5.7.1.</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Tarama için GC-MS analiz metotları ve biyoanalitik metotlar kullanılabilir. GC-MS metotları için </w:t>
      </w:r>
      <w:r w:rsidR="00E66537" w:rsidRPr="007C1E0B">
        <w:rPr>
          <w:rFonts w:ascii="Times New Roman" w:hAnsi="Times New Roman" w:cs="Times New Roman"/>
          <w:sz w:val="20"/>
          <w:szCs w:val="20"/>
        </w:rPr>
        <w:t xml:space="preserve"> 6 ncı maddede </w:t>
      </w:r>
      <w:r w:rsidRPr="007C1E0B">
        <w:rPr>
          <w:rFonts w:ascii="Times New Roman" w:hAnsi="Times New Roman" w:cs="Times New Roman"/>
          <w:sz w:val="20"/>
          <w:szCs w:val="20"/>
        </w:rPr>
        <w:t>verilen hükümler kullanılmalıdır. Hücre temelli biyoanalitik metotlar için özel hükümler 7</w:t>
      </w:r>
      <w:r w:rsidR="00E66537" w:rsidRPr="007C1E0B">
        <w:rPr>
          <w:rFonts w:ascii="Times New Roman" w:hAnsi="Times New Roman" w:cs="Times New Roman"/>
          <w:sz w:val="20"/>
          <w:szCs w:val="20"/>
        </w:rPr>
        <w:t xml:space="preserve"> </w:t>
      </w:r>
      <w:r w:rsidRPr="007C1E0B">
        <w:rPr>
          <w:rFonts w:ascii="Times New Roman" w:hAnsi="Times New Roman" w:cs="Times New Roman"/>
          <w:sz w:val="20"/>
          <w:szCs w:val="20"/>
        </w:rPr>
        <w:t>nci madde</w:t>
      </w:r>
      <w:r w:rsidR="00381AFE" w:rsidRPr="007C1E0B">
        <w:rPr>
          <w:rFonts w:ascii="Times New Roman" w:hAnsi="Times New Roman" w:cs="Times New Roman"/>
          <w:sz w:val="20"/>
          <w:szCs w:val="20"/>
        </w:rPr>
        <w:t>de</w:t>
      </w:r>
      <w:r w:rsidRPr="007C1E0B">
        <w:rPr>
          <w:rFonts w:ascii="Times New Roman" w:hAnsi="Times New Roman" w:cs="Times New Roman"/>
          <w:sz w:val="20"/>
          <w:szCs w:val="20"/>
        </w:rPr>
        <w:t xml:space="preserve"> açıklanmıştır.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5.7.2.</w:t>
      </w:r>
      <w:r w:rsidR="00A00E6E"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Numunelerin rutin kontrolü için tarama metotları uygulayan laboratuvarlar doğrulama     metodu uygulayan laboratuvarlarla yakın işbirliği kurmalıdır.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5.7.3.</w:t>
      </w:r>
      <w:r w:rsidR="00A00E6E" w:rsidRPr="007C1E0B">
        <w:rPr>
          <w:rFonts w:ascii="Times New Roman" w:hAnsi="Times New Roman" w:cs="Times New Roman"/>
          <w:sz w:val="20"/>
          <w:szCs w:val="20"/>
        </w:rPr>
        <w:t xml:space="preserve">  </w:t>
      </w:r>
      <w:r w:rsidRPr="007C1E0B">
        <w:rPr>
          <w:rFonts w:ascii="Times New Roman" w:hAnsi="Times New Roman" w:cs="Times New Roman"/>
          <w:sz w:val="20"/>
          <w:szCs w:val="20"/>
        </w:rPr>
        <w:t>Rutin analizler sırasında, tarama metodunun performans doğrulaması, analitik kalite kontrol ve devam eden metot geçerli kılma işlemleriyle yapılmalıdır. Uygun sonuçların kontrolü için, sürekli bir program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5.7.4.</w:t>
      </w:r>
      <w:r w:rsidR="00A00E6E" w:rsidRPr="007C1E0B">
        <w:rPr>
          <w:rFonts w:ascii="Times New Roman" w:hAnsi="Times New Roman" w:cs="Times New Roman"/>
          <w:sz w:val="20"/>
          <w:szCs w:val="20"/>
        </w:rPr>
        <w:t xml:space="preserve"> </w:t>
      </w:r>
      <w:r w:rsidR="003858EC" w:rsidRPr="007C1E0B">
        <w:rPr>
          <w:rFonts w:ascii="Times New Roman" w:hAnsi="Times New Roman" w:cs="Times New Roman"/>
          <w:sz w:val="20"/>
          <w:szCs w:val="20"/>
        </w:rPr>
        <w:t>Hücre yanıtının olası baskılanmasının ve sitotoksisitenin kontrolü:</w:t>
      </w:r>
    </w:p>
    <w:p w:rsidR="008F593F" w:rsidRPr="007C1E0B" w:rsidRDefault="00175AE4"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Hücre yanıtının olası baskılanmasının ve sitotoksisitenin kontrolü: Rutin taramalarda, numune ekstraktında girişim yapan bileşikler tarafından yanıtın olası baskılanmasını kontrol etmek için numune ekstraktlarının % 20’si;  maksimum limit veya müdahale seviyesine karşılık gelen miktarda 2,3,7,8-TCDD eklenerek ve eklenmeksizin ölçülmelidir. Standart eklenmiş numunenin ölçülen konsantrasyonu; standart eklenmemiş ekstrakt konsantrasyonu ve eklenen standardın konsantrasyonunun toplamı ile karşılaştırılır. Bu ölçülen konsantrasyon, hesaplanan (toplam) konsantrasyondan % 25’ten daha fazla oranda düşükse; bu potansiyel sinyal baskılamasının göstergesidir ve ilgili numune, GC-HRMS doğrulama analizi için gönderilmelidir. Sonuçlar, kalite kontrol grafiklerinde izlenmelidir.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5.7.5.  </w:t>
      </w:r>
      <w:r w:rsidR="003858EC" w:rsidRPr="007C1E0B">
        <w:rPr>
          <w:rFonts w:ascii="Times New Roman" w:hAnsi="Times New Roman" w:cs="Times New Roman"/>
          <w:sz w:val="20"/>
          <w:szCs w:val="20"/>
        </w:rPr>
        <w:t>Uygun numunelerin kalite kontrolü: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Uygun numunelerin kalite kontrolü: Numune matriksi ve laboratuvar tecrübesine bağlı olarak, uygun numunelerin yaklaşık % 2-10’u GC-HRMS tarafından doğrulanmalıdır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5.7.6.  Kalite kontrol verilerinden yanlış uyumlu oranların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Maksimum düzey veya müdahale eşiğinin altında veya üstündeki numunelerin tarama sonuçlarında elde edilen yanlış </w:t>
      </w:r>
      <w:r w:rsidR="00305CB8" w:rsidRPr="007C1E0B">
        <w:rPr>
          <w:rFonts w:ascii="Times New Roman" w:hAnsi="Times New Roman" w:cs="Times New Roman"/>
          <w:sz w:val="20"/>
          <w:szCs w:val="20"/>
        </w:rPr>
        <w:t xml:space="preserve">uygun </w:t>
      </w:r>
      <w:r w:rsidRPr="007C1E0B">
        <w:rPr>
          <w:rFonts w:ascii="Times New Roman" w:hAnsi="Times New Roman" w:cs="Times New Roman"/>
          <w:sz w:val="20"/>
          <w:szCs w:val="20"/>
        </w:rPr>
        <w:t xml:space="preserve">sonuçların oranları belirlenmelidir. </w:t>
      </w:r>
      <w:r w:rsidR="00F55233" w:rsidRPr="007C1E0B">
        <w:rPr>
          <w:rFonts w:ascii="Times New Roman" w:hAnsi="Times New Roman" w:cs="Times New Roman"/>
          <w:sz w:val="20"/>
          <w:szCs w:val="20"/>
        </w:rPr>
        <w:t>Y</w:t>
      </w:r>
      <w:r w:rsidRPr="007C1E0B">
        <w:rPr>
          <w:rFonts w:ascii="Times New Roman" w:hAnsi="Times New Roman" w:cs="Times New Roman"/>
          <w:sz w:val="20"/>
          <w:szCs w:val="20"/>
        </w:rPr>
        <w:t xml:space="preserve">anlış </w:t>
      </w:r>
      <w:r w:rsidR="00305CB8" w:rsidRPr="007C1E0B">
        <w:rPr>
          <w:rFonts w:ascii="Times New Roman" w:hAnsi="Times New Roman" w:cs="Times New Roman"/>
          <w:sz w:val="20"/>
          <w:szCs w:val="20"/>
        </w:rPr>
        <w:t xml:space="preserve">uygun </w:t>
      </w:r>
      <w:r w:rsidRPr="007C1E0B">
        <w:rPr>
          <w:rFonts w:ascii="Times New Roman" w:hAnsi="Times New Roman" w:cs="Times New Roman"/>
          <w:sz w:val="20"/>
          <w:szCs w:val="20"/>
        </w:rPr>
        <w:t>sonuç</w:t>
      </w:r>
      <w:r w:rsidR="00AF0A30" w:rsidRPr="007C1E0B">
        <w:rPr>
          <w:rFonts w:ascii="Times New Roman" w:hAnsi="Times New Roman" w:cs="Times New Roman"/>
          <w:sz w:val="20"/>
          <w:szCs w:val="20"/>
        </w:rPr>
        <w:t>ların</w:t>
      </w:r>
      <w:r w:rsidRPr="007C1E0B">
        <w:rPr>
          <w:rFonts w:ascii="Times New Roman" w:hAnsi="Times New Roman" w:cs="Times New Roman"/>
          <w:sz w:val="20"/>
          <w:szCs w:val="20"/>
        </w:rPr>
        <w:t xml:space="preserve"> oranı %</w:t>
      </w:r>
      <w:r w:rsidR="00FC2EDF" w:rsidRPr="007C1E0B">
        <w:rPr>
          <w:rFonts w:ascii="Times New Roman" w:hAnsi="Times New Roman" w:cs="Times New Roman"/>
          <w:sz w:val="20"/>
          <w:szCs w:val="20"/>
        </w:rPr>
        <w:t xml:space="preserve"> </w:t>
      </w:r>
      <w:r w:rsidRPr="007C1E0B">
        <w:rPr>
          <w:rFonts w:ascii="Times New Roman" w:hAnsi="Times New Roman" w:cs="Times New Roman"/>
          <w:sz w:val="20"/>
          <w:szCs w:val="20"/>
        </w:rPr>
        <w:t>5’in altında olmalıdır. Uyumlu numunelerin kalite kontrolünde matris/matris grubu başına en az 20 adet doğrulanmış sonucun mevcut olması halinde, yanlış uyumlu orana dayanan sonuçlar bu veritabanından çekilmelidir. Ring denemeleri veya bulaşmalar sırasında analiz edilen ve örneğin maksimum düzeyin (ML) 2 katına kadar konsantrasyon aralığını kapsayan numunelere ait sonuçlar yanlış uyumlu sonuç oranının değerlendirilmesi için en az 20 sonuca ilave edilebilir. Numuneler çeşitli kaynakları temsil eden en sık türdeş bileşenlerini kapsamalıdır.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Tarama analizleri tercihen müdahale eşiğini geçen numunelerin tespitini hedeflemelidir, ancak yanlış uyumlu sonuç oranlarının belirlenmesindeki kriter maksimum düzey olup doğrulama metodunun ölçüm belirsizliğini dikkate almalıdır.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5.7.7.</w:t>
      </w:r>
      <w:r w:rsidR="00175AE4" w:rsidRPr="007C1E0B">
        <w:rPr>
          <w:rFonts w:ascii="Times New Roman" w:hAnsi="Times New Roman" w:cs="Times New Roman"/>
          <w:sz w:val="20"/>
          <w:szCs w:val="20"/>
        </w:rPr>
        <w:t xml:space="preserve">  </w:t>
      </w:r>
      <w:r w:rsidRPr="007C1E0B">
        <w:rPr>
          <w:rFonts w:ascii="Times New Roman" w:hAnsi="Times New Roman" w:cs="Times New Roman"/>
          <w:sz w:val="20"/>
          <w:szCs w:val="20"/>
        </w:rPr>
        <w:t>Tarama metodundan elde edilen potansiyel uygunsuz sonuçlar, orijinal numunenin doğrulama metodu ile komple yeniden analizi ile doğrulanmalıdır. Bu numuneler, hatalı-uygunsuz sonuçların oranının değerlendirilmesi için de kullanılabilir. Tarama metotları için, hatalı uygunsuz sonuçların oranı, daha önce tarama esnasında uygunsuz olduğundan şüpheli olarak deklare edilen numunenin doğrulama analizi ile uygunluğu doğrulanmış sonuçlarına olan oranıdır. Bununla beraber, tarama metotlarının avantajlı olup olmadıklarının değerlendirilmesi, hatalı uygunsuz numunelerin, toplamda kontrol edilen numune sayısı ile kıyaslanmasına dayanır. Tarama metodunun avantajlı olarak değerlendirilebilmesi için bu oran yeterince düşük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5.7.8</w:t>
      </w:r>
      <w:r w:rsidR="00175AE4" w:rsidRPr="007C1E0B">
        <w:rPr>
          <w:rFonts w:ascii="Times New Roman" w:hAnsi="Times New Roman" w:cs="Times New Roman"/>
          <w:sz w:val="20"/>
          <w:szCs w:val="20"/>
        </w:rPr>
        <w:t xml:space="preserve">.   </w:t>
      </w:r>
      <w:r w:rsidRPr="007C1E0B">
        <w:rPr>
          <w:rFonts w:ascii="Times New Roman" w:hAnsi="Times New Roman" w:cs="Times New Roman"/>
          <w:sz w:val="20"/>
          <w:szCs w:val="20"/>
        </w:rPr>
        <w:t>En azından geçerli kılma koşulları altında; biyoanalitik metotlar, BEQ olarak hesaplanan ve ifade edilen TEQ limitinin geçerli bir göstergesini sağlamalıdır. Ayrıca tekrar edilebilirlik koşulları altında yürütülen biyoanalitik metotlar için, laboratuvar içi RSD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tekrar üretilebilirlik RSD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’den genellikle daha küçük olmalıdır.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6.  GC-MS metotlarının tarama veya doğrulama amaçlarıyla taşıması gereken özel şartlar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WHO-TEQ seviyeleri üst-sınır ve alt-sınır arasındaki kabul edilebilir farklılıklar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Maksimum limit aşımının doğrulanması veya müdahale seviyelerine ihtiyaç olduğu durumda üst-sınır ve alt-sınır değerleri arasındaki fark % 20’yi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  Geri kazanımların kontrolü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6.2.1. </w:t>
      </w:r>
      <w:r w:rsidR="00175AE4"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2,3,7,8 pozisyonlarında klor içeren </w:t>
      </w:r>
      <w:r w:rsidR="008051FB" w:rsidRPr="007C1E0B">
        <w:rPr>
          <w:rFonts w:ascii="Times New Roman" w:hAnsi="Times New Roman" w:cs="Times New Roman"/>
          <w:sz w:val="20"/>
          <w:szCs w:val="20"/>
          <w:vertAlign w:val="superscript"/>
        </w:rPr>
        <w:t>13</w:t>
      </w:r>
      <w:r w:rsidR="008051FB" w:rsidRPr="007C1E0B">
        <w:rPr>
          <w:rFonts w:ascii="Times New Roman" w:hAnsi="Times New Roman" w:cs="Times New Roman"/>
          <w:sz w:val="20"/>
          <w:szCs w:val="20"/>
        </w:rPr>
        <w:t xml:space="preserve">C </w:t>
      </w:r>
      <w:r w:rsidRPr="007C1E0B">
        <w:rPr>
          <w:rFonts w:ascii="Times New Roman" w:hAnsi="Times New Roman" w:cs="Times New Roman"/>
          <w:sz w:val="20"/>
          <w:szCs w:val="20"/>
        </w:rPr>
        <w:t xml:space="preserve">-işaretlenmiş PCDD/F iç standartları ve </w:t>
      </w:r>
      <w:r w:rsidR="008051FB" w:rsidRPr="007C1E0B">
        <w:rPr>
          <w:rFonts w:ascii="Times New Roman" w:hAnsi="Times New Roman" w:cs="Times New Roman"/>
          <w:sz w:val="20"/>
          <w:szCs w:val="20"/>
          <w:vertAlign w:val="superscript"/>
        </w:rPr>
        <w:t>13</w:t>
      </w:r>
      <w:r w:rsidR="008051FB" w:rsidRPr="007C1E0B">
        <w:rPr>
          <w:rFonts w:ascii="Times New Roman" w:hAnsi="Times New Roman" w:cs="Times New Roman"/>
          <w:sz w:val="20"/>
          <w:szCs w:val="20"/>
        </w:rPr>
        <w:t xml:space="preserve">C </w:t>
      </w:r>
      <w:r w:rsidRPr="007C1E0B">
        <w:rPr>
          <w:rFonts w:ascii="Times New Roman" w:hAnsi="Times New Roman" w:cs="Times New Roman"/>
          <w:sz w:val="20"/>
          <w:szCs w:val="20"/>
        </w:rPr>
        <w:t xml:space="preserve">-işaretlenmiş dioksin benzeri PCB iç standartları analitik metodun en başında (örnek olarak metodun geçerli kılınması için ekstraksiyon öncesi) eklenmelidir. 4’den 8’e kadar klor ihtiva eden her bir PCDD/F’ler homolog grubu ve her bir dioksin benzeri PCB homolog grubu için en az bir işaretli bileşik eklenmelidir (alternatif olarak, kütle spektrometresinde PCDD/F’ler ve dioksin benzeri PCB’lerin taranmasında kullanılan seçici iyon kaydedici fonksiyonların her biri için en az bir işaretli bileşik). Doğrulama metotları söz konusu olduğunda, 17 adet 2,3,7,8 pozisyonlarında klor içeren </w:t>
      </w:r>
      <w:r w:rsidR="008051FB" w:rsidRPr="007C1E0B">
        <w:rPr>
          <w:rFonts w:ascii="Times New Roman" w:hAnsi="Times New Roman" w:cs="Times New Roman"/>
          <w:sz w:val="20"/>
          <w:szCs w:val="20"/>
          <w:vertAlign w:val="superscript"/>
        </w:rPr>
        <w:t>13</w:t>
      </w:r>
      <w:r w:rsidR="008051FB" w:rsidRPr="007C1E0B">
        <w:rPr>
          <w:rFonts w:ascii="Times New Roman" w:hAnsi="Times New Roman" w:cs="Times New Roman"/>
          <w:sz w:val="20"/>
          <w:szCs w:val="20"/>
        </w:rPr>
        <w:t xml:space="preserve">C </w:t>
      </w:r>
      <w:r w:rsidRPr="007C1E0B">
        <w:rPr>
          <w:rFonts w:ascii="Times New Roman" w:hAnsi="Times New Roman" w:cs="Times New Roman"/>
          <w:sz w:val="20"/>
          <w:szCs w:val="20"/>
        </w:rPr>
        <w:t xml:space="preserve">-işaretlenmiş PCDD/F iç standartlarının tümü ve 12 tane </w:t>
      </w:r>
      <w:r w:rsidR="008051FB" w:rsidRPr="007C1E0B">
        <w:rPr>
          <w:rFonts w:ascii="Times New Roman" w:hAnsi="Times New Roman" w:cs="Times New Roman"/>
          <w:sz w:val="20"/>
          <w:szCs w:val="20"/>
          <w:vertAlign w:val="superscript"/>
        </w:rPr>
        <w:t>13</w:t>
      </w:r>
      <w:r w:rsidR="008051FB" w:rsidRPr="007C1E0B">
        <w:rPr>
          <w:rFonts w:ascii="Times New Roman" w:hAnsi="Times New Roman" w:cs="Times New Roman"/>
          <w:sz w:val="20"/>
          <w:szCs w:val="20"/>
        </w:rPr>
        <w:t xml:space="preserve">C </w:t>
      </w:r>
      <w:r w:rsidRPr="007C1E0B">
        <w:rPr>
          <w:rFonts w:ascii="Times New Roman" w:hAnsi="Times New Roman" w:cs="Times New Roman"/>
          <w:sz w:val="20"/>
          <w:szCs w:val="20"/>
        </w:rPr>
        <w:t>-işaretlenmiş dioksin benzeri PCB iç standartlarının tümü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6.2.2. </w:t>
      </w:r>
      <w:r w:rsidR="00A00E6E" w:rsidRPr="007C1E0B">
        <w:rPr>
          <w:rFonts w:ascii="Times New Roman" w:hAnsi="Times New Roman" w:cs="Times New Roman"/>
          <w:sz w:val="20"/>
          <w:szCs w:val="20"/>
        </w:rPr>
        <w:t xml:space="preserve"> </w:t>
      </w:r>
      <w:r w:rsidRPr="007C1E0B">
        <w:rPr>
          <w:rFonts w:ascii="Times New Roman" w:hAnsi="Times New Roman" w:cs="Times New Roman"/>
          <w:sz w:val="20"/>
          <w:szCs w:val="20"/>
          <w:vertAlign w:val="superscript"/>
        </w:rPr>
        <w:t>13</w:t>
      </w:r>
      <w:r w:rsidRPr="007C1E0B">
        <w:rPr>
          <w:rFonts w:ascii="Times New Roman" w:hAnsi="Times New Roman" w:cs="Times New Roman"/>
          <w:sz w:val="20"/>
          <w:szCs w:val="20"/>
        </w:rPr>
        <w:t>C-işaretlenmiş analoğu eklenmemiş her bir türdeş için de uygun kalibrasyon çözeltileri kullanılarak bağıl tepki faktörü (RRF) belirlenmelidir.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6.2.3. </w:t>
      </w:r>
      <w:r w:rsidR="00A00E6E"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Bitkisel veya hayvansal menşeli olup %</w:t>
      </w:r>
      <w:r w:rsidR="00FC2EDF" w:rsidRPr="007C1E0B">
        <w:rPr>
          <w:rFonts w:ascii="Times New Roman" w:hAnsi="Times New Roman" w:cs="Times New Roman"/>
          <w:sz w:val="20"/>
          <w:szCs w:val="20"/>
        </w:rPr>
        <w:t xml:space="preserve"> </w:t>
      </w:r>
      <w:r w:rsidRPr="007C1E0B">
        <w:rPr>
          <w:rFonts w:ascii="Times New Roman" w:hAnsi="Times New Roman" w:cs="Times New Roman"/>
          <w:sz w:val="20"/>
          <w:szCs w:val="20"/>
        </w:rPr>
        <w:t>10’dan daha düşük oranda yağ içeren yemler için, iç standartların ilavesi ekstraksiyon öncesinde zorunlu olmalıdır. Hayvansal menşeli olup %</w:t>
      </w:r>
      <w:r w:rsidR="00FC2EDF" w:rsidRPr="007C1E0B">
        <w:rPr>
          <w:rFonts w:ascii="Times New Roman" w:hAnsi="Times New Roman" w:cs="Times New Roman"/>
          <w:sz w:val="20"/>
          <w:szCs w:val="20"/>
        </w:rPr>
        <w:t xml:space="preserve"> </w:t>
      </w:r>
      <w:r w:rsidRPr="007C1E0B">
        <w:rPr>
          <w:rFonts w:ascii="Times New Roman" w:hAnsi="Times New Roman" w:cs="Times New Roman"/>
          <w:sz w:val="20"/>
          <w:szCs w:val="20"/>
        </w:rPr>
        <w:t>10’dan fazla yağ içeren yemler için, iç standartlar yağ ekstraksiyonundan önce veya sonra ilave edilmelidir. İç standartların uygulandığı aşama ve sonuçların ürün veya yağ bazlı bildirimine bağlı olarak ekstraksiyon etkinliğinin validasyonu uygun şekilde yapılmalıdır.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6.2.4.</w:t>
      </w:r>
      <w:r w:rsidR="00FF575A"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GC-MS analizi öncesinde, 1 veya 2 geri kazanım standardı/standartları (kimyasal yapısı ekstrakte edilen bileşenlere benzeyen) eklenmelidir.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6.2.5.  Geri kazanım kontrolü gereklidir. Doğrulama metotları için, her bir iç standardın geri kazanımı % 60-120 aralığında olmalıdır. Herhangi bir bileşiğin, özellikle bazı 7 ve 8 klorlu dibenzo-p-dioksinler ve dibenzofuranların, toplam TEQ değerine katkısı, toplam TEQ değerinin (PCDD/F ve dioksin benzeri PCB’lerin toplamı) % 10’unu geçmemesi durumunda,  daha düşük veya daha yüksek geri kazanımlar kabul edilebilir. GC-MS tarama metotları için, geri kazanım % 30-140 aralığında olmalıdır.   </w:t>
      </w:r>
    </w:p>
    <w:p w:rsidR="00175AE4"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6.3.   Girişim (interferans) yapan maddelerin uzaklaştırılması</w:t>
      </w:r>
      <w:r w:rsidRPr="007C1E0B">
        <w:rPr>
          <w:rFonts w:ascii="Times New Roman" w:hAnsi="Times New Roman" w:cs="Times New Roman"/>
          <w:sz w:val="20"/>
          <w:szCs w:val="20"/>
        </w:rPr>
        <w:cr/>
      </w:r>
    </w:p>
    <w:p w:rsidR="008F593F" w:rsidRPr="007C1E0B" w:rsidRDefault="008F593F" w:rsidP="000748B1">
      <w:pPr>
        <w:pStyle w:val="ListeParagraf"/>
        <w:numPr>
          <w:ilvl w:val="0"/>
          <w:numId w:val="6"/>
        </w:numPr>
        <w:spacing w:before="120" w:after="120"/>
        <w:jc w:val="both"/>
        <w:rPr>
          <w:sz w:val="20"/>
          <w:szCs w:val="20"/>
        </w:rPr>
      </w:pPr>
      <w:r w:rsidRPr="007C1E0B">
        <w:rPr>
          <w:sz w:val="20"/>
          <w:szCs w:val="20"/>
        </w:rPr>
        <w:t>Dioksin benzeri olmayan PCB’ler ve klorlanmış difenil eterler gibi girişim yapan klorlanmış bileşiklerden PCDD/F’lerin ayrımı uygun kromatografik tekniklerle, tercihen florisil, alümina ve/veya karbon kolonu ile gerçekleştirilmelidir.</w:t>
      </w:r>
    </w:p>
    <w:p w:rsidR="008F593F" w:rsidRPr="007C1E0B" w:rsidRDefault="008F593F" w:rsidP="000748B1">
      <w:pPr>
        <w:pStyle w:val="ListeParagraf"/>
        <w:numPr>
          <w:ilvl w:val="0"/>
          <w:numId w:val="6"/>
        </w:numPr>
        <w:spacing w:before="120" w:after="120"/>
        <w:jc w:val="both"/>
        <w:rPr>
          <w:sz w:val="20"/>
          <w:szCs w:val="20"/>
        </w:rPr>
      </w:pPr>
      <w:r w:rsidRPr="007C1E0B">
        <w:rPr>
          <w:sz w:val="20"/>
          <w:szCs w:val="20"/>
        </w:rPr>
        <w:t>İzomerlerin gaz kromatografisi ile ayrımı yeterli olmalıdır (1,2,3,4,7,8-HxCDF ve 1,2,3,6,7,8-HxCDF arasındaki pikten pike ayrım %</w:t>
      </w:r>
      <w:r w:rsidR="00FC2EDF" w:rsidRPr="007C1E0B">
        <w:rPr>
          <w:sz w:val="20"/>
          <w:szCs w:val="20"/>
        </w:rPr>
        <w:t xml:space="preserve"> </w:t>
      </w:r>
      <w:r w:rsidRPr="007C1E0B">
        <w:rPr>
          <w:sz w:val="20"/>
          <w:szCs w:val="20"/>
        </w:rPr>
        <w:t>25’ten küçük olmalıdır).</w:t>
      </w:r>
      <w:r w:rsidRPr="007C1E0B">
        <w:rPr>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6.4.  Standart eğriyle kalibrasyon</w:t>
      </w:r>
      <w:r w:rsidRPr="007C1E0B">
        <w:rPr>
          <w:rFonts w:ascii="Times New Roman" w:hAnsi="Times New Roman" w:cs="Times New Roman"/>
          <w:sz w:val="20"/>
          <w:szCs w:val="20"/>
        </w:rPr>
        <w:cr/>
        <w:t>Kalibrasyon eğrisinin aralığı, maksimum limit veya müdahale seviyesini kapsamalıdır.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6.5.  Doğrulama metotları için spesifik kriterler</w:t>
      </w:r>
    </w:p>
    <w:p w:rsidR="008F593F" w:rsidRPr="007C1E0B" w:rsidRDefault="00175AE4" w:rsidP="001B722B">
      <w:pPr>
        <w:ind w:firstLine="708"/>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GC-HRMS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HRMS’de, çözünürlük % 10’luk vadideki parçalanmamış (bütün) kütle aralığı için tipik olarak 10000 den büyük veya eşit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Uluslararası kabul görmüş standartlarda tanımlanan ileri tanımlama ve doğrulama kriterlerinin yerine getirilmesi, örneğin EN 16215:2012 standardı (Hayvansal yemlerde dioksinler ve dioksin benzeri PCB ler ve indikatör PCB lerin GC-HRMS ile tespit edilmesi) ve/veya  EPA metotları 1613 ve revize edilmiş 1668 de tanımlandığı şekilde yapılır.</w:t>
      </w:r>
    </w:p>
    <w:p w:rsidR="008F593F" w:rsidRPr="007C1E0B" w:rsidRDefault="00175AE4" w:rsidP="001B722B">
      <w:pPr>
        <w:pStyle w:val="ListeParagraf"/>
        <w:spacing w:before="120" w:after="120"/>
        <w:jc w:val="both"/>
        <w:rPr>
          <w:sz w:val="20"/>
          <w:szCs w:val="20"/>
        </w:rPr>
      </w:pPr>
      <w:r w:rsidRPr="007C1E0B">
        <w:rPr>
          <w:sz w:val="20"/>
          <w:szCs w:val="20"/>
        </w:rPr>
        <w:t xml:space="preserve">- </w:t>
      </w:r>
      <w:r w:rsidR="008F593F" w:rsidRPr="007C1E0B">
        <w:rPr>
          <w:sz w:val="20"/>
          <w:szCs w:val="20"/>
        </w:rPr>
        <w:t>GC-MS/MS için</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Analiz kapsamındaki bütün işaretlenmiş ve işaretlenmemiş analitler en az 2 spesifik öncü(precursor) iyon ve öncü iyonların her birisi de kendine karşılık gelen bir adet spesifik geçiş ürün iyonu (transition product ions) ile izlenmelidir.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Tipik MS/MS şartlarına uygulanan, özellikle analitin her geçişi için çarpışma (collision) enerjisi ve çarpışma gaz basıncı, hesaplanmış veya ölçülmüş değerlere kıyasla (kalibrasyon standartlarından elde edilen ortalama değer) seçilmiş geçiş ürün iyonları i</w:t>
      </w:r>
      <w:r w:rsidRPr="007C1E0B">
        <w:rPr>
          <w:rFonts w:ascii="Times New Roman" w:hAnsi="Times New Roman" w:cs="Times New Roman" w:hint="eastAsia"/>
          <w:sz w:val="20"/>
          <w:szCs w:val="20"/>
        </w:rPr>
        <w:t>ç</w:t>
      </w:r>
      <w:r w:rsidRPr="007C1E0B">
        <w:rPr>
          <w:rFonts w:ascii="Times New Roman" w:hAnsi="Times New Roman" w:cs="Times New Roman"/>
          <w:sz w:val="20"/>
          <w:szCs w:val="20"/>
        </w:rPr>
        <w:t>in relatif iyon yoğunluklarının maksimum müsaade edilen toleransı ±15 % 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İ</w:t>
      </w:r>
      <w:r w:rsidRPr="007C1E0B">
        <w:rPr>
          <w:rFonts w:ascii="Times New Roman" w:hAnsi="Times New Roman" w:cs="Times New Roman"/>
          <w:sz w:val="20"/>
          <w:szCs w:val="20"/>
        </w:rPr>
        <w:t>lgilenilen analitleri etkileyebilecek muhtemel girişimleri minimize etmek üzere her kuadropol için çözünürlük birim kütle çözünürlüğe eşit veya daha iyi olacak şekilde ayarlanmalıdır (birim kütle çözünürlük: iki pikin bir kütle birimi ayrı olacak şekilde ayırabilmek için yeterli çözünürlük).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Uluslararası kabul görmüş standartlarda tanımlanan </w:t>
      </w:r>
      <w:r w:rsidR="00016C2F" w:rsidRPr="007C1E0B">
        <w:rPr>
          <w:rFonts w:ascii="Times New Roman" w:hAnsi="Times New Roman" w:cs="Times New Roman"/>
          <w:sz w:val="20"/>
          <w:szCs w:val="20"/>
        </w:rPr>
        <w:t>i</w:t>
      </w:r>
      <w:r w:rsidRPr="007C1E0B">
        <w:rPr>
          <w:rFonts w:ascii="Times New Roman" w:hAnsi="Times New Roman" w:cs="Times New Roman"/>
          <w:sz w:val="20"/>
          <w:szCs w:val="20"/>
        </w:rPr>
        <w:t>leri düzeydeki kriterlerin yerine getirilmesi, örneğin standart EN 16215:2012 (hayvansal yemlerde dioksinler ve dioksin benzeri PCB ler ve indikatör PCB lerin GC-HRMS ile tespit edilmesi) ve EPA metotları 1613 ve revize edilmiş 1668 de tanımlandığı üzere (GC-HRMS in kullanılmasının zorunlu tutulması haricinde) yapılır.</w:t>
      </w:r>
    </w:p>
    <w:p w:rsidR="008F593F" w:rsidRPr="007C1E0B" w:rsidRDefault="00175AE4"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8F593F" w:rsidRPr="007C1E0B">
        <w:rPr>
          <w:rFonts w:ascii="Times New Roman" w:hAnsi="Times New Roman" w:cs="Times New Roman"/>
          <w:sz w:val="20"/>
          <w:szCs w:val="20"/>
        </w:rPr>
        <w:t>Biyoanalitik metotlar için özel gereklilikler</w:t>
      </w:r>
      <w:r w:rsidR="008F593F" w:rsidRPr="007C1E0B">
        <w:rPr>
          <w:rFonts w:ascii="Times New Roman" w:hAnsi="Times New Roman" w:cs="Times New Roman"/>
          <w:sz w:val="20"/>
          <w:szCs w:val="20"/>
        </w:rPr>
        <w:cr/>
        <w:t>Biyoanalitik metotlar, hücre temelli, reseptör ya da immuno analizler gibi biyolojik prensiplere dayalı metotlardır. Bu kısım, genel olarak biyoanalitik metotlar için gereklilikleri vermektedir.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tarama metodu prensip olarak numuneyi uygun ya da “uygunsuz olmasından şüphe edilen/şüpheli” olarak sınıflandırır. Bunun için, hesaplanan BEQ düzeyi eşik değeri ile karşılaştırılır (Bkz: Madde 7.3). Eşik değerinin altındaki numuneler uygun olarak beyan edilir, eşik değerine eşit veya bu değerin üzerindeki numuneler şüpheli olarak beyan edilir ve bir doğrulama metodu ile analiz edilmesi gerekir. Pratikte, maksimum limitin 2/3’üne karşılık gelen bir BEQ değeri, hatalı-uygunsuz sonuçlar için kabul edilebilir bir oran olup hatalı-uygun sonuçlar için % 5’in altında bir oran sağlayan en uygun eşik değerini verebilir. PCDD/F’ler ve dioksin benzeri PCB’ler toplamı ve PCDD/F’ler için ayrı maksimum limitler olduğu durumda, fraksiyonlarına ayrılmamış numunelerin uygunluk kontrolü, PCDD/F’ler için uygun biyoanaliz eşik değerlerinin tespit edilmesini gerektirir. Müdahale seviyesini aşan numunelerin kontrolü için, müdahale seviyenin uygun bir yüzdesi, eşik değeri olarak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Ayrıca, belirli biyoanalitik metotlar olması halinde; raporlama limitini aşan ve çalışma aralığındaki numuneler için BEQ olarak ifade edilen bir gösterge seviyesi verilebilir. (bkz. 7.1.1 ve 7.1.6).</w:t>
      </w:r>
    </w:p>
    <w:p w:rsidR="008F593F" w:rsidRPr="007C1E0B" w:rsidRDefault="00400A1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Test yanıtının değerlendirilmesi</w:t>
      </w:r>
    </w:p>
    <w:p w:rsidR="008F593F" w:rsidRPr="007C1E0B" w:rsidRDefault="00400A1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7.1.1.  </w:t>
      </w:r>
      <w:r w:rsidR="008F593F" w:rsidRPr="007C1E0B">
        <w:rPr>
          <w:rFonts w:ascii="Times New Roman" w:hAnsi="Times New Roman" w:cs="Times New Roman"/>
          <w:sz w:val="20"/>
          <w:szCs w:val="20"/>
        </w:rPr>
        <w:t>Genel gereklilikler</w:t>
      </w:r>
    </w:p>
    <w:p w:rsidR="008F593F" w:rsidRPr="007C1E0B" w:rsidRDefault="008F593F" w:rsidP="000748B1">
      <w:pPr>
        <w:pStyle w:val="ListeParagraf"/>
        <w:numPr>
          <w:ilvl w:val="0"/>
          <w:numId w:val="7"/>
        </w:numPr>
        <w:jc w:val="both"/>
        <w:rPr>
          <w:sz w:val="20"/>
          <w:szCs w:val="20"/>
        </w:rPr>
      </w:pPr>
      <w:r w:rsidRPr="007C1E0B">
        <w:rPr>
          <w:sz w:val="20"/>
          <w:szCs w:val="20"/>
        </w:rPr>
        <w:t>Bir TCDD kalibrasyon eğrisinden konsantrasyonlar hesaplanacağı zaman, eğrinin en alt ve en üst uçlarındaki değerler, yüksek bir varyasyon katsayısı (CV) gösterecektir. Çalışma aralığı, bu CV’nin %</w:t>
      </w:r>
      <w:r w:rsidR="00AF190A" w:rsidRPr="007C1E0B">
        <w:rPr>
          <w:sz w:val="20"/>
          <w:szCs w:val="20"/>
        </w:rPr>
        <w:t xml:space="preserve"> </w:t>
      </w:r>
      <w:r w:rsidRPr="007C1E0B">
        <w:rPr>
          <w:sz w:val="20"/>
          <w:szCs w:val="20"/>
        </w:rPr>
        <w:t>15’ten düşük olduğu alandır. Çalışma aralığının en alt ucu (raporlama limiti), prosedür körlerinin en az üç kat üzerinde belirlenmiş olmalıdır. Çalışma aralığının en üst ucu, genellikle EC</w:t>
      </w:r>
      <w:r w:rsidRPr="007C1E0B">
        <w:rPr>
          <w:sz w:val="20"/>
          <w:szCs w:val="20"/>
          <w:vertAlign w:val="subscript"/>
        </w:rPr>
        <w:t>70</w:t>
      </w:r>
      <w:r w:rsidRPr="007C1E0B">
        <w:rPr>
          <w:sz w:val="20"/>
          <w:szCs w:val="20"/>
        </w:rPr>
        <w:t xml:space="preserve"> değeri (maksimum etkin konsantrasyonun % 70’i) ile gösterilir, ancak CV bu aralıkta % 15’ten daha yüksek ise, çalışma aralı</w:t>
      </w:r>
      <w:r w:rsidRPr="007C1E0B">
        <w:rPr>
          <w:rFonts w:hint="eastAsia"/>
          <w:sz w:val="20"/>
          <w:szCs w:val="20"/>
        </w:rPr>
        <w:t>ğı</w:t>
      </w:r>
      <w:r w:rsidRPr="007C1E0B">
        <w:rPr>
          <w:sz w:val="20"/>
          <w:szCs w:val="20"/>
        </w:rPr>
        <w:t>nın en üst ucu daha düşük olur. Çalışma aralığı, geçerli kılma esnasında belirlenmelidir. Eşik değerleri [Madde 7.3], çalışma aralığı içinde olmalıdır.</w:t>
      </w:r>
    </w:p>
    <w:p w:rsidR="008F593F" w:rsidRPr="007C1E0B" w:rsidRDefault="008F593F" w:rsidP="000748B1">
      <w:pPr>
        <w:pStyle w:val="ListeParagraf"/>
        <w:numPr>
          <w:ilvl w:val="0"/>
          <w:numId w:val="7"/>
        </w:numPr>
        <w:jc w:val="both"/>
        <w:rPr>
          <w:sz w:val="20"/>
          <w:szCs w:val="20"/>
        </w:rPr>
      </w:pPr>
      <w:r w:rsidRPr="007C1E0B">
        <w:rPr>
          <w:sz w:val="20"/>
          <w:szCs w:val="20"/>
        </w:rPr>
        <w:t>Standart çözeltiler ve numune ekstraktları, en az iki tekrar olarak analiz edilmelidir. Tekrarlar kullanılacağı zaman, bölünmüş tabaka üzerinde 4-6 gözde test edilen bir standart çözelti ya da kontrol ekstraktı, %</w:t>
      </w:r>
      <w:r w:rsidR="00AF190A" w:rsidRPr="007C1E0B">
        <w:rPr>
          <w:sz w:val="20"/>
          <w:szCs w:val="20"/>
        </w:rPr>
        <w:t xml:space="preserve"> </w:t>
      </w:r>
      <w:r w:rsidRPr="007C1E0B">
        <w:rPr>
          <w:sz w:val="20"/>
          <w:szCs w:val="20"/>
        </w:rPr>
        <w:t>15’ten daha düşük CV’ye sahip bir yanıt ya da konsantrasyon (sadece çalışma aralığında) üretmelidir.</w:t>
      </w:r>
    </w:p>
    <w:p w:rsidR="00923689" w:rsidRPr="007C1E0B" w:rsidRDefault="00923689" w:rsidP="00923689">
      <w:pPr>
        <w:pStyle w:val="ListeParagraf"/>
        <w:jc w:val="both"/>
        <w:rPr>
          <w:sz w:val="20"/>
          <w:szCs w:val="20"/>
        </w:rPr>
      </w:pPr>
    </w:p>
    <w:p w:rsidR="008F593F" w:rsidRPr="007C1E0B" w:rsidRDefault="00923689" w:rsidP="001B722B">
      <w:pPr>
        <w:jc w:val="both"/>
        <w:rPr>
          <w:rFonts w:ascii="Times New Roman" w:hAnsi="Times New Roman" w:cs="Times New Roman"/>
          <w:sz w:val="20"/>
          <w:szCs w:val="20"/>
        </w:rPr>
      </w:pPr>
      <w:r w:rsidRPr="007C1E0B">
        <w:rPr>
          <w:rFonts w:ascii="Times New Roman" w:hAnsi="Times New Roman" w:cs="Times New Roman"/>
          <w:sz w:val="20"/>
          <w:szCs w:val="20"/>
        </w:rPr>
        <w:t>7.1.2.      Kalibrasyon</w:t>
      </w:r>
      <w:r w:rsidR="008F593F" w:rsidRPr="007C1E0B">
        <w:rPr>
          <w:rFonts w:ascii="Times New Roman" w:hAnsi="Times New Roman" w:cs="Times New Roman"/>
          <w:sz w:val="20"/>
          <w:szCs w:val="20"/>
        </w:rPr>
        <w:tab/>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7.1.2.1.</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Standart eğriyle kalibrasyon</w:t>
      </w:r>
    </w:p>
    <w:p w:rsidR="008F593F" w:rsidRPr="007C1E0B" w:rsidRDefault="008F593F" w:rsidP="000748B1">
      <w:pPr>
        <w:pStyle w:val="ListeParagraf"/>
        <w:numPr>
          <w:ilvl w:val="0"/>
          <w:numId w:val="8"/>
        </w:numPr>
        <w:jc w:val="both"/>
        <w:rPr>
          <w:sz w:val="20"/>
          <w:szCs w:val="20"/>
        </w:rPr>
      </w:pPr>
      <w:r w:rsidRPr="007C1E0B">
        <w:rPr>
          <w:sz w:val="20"/>
          <w:szCs w:val="20"/>
        </w:rPr>
        <w:t>Ekstrakttaki ve akabinde numunedeki BEQ düzeyini hesaplamak için; analiz yanıtı TCDD kalibrasyon eğrisiyle (ya da PCB 126 ya da bir PCDD/F/dioksin benzeri PCB standart karışımı)  karşılaştırılarak numunedeki seviyeler belirlenebilir.</w:t>
      </w:r>
    </w:p>
    <w:p w:rsidR="008F593F" w:rsidRPr="007C1E0B" w:rsidRDefault="008F593F" w:rsidP="000748B1">
      <w:pPr>
        <w:pStyle w:val="ListeParagraf"/>
        <w:numPr>
          <w:ilvl w:val="0"/>
          <w:numId w:val="8"/>
        </w:numPr>
        <w:jc w:val="both"/>
        <w:rPr>
          <w:sz w:val="20"/>
          <w:szCs w:val="20"/>
        </w:rPr>
      </w:pPr>
      <w:r w:rsidRPr="007C1E0B">
        <w:rPr>
          <w:sz w:val="20"/>
          <w:szCs w:val="20"/>
        </w:rPr>
        <w:t>Kalibrasyon eğrileri, çalışma aralığının en alt ucunda yeterli konsantrasyonlar içermek kaydıyla, 8-12 konsantrasyon (en az iki tekrar) içermelidir. Çalışma aralığında, kalibrasyon eğrisine uygunluk kalitesine özellikle dikkat gösterilmelidir. R</w:t>
      </w:r>
      <w:r w:rsidRPr="007C1E0B">
        <w:rPr>
          <w:sz w:val="20"/>
          <w:szCs w:val="20"/>
          <w:vertAlign w:val="superscript"/>
        </w:rPr>
        <w:t>2</w:t>
      </w:r>
      <w:r w:rsidRPr="007C1E0B">
        <w:rPr>
          <w:sz w:val="20"/>
          <w:szCs w:val="20"/>
        </w:rPr>
        <w:t xml:space="preserve"> değeri, doğrusal olmayan regresyon içinde uygunluk derecesinin tahmininde ya çok az fikir verir ya da hiç vermez. Daha iyi bir uygunluğa, eğrinin çalışma aralığında gözlenen ve hesaplanan düzeyler arasındaki farkı minimize ederek ulaşılabilir (örneğin farkların karelerinin toplamını minimize ederek).</w:t>
      </w:r>
    </w:p>
    <w:p w:rsidR="008F593F" w:rsidRPr="007C1E0B" w:rsidRDefault="008F593F" w:rsidP="000748B1">
      <w:pPr>
        <w:pStyle w:val="ListeParagraf"/>
        <w:numPr>
          <w:ilvl w:val="0"/>
          <w:numId w:val="8"/>
        </w:numPr>
        <w:spacing w:before="120" w:after="120"/>
        <w:jc w:val="both"/>
        <w:rPr>
          <w:sz w:val="20"/>
          <w:szCs w:val="20"/>
        </w:rPr>
      </w:pPr>
      <w:r w:rsidRPr="007C1E0B">
        <w:rPr>
          <w:sz w:val="20"/>
          <w:szCs w:val="20"/>
        </w:rPr>
        <w:t>Numune ekstraktında belirlenen seviye, bir matriks/çözelti kör numunesi için (kullanılan çözeltiler ve kimyasallardan gelen safsızlıkları hesaba katmak için) hesaplanan BEQ düzeyine ve geri kazanıma (maksimum limit veya müdahale seviyesi civarında benzer türdeş bileşen dağılımına sahip uygun referans numunelerin BEQ düzeyinden hesaplanan) göre düzeltilir. Bir geri kazanım düzeltmesi yapmak için, geri kazanım her zaman istenen aralık içinde olmalıdır [Bkz: Madde 7.1.4]. Geri kazanım düzeltmesi için kullanılan referans numuneler, Madde 7.2’de verilen gerekliliklere uymak zorundadır.</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 xml:space="preserve">7.1.2.2.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Referans numunelerle kalibrasyon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Alternatif olarak, kör ve geri kazanım düzeltmesi gerekliliğini elimine ederek; ilgilenilen seviye civarında en az 4 referans numuneden [Bkz: Madde 7.2.4: bir matriks kör + maksimum limit veya müdahale seviyesinin 0.5, 1 ve 2 katı seviyesinde 3 referans numune] hazırlanan bir kalibrasyon eğrisi kullanılabilir. Bu durumda, maksimum limitin 2/3’üne karşılık gelen [Bkz: Madde 7.3] analiz yanıtı, direkt olarak bu numunelerden hesaplanabilir ve eşik değeri olarak kullanılabilir. Müdahale seviyesini aşan numunelerin kontrolü için, bu müdahale seviyelerinin uygun bir yüzdesi eşik değeri olarak kullanılır.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7.1.3.</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PCDD/PCDF’ler ve dioksin benzeri PCB’lerin ayrı belirlenmesi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Ekstraktlar, PCDD/F’ler ve dioksin benzeri PCB’lerin TEQ değerlerinin (BEQ olarak) ayrı ayrı gösterilmesine olanak tanıyan, PCDD/F’ler ve dioksin benzeri PCB’leri içeren fraksiyonlara ayrılabilir. Dioksin benzeri PCB’leri içeren fraksiyona ilişkin sonuçlar</w:t>
      </w:r>
      <w:r w:rsidRPr="007C1E0B">
        <w:rPr>
          <w:rFonts w:ascii="Times New Roman" w:hAnsi="Times New Roman" w:cs="Times New Roman" w:hint="eastAsia"/>
          <w:sz w:val="20"/>
          <w:szCs w:val="20"/>
        </w:rPr>
        <w:t>ı</w:t>
      </w:r>
      <w:r w:rsidRPr="007C1E0B">
        <w:rPr>
          <w:rFonts w:ascii="Times New Roman" w:hAnsi="Times New Roman" w:cs="Times New Roman"/>
          <w:sz w:val="20"/>
          <w:szCs w:val="20"/>
        </w:rPr>
        <w:t xml:space="preserve"> değerlendirmek için tercihen PCB 126 standart kalibrasyon eğrisi kullanılmalıdır.</w:t>
      </w:r>
    </w:p>
    <w:p w:rsidR="00473FC5" w:rsidRPr="007C1E0B" w:rsidRDefault="00473FC5"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473FC5" w:rsidRPr="007C1E0B" w:rsidRDefault="00473FC5"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7.1.4.</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Biyoanaliz görünür geri kazanımları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Biyoanaliz görünür geri kazanımı, maksimum limit veya müdahale seviyesi civarında benzer türdeş bileşen dağılımına sahip uygun referans numunelerden hesaplanmalı ve TEQ düzeyi ile karşılaştırılan BEQ düzeyinin yüzdesi olarak açıklanmalıdır. Deney tipine ve kullanılan TEF’lere (</w:t>
      </w:r>
      <w:r w:rsidR="00642095" w:rsidRPr="007C1E0B">
        <w:rPr>
          <w:rStyle w:val="DipnotBavurusu"/>
          <w:rFonts w:ascii="Times New Roman" w:hAnsi="Times New Roman" w:cs="Times New Roman"/>
          <w:sz w:val="20"/>
          <w:szCs w:val="20"/>
        </w:rPr>
        <w:footnoteReference w:id="16"/>
      </w:r>
      <w:r w:rsidR="00642095" w:rsidRPr="007C1E0B">
        <w:rPr>
          <w:rFonts w:ascii="Times New Roman" w:hAnsi="Times New Roman" w:cs="Times New Roman"/>
          <w:sz w:val="20"/>
          <w:szCs w:val="20"/>
        </w:rPr>
        <w:t>)</w:t>
      </w:r>
      <w:r w:rsidRPr="007C1E0B">
        <w:rPr>
          <w:rFonts w:ascii="Times New Roman" w:hAnsi="Times New Roman" w:cs="Times New Roman"/>
          <w:sz w:val="20"/>
          <w:szCs w:val="20"/>
        </w:rPr>
        <w:t>bağlı olarak; dioksin benzeri PCB’ler için TEF ve REP faktörleri arasındaki farklılıklar, PCDD/F’lere kıyasla dioksin benzeri PCB’ler için daha düşük geri kazanımlara sebep olabilir. Bu yüzden, PCDD/F’ler ve dioksin benzeri PCB’lerin ayrı ayrı belirlemesi yapılacak ise; biyoanaliz görünür geri kazanımı, dioksin benzeri PCB’ler için %</w:t>
      </w:r>
      <w:r w:rsidR="00BA074F" w:rsidRPr="007C1E0B">
        <w:rPr>
          <w:rFonts w:ascii="Times New Roman" w:hAnsi="Times New Roman" w:cs="Times New Roman"/>
          <w:sz w:val="20"/>
          <w:szCs w:val="20"/>
        </w:rPr>
        <w:t xml:space="preserve"> </w:t>
      </w:r>
      <w:r w:rsidRPr="007C1E0B">
        <w:rPr>
          <w:rFonts w:ascii="Times New Roman" w:hAnsi="Times New Roman" w:cs="Times New Roman"/>
          <w:sz w:val="20"/>
          <w:szCs w:val="20"/>
        </w:rPr>
        <w:t>20-60, PCDD/F’ler için % 50-130 (Oranlar, TCDD kalibrasyon eğrisi içindir) olmalıdır. Farklı matriksler ve numunelerde, PCDD/F’lerin ve dioksin benzeri PCB’lerin toplamına dioksin benzeri PCB’lerin katkısı değişebileceğinden, toplam parametre için biyoanaliz görünür geri kazanımı, bu oranları yansıtacak şekilde % 30-130 arasında olmalıdır. PCDD/PCDF’ler ve dioksin benzeri PCB’lerin için TEF değerlerinin uygulanmasında bu aralıkların gözden geçirilmesi gereklidir.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7.1.5.</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Clean-up aşamasında geri kazanımların kontrolü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Geçerli kılma işleminde, clean-up aşamasında bileşenlerin kaybı kontrol edilmelidir. Farklı türdeş bileşenler içeren karışım eklenmiş bir kör numunede clean-up yapılmalı (en az n=3); geri kazanım ve değişkenlik bir doğrulama metodu ile kontrol edilmelidir. Geri kazanım, çeşitli karışımlarda, özellikle TEQ düzeyine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10’dan daha fazla katkı sağlayan türdeş bileşenler için, % 60-120 arasında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7.1.6.</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Raporlama limiti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BEQ değerleri raporlanırken, eğrinin alt aralığındaki düşük kesinlik sebebiyle, standartların kalibrasyon eğrisinden değil; tipik türdeş bileşen dağılımı içeren ilgili matriks numunelerinden bir raporlama limiti belirlenmelidir. Ekstraksiyon ve clean-up işleminin etkileri hesaba katılmalıdır. Raporlama limiti, prosedür körlerinin en az üç kat üzerinde belirlenmiş olmalıdır.</w:t>
      </w:r>
    </w:p>
    <w:p w:rsidR="000B6C3A"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w:t>
      </w:r>
      <w:r w:rsidR="00400A13" w:rsidRPr="007C1E0B">
        <w:rPr>
          <w:rFonts w:ascii="Times New Roman" w:hAnsi="Times New Roman" w:cs="Times New Roman"/>
          <w:sz w:val="20"/>
          <w:szCs w:val="20"/>
        </w:rPr>
        <w:t>.</w:t>
      </w:r>
      <w:r w:rsidRPr="007C1E0B">
        <w:rPr>
          <w:rFonts w:ascii="Times New Roman" w:hAnsi="Times New Roman" w:cs="Times New Roman"/>
          <w:sz w:val="20"/>
          <w:szCs w:val="20"/>
        </w:rPr>
        <w:t xml:space="preserve">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Referans numunelerinin kullanımı</w:t>
      </w:r>
      <w:r w:rsidRPr="007C1E0B">
        <w:rPr>
          <w:rFonts w:ascii="Times New Roman" w:hAnsi="Times New Roman" w:cs="Times New Roman"/>
          <w:sz w:val="20"/>
          <w:szCs w:val="20"/>
        </w:rPr>
        <w:cr/>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7.2.1. </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Referans numuneler, numune matriksi,  türdeş bileşen dağılımı ve maksimum limit veya müdahale seviyesi civarında PCDD/F’ler ve dioksin benzeri PCB’ler için konsantrasyon aralıklarını temsil etmelidir.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7.2.2</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Her analiz serisinde, bir prosedür körü, ya da tercihen bir matriks körü ve maksimum limit veya müdahale seviyesinde bir referans numune dahil edilmelidir. Bu numuneler, aynı koşullar altında aynı zamanda ekstrakte edilmeli ve analiz edilmelidir. Referans numune, kör numune ile karşılaştırıldığında belirgin yüksek bir yanıt göstermeli ve böylece analizin uygunluğunu temin etmelidir. Bu numuneler, kör ve geri kazanım düzeltmeleri için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7.2.3.</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Bir geri kazanım düzeltmesi yapmak için seçilen referans numuneler, analiz numunesini temsil etmelidir, yani türdeş bileşen dağılımı, seviyenin eksik bulunmasına sebep olmamalıdır.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7.2.4.</w:t>
      </w:r>
      <w:r w:rsidR="00400A13" w:rsidRPr="007C1E0B">
        <w:rPr>
          <w:rFonts w:ascii="Times New Roman" w:hAnsi="Times New Roman" w:cs="Times New Roman"/>
          <w:sz w:val="20"/>
          <w:szCs w:val="20"/>
        </w:rPr>
        <w:t xml:space="preserve">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Maksimum limit veya müdahale seviyesinin kontrolünde; ilgi aralığında analizin performansının uygunluğunu göstermek için, maksimum limit veya müdahale seviyesinin 0.5 ve 2 katı konsantrasyonuna sahip olan ekstra referans numuneler dâhil edilebilir. Bu numuneler, analiz numunelerinde BEQ düzeylerinin hesaplanması için kullanılabilir [Madde 7.1.2.2].</w:t>
      </w:r>
    </w:p>
    <w:p w:rsidR="008F593F" w:rsidRPr="007C1E0B" w:rsidRDefault="008F593F" w:rsidP="001B722B">
      <w:pPr>
        <w:spacing w:before="120" w:after="120"/>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Eşik değerlerinin belirlenmesi</w:t>
      </w:r>
      <w:r w:rsidRPr="007C1E0B">
        <w:rPr>
          <w:rFonts w:ascii="Times New Roman" w:hAnsi="Times New Roman" w:cs="Times New Roman"/>
          <w:sz w:val="20"/>
          <w:szCs w:val="20"/>
        </w:rPr>
        <w:cr/>
        <w:t>BEQ olarak ifade edilen biyoanalitik sonuçlar ve TEQ olarak ifade edilen doğrulama metotları sonuçları arasında ilişki kurulmalıdır (örneğin her seviyede 6 tekrar yapılarak maksimum limitin 0,  0.5, 1 ve 2 katlarında (n=24) standart eklenmiş referans numuneleri içeren matriks etkili kalibrasyon denemeleri). Düzeltme faktörleri (kör ve geri kazanım) bu ilişkiden tahmin edilebilir ancak her analiz serisine prosedür/matriks körleri ve geri kazanım numuneleri dahil edilerek kontrol edilmelidir</w:t>
      </w:r>
      <w:r w:rsidR="00862F0B" w:rsidRPr="007C1E0B">
        <w:rPr>
          <w:rFonts w:ascii="Times New Roman" w:hAnsi="Times New Roman" w:cs="Times New Roman"/>
          <w:sz w:val="20"/>
          <w:szCs w:val="20"/>
        </w:rPr>
        <w:t xml:space="preserve">. </w:t>
      </w:r>
      <w:r w:rsidRPr="007C1E0B">
        <w:rPr>
          <w:rFonts w:ascii="Times New Roman" w:hAnsi="Times New Roman" w:cs="Times New Roman"/>
          <w:sz w:val="20"/>
          <w:szCs w:val="20"/>
        </w:rPr>
        <w:t>(7.2.2).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Eşik değerleri, müdahale seviyesinin kontrolü ya da numunenin maksimum limitlerle (eğer istenirse, ya PCDD/F’ler ve dioksin benzeri PCB’ler için ayrı ayrı ya da dioksin benzeri PCB’ler ve PCDD/F’ler toplamı için karşılık gelen maksimum limit veya müdahale seviyesiyle) uyumuna karar vermek için belirlenmelidir.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5’in altında bir hatalı-uygun oranı gösteren ve % 25’in altında RSD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’de,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95 güven aralığına dayalı bir doğrulama metodu karar limitine karşılık gelen biyoanalitik sonuçların (kör ve geri kazanım için düzeltilmiş) dağılımının en alt uç noktası eşik değerler olarak ifade edilir. Doğrulama metodu karar limiti, ölçüm belirsizliğinin hesaba katıldığı maksimum limittir.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BEQ cinsinden kesim değeri 7.3.1, 7.3.2 ve 7.3.3’teki yaklaşımlarla uyumlu olarak hesaplanmalıdır (bkz. Şekil 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7.3.1</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Doğrulama metodu karar limitinde % 95 tahmin aralığının en düşük bandının kullanımı: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Eşik değeri:  </w:t>
      </w:r>
      <w:r w:rsidR="00400A13" w:rsidRPr="007C1E0B">
        <w:rPr>
          <w:rFonts w:ascii="Times New Roman" w:eastAsia="Arial Unicode MS" w:hAnsi="Times New Roman" w:cs="Times New Roman"/>
          <w:noProof/>
          <w:sz w:val="20"/>
          <w:szCs w:val="20"/>
        </w:rPr>
        <w:drawing>
          <wp:inline distT="0" distB="0" distL="0" distR="0" wp14:anchorId="009D3836" wp14:editId="2A821E39">
            <wp:extent cx="3147060" cy="308610"/>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47060" cy="30861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BEQ</w:t>
      </w:r>
      <w:r w:rsidRPr="007C1E0B">
        <w:rPr>
          <w:rFonts w:ascii="Times New Roman" w:hAnsi="Times New Roman" w:cs="Times New Roman"/>
          <w:sz w:val="20"/>
          <w:szCs w:val="20"/>
          <w:vertAlign w:val="subscript"/>
        </w:rPr>
        <w:t>DL</w:t>
      </w:r>
      <w:r w:rsidRPr="007C1E0B">
        <w:rPr>
          <w:rFonts w:ascii="Times New Roman" w:hAnsi="Times New Roman" w:cs="Times New Roman"/>
          <w:sz w:val="20"/>
          <w:szCs w:val="20"/>
        </w:rPr>
        <w:t xml:space="preserve">: Ölçüm belirsizliğinin hesaba katıldığı maksimum limit olan doğrulama metodu karar limitine karşılık gelen BEQ,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y,x</w:t>
      </w:r>
      <w:r w:rsidRPr="007C1E0B">
        <w:rPr>
          <w:rFonts w:ascii="Times New Roman" w:hAnsi="Times New Roman" w:cs="Times New Roman"/>
          <w:sz w:val="20"/>
          <w:szCs w:val="20"/>
        </w:rPr>
        <w:t>: Fark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tα,f</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m-2: “t” testi faktörü (α</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5, f</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w:t>
      </w:r>
      <w:r w:rsidR="00CA39B0" w:rsidRPr="007C1E0B">
        <w:rPr>
          <w:rFonts w:ascii="Times New Roman" w:hAnsi="Times New Roman" w:cs="Times New Roman"/>
          <w:sz w:val="20"/>
          <w:szCs w:val="20"/>
        </w:rPr>
        <w:t xml:space="preserve"> </w:t>
      </w:r>
      <w:r w:rsidRPr="007C1E0B">
        <w:rPr>
          <w:rFonts w:ascii="Times New Roman" w:hAnsi="Times New Roman" w:cs="Times New Roman"/>
          <w:sz w:val="20"/>
          <w:szCs w:val="20"/>
        </w:rPr>
        <w:t>serbestlik derecesi, tek yönlü),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Kalibrasyon noktalarının toplam sayısı (j indeksi),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Her seviyedeki tekrarların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x</w:t>
      </w:r>
      <w:r w:rsidRPr="007C1E0B">
        <w:rPr>
          <w:rFonts w:ascii="Times New Roman" w:hAnsi="Times New Roman" w:cs="Times New Roman"/>
          <w:sz w:val="20"/>
          <w:szCs w:val="20"/>
          <w:vertAlign w:val="subscript"/>
        </w:rPr>
        <w:t>i</w:t>
      </w:r>
      <w:r w:rsidRPr="007C1E0B">
        <w:rPr>
          <w:rFonts w:ascii="Times New Roman" w:hAnsi="Times New Roman" w:cs="Times New Roman"/>
          <w:sz w:val="20"/>
          <w:szCs w:val="20"/>
        </w:rPr>
        <w:t>: Doğrulama metodu ile belirlenen kalibrasyon noktası i’ye karşılık gelen numune konsantrasyonu (TEQ olarak ifade edilen),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x: Tüm kalibrasyon numunelerinin konsantrasyonlarının ortalaması (TEQ olarak ifade edilen),</w:t>
      </w:r>
    </w:p>
    <w:p w:rsidR="008F593F" w:rsidRPr="007C1E0B" w:rsidRDefault="00400A13" w:rsidP="001B722B">
      <w:pPr>
        <w:jc w:val="both"/>
        <w:rPr>
          <w:rFonts w:ascii="Times New Roman" w:hAnsi="Times New Roman" w:cs="Times New Roman"/>
          <w:sz w:val="20"/>
          <w:szCs w:val="20"/>
        </w:rPr>
      </w:pPr>
      <w:r w:rsidRPr="007C1E0B">
        <w:rPr>
          <w:rFonts w:ascii="Times New Roman" w:eastAsia="Arial Unicode MS" w:hAnsi="Times New Roman" w:cs="Times New Roman"/>
          <w:noProof/>
          <w:sz w:val="20"/>
          <w:szCs w:val="20"/>
        </w:rPr>
        <w:drawing>
          <wp:inline distT="0" distB="0" distL="0" distR="0" wp14:anchorId="5CCE49CC" wp14:editId="70F1FB53">
            <wp:extent cx="1151890" cy="439420"/>
            <wp:effectExtent l="0" t="0" r="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51890" cy="439420"/>
                    </a:xfrm>
                    <a:prstGeom prst="rect">
                      <a:avLst/>
                    </a:prstGeom>
                    <a:noFill/>
                    <a:ln>
                      <a:noFill/>
                    </a:ln>
                  </pic:spPr>
                </pic:pic>
              </a:graphicData>
            </a:graphic>
          </wp:inline>
        </w:drawing>
      </w:r>
      <w:r w:rsidR="008F593F" w:rsidRPr="007C1E0B">
        <w:rPr>
          <w:rFonts w:ascii="Times New Roman" w:hAnsi="Times New Roman" w:cs="Times New Roman"/>
          <w:sz w:val="20"/>
          <w:szCs w:val="20"/>
        </w:rPr>
        <w:t xml:space="preserve"> : Kareler toplamı parametresi,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i=Kalibrasyon noktası i için indekstir.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7.3.2.</w:t>
      </w:r>
      <w:r w:rsidR="00400A13"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Ortalama BEQ değerine karşılık gelen veri dağılımının en alt uç noktası olarak; doğrulama metodu karar limiti düzeyinde bulaşan numunelerin çoklu analizlerinin (n ≥ 6) biyoanalitik sonuçlarından (kör ve geri kazanım için düzeltilmiş) hesaplama: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Eşik değeri= BEQ</w:t>
      </w:r>
      <w:r w:rsidRPr="007C1E0B">
        <w:rPr>
          <w:rFonts w:ascii="Times New Roman" w:hAnsi="Times New Roman" w:cs="Times New Roman"/>
          <w:sz w:val="20"/>
          <w:szCs w:val="20"/>
          <w:vertAlign w:val="subscript"/>
        </w:rPr>
        <w:t>DL</w:t>
      </w:r>
      <w:r w:rsidRPr="007C1E0B">
        <w:rPr>
          <w:rFonts w:ascii="Times New Roman" w:hAnsi="Times New Roman" w:cs="Times New Roman"/>
          <w:sz w:val="20"/>
          <w:szCs w:val="20"/>
        </w:rPr>
        <w:t>-1,64 x SD</w:t>
      </w:r>
      <w:r w:rsidRPr="007C1E0B">
        <w:rPr>
          <w:rFonts w:ascii="Times New Roman" w:hAnsi="Times New Roman" w:cs="Times New Roman"/>
          <w:sz w:val="20"/>
          <w:szCs w:val="20"/>
          <w:vertAlign w:val="subscript"/>
        </w:rPr>
        <w:t>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Laboratuvar içi tekrar üretilebilirlik koşulları altında ölçülen BEQ</w:t>
      </w:r>
      <w:r w:rsidRPr="007C1E0B">
        <w:rPr>
          <w:rFonts w:ascii="Times New Roman" w:hAnsi="Times New Roman" w:cs="Times New Roman"/>
          <w:sz w:val="20"/>
          <w:szCs w:val="20"/>
          <w:vertAlign w:val="subscript"/>
        </w:rPr>
        <w:t>DL</w:t>
      </w:r>
      <w:r w:rsidRPr="007C1E0B">
        <w:rPr>
          <w:rFonts w:ascii="Times New Roman" w:hAnsi="Times New Roman" w:cs="Times New Roman"/>
          <w:sz w:val="20"/>
          <w:szCs w:val="20"/>
        </w:rPr>
        <w:t>’de biyoanaliz sonuçlarının standart sapmasıdır.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7.3.3. Ortalama BEQ değerinin, maksimum limit veya müdahale seviyesinin 2/3’ü düzeyinde bulaşı seviyesine sahip numunelerin çoklu analizlerinin (n ≥ 6) biyoanalitik sonuçlarından (kör ve geri kazanım için düzeltilmiş) hesaplanması. Bu hesaplama, bu seviyenin Madde 7.3.1 ve Madde 7.3.2’de hesaplanan eşik değeri civarında olacağı gözlemine dayanmaktadır.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400A13" w:rsidRPr="007C1E0B">
        <w:rPr>
          <w:rFonts w:eastAsia="Arial Unicode MS"/>
          <w:noProof/>
          <w:sz w:val="20"/>
          <w:szCs w:val="20"/>
        </w:rPr>
        <w:drawing>
          <wp:inline distT="0" distB="0" distL="0" distR="0" wp14:anchorId="0E438A01" wp14:editId="5011FCBD">
            <wp:extent cx="5626509" cy="4785852"/>
            <wp:effectExtent l="0" t="0" r="0" b="0"/>
            <wp:docPr id="73" name="Resim 73"/>
            <wp:cNvGraphicFramePr/>
            <a:graphic xmlns:a="http://schemas.openxmlformats.org/drawingml/2006/main">
              <a:graphicData uri="http://schemas.openxmlformats.org/drawingml/2006/picture">
                <pic:pic xmlns:pic="http://schemas.openxmlformats.org/drawingml/2006/picture">
                  <pic:nvPicPr>
                    <pic:cNvPr id="42" name="Resim 42"/>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17340" cy="4863112"/>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ekil 1 % 5’in altında bir yanlış-uyumlu oranı gösteren ve % 25’in altında RSD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’de,% 95 güven aralığına sahip eşik değerleri: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Doğrulama metodu karar limitinde % 95 tahmin aralığının en düşük bandından,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Ortalama BEQ değerine karşılık gelen veri dağılımının (şekilde çan eğrisi ile temsil edilen) en alt uç noktası olarak, doğrulama metodu karar limiti düzeyinde bulaşıya sahip numunelerin çoklu analizlerinden (n ≥ 6) hesaplanır.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7.3.4.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Eşik değerlerine kısıtlamalar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Farklı matriks/türdeş bileşen dağılımına sahip az sayıda numune kullanılarak yapılan geçerli kılmadaki RSD</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’den hesaplanan BEQ’e dayalı eşik değerleri, rutinde muhtemel türdeş bileşen dağılımının bilinmeyen spektrumunun analizinden elde edilenden daha iyi bir kesinliğe sahip olduğundan dolayı TEQ’e dayalı maksimum limit veya müdahale seviyesinden daha yüksek olabilir. Bu durumlarda, eşik değerleri RSD</w:t>
      </w:r>
      <w:r w:rsidRPr="007C1E0B">
        <w:rPr>
          <w:rFonts w:ascii="Times New Roman" w:hAnsi="Times New Roman" w:cs="Times New Roman"/>
          <w:sz w:val="20"/>
          <w:szCs w:val="20"/>
          <w:vertAlign w:val="subscript"/>
        </w:rPr>
        <w:t>R</w:t>
      </w:r>
      <w:r w:rsidR="00CB76B4"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w:t>
      </w:r>
      <w:r w:rsidR="00CB76B4" w:rsidRPr="007C1E0B">
        <w:rPr>
          <w:rFonts w:ascii="Times New Roman" w:hAnsi="Times New Roman" w:cs="Times New Roman"/>
          <w:sz w:val="20"/>
          <w:szCs w:val="20"/>
        </w:rPr>
        <w:t xml:space="preserve"> </w:t>
      </w:r>
      <w:r w:rsidRPr="007C1E0B">
        <w:rPr>
          <w:rFonts w:ascii="Times New Roman" w:hAnsi="Times New Roman" w:cs="Times New Roman"/>
          <w:sz w:val="20"/>
          <w:szCs w:val="20"/>
        </w:rPr>
        <w:t>% 25’ten hesaplanmalı ya da maksimum limit veya müdahale seviyesinin 2/3’ü tercih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  Performans özellikleri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7.4.1. Biyoanalitik metotlarda iç standart kullanılmadığından; analiz serileri arasında ve analiz serileri içinde standart sapma hakkında bilgi edinmek amacıyla, tekrar edilebilirlik analizleri yapılmalıdır. Tekrar edilebilirlik  % 20’nin ve laboratuvar içi tekrar üretilebilirlik  % 25’in altında olmalıdır. Bu, kör ve geri kazanım düzeltmesinden sonra hesaplanan BEQ olarak ifade edilen seviyelere dayandırılmalıdır.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7.4.2. Geçerli kılma işleminin bir parçası olarak, analize karşılık gelen eşik değerinin üstündeki numunelerin tanımlanmasına olanak sağlamak üzere;  eşik değerindeki bir seviye ile bir kör numuneyi ayırt edebileceği gösterilmelidir. [Madde 7.1.2].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7.4.3. Hedef bileşikler, olası girişim yapan bileşikler ve maksimum tolere edilebilir kör seviyeler tanımlanmalıdır.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7.4.4.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ekstraktının üçlü tekerrür analizinde elde edilen yanıtların (sadece çalışma aralığında) veya yanıtlardan hesaplanan konsantrasyonların standart sapma yüzdesi  % 15’in üzerinde olmamalıdır.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7.4.5.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BEQ (kör ve maksimum limit veya müdahale seviyesi) olarak ifade edilen referans numune(lerin)nin düzeltilmemiş sonuçları, belirli bir zaman aralığında biyoanalitik metodun performansının değerlendirilmesi için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7.4.6. Her tip referans numune ve prosedür körleri için kalite kontrol (QC) grafikleri, analitik performansın gerekliliklerini karşıladığından emin olmak için (özellikle prosedür körleri için çalışma aralığının en düşük seviyesi ile istenilen minimum fark açısından ve referans numuneler için laboratuvar içi tekrar üretilebilirlik açısından) kayıt ve kontrol edilmelidir. Hesaplamada çıkarıldığında, hatalı-uygun sonuçları önlemek için prosedür körleri çok iyi kontrol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7.4.7. Uygun numunelerin % 2-10’undan elde edilen sonuçlar (her matriks için en az 20 numune) ve şüpheli numunelerin doğrulama metotlarından elde edilen sonuçlar toplanmalı; tarama metotlarının performansını ve BEQ ile TEQ arasındaki ilişkiyi hesaplamak için kullanılmalıdır. Bu veri tabanı, geçerli kılınmış matrikslerde rutin numunelere uygulanabilir eşik değerlerinin yeniden hesaplanması için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7.4.8.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Başarılı metot performansı, ring deneylerine katılımla gösterilmiş de olabilir. Eğer bir laboratuvar ring deneylerinde başarı performansını gösterebilirse; maksimum limitin iki katına kadar ulaştığı bir konsantrasyonu kapsayan numunelerden elde edilen analiz sonuçları, yanlış-uyumlu oranının değerlendirilmesine de dahil edilebilir. Numuneler, değişik kaynakları temsil eden en sık türdeş bileşen dağılımını kapsamalıdır.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7.4.9.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Olaylar sırasında eşik değerleri söz konusu olayın spesifik matriks ve türdeş bileşenlerini yansıtacak şekilde yeniden değerlendirilebilir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Sonuçların raporlanması</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Doğrulama metotları</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8.1.1.  </w:t>
      </w:r>
      <w:r w:rsidR="008F593F" w:rsidRPr="007C1E0B">
        <w:rPr>
          <w:rFonts w:ascii="Times New Roman" w:hAnsi="Times New Roman" w:cs="Times New Roman"/>
          <w:sz w:val="20"/>
          <w:szCs w:val="20"/>
        </w:rPr>
        <w:t>Kullanılan analitik prosedür elverdiği ölçüde, sonuçların raporlanmasında maksimum bilgiyi içermesi ve dolayısıyla özel hükümlere göre sonuçların yorumlanabilmesine imkan sağlamak için analitik sonuçlar her bir PCDD/F, dioksin benzeri PCB türdeş bileşenlerinin seviyelerini içermeli; alt-sınır, üst-sınır ve orta-sınır olarak rapor edilmelidir.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8.1.2.  </w:t>
      </w:r>
      <w:r w:rsidR="008F593F" w:rsidRPr="007C1E0B">
        <w:rPr>
          <w:rFonts w:ascii="Times New Roman" w:hAnsi="Times New Roman" w:cs="Times New Roman"/>
          <w:sz w:val="20"/>
          <w:szCs w:val="20"/>
        </w:rPr>
        <w:t>Raporda PCDD/PCDF’ler ve dioksin benzeri PCB’lerin ekstraksiyonu için kullanılan metot yer almalıdır.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8.1.3.  </w:t>
      </w:r>
      <w:r w:rsidR="008F593F" w:rsidRPr="007C1E0B">
        <w:rPr>
          <w:rFonts w:ascii="Times New Roman" w:hAnsi="Times New Roman" w:cs="Times New Roman"/>
          <w:sz w:val="20"/>
          <w:szCs w:val="20"/>
        </w:rPr>
        <w:t>Her bir iç standardın geri kazanımı; geri kazanımlar Madde 6.2.5’de bahsedilen aralık dışında olduğunda, maksimum limit aşıldığında (bu durumda, iki analizin biri için geri kazanımlar) ve başka durumlarda talep edilmesi halinde belirtilmelidir.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8.1.4.  </w:t>
      </w:r>
      <w:r w:rsidR="008F593F" w:rsidRPr="007C1E0B">
        <w:rPr>
          <w:rFonts w:ascii="Times New Roman" w:hAnsi="Times New Roman" w:cs="Times New Roman"/>
          <w:sz w:val="20"/>
          <w:szCs w:val="20"/>
        </w:rPr>
        <w:t>Numunenin uygunluğu hakkında karar verileceği zaman ölçüm belirsizliği dikkate alınacağı için, bu parametre de belirtilmelidir. Dolayısıyla, analitik sonuçlar x+/-U şeklinde raporlanmalıdır. Burada (x) analitik sonuç ve (U) ise kapsama faktörü olarak yaklaşık %</w:t>
      </w:r>
      <w:r w:rsidR="00E61B05"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95’lik güven aralığını veren “2” katsayısının kullanıldığı genişletilmiş ölçüm belirsizliğini ifade eder. PCDD/F’lerin ve dioksin benzeri PCB’lerin ayrı ayrı tespit edilmesi durumunda; PCDD/F’lerin ve dioksin benzeri PCB’lerin ayrı ayrı analitik sonu</w:t>
      </w:r>
      <w:r w:rsidR="008F593F" w:rsidRPr="007C1E0B">
        <w:rPr>
          <w:rFonts w:ascii="Times New Roman" w:hAnsi="Times New Roman" w:cs="Times New Roman" w:hint="eastAsia"/>
          <w:sz w:val="20"/>
          <w:szCs w:val="20"/>
        </w:rPr>
        <w:t>ç</w:t>
      </w:r>
      <w:r w:rsidR="008F593F" w:rsidRPr="007C1E0B">
        <w:rPr>
          <w:rFonts w:ascii="Times New Roman" w:hAnsi="Times New Roman" w:cs="Times New Roman"/>
          <w:sz w:val="20"/>
          <w:szCs w:val="20"/>
        </w:rPr>
        <w:t>larından hesaplanan genişletilmiş ölçüm belirsizliği toplamı PCDD/F’lerin ve dioksin benzeri PCB’lerin toplamı için kullanılmalıdır.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8.1.5.   </w:t>
      </w:r>
      <w:r w:rsidR="008F593F" w:rsidRPr="007C1E0B">
        <w:rPr>
          <w:rFonts w:ascii="Times New Roman" w:hAnsi="Times New Roman" w:cs="Times New Roman"/>
          <w:sz w:val="20"/>
          <w:szCs w:val="20"/>
        </w:rPr>
        <w:t>Ölçüm belirsizliği CCα karar limiti uygulanarak [Kısım B’nin Bölüm I’inin 2.2’sinde tanımlandığı üzere] hesaplanırsa, bu parametre raporlanmalıdır.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8.1.6.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Sonuçlar, Yemlerde İstenmeyen Maddeler Tebliği’nde belirtilen maksimum limitlerin birimi ile aynı birimlerde ve aynı ondalık basamağında ifade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8.2.  Biyoanalitik tarama metotları</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8.2.1.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Tarama sonuçları uygun ya da uygunsuz olmasından şüphe edilen (şüpheli) olarak açıklanmalıdır.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8.2.2.  </w:t>
      </w:r>
      <w:r w:rsidR="008F593F" w:rsidRPr="007C1E0B">
        <w:rPr>
          <w:rFonts w:ascii="Times New Roman" w:hAnsi="Times New Roman" w:cs="Times New Roman"/>
          <w:sz w:val="20"/>
          <w:szCs w:val="20"/>
        </w:rPr>
        <w:t>İlave olarak PCDD/PCDF’ler ve/veya dioksin benzeri PCB’ler için BEQ cinsinden ifade edilen (ve TEQ cinsinden ifade edilmeyen) bir sonuç verilebilir</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8.2.3.  </w:t>
      </w:r>
      <w:r w:rsidR="008F593F" w:rsidRPr="007C1E0B">
        <w:rPr>
          <w:rFonts w:ascii="Times New Roman" w:hAnsi="Times New Roman" w:cs="Times New Roman"/>
          <w:sz w:val="20"/>
          <w:szCs w:val="20"/>
        </w:rPr>
        <w:t>Raporlama limitinin altında bir yanıt veren numuneler, raporlama limitinden daha düşük olarak açıklanmalıdır .</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8.2.4.  </w:t>
      </w:r>
      <w:r w:rsidR="008F593F" w:rsidRPr="007C1E0B">
        <w:rPr>
          <w:rFonts w:ascii="Times New Roman" w:hAnsi="Times New Roman" w:cs="Times New Roman"/>
          <w:sz w:val="20"/>
          <w:szCs w:val="20"/>
        </w:rPr>
        <w:t xml:space="preserve">Her bir numune matriksi için; rapor, değerlendirmenin esas tutulduğu maksimum limit veya müdahale seviyesini belirtmelidir </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8.2.5.  </w:t>
      </w:r>
      <w:r w:rsidR="008F593F" w:rsidRPr="007C1E0B">
        <w:rPr>
          <w:rFonts w:ascii="Times New Roman" w:hAnsi="Times New Roman" w:cs="Times New Roman"/>
          <w:sz w:val="20"/>
          <w:szCs w:val="20"/>
        </w:rPr>
        <w:t>Rapor uygulanan analiz tipi, temel analiz prensibi ve kalibrasyon çeşidinden bahsetmelidir .</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8.2.6. </w:t>
      </w:r>
      <w:r w:rsidR="008F593F" w:rsidRPr="007C1E0B">
        <w:rPr>
          <w:rFonts w:ascii="Times New Roman" w:hAnsi="Times New Roman" w:cs="Times New Roman"/>
          <w:sz w:val="20"/>
          <w:szCs w:val="20"/>
        </w:rPr>
        <w:t>Raporda PCDD/PCDF’ler ve dioksin benzeri PCB’ler için kullanılan ekstraksiyon metodu belirtilmelidir .</w:t>
      </w:r>
    </w:p>
    <w:p w:rsidR="008F593F" w:rsidRPr="007C1E0B" w:rsidRDefault="002B0B56"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8.2.7.  </w:t>
      </w:r>
      <w:r w:rsidR="008F593F" w:rsidRPr="007C1E0B">
        <w:rPr>
          <w:rFonts w:ascii="Times New Roman" w:hAnsi="Times New Roman" w:cs="Times New Roman"/>
          <w:sz w:val="20"/>
          <w:szCs w:val="20"/>
        </w:rPr>
        <w:t>Uygunsuz olduğundan şüphelenilen numuneler için, yapılması gereken işlem her ne ise raporda yer almalıdır. Yüksek seviyelere sahip numunelerdeki PCDD/F ler ve PCDD/F ler ile dioksin benzeri PCB lerin konsantrasyonları doğrulama metodu ile tespit edilmeli ve doğrulanmalıdır.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BÖLÜM III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Dioksin Benzeri Olmayan PCB’lerin (PCB 28, 52, 101, 138, 153, 180) Seviyesinin Kontrolünde Kullanılan Analiz Metotları İçin Gereklilikler ve Numune Hazırlama Usul ve Esasları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Uygulama alanı</w:t>
      </w:r>
      <w:r w:rsidRPr="007C1E0B">
        <w:rPr>
          <w:rFonts w:ascii="Times New Roman" w:hAnsi="Times New Roman" w:cs="Times New Roman"/>
          <w:sz w:val="20"/>
          <w:szCs w:val="20"/>
        </w:rPr>
        <w:cr/>
        <w:t>Bu Bölümde belirtilen gereklilikler, yemin dioksin benzeri olmayan PCB’lerin resmi kontrolü ve diğer yasal amaçlarla analiz edildiği durumlarda geçerli olacaktır.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Uygulanabilir tespit metotları</w:t>
      </w:r>
      <w:r w:rsidRPr="007C1E0B">
        <w:rPr>
          <w:rFonts w:ascii="Times New Roman" w:hAnsi="Times New Roman" w:cs="Times New Roman"/>
          <w:sz w:val="20"/>
          <w:szCs w:val="20"/>
        </w:rPr>
        <w:cr/>
        <w:t>Gaz kromatografi/Elektron Yakalayıcı Dedektör (GC-ECD), GC-LRMS, GC-MS/MS, GC-HRMS veya denk metotlar.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Aranan analitlerin teşhis ve doğrulaması</w:t>
      </w:r>
      <w:r w:rsidRPr="007C1E0B">
        <w:rPr>
          <w:rFonts w:ascii="Times New Roman" w:hAnsi="Times New Roman" w:cs="Times New Roman"/>
          <w:sz w:val="20"/>
          <w:szCs w:val="20"/>
        </w:rPr>
        <w:cr/>
        <w:t xml:space="preserve">3.1.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İç standartlar veya referans standartlara göre olarak bağıl alıkonulma zamanı (+/-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0,25 kabul edilebilir sapmayla).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 Numunelerin seviyeleri yasal limitler aralığında olduğunda veya uygunsuz olup olmadığı doğrulanacaksa, toplam altı adet indikatör PCB’lerin tamamı (PCB 28, PCB 52, PCB 101, PCB 138, PCB 153 ve PCB 180) girişim yapan bileşiklerden özellikle de birbirlerinden ayrılmadan gelen PCB’lerden gaz kromatografik ayrımı        (Birbirlerinden ayrılmadan gelen türdeş bileşenler, genellikle, PCB 28/31, PCB 52/69 ve PCB 138/163/164 olarak bulunur. GC-MS için yüksek klorlu türdeş bileşenlerin fragmentlerinden gelebilecek muhtemel girişimler de göz önünde bulundurulmalıdır.).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3.3.</w:t>
      </w:r>
      <w:r w:rsidR="002B0B56" w:rsidRPr="007C1E0B">
        <w:rPr>
          <w:rFonts w:ascii="Times New Roman" w:hAnsi="Times New Roman" w:cs="Times New Roman"/>
          <w:sz w:val="20"/>
          <w:szCs w:val="20"/>
        </w:rPr>
        <w:t xml:space="preserve">   </w:t>
      </w:r>
      <w:r w:rsidRPr="007C1E0B">
        <w:rPr>
          <w:rFonts w:ascii="Times New Roman" w:hAnsi="Times New Roman" w:cs="Times New Roman"/>
          <w:sz w:val="20"/>
          <w:szCs w:val="20"/>
        </w:rPr>
        <w:t>GC-MS teknikleri için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En az aşağıdakilerin izlenmesi:</w:t>
      </w:r>
    </w:p>
    <w:p w:rsidR="008F593F" w:rsidRPr="007C1E0B" w:rsidRDefault="008F593F" w:rsidP="000748B1">
      <w:pPr>
        <w:pStyle w:val="ListeParagraf"/>
        <w:numPr>
          <w:ilvl w:val="0"/>
          <w:numId w:val="9"/>
        </w:numPr>
        <w:jc w:val="both"/>
        <w:rPr>
          <w:sz w:val="20"/>
          <w:szCs w:val="20"/>
        </w:rPr>
      </w:pPr>
      <w:r w:rsidRPr="007C1E0B">
        <w:rPr>
          <w:sz w:val="20"/>
          <w:szCs w:val="20"/>
        </w:rPr>
        <w:t>HRMS için iki spesifik iyon;</w:t>
      </w:r>
    </w:p>
    <w:p w:rsidR="008F593F" w:rsidRPr="007C1E0B" w:rsidRDefault="008F593F" w:rsidP="000748B1">
      <w:pPr>
        <w:pStyle w:val="ListeParagraf"/>
        <w:numPr>
          <w:ilvl w:val="0"/>
          <w:numId w:val="9"/>
        </w:numPr>
        <w:jc w:val="both"/>
        <w:rPr>
          <w:sz w:val="20"/>
          <w:szCs w:val="20"/>
        </w:rPr>
      </w:pPr>
      <w:r w:rsidRPr="007C1E0B">
        <w:rPr>
          <w:sz w:val="20"/>
          <w:szCs w:val="20"/>
        </w:rPr>
        <w:t>LRMS için m/z &gt;200’iki spesifik iyon veya m/z &gt;100 üç spesifik iyon</w:t>
      </w:r>
    </w:p>
    <w:p w:rsidR="008F593F" w:rsidRPr="007C1E0B" w:rsidRDefault="008F593F" w:rsidP="000748B1">
      <w:pPr>
        <w:pStyle w:val="ListeParagraf"/>
        <w:numPr>
          <w:ilvl w:val="0"/>
          <w:numId w:val="9"/>
        </w:numPr>
        <w:jc w:val="both"/>
        <w:rPr>
          <w:sz w:val="20"/>
          <w:szCs w:val="20"/>
        </w:rPr>
      </w:pPr>
      <w:r w:rsidRPr="007C1E0B">
        <w:rPr>
          <w:sz w:val="20"/>
          <w:szCs w:val="20"/>
        </w:rPr>
        <w:t>MS-MS için 1 öncü ve 2 ürün iyonu.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Seçilmiş kütle parçalarının mevcudiyet oranları için izin verilen maksimum toleranslar: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Seçilmiş kütle fragmentlerinin mevcudiyet oranının teorik mevcudiyetten bağıl sapması veya hedef iyon (izlenen iyonlardan en çok bulunan) ve niteleyici iyon(lar) için kalibrasyon standardı:</w:t>
      </w:r>
    </w:p>
    <w:tbl>
      <w:tblPr>
        <w:tblStyle w:val="TabloKlavuzu"/>
        <w:tblW w:w="9072" w:type="dxa"/>
        <w:tblInd w:w="108" w:type="dxa"/>
        <w:tblLayout w:type="fixed"/>
        <w:tblLook w:val="04A0" w:firstRow="1" w:lastRow="0" w:firstColumn="1" w:lastColumn="0" w:noHBand="0" w:noVBand="1"/>
      </w:tblPr>
      <w:tblGrid>
        <w:gridCol w:w="3322"/>
        <w:gridCol w:w="3071"/>
        <w:gridCol w:w="2679"/>
      </w:tblGrid>
      <w:tr w:rsidR="007C1E0B" w:rsidRPr="007C1E0B" w:rsidTr="00AE5307">
        <w:trPr>
          <w:trHeight w:val="772"/>
        </w:trPr>
        <w:tc>
          <w:tcPr>
            <w:tcW w:w="3322"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Hedef iyonla karşılaştırılan niteleyici iyonun/iyonların bağıl yoğunluğu</w:t>
            </w:r>
          </w:p>
        </w:tc>
        <w:tc>
          <w:tcPr>
            <w:tcW w:w="3071"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GC-EI-MS</w:t>
            </w:r>
          </w:p>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(bağıl sapma)</w:t>
            </w:r>
          </w:p>
        </w:tc>
        <w:tc>
          <w:tcPr>
            <w:tcW w:w="2679"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vertAlign w:val="superscript"/>
                <w:lang w:eastAsia="tr-TR"/>
              </w:rPr>
            </w:pPr>
            <w:r w:rsidRPr="007C1E0B">
              <w:rPr>
                <w:rFonts w:ascii="Times New Roman" w:hAnsi="Times New Roman" w:cs="Times New Roman"/>
                <w:sz w:val="20"/>
                <w:szCs w:val="20"/>
              </w:rPr>
              <w:t>GC-CI-MS, GC-MS</w:t>
            </w:r>
            <w:r w:rsidRPr="007C1E0B">
              <w:rPr>
                <w:rFonts w:ascii="Times New Roman" w:hAnsi="Times New Roman" w:cs="Times New Roman"/>
                <w:sz w:val="20"/>
                <w:szCs w:val="20"/>
                <w:vertAlign w:val="superscript"/>
              </w:rPr>
              <w:t>n</w:t>
            </w:r>
          </w:p>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(bağıl sapma)</w:t>
            </w:r>
          </w:p>
        </w:tc>
      </w:tr>
      <w:tr w:rsidR="007C1E0B" w:rsidRPr="007C1E0B" w:rsidTr="00AE5307">
        <w:tc>
          <w:tcPr>
            <w:tcW w:w="3322"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&gt;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50</w:t>
            </w:r>
          </w:p>
        </w:tc>
        <w:tc>
          <w:tcPr>
            <w:tcW w:w="3071"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10</w:t>
            </w:r>
          </w:p>
        </w:tc>
        <w:tc>
          <w:tcPr>
            <w:tcW w:w="2679"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20</w:t>
            </w:r>
          </w:p>
        </w:tc>
      </w:tr>
      <w:tr w:rsidR="007C1E0B" w:rsidRPr="007C1E0B" w:rsidTr="00AE5307">
        <w:tc>
          <w:tcPr>
            <w:tcW w:w="3322"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&gt;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20 ila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50</w:t>
            </w:r>
          </w:p>
        </w:tc>
        <w:tc>
          <w:tcPr>
            <w:tcW w:w="3071"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15</w:t>
            </w:r>
          </w:p>
        </w:tc>
        <w:tc>
          <w:tcPr>
            <w:tcW w:w="2679"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25</w:t>
            </w:r>
          </w:p>
        </w:tc>
      </w:tr>
      <w:tr w:rsidR="007C1E0B" w:rsidRPr="007C1E0B" w:rsidTr="00AE5307">
        <w:tc>
          <w:tcPr>
            <w:tcW w:w="3322"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&gt;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10 ila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20</w:t>
            </w:r>
          </w:p>
        </w:tc>
        <w:tc>
          <w:tcPr>
            <w:tcW w:w="3071"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20</w:t>
            </w:r>
          </w:p>
        </w:tc>
        <w:tc>
          <w:tcPr>
            <w:tcW w:w="2679"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30</w:t>
            </w:r>
          </w:p>
        </w:tc>
      </w:tr>
      <w:tr w:rsidR="007C1E0B" w:rsidRPr="007C1E0B" w:rsidTr="00AE5307">
        <w:tc>
          <w:tcPr>
            <w:tcW w:w="3322"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w:t>
            </w:r>
            <w:r w:rsidR="00E61B05" w:rsidRPr="007C1E0B">
              <w:rPr>
                <w:rFonts w:ascii="Times New Roman" w:hAnsi="Times New Roman" w:cs="Times New Roman"/>
                <w:sz w:val="20"/>
                <w:szCs w:val="20"/>
              </w:rPr>
              <w:t xml:space="preserve"> </w:t>
            </w:r>
            <w:r w:rsidRPr="007C1E0B">
              <w:rPr>
                <w:rFonts w:ascii="Times New Roman" w:hAnsi="Times New Roman" w:cs="Times New Roman"/>
                <w:sz w:val="20"/>
                <w:szCs w:val="20"/>
              </w:rPr>
              <w:t>10</w:t>
            </w:r>
          </w:p>
        </w:tc>
        <w:tc>
          <w:tcPr>
            <w:tcW w:w="3071"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50(</w:t>
            </w:r>
            <w:r w:rsidR="00BE7083" w:rsidRPr="007C1E0B">
              <w:rPr>
                <w:rFonts w:ascii="Times New Roman" w:hAnsi="Times New Roman" w:cs="Times New Roman"/>
                <w:sz w:val="20"/>
                <w:szCs w:val="20"/>
              </w:rPr>
              <w:t>*</w:t>
            </w:r>
            <w:r w:rsidRPr="007C1E0B">
              <w:rPr>
                <w:rFonts w:ascii="Times New Roman" w:hAnsi="Times New Roman" w:cs="Times New Roman"/>
                <w:sz w:val="20"/>
                <w:szCs w:val="20"/>
              </w:rPr>
              <w:t>)</w:t>
            </w:r>
          </w:p>
        </w:tc>
        <w:tc>
          <w:tcPr>
            <w:tcW w:w="2679" w:type="dxa"/>
            <w:tcBorders>
              <w:top w:val="single" w:sz="4" w:space="0" w:color="auto"/>
              <w:left w:val="single" w:sz="4" w:space="0" w:color="auto"/>
              <w:bottom w:val="single" w:sz="4" w:space="0" w:color="auto"/>
              <w:right w:val="single" w:sz="4" w:space="0" w:color="auto"/>
            </w:tcBorders>
            <w:hideMark/>
          </w:tcPr>
          <w:p w:rsidR="002B0B56" w:rsidRPr="007C1E0B" w:rsidRDefault="002B0B56">
            <w:pPr>
              <w:spacing w:after="200" w:line="276" w:lineRule="auto"/>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 50(</w:t>
            </w:r>
            <w:r w:rsidR="00BE7083" w:rsidRPr="007C1E0B">
              <w:rPr>
                <w:rFonts w:ascii="Times New Roman" w:hAnsi="Times New Roman" w:cs="Times New Roman"/>
                <w:sz w:val="20"/>
                <w:szCs w:val="20"/>
              </w:rPr>
              <w:t>*</w:t>
            </w:r>
            <w:r w:rsidRPr="007C1E0B">
              <w:rPr>
                <w:rFonts w:ascii="Times New Roman" w:hAnsi="Times New Roman" w:cs="Times New Roman"/>
                <w:sz w:val="20"/>
                <w:szCs w:val="20"/>
              </w:rPr>
              <w:t>)</w:t>
            </w:r>
          </w:p>
        </w:tc>
      </w:tr>
      <w:tr w:rsidR="004218EC" w:rsidRPr="007C1E0B" w:rsidTr="00AE5307">
        <w:tc>
          <w:tcPr>
            <w:tcW w:w="9072" w:type="dxa"/>
            <w:gridSpan w:val="3"/>
            <w:tcBorders>
              <w:top w:val="single" w:sz="4" w:space="0" w:color="auto"/>
              <w:left w:val="single" w:sz="4" w:space="0" w:color="auto"/>
              <w:bottom w:val="single" w:sz="4" w:space="0" w:color="auto"/>
              <w:right w:val="single" w:sz="4" w:space="0" w:color="auto"/>
            </w:tcBorders>
          </w:tcPr>
          <w:p w:rsidR="004218EC" w:rsidRPr="007C1E0B" w:rsidRDefault="004218EC">
            <w:pPr>
              <w:jc w:val="both"/>
              <w:rPr>
                <w:rFonts w:ascii="Times New Roman" w:hAnsi="Times New Roman" w:cs="Times New Roman"/>
                <w:sz w:val="20"/>
                <w:szCs w:val="20"/>
              </w:rPr>
            </w:pPr>
            <w:r w:rsidRPr="007C1E0B">
              <w:rPr>
                <w:rFonts w:ascii="Times New Roman" w:hAnsi="Times New Roman" w:cs="Times New Roman"/>
                <w:sz w:val="16"/>
                <w:szCs w:val="16"/>
              </w:rPr>
              <w:t>(*)Bağıl yoğunluğu % 10’dan yüksek olan kütle fragmentlerinin yeterli sayısı. Bu nedenle hedef iyon ile karşılaştırılan % 10’dan daha düşük bağıl yoğunluğa sahip niteleyici iyonların kullanılması önerilmemektedir.</w:t>
            </w:r>
          </w:p>
        </w:tc>
      </w:tr>
    </w:tbl>
    <w:p w:rsidR="008F593F" w:rsidRPr="007C1E0B" w:rsidRDefault="008F593F" w:rsidP="001B722B">
      <w:pPr>
        <w:jc w:val="both"/>
        <w:rPr>
          <w:rFonts w:ascii="Times New Roman" w:hAnsi="Times New Roman" w:cs="Times New Roman"/>
          <w:sz w:val="16"/>
          <w:szCs w:val="16"/>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GC-ECD tekniklerine ilişkin gereklilikler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Tolerans düzeyini aşan sonuçlar farklı polariteye sahip iki sabit fazlı GC kolonu</w:t>
      </w:r>
      <w:r w:rsidR="001839ED" w:rsidRPr="007C1E0B">
        <w:rPr>
          <w:rFonts w:ascii="Times New Roman" w:hAnsi="Times New Roman" w:cs="Times New Roman"/>
          <w:sz w:val="20"/>
          <w:szCs w:val="20"/>
        </w:rPr>
        <w:t xml:space="preserve"> kullanılarak</w:t>
      </w:r>
      <w:r w:rsidRPr="007C1E0B">
        <w:rPr>
          <w:rFonts w:ascii="Times New Roman" w:hAnsi="Times New Roman" w:cs="Times New Roman"/>
          <w:sz w:val="20"/>
          <w:szCs w:val="20"/>
        </w:rPr>
        <w:t xml:space="preserve"> doğrulanmalıdır.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 performansının gösterilmesi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Metodun yürütülmesi maksimum limit aralığında (maksimum düzeyin 0,5 ila 2 katı) tekrarlanan analiz için kabul edilebilir bir varyasyon katsayısıyla geçerli kılınmalıdır (orta seviyede kesinlik için gereklilikler için 9’a bakınız).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Ölçüm Limiti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Kör değerler maksimum limite karşılık gelen bulaşan seviyesinin %</w:t>
      </w:r>
      <w:r w:rsidR="009403EB" w:rsidRPr="007C1E0B">
        <w:rPr>
          <w:rFonts w:ascii="Times New Roman" w:hAnsi="Times New Roman" w:cs="Times New Roman"/>
          <w:sz w:val="20"/>
          <w:szCs w:val="20"/>
        </w:rPr>
        <w:t xml:space="preserve"> </w:t>
      </w:r>
      <w:r w:rsidRPr="007C1E0B">
        <w:rPr>
          <w:rFonts w:ascii="Times New Roman" w:hAnsi="Times New Roman" w:cs="Times New Roman"/>
          <w:sz w:val="20"/>
          <w:szCs w:val="20"/>
        </w:rPr>
        <w:t>30’undan daha yüksek olmamalıdır (</w:t>
      </w:r>
      <w:r w:rsidR="00BE7083" w:rsidRPr="007C1E0B">
        <w:rPr>
          <w:rStyle w:val="DipnotBavurusu"/>
          <w:rFonts w:ascii="Times New Roman" w:hAnsi="Times New Roman" w:cs="Times New Roman"/>
          <w:sz w:val="20"/>
          <w:szCs w:val="20"/>
        </w:rPr>
        <w:footnoteReference w:id="17"/>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6.</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Kalite kontrol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Düzenli kör kontroller, standart eklenmiş numunelerin analizi, kalite kontrol numuneleri, ilgili matrislere ilişkin laboratuvarlar arası çalışmalara katılım.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w:t>
      </w:r>
      <w:r w:rsidR="00BE7083" w:rsidRPr="007C1E0B">
        <w:rPr>
          <w:rFonts w:ascii="Times New Roman" w:hAnsi="Times New Roman" w:cs="Times New Roman"/>
          <w:sz w:val="20"/>
          <w:szCs w:val="20"/>
        </w:rPr>
        <w:t xml:space="preserve">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kazanımların kontrolü</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8F593F" w:rsidRPr="007C1E0B">
        <w:rPr>
          <w:rFonts w:ascii="Times New Roman" w:hAnsi="Times New Roman" w:cs="Times New Roman"/>
          <w:sz w:val="20"/>
          <w:szCs w:val="20"/>
        </w:rPr>
        <w:t>Aranılan analitlerle karşılaştırılabilen fizikokimyasal özelliklerle birlikte uygun iç standartlar kullanılmalıdır.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İç standartların eklenmesi: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Ü</w:t>
      </w:r>
      <w:r w:rsidRPr="007C1E0B">
        <w:rPr>
          <w:rFonts w:ascii="Times New Roman" w:hAnsi="Times New Roman" w:cs="Times New Roman"/>
          <w:sz w:val="20"/>
          <w:szCs w:val="20"/>
        </w:rPr>
        <w:t>rünlere ekleme (ekstraksiyon ve clean-up işleminden önce).</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Altı adet izotop etiketli indikatör PCB türdeş bileşenleri kullanan metotlara ilişkin gereklilikler: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 </w:t>
      </w:r>
      <w:r w:rsidR="008F593F" w:rsidRPr="007C1E0B">
        <w:rPr>
          <w:rFonts w:ascii="Times New Roman" w:hAnsi="Times New Roman" w:cs="Times New Roman"/>
          <w:sz w:val="20"/>
          <w:szCs w:val="20"/>
        </w:rPr>
        <w:t>İç standartların geri kazanımlarına göre sonuçlar düzeltilmelidir.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 </w:t>
      </w:r>
      <w:r w:rsidR="008F593F" w:rsidRPr="007C1E0B">
        <w:rPr>
          <w:rFonts w:ascii="Times New Roman" w:hAnsi="Times New Roman" w:cs="Times New Roman"/>
          <w:sz w:val="20"/>
          <w:szCs w:val="20"/>
        </w:rPr>
        <w:t>izotop etiketli iç standartların geri kazanımları %</w:t>
      </w:r>
      <w:r w:rsidR="006E1BE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50 ila %</w:t>
      </w:r>
      <w:r w:rsidR="006E1BE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120 arasında olmalıdır.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c) </w:t>
      </w:r>
      <w:r w:rsidR="008F593F" w:rsidRPr="007C1E0B">
        <w:rPr>
          <w:rFonts w:ascii="Times New Roman" w:hAnsi="Times New Roman" w:cs="Times New Roman"/>
          <w:sz w:val="20"/>
          <w:szCs w:val="20"/>
        </w:rPr>
        <w:t>Altı adet indikatör PCB’lerin toplamına % 10’dan az katkı sağlayan her bir türdeş bileşen için daha düşük veya daha  yüksek geri kazanımlar kabul edilebilir.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7.4. </w:t>
      </w:r>
      <w:r w:rsidR="008F593F" w:rsidRPr="007C1E0B">
        <w:rPr>
          <w:rFonts w:ascii="Times New Roman" w:hAnsi="Times New Roman" w:cs="Times New Roman"/>
          <w:sz w:val="20"/>
          <w:szCs w:val="20"/>
        </w:rPr>
        <w:t xml:space="preserve"> Altı adet izotop-işaretlenmiş iç standartların hepsini kullanmayan veya başka iç standartlar kullanan metotlar için gereklilikler: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 </w:t>
      </w:r>
      <w:r w:rsidR="008F593F" w:rsidRPr="007C1E0B">
        <w:rPr>
          <w:rFonts w:ascii="Times New Roman" w:hAnsi="Times New Roman" w:cs="Times New Roman"/>
          <w:sz w:val="20"/>
          <w:szCs w:val="20"/>
        </w:rPr>
        <w:t>İç standart(lar)ın geri kazanımı her numune için kontrol edilmelidir,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 </w:t>
      </w:r>
      <w:r w:rsidR="008F593F" w:rsidRPr="007C1E0B">
        <w:rPr>
          <w:rFonts w:ascii="Times New Roman" w:hAnsi="Times New Roman" w:cs="Times New Roman"/>
          <w:sz w:val="20"/>
          <w:szCs w:val="20"/>
        </w:rPr>
        <w:t>İç standart(lar)ın geri kazanımı %</w:t>
      </w:r>
      <w:r w:rsidR="006E1BE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60 ila %</w:t>
      </w:r>
      <w:r w:rsidR="006E1BE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120 arasında olmalıdır,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c) </w:t>
      </w:r>
      <w:r w:rsidR="008F593F" w:rsidRPr="007C1E0B">
        <w:rPr>
          <w:rFonts w:ascii="Times New Roman" w:hAnsi="Times New Roman" w:cs="Times New Roman"/>
          <w:sz w:val="20"/>
          <w:szCs w:val="20"/>
        </w:rPr>
        <w:t>İç standartların geri kazanımları için sonuçlar düzeltilmelidir.</w:t>
      </w:r>
    </w:p>
    <w:p w:rsidR="008F593F" w:rsidRPr="007C1E0B" w:rsidRDefault="00BE7083"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7.5.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İşaretlenmemiş türdeş bileşenlerin geri kazanımları, maksimum limit aralığındaki konsantrasyonlara sahip kalite kontrol numuneleri ya da standart eklenmiş numunelerle kontrol edilmelidir. Bu türdeş bileşenler için kabul edilebilir geri kazanımlar %</w:t>
      </w:r>
      <w:r w:rsidR="006E1BEF"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70-120 arasındadır.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Laboratuvarlara ilişkin gereklilikler</w:t>
      </w:r>
      <w:r w:rsidRPr="007C1E0B">
        <w:rPr>
          <w:rFonts w:ascii="Times New Roman" w:hAnsi="Times New Roman" w:cs="Times New Roman"/>
          <w:sz w:val="20"/>
          <w:szCs w:val="20"/>
        </w:rPr>
        <w:cr/>
      </w:r>
      <w:r w:rsidR="00847B94" w:rsidRPr="007C1E0B">
        <w:t xml:space="preserve"> </w:t>
      </w:r>
      <w:r w:rsidR="00847B94" w:rsidRPr="007C1E0B">
        <w:rPr>
          <w:rFonts w:ascii="Times New Roman" w:hAnsi="Times New Roman" w:cs="Times New Roman"/>
          <w:sz w:val="20"/>
          <w:szCs w:val="20"/>
        </w:rPr>
        <w:t>Laboratuvarlar, Gıda ve Yemin Resmi Kontrollerine Dair Yönetmeliğinde laboratuvarlar için belirtilen hükümlere uymak zorundadır</w:t>
      </w:r>
      <w:r w:rsidRPr="007C1E0B">
        <w:rPr>
          <w:rFonts w:ascii="Times New Roman" w:hAnsi="Times New Roman" w:cs="Times New Roman"/>
          <w:sz w:val="20"/>
          <w:szCs w:val="20"/>
        </w:rPr>
        <w:t>.</w:t>
      </w:r>
      <w:r w:rsidR="00CF64CB"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Performans karakteristikleri: İlgilenilen seviyedeki altı adet indikatör PCB’ler toplamı için kriter</w:t>
      </w:r>
    </w:p>
    <w:p w:rsidR="008F593F" w:rsidRPr="007C1E0B" w:rsidRDefault="004218EC"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w:t>
      </w:r>
      <w:r w:rsidR="004B3B22"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Sonuçların raporlanması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10.1. </w:t>
      </w:r>
      <w:r w:rsidR="00CF64CB" w:rsidRPr="007C1E0B">
        <w:rPr>
          <w:rFonts w:ascii="Times New Roman" w:hAnsi="Times New Roman" w:cs="Times New Roman"/>
          <w:sz w:val="20"/>
          <w:szCs w:val="20"/>
        </w:rPr>
        <w:t xml:space="preserve">  </w:t>
      </w:r>
      <w:r w:rsidRPr="007C1E0B">
        <w:rPr>
          <w:rFonts w:ascii="Times New Roman" w:hAnsi="Times New Roman" w:cs="Times New Roman"/>
          <w:sz w:val="20"/>
          <w:szCs w:val="20"/>
        </w:rPr>
        <w:t>Kullanılan analitik prosedür elverdiği ölçüde, sonuçların raporlanmasında maksimum bilgiyi içermesi ve dolayısıyla özel hükümlere göre sonuçların yorumlanabilmesine imkan sağlamak için analitik sonuçlar her bir PCB türdeş bileşenlerinin seviyelerini içermeli; alt-sınır, üst-sınır ve orta-sınır olarak rapor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10.2.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Rapor, PCB’lerin ve yağların ekstraksiyonu için kullanılan metodu da içermelidir.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10.3.  Geri kazanımların 7’de bahsedilen aralık dışında olması durumunda, maksimum limitin aşılması durumunda ve isteğe bağlı diğer bütün durumlarda her bir iç standardın geri kazanımı belirtilmelidir.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10.4.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Numunenin uygunluğuna karar verirken ölçüm belirsizliği dikkate alındığı için, bu parametre de belirtilmelidir. Bu nedenle,  analitik sonuçlar x+/-U olarak raporlanır.  Burada x analitik sonucu, U ise kapsama faktörü olarak yaklaşık  %</w:t>
      </w:r>
      <w:r w:rsidR="00BE6236" w:rsidRPr="007C1E0B">
        <w:rPr>
          <w:rFonts w:ascii="Times New Roman" w:hAnsi="Times New Roman" w:cs="Times New Roman"/>
          <w:sz w:val="20"/>
          <w:szCs w:val="20"/>
        </w:rPr>
        <w:t xml:space="preserve"> </w:t>
      </w:r>
      <w:r w:rsidRPr="007C1E0B">
        <w:rPr>
          <w:rFonts w:ascii="Times New Roman" w:hAnsi="Times New Roman" w:cs="Times New Roman"/>
          <w:sz w:val="20"/>
          <w:szCs w:val="20"/>
        </w:rPr>
        <w:t>95’lik bir güven aralığını veren “2” katsayısının kullanıldığı, genişletilmiş ölçüm belirsizliğini ifade eder.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10.5. Eğer ölçüm belirsizliği karar limiti (CCα) uygulayarak [Kısım B’nin Bölüm I’inin 2.1’inde tanımlandığı üzere] hesaba katılıyorsa, bu parametre rapor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10.6. </w:t>
      </w:r>
      <w:r w:rsidR="004B3B22"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 Yemlerde İstenmeyen Maddeler Tebliği’nde belirtilen maksimum limitlerin birimi ile aynı birimlerde ve aynı ondalık basamağında ifade edilmelidir.</w:t>
      </w:r>
    </w:p>
    <w:tbl>
      <w:tblPr>
        <w:tblStyle w:val="TabloKlavuzu"/>
        <w:tblpPr w:leftFromText="142" w:rightFromText="142" w:vertAnchor="text" w:horzAnchor="margin" w:tblpX="109" w:tblpY="1"/>
        <w:tblOverlap w:val="never"/>
        <w:tblW w:w="9039" w:type="dxa"/>
        <w:tblLayout w:type="fixed"/>
        <w:tblLook w:val="04A0" w:firstRow="1" w:lastRow="0" w:firstColumn="1" w:lastColumn="0" w:noHBand="0" w:noVBand="1"/>
      </w:tblPr>
      <w:tblGrid>
        <w:gridCol w:w="5809"/>
        <w:gridCol w:w="3230"/>
      </w:tblGrid>
      <w:tr w:rsidR="007C1E0B" w:rsidRPr="007C1E0B" w:rsidTr="00AE5307">
        <w:trPr>
          <w:trHeight w:val="492"/>
        </w:trPr>
        <w:tc>
          <w:tcPr>
            <w:tcW w:w="5809"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Gerçeklik</w:t>
            </w:r>
          </w:p>
        </w:tc>
        <w:tc>
          <w:tcPr>
            <w:tcW w:w="3230"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 % 30 ila + % 30 </w:t>
            </w:r>
          </w:p>
        </w:tc>
      </w:tr>
      <w:tr w:rsidR="007C1E0B" w:rsidRPr="007C1E0B" w:rsidTr="00AE5307">
        <w:trPr>
          <w:trHeight w:val="502"/>
        </w:trPr>
        <w:tc>
          <w:tcPr>
            <w:tcW w:w="5809"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Orta seviyede kesinlik (% RSD)</w:t>
            </w:r>
          </w:p>
        </w:tc>
        <w:tc>
          <w:tcPr>
            <w:tcW w:w="3230"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 % 20 </w:t>
            </w:r>
          </w:p>
        </w:tc>
      </w:tr>
      <w:tr w:rsidR="007C1E0B" w:rsidRPr="007C1E0B" w:rsidTr="00AE5307">
        <w:trPr>
          <w:trHeight w:val="492"/>
        </w:trPr>
        <w:tc>
          <w:tcPr>
            <w:tcW w:w="5809"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Üst ve alt sınır hesaplaması arasındaki fark</w:t>
            </w:r>
          </w:p>
        </w:tc>
        <w:tc>
          <w:tcPr>
            <w:tcW w:w="3230" w:type="dxa"/>
            <w:tcBorders>
              <w:top w:val="single" w:sz="4" w:space="0" w:color="auto"/>
              <w:left w:val="single" w:sz="4" w:space="0" w:color="auto"/>
              <w:bottom w:val="single" w:sz="4" w:space="0" w:color="auto"/>
              <w:right w:val="single" w:sz="4" w:space="0" w:color="auto"/>
            </w:tcBorders>
            <w:hideMark/>
          </w:tcPr>
          <w:p w:rsidR="00E66537" w:rsidRPr="007C1E0B" w:rsidRDefault="00E66537" w:rsidP="00AE5307">
            <w:pPr>
              <w:spacing w:after="200" w:line="276" w:lineRule="auto"/>
              <w:jc w:val="both"/>
              <w:rPr>
                <w:rFonts w:ascii="Times New Roman" w:eastAsiaTheme="minorEastAsia" w:hAnsi="Times New Roman" w:cs="Times New Roman"/>
                <w:sz w:val="20"/>
                <w:szCs w:val="20"/>
                <w:lang w:eastAsia="tr-TR"/>
              </w:rPr>
            </w:pPr>
            <w:r w:rsidRPr="007C1E0B">
              <w:rPr>
                <w:rFonts w:ascii="Times New Roman" w:eastAsiaTheme="minorEastAsia" w:hAnsi="Times New Roman" w:cs="Times New Roman"/>
                <w:sz w:val="20"/>
                <w:szCs w:val="20"/>
                <w:lang w:eastAsia="tr-TR"/>
              </w:rPr>
              <w:t xml:space="preserve">≤ %20 </w:t>
            </w:r>
          </w:p>
        </w:tc>
      </w:tr>
    </w:tbl>
    <w:p w:rsidR="000712CD" w:rsidRPr="007C1E0B" w:rsidRDefault="000712CD" w:rsidP="001B722B">
      <w:pPr>
        <w:jc w:val="center"/>
        <w:rPr>
          <w:rFonts w:ascii="Times New Roman" w:hAnsi="Times New Roman" w:cs="Times New Roman"/>
          <w:sz w:val="20"/>
          <w:szCs w:val="20"/>
        </w:rPr>
      </w:pPr>
    </w:p>
    <w:p w:rsidR="000712CD" w:rsidRPr="007C1E0B" w:rsidRDefault="000712CD" w:rsidP="001B722B">
      <w:pPr>
        <w:jc w:val="center"/>
        <w:rPr>
          <w:rFonts w:ascii="Times New Roman" w:hAnsi="Times New Roman" w:cs="Times New Roman"/>
          <w:sz w:val="20"/>
          <w:szCs w:val="20"/>
        </w:rPr>
      </w:pPr>
    </w:p>
    <w:p w:rsidR="00473FC5" w:rsidRPr="007C1E0B" w:rsidRDefault="00473FC5" w:rsidP="001B722B">
      <w:pPr>
        <w:jc w:val="center"/>
        <w:rPr>
          <w:rFonts w:ascii="Times New Roman" w:hAnsi="Times New Roman" w:cs="Times New Roman"/>
          <w:sz w:val="20"/>
          <w:szCs w:val="20"/>
        </w:rPr>
      </w:pPr>
    </w:p>
    <w:p w:rsidR="002A04C1" w:rsidRPr="007C1E0B" w:rsidRDefault="002A04C1" w:rsidP="001B722B">
      <w:pPr>
        <w:jc w:val="center"/>
        <w:rPr>
          <w:rFonts w:ascii="Times New Roman" w:hAnsi="Times New Roman" w:cs="Times New Roman"/>
          <w:sz w:val="20"/>
          <w:szCs w:val="20"/>
        </w:rPr>
      </w:pPr>
    </w:p>
    <w:p w:rsidR="002A04C1" w:rsidRPr="007C1E0B" w:rsidRDefault="002A04C1" w:rsidP="001B722B">
      <w:pPr>
        <w:jc w:val="center"/>
        <w:rPr>
          <w:rFonts w:ascii="Times New Roman" w:hAnsi="Times New Roman" w:cs="Times New Roman"/>
          <w:sz w:val="20"/>
          <w:szCs w:val="20"/>
        </w:rPr>
      </w:pPr>
    </w:p>
    <w:p w:rsidR="008F593F" w:rsidRPr="007C1E0B" w:rsidRDefault="0039089F" w:rsidP="001B722B">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EK-6</w:t>
      </w:r>
    </w:p>
    <w:p w:rsidR="008F593F" w:rsidRPr="007C1E0B" w:rsidRDefault="00CF64CB" w:rsidP="001B722B">
      <w:pPr>
        <w:jc w:val="both"/>
        <w:rPr>
          <w:rFonts w:ascii="Times New Roman" w:hAnsi="Times New Roman" w:cs="Times New Roman"/>
          <w:b/>
          <w:sz w:val="20"/>
          <w:szCs w:val="20"/>
        </w:rPr>
      </w:pPr>
      <w:r w:rsidRPr="007C1E0B">
        <w:rPr>
          <w:rFonts w:ascii="Times New Roman" w:hAnsi="Times New Roman" w:cs="Times New Roman"/>
          <w:b/>
          <w:sz w:val="20"/>
          <w:szCs w:val="20"/>
        </w:rPr>
        <w:t>YEMLER</w:t>
      </w:r>
      <w:r w:rsidR="0063095F" w:rsidRPr="007C1E0B">
        <w:rPr>
          <w:rFonts w:ascii="Times New Roman" w:hAnsi="Times New Roman" w:cs="Times New Roman"/>
          <w:b/>
          <w:sz w:val="20"/>
          <w:szCs w:val="20"/>
        </w:rPr>
        <w:t>DE</w:t>
      </w:r>
      <w:r w:rsidRPr="007C1E0B">
        <w:rPr>
          <w:rFonts w:ascii="Times New Roman" w:hAnsi="Times New Roman" w:cs="Times New Roman"/>
          <w:b/>
          <w:sz w:val="20"/>
          <w:szCs w:val="20"/>
        </w:rPr>
        <w:t xml:space="preserve"> HAYVAN</w:t>
      </w:r>
      <w:r w:rsidR="0063095F" w:rsidRPr="007C1E0B">
        <w:rPr>
          <w:rFonts w:ascii="Times New Roman" w:hAnsi="Times New Roman" w:cs="Times New Roman"/>
          <w:b/>
          <w:sz w:val="20"/>
          <w:szCs w:val="20"/>
        </w:rPr>
        <w:t>SAL</w:t>
      </w:r>
      <w:r w:rsidRPr="007C1E0B">
        <w:rPr>
          <w:rFonts w:ascii="Times New Roman" w:hAnsi="Times New Roman" w:cs="Times New Roman"/>
          <w:b/>
          <w:sz w:val="20"/>
          <w:szCs w:val="20"/>
        </w:rPr>
        <w:t xml:space="preserve"> Bİ</w:t>
      </w:r>
      <w:r w:rsidR="000712CD" w:rsidRPr="007C1E0B">
        <w:rPr>
          <w:rFonts w:ascii="Times New Roman" w:hAnsi="Times New Roman" w:cs="Times New Roman"/>
          <w:b/>
          <w:sz w:val="20"/>
          <w:szCs w:val="20"/>
        </w:rPr>
        <w:t>LEŞENLERİN</w:t>
      </w:r>
      <w:r w:rsidRPr="007C1E0B">
        <w:rPr>
          <w:rFonts w:ascii="Times New Roman" w:hAnsi="Times New Roman" w:cs="Times New Roman"/>
          <w:b/>
          <w:sz w:val="20"/>
          <w:szCs w:val="20"/>
        </w:rPr>
        <w:t xml:space="preserve"> TESPİTİNE YÖNELİK ANALİZ METODLARI</w:t>
      </w:r>
    </w:p>
    <w:p w:rsidR="008F593F" w:rsidRPr="007C1E0B" w:rsidRDefault="008F593F" w:rsidP="004B3B22">
      <w:pPr>
        <w:tabs>
          <w:tab w:val="left" w:pos="284"/>
        </w:tabs>
        <w:jc w:val="both"/>
        <w:rPr>
          <w:rFonts w:ascii="Times New Roman" w:hAnsi="Times New Roman" w:cs="Times New Roman"/>
          <w:b/>
          <w:sz w:val="20"/>
          <w:szCs w:val="20"/>
        </w:rPr>
      </w:pPr>
      <w:r w:rsidRPr="007C1E0B">
        <w:rPr>
          <w:rFonts w:ascii="Times New Roman" w:hAnsi="Times New Roman" w:cs="Times New Roman"/>
          <w:b/>
          <w:sz w:val="20"/>
          <w:szCs w:val="20"/>
        </w:rPr>
        <w:t>1.</w:t>
      </w:r>
      <w:r w:rsidRPr="007C1E0B">
        <w:rPr>
          <w:rFonts w:ascii="Times New Roman" w:hAnsi="Times New Roman" w:cs="Times New Roman"/>
          <w:b/>
          <w:sz w:val="20"/>
          <w:szCs w:val="20"/>
        </w:rPr>
        <w:tab/>
      </w:r>
      <w:r w:rsidR="00473FC5" w:rsidRPr="007C1E0B">
        <w:rPr>
          <w:rFonts w:ascii="Times New Roman" w:hAnsi="Times New Roman" w:cs="Times New Roman"/>
          <w:b/>
          <w:sz w:val="20"/>
          <w:szCs w:val="20"/>
        </w:rPr>
        <w:t>HEDEF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Hayvan orijinli birleşenlerin tespit edilmesi, ışık mikroskopi veya polimeraz zincir reaksiyonu (PCR) ile </w:t>
      </w:r>
      <w:r w:rsidR="00BD57B9" w:rsidRPr="007C1E0B">
        <w:rPr>
          <w:rFonts w:ascii="Times New Roman" w:hAnsi="Times New Roman" w:cs="Times New Roman"/>
          <w:sz w:val="20"/>
          <w:szCs w:val="20"/>
        </w:rPr>
        <w:t>b</w:t>
      </w:r>
      <w:r w:rsidRPr="007C1E0B">
        <w:rPr>
          <w:rFonts w:ascii="Times New Roman" w:hAnsi="Times New Roman" w:cs="Times New Roman"/>
          <w:sz w:val="20"/>
          <w:szCs w:val="20"/>
        </w:rPr>
        <w:t xml:space="preserve">u Ek’te yer alan hükümlere uygun olarak yapılacaktır.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iki metot, yem maddeleri ve karma yemlerde, hayva</w:t>
      </w:r>
      <w:r w:rsidR="00BD57B9" w:rsidRPr="007C1E0B">
        <w:rPr>
          <w:rFonts w:ascii="Times New Roman" w:hAnsi="Times New Roman" w:cs="Times New Roman"/>
          <w:sz w:val="20"/>
          <w:szCs w:val="20"/>
        </w:rPr>
        <w:t>n</w:t>
      </w:r>
      <w:r w:rsidR="000712CD" w:rsidRPr="007C1E0B">
        <w:rPr>
          <w:rFonts w:ascii="Times New Roman" w:hAnsi="Times New Roman" w:cs="Times New Roman"/>
          <w:sz w:val="20"/>
          <w:szCs w:val="20"/>
        </w:rPr>
        <w:t>sal</w:t>
      </w:r>
      <w:r w:rsidRPr="007C1E0B">
        <w:rPr>
          <w:rFonts w:ascii="Times New Roman" w:hAnsi="Times New Roman" w:cs="Times New Roman"/>
          <w:sz w:val="20"/>
          <w:szCs w:val="20"/>
        </w:rPr>
        <w:t xml:space="preserve"> orijinli birleşenlerin varlığını tespit etmeyi amaçlar. Ancak bu metotlarla, yem maddeleri ve karma yemlerde bu tür birleşenlerin miktarı hesaplanamaz. Her iki metodun da tespit limiti %</w:t>
      </w:r>
      <w:r w:rsidR="004218EC" w:rsidRPr="007C1E0B">
        <w:rPr>
          <w:rFonts w:ascii="Times New Roman" w:hAnsi="Times New Roman" w:cs="Times New Roman"/>
          <w:sz w:val="20"/>
          <w:szCs w:val="20"/>
        </w:rPr>
        <w:t xml:space="preserve"> </w:t>
      </w:r>
      <w:r w:rsidRPr="007C1E0B">
        <w:rPr>
          <w:rFonts w:ascii="Times New Roman" w:hAnsi="Times New Roman" w:cs="Times New Roman"/>
          <w:sz w:val="20"/>
          <w:szCs w:val="20"/>
        </w:rPr>
        <w:t>0,1(w/w)’in alt</w:t>
      </w:r>
      <w:r w:rsidRPr="007C1E0B">
        <w:rPr>
          <w:rFonts w:ascii="Times New Roman" w:hAnsi="Times New Roman" w:cs="Times New Roman" w:hint="eastAsia"/>
          <w:sz w:val="20"/>
          <w:szCs w:val="20"/>
        </w:rPr>
        <w:t>ı</w:t>
      </w:r>
      <w:r w:rsidRPr="007C1E0B">
        <w:rPr>
          <w:rFonts w:ascii="Times New Roman" w:hAnsi="Times New Roman" w:cs="Times New Roman"/>
          <w:sz w:val="20"/>
          <w:szCs w:val="20"/>
        </w:rPr>
        <w:t xml:space="preserve">ndadır.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PCR meto</w:t>
      </w:r>
      <w:r w:rsidR="00DD29C2" w:rsidRPr="007C1E0B">
        <w:rPr>
          <w:rFonts w:ascii="Times New Roman" w:hAnsi="Times New Roman" w:cs="Times New Roman"/>
          <w:sz w:val="20"/>
          <w:szCs w:val="20"/>
        </w:rPr>
        <w:t>d</w:t>
      </w:r>
      <w:r w:rsidRPr="007C1E0B">
        <w:rPr>
          <w:rFonts w:ascii="Times New Roman" w:hAnsi="Times New Roman" w:cs="Times New Roman"/>
          <w:sz w:val="20"/>
          <w:szCs w:val="20"/>
        </w:rPr>
        <w:t>u, yem maddeleri ve karma yemlerde bulunan hayvan orijinli birleşenlerin taksonomik grubunu tanımlamayı sağlar.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metotlar, 24/12/2011 tarih ve 28152 sayılı Resmi Gazetede yayımlanan İnsan Tüketimi Amacıyla Kullanılmayan Hayvansal Yan Ürünler Yönetmeliğinin 8 inci maddesi ve 24/11/2011 tarih ve 28152 sayılı Resmi Gazetede yayımlanan Yemlerin Piyasaya Arzı ve Kullanimi Hakkında Yönetmeliğin </w:t>
      </w:r>
      <w:r w:rsidR="00E76E92" w:rsidRPr="007C1E0B">
        <w:rPr>
          <w:rFonts w:ascii="Times New Roman" w:hAnsi="Times New Roman" w:cs="Times New Roman"/>
          <w:sz w:val="20"/>
          <w:szCs w:val="20"/>
        </w:rPr>
        <w:t>EK</w:t>
      </w:r>
      <w:r w:rsidRPr="007C1E0B">
        <w:rPr>
          <w:rFonts w:ascii="Times New Roman" w:hAnsi="Times New Roman" w:cs="Times New Roman"/>
          <w:sz w:val="20"/>
          <w:szCs w:val="20"/>
        </w:rPr>
        <w:t xml:space="preserve">-2’sinde yer alan yasaklamaların kontrolünde uygulanacaktır. </w:t>
      </w:r>
    </w:p>
    <w:p w:rsidR="008F593F" w:rsidRPr="007C1E0B" w:rsidRDefault="00BD57B9"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Analiz </w:t>
      </w:r>
      <w:r w:rsidR="008F593F" w:rsidRPr="007C1E0B">
        <w:rPr>
          <w:rFonts w:ascii="Times New Roman" w:hAnsi="Times New Roman" w:cs="Times New Roman"/>
          <w:sz w:val="20"/>
          <w:szCs w:val="20"/>
        </w:rPr>
        <w:t xml:space="preserve">edilen yem </w:t>
      </w:r>
      <w:r w:rsidRPr="007C1E0B">
        <w:rPr>
          <w:rFonts w:ascii="Times New Roman" w:hAnsi="Times New Roman" w:cs="Times New Roman"/>
          <w:sz w:val="20"/>
          <w:szCs w:val="20"/>
        </w:rPr>
        <w:t>çeşidine</w:t>
      </w:r>
      <w:r w:rsidR="008F593F" w:rsidRPr="007C1E0B">
        <w:rPr>
          <w:rFonts w:ascii="Times New Roman" w:hAnsi="Times New Roman" w:cs="Times New Roman"/>
          <w:sz w:val="20"/>
          <w:szCs w:val="20"/>
        </w:rPr>
        <w:t xml:space="preserve"> bağlı olarak bir tek operasyonel protokol içerisinde, yem maddelerindeki hayvansal proteinlere yönelik AB referans laboratu</w:t>
      </w:r>
      <w:r w:rsidR="00A37AE5" w:rsidRPr="007C1E0B">
        <w:rPr>
          <w:rFonts w:ascii="Times New Roman" w:hAnsi="Times New Roman" w:cs="Times New Roman"/>
          <w:sz w:val="20"/>
          <w:szCs w:val="20"/>
        </w:rPr>
        <w:t>v</w:t>
      </w:r>
      <w:r w:rsidR="008F593F" w:rsidRPr="007C1E0B">
        <w:rPr>
          <w:rFonts w:ascii="Times New Roman" w:hAnsi="Times New Roman" w:cs="Times New Roman"/>
          <w:sz w:val="20"/>
          <w:szCs w:val="20"/>
        </w:rPr>
        <w:t>arınca (EURL-AP) oluşturulan ve sitesinde yayı</w:t>
      </w:r>
      <w:r w:rsidRPr="007C1E0B">
        <w:rPr>
          <w:rFonts w:ascii="Times New Roman" w:hAnsi="Times New Roman" w:cs="Times New Roman"/>
          <w:sz w:val="20"/>
          <w:szCs w:val="20"/>
        </w:rPr>
        <w:t>m</w:t>
      </w:r>
      <w:r w:rsidR="008F593F" w:rsidRPr="007C1E0B">
        <w:rPr>
          <w:rFonts w:ascii="Times New Roman" w:hAnsi="Times New Roman" w:cs="Times New Roman"/>
          <w:sz w:val="20"/>
          <w:szCs w:val="20"/>
        </w:rPr>
        <w:t>lanan standart çalışma prosedürleri (SOP)’ne uygun olarak, kendi başına veya kombine olarak bu metotlar kullanılabilir.(</w:t>
      </w:r>
      <w:r w:rsidR="00CF64CB" w:rsidRPr="007C1E0B">
        <w:rPr>
          <w:rStyle w:val="DipnotBavurusu"/>
          <w:rFonts w:ascii="Times New Roman" w:hAnsi="Times New Roman" w:cs="Times New Roman"/>
          <w:sz w:val="20"/>
          <w:szCs w:val="20"/>
        </w:rPr>
        <w:footnoteReference w:id="18"/>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2. </w:t>
      </w:r>
      <w:r w:rsidR="00DB0CC1"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METOTLAR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 </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Işık Mikroskopi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2.1.1 </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için gönderilen, yem maddeleri ve karma yemlerde mevcut olan hayvansal orijinli birleşenleri, kas lifleri ve diğer et parçaları, kıkırdak, kemik, boynuz, tüy, kıl, kan, kanat, yumurta kabuğu, balık kılçığı ve iskeleti gibi tipik ve mikroskobik olarak ayırt edilebilen özelliklere göre tanımlanır.</w:t>
      </w:r>
    </w:p>
    <w:p w:rsidR="008F593F" w:rsidRPr="007C1E0B" w:rsidRDefault="008F593F" w:rsidP="00DB0CC1">
      <w:pPr>
        <w:tabs>
          <w:tab w:val="left" w:pos="709"/>
          <w:tab w:val="left" w:pos="1134"/>
        </w:tabs>
        <w:jc w:val="both"/>
        <w:rPr>
          <w:rFonts w:ascii="Times New Roman" w:hAnsi="Times New Roman" w:cs="Times New Roman"/>
          <w:sz w:val="20"/>
          <w:szCs w:val="20"/>
        </w:rPr>
      </w:pPr>
      <w:r w:rsidRPr="007C1E0B">
        <w:rPr>
          <w:rFonts w:ascii="Times New Roman" w:hAnsi="Times New Roman" w:cs="Times New Roman"/>
          <w:sz w:val="20"/>
          <w:szCs w:val="20"/>
        </w:rPr>
        <w:t>2.1.2.   Reaktifler ve Ekipman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2.1.2.1.</w:t>
      </w:r>
      <w:r w:rsidRPr="007C1E0B">
        <w:rPr>
          <w:rFonts w:ascii="Times New Roman" w:hAnsi="Times New Roman" w:cs="Times New Roman"/>
          <w:sz w:val="20"/>
          <w:szCs w:val="20"/>
        </w:rPr>
        <w:tab/>
        <w:t>Reaktifler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2.1.2.1.1.   Konsantre Edici Ajanlar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2.1.2.1.1.1.</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Tetrakloroetilen (özgül ağırlık1,62)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2.1.2.1.2.   </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Boya Reaktifleri</w:t>
      </w:r>
    </w:p>
    <w:p w:rsidR="00473FC5"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2.1.2.1.2.1. </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Alizarin Kırmızı (Red) Çözelti (2,5 ml 1M hidrolik asit, 100 ml su ile seyreltilir ve bu çözeltiye 200 mg Alizarin (Red) Kırmızı eklenir.)</w:t>
      </w:r>
      <w:r w:rsidRPr="007C1E0B">
        <w:rPr>
          <w:rFonts w:ascii="Times New Roman" w:hAnsi="Times New Roman" w:cs="Times New Roman"/>
          <w:sz w:val="20"/>
          <w:szCs w:val="20"/>
        </w:rPr>
        <w:cr/>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2.1.2.1.3.   </w:t>
      </w:r>
      <w:r w:rsidR="008F593F" w:rsidRPr="007C1E0B">
        <w:rPr>
          <w:rFonts w:ascii="Times New Roman" w:hAnsi="Times New Roman" w:cs="Times New Roman"/>
          <w:sz w:val="20"/>
          <w:szCs w:val="20"/>
        </w:rPr>
        <w:t>Kapatma ortamı</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2.1.2.1.3.1.  </w:t>
      </w:r>
      <w:r w:rsidR="008F593F" w:rsidRPr="007C1E0B">
        <w:rPr>
          <w:rFonts w:ascii="Times New Roman" w:hAnsi="Times New Roman" w:cs="Times New Roman"/>
          <w:sz w:val="20"/>
          <w:szCs w:val="20"/>
        </w:rPr>
        <w:t>Lye (NaOH 2,5 % w/v or KOH 2,5 % w/v)</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2.1.2.1.3.2.   </w:t>
      </w:r>
      <w:r w:rsidR="008F593F" w:rsidRPr="007C1E0B">
        <w:rPr>
          <w:rFonts w:ascii="Times New Roman" w:hAnsi="Times New Roman" w:cs="Times New Roman"/>
          <w:sz w:val="20"/>
          <w:szCs w:val="20"/>
        </w:rPr>
        <w:t>Gliserol (seyreltilmemiş, viskozite  1 490 cP)</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2.1.2.1.3.3.  </w:t>
      </w:r>
      <w:r w:rsidR="008F593F" w:rsidRPr="007C1E0B">
        <w:rPr>
          <w:rFonts w:ascii="Times New Roman" w:hAnsi="Times New Roman" w:cs="Times New Roman"/>
          <w:sz w:val="20"/>
          <w:szCs w:val="20"/>
        </w:rPr>
        <w:t xml:space="preserve">Norland ® Optik Yapıştırıcı 65 (viskozite: 1 200 cP) veya kalıcı preparat hazırlamak için muadili bir reçine </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2.1.2.1.4.  </w:t>
      </w:r>
      <w:r w:rsidR="008F593F" w:rsidRPr="007C1E0B">
        <w:rPr>
          <w:rFonts w:ascii="Times New Roman" w:hAnsi="Times New Roman" w:cs="Times New Roman"/>
          <w:sz w:val="20"/>
          <w:szCs w:val="20"/>
        </w:rPr>
        <w:t>Boyama özelliği olan Kapatma ortamı</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2.1.2.1.4.1. </w:t>
      </w:r>
      <w:r w:rsidR="008F593F" w:rsidRPr="007C1E0B">
        <w:rPr>
          <w:rFonts w:ascii="Times New Roman" w:hAnsi="Times New Roman" w:cs="Times New Roman"/>
          <w:sz w:val="20"/>
          <w:szCs w:val="20"/>
        </w:rPr>
        <w:t>Lugol solüsyon (2 g potasyum iodide 100 ml su ile  çözülür ve sürekli  çalkalayarak 1 g iodine eklenir.)</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2.1.2.1.4.2.  </w:t>
      </w:r>
      <w:r w:rsidR="008F593F" w:rsidRPr="007C1E0B">
        <w:rPr>
          <w:rFonts w:ascii="Times New Roman" w:hAnsi="Times New Roman" w:cs="Times New Roman"/>
          <w:sz w:val="20"/>
          <w:szCs w:val="20"/>
        </w:rPr>
        <w:t>Sistin reaktif (10 g NaOH,  100 ml su ile çözülür, çözeltiye 2 g kurşun asetat eklenir)</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2.1.2.1.4.3.  </w:t>
      </w:r>
      <w:r w:rsidR="008F593F" w:rsidRPr="007C1E0B">
        <w:rPr>
          <w:rFonts w:ascii="Times New Roman" w:hAnsi="Times New Roman" w:cs="Times New Roman"/>
          <w:sz w:val="20"/>
          <w:szCs w:val="20"/>
        </w:rPr>
        <w:t>Fehling reaktifi (A ve B’ stok çözeltilerinden 1/1 oranında kullanım öncesi hazırlanır. Çözelti A: 100 ml suda 6,9 g demir (II) sulfat pentahidrat çözülür. Çözelti B: 34,6 g potasyum sodium tartarat tetrahidrat ve 12 g NaOH 100 ml suda ç</w:t>
      </w:r>
      <w:r w:rsidR="008F593F" w:rsidRPr="007C1E0B">
        <w:rPr>
          <w:rFonts w:ascii="Times New Roman" w:hAnsi="Times New Roman" w:cs="Times New Roman" w:hint="eastAsia"/>
          <w:sz w:val="20"/>
          <w:szCs w:val="20"/>
        </w:rPr>
        <w:t>ö</w:t>
      </w:r>
      <w:r w:rsidR="008F593F" w:rsidRPr="007C1E0B">
        <w:rPr>
          <w:rFonts w:ascii="Times New Roman" w:hAnsi="Times New Roman" w:cs="Times New Roman"/>
          <w:sz w:val="20"/>
          <w:szCs w:val="20"/>
        </w:rPr>
        <w:t>zülür.).</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2.1.2.1.4.4.  </w:t>
      </w:r>
      <w:r w:rsidR="008F593F" w:rsidRPr="007C1E0B">
        <w:rPr>
          <w:rFonts w:ascii="Times New Roman" w:hAnsi="Times New Roman" w:cs="Times New Roman"/>
          <w:sz w:val="20"/>
          <w:szCs w:val="20"/>
        </w:rPr>
        <w:t>Tetrametilbenzidin/Hidrojen peroksit. (1 g 3,3’,5,5’ tetrametilbenzidin (TMB) 100 ml buzlu glacial asetik asit ve 150 ml suda çözülür. Kullanım öncesi, 4 kısım TMB çözeltisi,  1 kısım %</w:t>
      </w:r>
      <w:r w:rsidR="004218EC"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3 hidrojen peroksit çözeltisi ile karıştırılır.)</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2.1.2.1.5.  </w:t>
      </w:r>
      <w:r w:rsidR="008F593F" w:rsidRPr="007C1E0B">
        <w:rPr>
          <w:rFonts w:ascii="Times New Roman" w:hAnsi="Times New Roman" w:cs="Times New Roman"/>
          <w:sz w:val="20"/>
          <w:szCs w:val="20"/>
        </w:rPr>
        <w:t>Yıkama reaktifi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2.1.2.1.5.1.</w:t>
      </w:r>
      <w:r w:rsidR="00DB0CC1" w:rsidRPr="007C1E0B">
        <w:rPr>
          <w:rFonts w:ascii="Times New Roman" w:hAnsi="Times New Roman" w:cs="Times New Roman"/>
          <w:sz w:val="20"/>
          <w:szCs w:val="20"/>
        </w:rPr>
        <w:t xml:space="preserve">  </w:t>
      </w:r>
      <w:r w:rsidRPr="007C1E0B">
        <w:rPr>
          <w:rFonts w:ascii="Times New Roman" w:hAnsi="Times New Roman" w:cs="Times New Roman"/>
          <w:sz w:val="20"/>
          <w:szCs w:val="20"/>
        </w:rPr>
        <w:t>Etanol &gt; 96 % (teknik derecede)</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2.1.2.1.5.2.  </w:t>
      </w:r>
      <w:r w:rsidR="008F593F" w:rsidRPr="007C1E0B">
        <w:rPr>
          <w:rFonts w:ascii="Times New Roman" w:hAnsi="Times New Roman" w:cs="Times New Roman"/>
          <w:sz w:val="20"/>
          <w:szCs w:val="20"/>
        </w:rPr>
        <w:t>Aseton (teknik derecede)</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2.1.2.1.6.   Ağartıcı reaktif</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2.1.2.1.6.1.  </w:t>
      </w:r>
      <w:r w:rsidR="008F593F" w:rsidRPr="007C1E0B">
        <w:rPr>
          <w:rFonts w:ascii="Times New Roman" w:hAnsi="Times New Roman" w:cs="Times New Roman"/>
          <w:sz w:val="20"/>
          <w:szCs w:val="20"/>
        </w:rPr>
        <w:t>Ticari sodyum hipoklorit solüsyon (% 9 - 14 aktif klorin)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2.1.2.2.</w:t>
      </w:r>
      <w:r w:rsidRPr="007C1E0B">
        <w:rPr>
          <w:rFonts w:ascii="Times New Roman" w:hAnsi="Times New Roman" w:cs="Times New Roman"/>
          <w:sz w:val="20"/>
          <w:szCs w:val="20"/>
        </w:rPr>
        <w:tab/>
        <w:t>Ekipman</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2.1.2.2.1.  </w:t>
      </w:r>
      <w:r w:rsidR="008F593F" w:rsidRPr="007C1E0B">
        <w:rPr>
          <w:rFonts w:ascii="Times New Roman" w:hAnsi="Times New Roman" w:cs="Times New Roman"/>
          <w:sz w:val="20"/>
          <w:szCs w:val="20"/>
        </w:rPr>
        <w:t xml:space="preserve">0,001 g Hassasiyette analitik terazi </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2.1.2.2.2.  </w:t>
      </w:r>
      <w:r w:rsidR="008F593F" w:rsidRPr="007C1E0B">
        <w:rPr>
          <w:rFonts w:ascii="Times New Roman" w:hAnsi="Times New Roman" w:cs="Times New Roman"/>
          <w:sz w:val="20"/>
          <w:szCs w:val="20"/>
        </w:rPr>
        <w:t>Öğütücü ekipman: havan-değirmen</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2.1.2.2.3.  </w:t>
      </w:r>
      <w:r w:rsidR="008F593F" w:rsidRPr="007C1E0B">
        <w:rPr>
          <w:rFonts w:ascii="Times New Roman" w:hAnsi="Times New Roman" w:cs="Times New Roman"/>
          <w:sz w:val="20"/>
          <w:szCs w:val="20"/>
        </w:rPr>
        <w:t>0,25 mm ve 1 mm’lik kare gözenekli elek</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2.1.2.2.4.  </w:t>
      </w:r>
      <w:r w:rsidR="008F593F" w:rsidRPr="007C1E0B">
        <w:rPr>
          <w:rFonts w:ascii="Times New Roman" w:hAnsi="Times New Roman" w:cs="Times New Roman"/>
          <w:sz w:val="20"/>
          <w:szCs w:val="20"/>
        </w:rPr>
        <w:t>Yuvarlak cam valfli, 250 ml Teflon içerikli, konik cam ayırma hunisi. Valfin açılma çapı ≥ 4mm.</w:t>
      </w:r>
    </w:p>
    <w:p w:rsidR="00827691" w:rsidRPr="007C1E0B" w:rsidRDefault="00827691" w:rsidP="001B722B">
      <w:pPr>
        <w:jc w:val="both"/>
        <w:rPr>
          <w:rFonts w:ascii="Times New Roman" w:hAnsi="Times New Roman" w:cs="Times New Roman"/>
          <w:sz w:val="20"/>
          <w:szCs w:val="20"/>
        </w:rPr>
      </w:pPr>
      <w:r w:rsidRPr="007C1E0B">
        <w:rPr>
          <w:rFonts w:ascii="Times New Roman" w:eastAsia="Calibri" w:hAnsi="Times New Roman" w:cs="Times New Roman"/>
          <w:sz w:val="20"/>
          <w:szCs w:val="20"/>
        </w:rPr>
        <w:t xml:space="preserve">Tespit düzeylerinin konik cam ayırma hunisi kullanılarak elde edilen düzeylere denk olduğunun laboratuvarca ortaya konulması şartıyla konik tabanlı çöktürme </w:t>
      </w:r>
      <w:r w:rsidR="0084748A" w:rsidRPr="007C1E0B">
        <w:rPr>
          <w:rFonts w:ascii="Times New Roman" w:eastAsia="Calibri" w:hAnsi="Times New Roman" w:cs="Times New Roman"/>
          <w:sz w:val="20"/>
          <w:szCs w:val="20"/>
        </w:rPr>
        <w:t>beheri</w:t>
      </w:r>
      <w:r w:rsidRPr="007C1E0B">
        <w:rPr>
          <w:rFonts w:ascii="Times New Roman" w:eastAsia="Calibri" w:hAnsi="Times New Roman" w:cs="Times New Roman"/>
          <w:sz w:val="20"/>
          <w:szCs w:val="20"/>
        </w:rPr>
        <w:t xml:space="preserve"> de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Ayırma hunisi</w:t>
      </w:r>
    </w:p>
    <w:p w:rsidR="004218EC" w:rsidRPr="007C1E0B" w:rsidRDefault="004218EC" w:rsidP="001B722B">
      <w:pPr>
        <w:jc w:val="both"/>
        <w:rPr>
          <w:rFonts w:ascii="Times New Roman" w:hAnsi="Times New Roman" w:cs="Times New Roman"/>
          <w:sz w:val="20"/>
          <w:szCs w:val="20"/>
        </w:rPr>
      </w:pPr>
      <w:r w:rsidRPr="007C1E0B">
        <w:rPr>
          <w:rFonts w:ascii="Times New Roman" w:eastAsia="Times New Roman" w:hAnsi="Times New Roman" w:cs="Times New Roman"/>
          <w:noProof/>
          <w:sz w:val="20"/>
          <w:szCs w:val="20"/>
        </w:rPr>
        <w:drawing>
          <wp:inline distT="0" distB="0" distL="0" distR="0" wp14:anchorId="5D19B739" wp14:editId="3E96FA5F">
            <wp:extent cx="2949934" cy="2361538"/>
            <wp:effectExtent l="0" t="0" r="3175" b="127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66681" cy="2374945"/>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2.1.2.2.5.   En az 6,5X -  40X nihai büyütme oranına sahip stereomikroskop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2.1.2.2.6.   En az 100X - 400X nihai büyütme oranına sahip bright field mikroskobu. Polarize ışık ve farklı girişim kontrastlığı ayrıca eklenebilir.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2.1.2.2.7.   Standart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cam malzemeleri</w:t>
      </w:r>
    </w:p>
    <w:p w:rsidR="008F593F" w:rsidRPr="007C1E0B" w:rsidRDefault="00DB0CC1"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2.1.2.2.8.  </w:t>
      </w:r>
      <w:r w:rsidR="008F593F" w:rsidRPr="007C1E0B">
        <w:rPr>
          <w:rFonts w:ascii="Times New Roman" w:hAnsi="Times New Roman" w:cs="Times New Roman"/>
          <w:sz w:val="20"/>
          <w:szCs w:val="20"/>
        </w:rPr>
        <w:t>Preparat hazırlığı için ekipman: klasik mikroskop lamı, çukur lamlar, lamel (20 × 20 mm), pensler, ince spatul</w:t>
      </w:r>
      <w:r w:rsidR="008F593F" w:rsidRPr="007C1E0B">
        <w:rPr>
          <w:rFonts w:ascii="Times New Roman" w:hAnsi="Times New Roman" w:cs="Times New Roman"/>
          <w:sz w:val="20"/>
          <w:szCs w:val="20"/>
        </w:rPr>
        <w:cr/>
        <w:t>2.1.3.   Numune alımı ve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2.1.3.1.   Numune alımı</w:t>
      </w:r>
      <w:r w:rsidRPr="007C1E0B">
        <w:rPr>
          <w:rFonts w:ascii="Times New Roman" w:hAnsi="Times New Roman" w:cs="Times New Roman"/>
          <w:sz w:val="20"/>
          <w:szCs w:val="20"/>
        </w:rPr>
        <w:cr/>
        <w:t>E</w:t>
      </w:r>
      <w:r w:rsidR="00E76E92" w:rsidRPr="007C1E0B">
        <w:rPr>
          <w:rFonts w:ascii="Times New Roman" w:hAnsi="Times New Roman" w:cs="Times New Roman"/>
          <w:sz w:val="20"/>
          <w:szCs w:val="20"/>
        </w:rPr>
        <w:t>K</w:t>
      </w:r>
      <w:r w:rsidRPr="007C1E0B">
        <w:rPr>
          <w:rFonts w:ascii="Times New Roman" w:hAnsi="Times New Roman" w:cs="Times New Roman"/>
          <w:sz w:val="20"/>
          <w:szCs w:val="20"/>
        </w:rPr>
        <w:t>-1’de belirtilen metoda göre alınan numune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2.1.3.2.</w:t>
      </w:r>
      <w:r w:rsidRPr="007C1E0B">
        <w:rPr>
          <w:rFonts w:ascii="Times New Roman" w:hAnsi="Times New Roman" w:cs="Times New Roman"/>
          <w:sz w:val="20"/>
          <w:szCs w:val="20"/>
        </w:rPr>
        <w:tab/>
        <w:t>Alınması gereken önlemler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Laboratuvarda çapraz kontaminasyondan kaçınmak amacıyla, yeniden kullanılabilir tüm ekipman, kullanım öncesi dikkatlice temizlenmelidir. Ayırma hunisi parçaları ve cam malzemeler elle yıkanmalı ve sonrasında bulaşık makinesinde yıkanmalıdır. Elekler, sert sentetik kıllı fırçalar yardımıyla temizlenmelidir. Eleklerin nihai olarak temizlenmesi, asetonla yapılmalıdır ve balık ununa benzer yağlı materyallerin elekten geçirilmesi sonrası, sıkıştırılmış hava ile temizlenmesi tavsiye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2.1.3.3.</w:t>
      </w:r>
      <w:r w:rsidRPr="007C1E0B">
        <w:rPr>
          <w:rFonts w:ascii="Times New Roman" w:hAnsi="Times New Roman" w:cs="Times New Roman"/>
          <w:sz w:val="20"/>
          <w:szCs w:val="20"/>
        </w:rPr>
        <w:tab/>
        <w:t>Yağlar dışında numune hazırlığı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2.1.3.3.1. Numune Kurutma: nem içeriği &gt; % 14’ten fazla olan numuneler işleme başlamadan önce kurutulmalıdır.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2.1.3.3.2. </w:t>
      </w:r>
      <w:r w:rsidR="000D7753"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Numunenin elekten geçirilmesi: Pelet ve taneli yemlerin 1 mm. lik elekle ön eleme yapılması ve elek altı ile elek üstü kısımların ayrı ayrı çalışılması tavsiye edilir. </w:t>
      </w:r>
    </w:p>
    <w:p w:rsidR="008F593F" w:rsidRPr="007C1E0B" w:rsidRDefault="008F593F" w:rsidP="000D7753">
      <w:pPr>
        <w:tabs>
          <w:tab w:val="left" w:pos="709"/>
          <w:tab w:val="left" w:pos="851"/>
        </w:tabs>
        <w:jc w:val="both"/>
        <w:rPr>
          <w:rFonts w:ascii="Times New Roman" w:hAnsi="Times New Roman" w:cs="Times New Roman"/>
          <w:sz w:val="20"/>
          <w:szCs w:val="20"/>
        </w:rPr>
      </w:pPr>
      <w:r w:rsidRPr="007C1E0B">
        <w:rPr>
          <w:rFonts w:ascii="Times New Roman" w:hAnsi="Times New Roman" w:cs="Times New Roman"/>
          <w:sz w:val="20"/>
          <w:szCs w:val="20"/>
        </w:rPr>
        <w:t xml:space="preserve">2.1.3.3.3. </w:t>
      </w:r>
      <w:r w:rsidR="000D7753"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Alt-numune ve öğütme: Analiz için en az 50 g alt-numune alınmalı ve sonrasında öğütülmelidir.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2.1.3.3.4. </w:t>
      </w:r>
      <w:r w:rsidR="000D7753"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ve sediment hazırlığı: Öğütülmüş alt-numunesinin 10±0,01 gr’lık kısmı ayırma hunisine alınır ve 50 ml tetrakloroetilen eklen</w:t>
      </w:r>
      <w:r w:rsidR="00862F0B" w:rsidRPr="007C1E0B">
        <w:rPr>
          <w:rFonts w:ascii="Times New Roman" w:hAnsi="Times New Roman" w:cs="Times New Roman"/>
          <w:sz w:val="20"/>
          <w:szCs w:val="20"/>
        </w:rPr>
        <w:t>ir</w:t>
      </w:r>
      <w:r w:rsidRPr="007C1E0B">
        <w:rPr>
          <w:rFonts w:ascii="Times New Roman" w:hAnsi="Times New Roman" w:cs="Times New Roman"/>
          <w:sz w:val="20"/>
          <w:szCs w:val="20"/>
        </w:rPr>
        <w:t>. Huniye alınan miktar, balık unu veya %</w:t>
      </w:r>
      <w:r w:rsidR="004218EC" w:rsidRPr="007C1E0B">
        <w:rPr>
          <w:rFonts w:ascii="Times New Roman" w:hAnsi="Times New Roman" w:cs="Times New Roman"/>
          <w:sz w:val="20"/>
          <w:szCs w:val="20"/>
        </w:rPr>
        <w:t xml:space="preserve"> </w:t>
      </w:r>
      <w:r w:rsidRPr="007C1E0B">
        <w:rPr>
          <w:rFonts w:ascii="Times New Roman" w:hAnsi="Times New Roman" w:cs="Times New Roman"/>
          <w:sz w:val="20"/>
          <w:szCs w:val="20"/>
        </w:rPr>
        <w:t>10’dan fazla sediment oluşturan mineral katkıları veya premiksler di</w:t>
      </w:r>
      <w:r w:rsidRPr="007C1E0B">
        <w:rPr>
          <w:rFonts w:ascii="Times New Roman" w:hAnsi="Times New Roman" w:cs="Times New Roman" w:hint="eastAsia"/>
          <w:sz w:val="20"/>
          <w:szCs w:val="20"/>
        </w:rPr>
        <w:t>ğ</w:t>
      </w:r>
      <w:r w:rsidRPr="007C1E0B">
        <w:rPr>
          <w:rFonts w:ascii="Times New Roman" w:hAnsi="Times New Roman" w:cs="Times New Roman"/>
          <w:sz w:val="20"/>
          <w:szCs w:val="20"/>
        </w:rPr>
        <w:t xml:space="preserve">er saf hayvan ürünleri olması durumunda 3 g ile sınırlı olmalıdır. Karışım, kuvvetli bir şekilde en az 30 sn. kadar çalkalanmalıdır. Çalkalama esnasında huninin iç yüzeyine yapışan paracıklar, sonradan eklenecek en az 50 ml. daha tetrakloroetilen ile sıvı içine indirilir. Karışım, sediment ayrılması için tıpa açılmadan en az 5 dakika beklemeye bırakılmalıdır.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Sediment kurutulmalı ve sonrasında tartılmalıdır (0,001 g hassasiyetle) Sedimentin % 5’inden fazlası &gt; 0,50 mm parçacıklardan oluşuyor ise, 0,25 mm elenmeli ve iki sonuç fraksiyonu incelenmelidir.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2.1.3.3.5. Ekstraksiyon ve flotat hazırlığı: Sediment, yukarıda belirtilen metotlara tabi olduktan sonra, ayırım hunisinde iki faz kalmalıdır: tetrakloroetilden oluşan sıvı olan faz ve flotat materyalden oluşan katı olan faz.  Bu katı faz flotattır ve tıpanın açılmasıyla huniden gelen tetrakloroetilin tamamıyla temizlenmesiyle yerine getirilmelidir. Ayırma hunisini ters-yüz ederek, flotat parça geniş bir Petri kabına alınır ve buhar yolu ile hava kurutması yapılır. Eğer flotat parçanın %</w:t>
      </w:r>
      <w:r w:rsidR="004218EC" w:rsidRPr="007C1E0B">
        <w:rPr>
          <w:rFonts w:ascii="Times New Roman" w:hAnsi="Times New Roman" w:cs="Times New Roman"/>
          <w:sz w:val="20"/>
          <w:szCs w:val="20"/>
        </w:rPr>
        <w:t xml:space="preserve"> </w:t>
      </w:r>
      <w:r w:rsidRPr="007C1E0B">
        <w:rPr>
          <w:rFonts w:ascii="Times New Roman" w:hAnsi="Times New Roman" w:cs="Times New Roman"/>
          <w:sz w:val="20"/>
          <w:szCs w:val="20"/>
        </w:rPr>
        <w:t>5’i &gt; 0,50 mm’den daha fazla ise, 0,25 mm’de elenmeli ve sonuç veren iki fraksiyon incelenmelidir.</w:t>
      </w:r>
    </w:p>
    <w:p w:rsidR="008F593F" w:rsidRPr="007C1E0B" w:rsidRDefault="000D7753" w:rsidP="001B722B">
      <w:pPr>
        <w:tabs>
          <w:tab w:val="left" w:pos="1134"/>
        </w:tabs>
        <w:jc w:val="both"/>
        <w:rPr>
          <w:rFonts w:ascii="Times New Roman" w:hAnsi="Times New Roman" w:cs="Times New Roman"/>
          <w:sz w:val="20"/>
          <w:szCs w:val="20"/>
        </w:rPr>
      </w:pPr>
      <w:r w:rsidRPr="007C1E0B">
        <w:rPr>
          <w:rFonts w:ascii="Times New Roman" w:hAnsi="Times New Roman" w:cs="Times New Roman"/>
          <w:sz w:val="20"/>
          <w:szCs w:val="20"/>
        </w:rPr>
        <w:t xml:space="preserve">2.1.3.3.6. </w:t>
      </w:r>
      <w:r w:rsidR="008F593F" w:rsidRPr="007C1E0B">
        <w:rPr>
          <w:rFonts w:ascii="Times New Roman" w:hAnsi="Times New Roman" w:cs="Times New Roman"/>
          <w:sz w:val="20"/>
          <w:szCs w:val="20"/>
        </w:rPr>
        <w:t>Ham materialin hazırlanması: Öğütülmüş alt-numunesinin en az 5 g’ının parçası hazırlanmalıdır. Eğer numenin %</w:t>
      </w:r>
      <w:r w:rsidR="004218EC"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5’i &gt; 0,50 mm parçalardan oluşuyor ise, 0,25 mm’de elenmelidir ve oluşan iki fraksiyon tetkik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2.1.3.4.   Yağlardan oluşan numunelerin hazırlanması</w:t>
      </w:r>
      <w:r w:rsidRPr="007C1E0B">
        <w:rPr>
          <w:rFonts w:ascii="Times New Roman" w:hAnsi="Times New Roman" w:cs="Times New Roman"/>
          <w:sz w:val="20"/>
          <w:szCs w:val="20"/>
        </w:rPr>
        <w:cr/>
        <w:t xml:space="preserve">Yağlardan oluşan numunelerin hazırlanması için aşağıdaki protokol takip edilmelidir: </w:t>
      </w:r>
    </w:p>
    <w:p w:rsidR="008F593F" w:rsidRPr="007C1E0B" w:rsidRDefault="008F593F" w:rsidP="000748B1">
      <w:pPr>
        <w:pStyle w:val="ListeParagraf"/>
        <w:numPr>
          <w:ilvl w:val="0"/>
          <w:numId w:val="8"/>
        </w:numPr>
        <w:jc w:val="both"/>
        <w:rPr>
          <w:sz w:val="20"/>
          <w:szCs w:val="20"/>
        </w:rPr>
      </w:pPr>
      <w:r w:rsidRPr="007C1E0B">
        <w:rPr>
          <w:sz w:val="20"/>
          <w:szCs w:val="20"/>
        </w:rPr>
        <w:t xml:space="preserve">Eğer yağ katı ise, sıvılaştırıncaya kadar ısıtılmalıdır. </w:t>
      </w:r>
    </w:p>
    <w:p w:rsidR="008F593F" w:rsidRPr="007C1E0B" w:rsidRDefault="008F593F" w:rsidP="000748B1">
      <w:pPr>
        <w:pStyle w:val="ListeParagraf"/>
        <w:numPr>
          <w:ilvl w:val="0"/>
          <w:numId w:val="8"/>
        </w:numPr>
        <w:jc w:val="both"/>
        <w:rPr>
          <w:sz w:val="20"/>
          <w:szCs w:val="20"/>
        </w:rPr>
      </w:pPr>
      <w:r w:rsidRPr="007C1E0B">
        <w:rPr>
          <w:sz w:val="20"/>
          <w:szCs w:val="20"/>
        </w:rPr>
        <w:t xml:space="preserve">Bir pipet kullanarak, 40 ml.’lik yağ, numunenin dibinden bir santrifüj tüpüne aktarılmalıdır. </w:t>
      </w:r>
    </w:p>
    <w:p w:rsidR="008F593F" w:rsidRPr="007C1E0B" w:rsidRDefault="008F593F" w:rsidP="000748B1">
      <w:pPr>
        <w:pStyle w:val="ListeParagraf"/>
        <w:numPr>
          <w:ilvl w:val="0"/>
          <w:numId w:val="8"/>
        </w:numPr>
        <w:jc w:val="both"/>
        <w:rPr>
          <w:sz w:val="20"/>
          <w:szCs w:val="20"/>
        </w:rPr>
      </w:pPr>
      <w:r w:rsidRPr="007C1E0B">
        <w:rPr>
          <w:sz w:val="20"/>
          <w:szCs w:val="20"/>
        </w:rPr>
        <w:t>4 000 r.p.m.’de 10 dakika boyunca santrifüj edilmelidir.</w:t>
      </w:r>
    </w:p>
    <w:p w:rsidR="008F593F" w:rsidRPr="007C1E0B" w:rsidRDefault="00862F0B" w:rsidP="000748B1">
      <w:pPr>
        <w:pStyle w:val="ListeParagraf"/>
        <w:numPr>
          <w:ilvl w:val="0"/>
          <w:numId w:val="8"/>
        </w:numPr>
        <w:jc w:val="both"/>
        <w:rPr>
          <w:sz w:val="20"/>
          <w:szCs w:val="20"/>
        </w:rPr>
      </w:pPr>
      <w:r w:rsidRPr="007C1E0B">
        <w:rPr>
          <w:sz w:val="20"/>
          <w:szCs w:val="20"/>
        </w:rPr>
        <w:t>E</w:t>
      </w:r>
      <w:r w:rsidR="008F593F" w:rsidRPr="007C1E0B">
        <w:rPr>
          <w:sz w:val="20"/>
          <w:szCs w:val="20"/>
        </w:rPr>
        <w:t xml:space="preserve">ğer yağ santrifüj sonrası katı ise, sıvılaştırıncaya kadar ısıtılmalıdır. </w:t>
      </w:r>
    </w:p>
    <w:p w:rsidR="008F593F" w:rsidRPr="007C1E0B" w:rsidRDefault="008F593F" w:rsidP="000748B1">
      <w:pPr>
        <w:pStyle w:val="ListeParagraf"/>
        <w:numPr>
          <w:ilvl w:val="0"/>
          <w:numId w:val="8"/>
        </w:numPr>
        <w:jc w:val="both"/>
        <w:rPr>
          <w:sz w:val="20"/>
          <w:szCs w:val="20"/>
        </w:rPr>
      </w:pPr>
      <w:r w:rsidRPr="007C1E0B">
        <w:rPr>
          <w:sz w:val="20"/>
          <w:szCs w:val="20"/>
        </w:rPr>
        <w:t>4 000 r.p.m.’de 5 dakika boyunca santrifüjü tekrarlayınız.</w:t>
      </w:r>
    </w:p>
    <w:p w:rsidR="008F593F" w:rsidRPr="007C1E0B" w:rsidRDefault="008F593F" w:rsidP="000748B1">
      <w:pPr>
        <w:pStyle w:val="ListeParagraf"/>
        <w:numPr>
          <w:ilvl w:val="0"/>
          <w:numId w:val="8"/>
        </w:numPr>
        <w:jc w:val="both"/>
        <w:rPr>
          <w:sz w:val="20"/>
          <w:szCs w:val="20"/>
        </w:rPr>
      </w:pPr>
      <w:r w:rsidRPr="007C1E0B">
        <w:rPr>
          <w:sz w:val="20"/>
          <w:szCs w:val="20"/>
        </w:rPr>
        <w:t>Küçük bir kaşık veya spatula kullanarak, çökeltinin yarısı lamlara tetkik için alınmalıdır; Kapatıcı ortam olarak gliserol kullanılması tavsiye edilmektedir.</w:t>
      </w:r>
    </w:p>
    <w:p w:rsidR="008F593F" w:rsidRPr="007C1E0B" w:rsidRDefault="008F593F" w:rsidP="000748B1">
      <w:pPr>
        <w:pStyle w:val="ListeParagraf"/>
        <w:numPr>
          <w:ilvl w:val="0"/>
          <w:numId w:val="8"/>
        </w:numPr>
        <w:jc w:val="both"/>
        <w:rPr>
          <w:sz w:val="20"/>
          <w:szCs w:val="20"/>
        </w:rPr>
      </w:pPr>
      <w:r w:rsidRPr="007C1E0B">
        <w:rPr>
          <w:sz w:val="20"/>
          <w:szCs w:val="20"/>
        </w:rPr>
        <w:t>Kalan çökeltide,  2.1.3.3. bendinde belirtildiği şekilde sedimentin hazırlanması için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2.1.3.5.   Boyama reaktifleri</w:t>
      </w:r>
      <w:r w:rsidRPr="007C1E0B">
        <w:rPr>
          <w:rFonts w:ascii="Times New Roman" w:hAnsi="Times New Roman" w:cs="Times New Roman"/>
          <w:sz w:val="20"/>
          <w:szCs w:val="20"/>
        </w:rPr>
        <w:cr/>
        <w:t>Analist, hayvansal orijinli doğru tanımlamaları kolaylaştırmak amacıyla, numunelerin hazırlanması esnasında boyama reaktiflerini EURL-AP tarafından onaylanan ve sitesinde yayınlanan rehbere uygun olarak kullanabilir.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Alizarin Red çözeltisi, sediment renklendirmesi için kullanılması durumunda aşağıdaki protokol uygulanacaktır: </w:t>
      </w:r>
    </w:p>
    <w:p w:rsidR="008F593F" w:rsidRPr="007C1E0B" w:rsidRDefault="008F593F" w:rsidP="000748B1">
      <w:pPr>
        <w:pStyle w:val="ListeParagraf"/>
        <w:numPr>
          <w:ilvl w:val="0"/>
          <w:numId w:val="8"/>
        </w:numPr>
        <w:jc w:val="both"/>
        <w:rPr>
          <w:sz w:val="20"/>
          <w:szCs w:val="20"/>
        </w:rPr>
      </w:pPr>
      <w:r w:rsidRPr="007C1E0B">
        <w:rPr>
          <w:sz w:val="20"/>
          <w:szCs w:val="20"/>
        </w:rPr>
        <w:t>Kurutulmuş sediment cam bir test tüpüne aktarılmalı ve yıkama işlemi yaklaşık 5 ml etanol ile 2 kez tekrarlanmalıdır. (Her seferinde 30 saniyelik vorteks kullanılmalı; solventin 1,5 dakika durulması beklenmeli ve boşaltılmalıdır.)</w:t>
      </w:r>
    </w:p>
    <w:p w:rsidR="008F593F" w:rsidRPr="007C1E0B" w:rsidRDefault="008F593F" w:rsidP="000748B1">
      <w:pPr>
        <w:pStyle w:val="ListeParagraf"/>
        <w:numPr>
          <w:ilvl w:val="0"/>
          <w:numId w:val="8"/>
        </w:numPr>
        <w:jc w:val="both"/>
        <w:rPr>
          <w:sz w:val="20"/>
          <w:szCs w:val="20"/>
        </w:rPr>
      </w:pPr>
      <w:r w:rsidRPr="007C1E0B">
        <w:rPr>
          <w:sz w:val="20"/>
          <w:szCs w:val="20"/>
        </w:rPr>
        <w:t>Sediment, en az 1 ml. sodium hipoklorit solüsyon ekleyerek ağartılmalıdır. Reaksiyonun gerçekleşmesi için 10 dakika beklenmelidir. Test tüpü, su ile doldurulmalı, sediment 2-3 dakika su ile bekletilmeli, su ve yüzen parçacıklar nazikçe dökülerek boşaltılmalıdır.</w:t>
      </w:r>
    </w:p>
    <w:p w:rsidR="008F593F" w:rsidRPr="007C1E0B" w:rsidRDefault="008F593F" w:rsidP="000748B1">
      <w:pPr>
        <w:pStyle w:val="ListeParagraf"/>
        <w:numPr>
          <w:ilvl w:val="0"/>
          <w:numId w:val="8"/>
        </w:numPr>
        <w:jc w:val="both"/>
        <w:rPr>
          <w:sz w:val="20"/>
          <w:szCs w:val="20"/>
        </w:rPr>
      </w:pPr>
      <w:r w:rsidRPr="007C1E0B">
        <w:rPr>
          <w:sz w:val="20"/>
          <w:szCs w:val="20"/>
        </w:rPr>
        <w:t xml:space="preserve">Sediment, 10 ml. su ile en az iki kere daha yıkanmalıdır. (En az 30 sn vortekslenmeli, çökmesi beklenmeli, yıkama suyu boşaltılmalıdır. </w:t>
      </w:r>
    </w:p>
    <w:p w:rsidR="004A7A29" w:rsidRPr="007C1E0B" w:rsidRDefault="008F593F" w:rsidP="000748B1">
      <w:pPr>
        <w:pStyle w:val="ListeParagraf"/>
        <w:numPr>
          <w:ilvl w:val="0"/>
          <w:numId w:val="8"/>
        </w:numPr>
        <w:jc w:val="both"/>
        <w:rPr>
          <w:sz w:val="20"/>
          <w:szCs w:val="20"/>
        </w:rPr>
      </w:pPr>
      <w:r w:rsidRPr="007C1E0B">
        <w:rPr>
          <w:sz w:val="20"/>
          <w:szCs w:val="20"/>
        </w:rPr>
        <w:t xml:space="preserve">2 ile 10 damla arasında Alizarin Red çözeltisi eklenmeli ve karışım vorteksxlenmelidir. Reaksiyonun oluşması için 30 saniye beklenmeli ve boyanmış sediment, yaklaşık 5 ml. etanol ile iki kere yıkanmalı, daha sonra bir defa aseton ile yıkanmalıdır. En az 30 sn vortekslenmeli, 1 dakika beklenmeli, solvent boşaltılmalıdır. </w:t>
      </w:r>
    </w:p>
    <w:p w:rsidR="008F593F" w:rsidRPr="007C1E0B" w:rsidRDefault="008F593F" w:rsidP="000748B1">
      <w:pPr>
        <w:pStyle w:val="ListeParagraf"/>
        <w:numPr>
          <w:ilvl w:val="0"/>
          <w:numId w:val="8"/>
        </w:numPr>
        <w:spacing w:after="120"/>
        <w:jc w:val="both"/>
        <w:rPr>
          <w:sz w:val="20"/>
          <w:szCs w:val="20"/>
        </w:rPr>
      </w:pPr>
      <w:r w:rsidRPr="007C1E0B">
        <w:rPr>
          <w:sz w:val="20"/>
          <w:szCs w:val="20"/>
        </w:rPr>
        <w:t>Boyanmış sediment kurutulmalıdır.</w:t>
      </w:r>
    </w:p>
    <w:p w:rsidR="008F593F" w:rsidRPr="007C1E0B" w:rsidRDefault="008F593F" w:rsidP="004218EC">
      <w:pPr>
        <w:spacing w:after="120"/>
        <w:jc w:val="both"/>
        <w:rPr>
          <w:rFonts w:ascii="Times New Roman" w:hAnsi="Times New Roman" w:cs="Times New Roman"/>
          <w:sz w:val="20"/>
          <w:szCs w:val="20"/>
        </w:rPr>
      </w:pPr>
      <w:r w:rsidRPr="007C1E0B">
        <w:rPr>
          <w:rFonts w:ascii="Times New Roman" w:hAnsi="Times New Roman" w:cs="Times New Roman"/>
          <w:sz w:val="20"/>
          <w:szCs w:val="20"/>
        </w:rPr>
        <w:t xml:space="preserve">2.1.4.   Mikroskopik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2.1.4.1.   Preparat Hazırlığı</w:t>
      </w:r>
      <w:r w:rsidRPr="007C1E0B">
        <w:rPr>
          <w:rFonts w:ascii="Times New Roman" w:hAnsi="Times New Roman" w:cs="Times New Roman"/>
          <w:sz w:val="20"/>
          <w:szCs w:val="20"/>
        </w:rPr>
        <w:cr/>
        <w:t xml:space="preserve">Mikroskobik Preparatlar, sedimentten hazırlanmalı ve  analistin tercihine göre  flotat veya ham materyal halinde olmalıdır. Numune hazırlanmasında eleme yapıldığında elek altı ve elek üstü fraksiyonlardan ayrı ayrı hazırlanmalıdır. Preparatlar üzerine yayılan fraksiyonların test parçaları, tüm fraksiyonu temsil etmelidir. 2.1.4.2. bendinde yer alan  tüm inceleme prosedürünün yerine getirildiğinden emin olmaya yetecek kadar preparat hazırlanmalıdır.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Preparatlar, EURL-AP tarafından oluşturulan ve sitesinde yayınlanan SOP’e uygun kapatıcı ortam kullanılarak lamelle kapatılmalıdır.</w:t>
      </w:r>
    </w:p>
    <w:p w:rsidR="008F593F" w:rsidRPr="007C1E0B" w:rsidRDefault="008F593F" w:rsidP="000D7753">
      <w:pPr>
        <w:jc w:val="both"/>
        <w:rPr>
          <w:rFonts w:ascii="Times New Roman" w:hAnsi="Times New Roman" w:cs="Times New Roman"/>
          <w:sz w:val="20"/>
          <w:szCs w:val="20"/>
        </w:rPr>
      </w:pPr>
      <w:r w:rsidRPr="007C1E0B">
        <w:rPr>
          <w:rFonts w:ascii="Times New Roman" w:hAnsi="Times New Roman" w:cs="Times New Roman"/>
          <w:sz w:val="20"/>
          <w:szCs w:val="20"/>
        </w:rPr>
        <w:t>2.1.4.2.   Karma yem ve yem maddelerinde hayvansal orjinli bileşenlerin tetkiki için gözlem protokolleri</w:t>
      </w:r>
      <w:r w:rsidR="000D7753" w:rsidRPr="007C1E0B">
        <w:rPr>
          <w:rFonts w:ascii="Times New Roman" w:hAnsi="Times New Roman" w:cs="Times New Roman"/>
          <w:sz w:val="20"/>
          <w:szCs w:val="20"/>
        </w:rPr>
        <w:t xml:space="preserve"> </w:t>
      </w:r>
      <w:r w:rsidR="00862F0B" w:rsidRPr="007C1E0B">
        <w:rPr>
          <w:rFonts w:ascii="Times New Roman" w:hAnsi="Times New Roman" w:cs="Times New Roman"/>
          <w:sz w:val="20"/>
          <w:szCs w:val="20"/>
        </w:rPr>
        <w:t>h</w:t>
      </w:r>
      <w:r w:rsidRPr="007C1E0B">
        <w:rPr>
          <w:rFonts w:ascii="Times New Roman" w:hAnsi="Times New Roman" w:cs="Times New Roman"/>
          <w:sz w:val="20"/>
          <w:szCs w:val="20"/>
        </w:rPr>
        <w:t xml:space="preserve">azırlanan Preparatlar, karma yem ve yem maddelerinde (balık unu hariç) Şekil-1’de ve balık unu için ise Şekil-2’de verilen gözlem protokollerine uygun olarak incelenmelidir.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Mikroskobik incelenmeler compound mikroskop kullanılarak analistin ihtiyacına göre sediment, flotat veya ham materyalden yapılabilir. Büyük fraksiyonlar için Stereomikroskop, compound mikroskoba ilaveten kullanılabilir. Her preparat, farklı büyütme oranlar</w:t>
      </w:r>
      <w:r w:rsidRPr="007C1E0B">
        <w:rPr>
          <w:rFonts w:ascii="Times New Roman" w:hAnsi="Times New Roman" w:cs="Times New Roman" w:hint="eastAsia"/>
          <w:sz w:val="20"/>
          <w:szCs w:val="20"/>
        </w:rPr>
        <w:t>ı</w:t>
      </w:r>
      <w:r w:rsidRPr="007C1E0B">
        <w:rPr>
          <w:rFonts w:ascii="Times New Roman" w:hAnsi="Times New Roman" w:cs="Times New Roman"/>
          <w:sz w:val="20"/>
          <w:szCs w:val="20"/>
        </w:rPr>
        <w:t xml:space="preserve">nda taranmalıdır.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Tüm fraksiyon materyalleri, şart koşulan preparat sayısına ulaşmaya yeterli değilse gözlem protokolerinin her bir basamağında minimum sayıda preparat zorunlu olarak incelenmelidir. Tanımlama için en fazla 6 preparat incelenmelidir.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Analist, parçacıkların tabiatı ve orijininin tanımlanmasını kolaylaştırmak amacıyla, karar destek sistemi,  doku kütüphanesi ve referans örnek gibi destek araçlarını kullanabilir.</w:t>
      </w: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 xml:space="preserve">ekil- 1 Balık unu hariç, karma yem ve yem materyallerinde hayvansal orjinli bileşenlerin saptanmasına yönelik gözlem protokolü </w:t>
      </w:r>
    </w:p>
    <w:p w:rsidR="008F593F" w:rsidRPr="007C1E0B" w:rsidRDefault="008F593F" w:rsidP="001B722B">
      <w:pPr>
        <w:jc w:val="both"/>
        <w:rPr>
          <w:rFonts w:ascii="Times New Roman" w:hAnsi="Times New Roman" w:cs="Times New Roman"/>
          <w:sz w:val="20"/>
          <w:szCs w:val="20"/>
        </w:rPr>
      </w:pPr>
    </w:p>
    <w:p w:rsidR="004218EC" w:rsidRPr="007C1E0B" w:rsidRDefault="008F593F" w:rsidP="001B722B">
      <w:pPr>
        <w:jc w:val="both"/>
        <w:rPr>
          <w:rFonts w:ascii="Times New Roman" w:eastAsia="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sz w:val="20"/>
          <w:szCs w:val="20"/>
        </w:rPr>
        <w:cr/>
      </w:r>
      <w:r w:rsidR="00C7084D" w:rsidRPr="007C1E0B">
        <w:rPr>
          <w:rFonts w:ascii="Times New Roman" w:eastAsia="Times New Roman" w:hAnsi="Times New Roman" w:cs="Times New Roman"/>
          <w:sz w:val="20"/>
          <w:szCs w:val="20"/>
        </w:rPr>
        <w:object w:dxaOrig="7533" w:dyaOrig="5636" w14:anchorId="410FE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25pt;height:613.5pt" o:ole="">
            <v:imagedata r:id="rId40" o:title=""/>
          </v:shape>
          <o:OLEObject Type="Embed" ProgID="PowerPoint.Slide.12" ShapeID="_x0000_i1025" DrawAspect="Content" ObjectID="_1546417430" r:id="rId41"/>
        </w:objec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 xml:space="preserve">ekil- 2 Balık unundaki hayvansal bileşenlerin saptanmasına yönelik gözlem protokolü </w:t>
      </w:r>
    </w:p>
    <w:p w:rsidR="004218EC" w:rsidRPr="007C1E0B" w:rsidRDefault="00C7084D" w:rsidP="001B722B">
      <w:pPr>
        <w:jc w:val="both"/>
        <w:rPr>
          <w:rFonts w:ascii="Times New Roman" w:hAnsi="Times New Roman" w:cs="Times New Roman"/>
          <w:sz w:val="20"/>
          <w:szCs w:val="20"/>
        </w:rPr>
      </w:pPr>
      <w:r w:rsidRPr="007C1E0B">
        <w:rPr>
          <w:rFonts w:ascii="Times New Roman" w:eastAsia="Times New Roman" w:hAnsi="Times New Roman" w:cs="Times New Roman"/>
          <w:sz w:val="20"/>
          <w:szCs w:val="20"/>
        </w:rPr>
        <w:object w:dxaOrig="7283" w:dyaOrig="5457" w14:anchorId="194082A8">
          <v:shape id="_x0000_i1026" type="#_x0000_t75" style="width:417.75pt;height:374.25pt" o:ole="">
            <v:imagedata r:id="rId42" o:title=""/>
          </v:shape>
          <o:OLEObject Type="Embed" ProgID="PowerPoint.Slide.12" ShapeID="_x0000_i1026" DrawAspect="Content" ObjectID="_1546417431" r:id="rId43"/>
        </w:object>
      </w:r>
    </w:p>
    <w:p w:rsidR="004A7A29" w:rsidRPr="007C1E0B" w:rsidRDefault="004A7A29"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sz w:val="20"/>
          <w:szCs w:val="20"/>
        </w:rPr>
        <w:cr/>
        <w:t>2.1.4.3.</w:t>
      </w:r>
      <w:r w:rsidRPr="007C1E0B">
        <w:rPr>
          <w:rFonts w:ascii="Times New Roman" w:hAnsi="Times New Roman" w:cs="Times New Roman"/>
          <w:sz w:val="20"/>
          <w:szCs w:val="20"/>
        </w:rPr>
        <w:tab/>
        <w:t>Tespit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 xml:space="preserve">ekil-1 ve Şekil-2’de belirtilen gözlem protokollerine </w:t>
      </w:r>
      <w:r w:rsidR="00947638" w:rsidRPr="007C1E0B">
        <w:rPr>
          <w:rFonts w:ascii="Times New Roman" w:hAnsi="Times New Roman" w:cs="Times New Roman"/>
          <w:sz w:val="20"/>
          <w:szCs w:val="20"/>
        </w:rPr>
        <w:t xml:space="preserve">göre </w:t>
      </w:r>
      <w:r w:rsidRPr="007C1E0B">
        <w:rPr>
          <w:rFonts w:ascii="Times New Roman" w:hAnsi="Times New Roman" w:cs="Times New Roman"/>
          <w:sz w:val="20"/>
          <w:szCs w:val="20"/>
        </w:rPr>
        <w:t xml:space="preserve">yapılan ilk </w:t>
      </w:r>
      <w:r w:rsidR="00947638" w:rsidRPr="007C1E0B">
        <w:rPr>
          <w:rFonts w:ascii="Times New Roman" w:hAnsi="Times New Roman" w:cs="Times New Roman"/>
          <w:sz w:val="20"/>
          <w:szCs w:val="20"/>
        </w:rPr>
        <w:t xml:space="preserve">tespiti </w:t>
      </w:r>
      <w:r w:rsidRPr="007C1E0B">
        <w:rPr>
          <w:rFonts w:ascii="Times New Roman" w:hAnsi="Times New Roman" w:cs="Times New Roman"/>
          <w:sz w:val="20"/>
          <w:szCs w:val="20"/>
        </w:rPr>
        <w:t xml:space="preserve">müteakip </w:t>
      </w:r>
      <w:r w:rsidR="00862F0B" w:rsidRPr="007C1E0B">
        <w:rPr>
          <w:rFonts w:ascii="Times New Roman" w:hAnsi="Times New Roman" w:cs="Times New Roman"/>
          <w:sz w:val="20"/>
          <w:szCs w:val="20"/>
        </w:rPr>
        <w:t>b</w:t>
      </w:r>
      <w:r w:rsidR="00780C67" w:rsidRPr="007C1E0B">
        <w:rPr>
          <w:rFonts w:ascii="Times New Roman" w:hAnsi="Times New Roman" w:cs="Times New Roman"/>
          <w:sz w:val="20"/>
          <w:szCs w:val="20"/>
        </w:rPr>
        <w:t xml:space="preserve">elirli bir yapıda </w:t>
      </w:r>
      <w:r w:rsidRPr="007C1E0B">
        <w:rPr>
          <w:rFonts w:ascii="Times New Roman" w:hAnsi="Times New Roman" w:cs="Times New Roman"/>
          <w:sz w:val="20"/>
          <w:szCs w:val="20"/>
        </w:rPr>
        <w:t xml:space="preserve">hayvan parçacığı tespit edilmez ise (örn. Kara hayvanları veya balık), ek çalışmaya gerek yoktur ve analiz sonuçları, 2.1.5.1. bendinde yer alan terminoloji kullanılarak raporlandırılmalıdır.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 xml:space="preserve">ekil-1 ve Şekil-2’de belirtilen gözlem protokollerine uygun yapılan ilk </w:t>
      </w:r>
      <w:r w:rsidR="00947638" w:rsidRPr="007C1E0B">
        <w:rPr>
          <w:rFonts w:ascii="Times New Roman" w:hAnsi="Times New Roman" w:cs="Times New Roman"/>
          <w:sz w:val="20"/>
          <w:szCs w:val="20"/>
        </w:rPr>
        <w:t xml:space="preserve">tespiti </w:t>
      </w:r>
      <w:r w:rsidRPr="007C1E0B">
        <w:rPr>
          <w:rFonts w:ascii="Times New Roman" w:hAnsi="Times New Roman" w:cs="Times New Roman"/>
          <w:sz w:val="20"/>
          <w:szCs w:val="20"/>
        </w:rPr>
        <w:t xml:space="preserve">müteakip </w:t>
      </w:r>
      <w:r w:rsidR="00853574" w:rsidRPr="007C1E0B">
        <w:rPr>
          <w:rFonts w:ascii="Times New Roman" w:hAnsi="Times New Roman" w:cs="Times New Roman"/>
          <w:sz w:val="20"/>
          <w:szCs w:val="20"/>
        </w:rPr>
        <w:t>b</w:t>
      </w:r>
      <w:r w:rsidR="00780C67" w:rsidRPr="007C1E0B">
        <w:rPr>
          <w:rFonts w:ascii="Times New Roman" w:hAnsi="Times New Roman" w:cs="Times New Roman"/>
          <w:sz w:val="20"/>
          <w:szCs w:val="20"/>
        </w:rPr>
        <w:t xml:space="preserve">elirli bir yapıda </w:t>
      </w:r>
      <w:r w:rsidRPr="007C1E0B">
        <w:rPr>
          <w:rFonts w:ascii="Times New Roman" w:hAnsi="Times New Roman" w:cs="Times New Roman"/>
          <w:sz w:val="20"/>
          <w:szCs w:val="20"/>
        </w:rPr>
        <w:t xml:space="preserve">hayvan parçacığı (örn. kara hayvanları veya balık), 1’den 5’e kadar derecelerde tespit edilirse; ikinci </w:t>
      </w:r>
      <w:r w:rsidR="00947638"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 xml:space="preserve">yeni bir 50 g alt numunesinden başlayarak yapılmalıdır. Eğer bu ikinci </w:t>
      </w:r>
      <w:r w:rsidR="00947638" w:rsidRPr="007C1E0B">
        <w:rPr>
          <w:rFonts w:ascii="Times New Roman" w:hAnsi="Times New Roman" w:cs="Times New Roman"/>
          <w:sz w:val="20"/>
          <w:szCs w:val="20"/>
        </w:rPr>
        <w:t>tespit</w:t>
      </w:r>
      <w:r w:rsidRPr="007C1E0B">
        <w:rPr>
          <w:rFonts w:ascii="Times New Roman" w:hAnsi="Times New Roman" w:cs="Times New Roman"/>
          <w:sz w:val="20"/>
          <w:szCs w:val="20"/>
        </w:rPr>
        <w:t xml:space="preserve">sonrası </w:t>
      </w:r>
      <w:r w:rsidR="00853574" w:rsidRPr="007C1E0B">
        <w:rPr>
          <w:rFonts w:ascii="Times New Roman" w:hAnsi="Times New Roman" w:cs="Times New Roman"/>
          <w:sz w:val="20"/>
          <w:szCs w:val="20"/>
        </w:rPr>
        <w:t>b</w:t>
      </w:r>
      <w:r w:rsidR="00780C67" w:rsidRPr="007C1E0B">
        <w:rPr>
          <w:rFonts w:ascii="Times New Roman" w:hAnsi="Times New Roman" w:cs="Times New Roman"/>
          <w:sz w:val="20"/>
          <w:szCs w:val="20"/>
        </w:rPr>
        <w:t xml:space="preserve">elirli bir yapıda </w:t>
      </w:r>
      <w:r w:rsidRPr="007C1E0B">
        <w:rPr>
          <w:rFonts w:ascii="Times New Roman" w:hAnsi="Times New Roman" w:cs="Times New Roman"/>
          <w:sz w:val="20"/>
          <w:szCs w:val="20"/>
        </w:rPr>
        <w:t xml:space="preserve">hayvan parçaları, 0’dan </w:t>
      </w:r>
      <w:r w:rsidR="00862F0B" w:rsidRPr="007C1E0B">
        <w:rPr>
          <w:rFonts w:ascii="Times New Roman" w:hAnsi="Times New Roman" w:cs="Times New Roman"/>
          <w:sz w:val="20"/>
          <w:szCs w:val="20"/>
        </w:rPr>
        <w:t xml:space="preserve">5’e </w:t>
      </w:r>
      <w:r w:rsidRPr="007C1E0B">
        <w:rPr>
          <w:rFonts w:ascii="Times New Roman" w:hAnsi="Times New Roman" w:cs="Times New Roman"/>
          <w:sz w:val="20"/>
          <w:szCs w:val="20"/>
        </w:rPr>
        <w:t xml:space="preserve">kadar derecelerde tespit edilirse; analiz sonuçları 2.1.5.2 bendinde yer alan terminoloji kullanılarak raporlandırılır; bunun dışında üçüncü </w:t>
      </w:r>
      <w:r w:rsidR="00947638"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yeni bir 50 g</w:t>
      </w:r>
      <w:r w:rsidR="00876D94" w:rsidRPr="007C1E0B">
        <w:rPr>
          <w:rFonts w:ascii="Times New Roman" w:hAnsi="Times New Roman" w:cs="Times New Roman"/>
          <w:sz w:val="20"/>
          <w:szCs w:val="20"/>
        </w:rPr>
        <w:t>’</w:t>
      </w:r>
      <w:r w:rsidRPr="007C1E0B">
        <w:rPr>
          <w:rFonts w:ascii="Times New Roman" w:hAnsi="Times New Roman" w:cs="Times New Roman"/>
          <w:sz w:val="20"/>
          <w:szCs w:val="20"/>
        </w:rPr>
        <w:t xml:space="preserve">lık alt-numuneden yapılmalıdır. Ancak yine de, ilk ve ikinci </w:t>
      </w:r>
      <w:r w:rsidR="00947638"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 xml:space="preserve">sonrası iki </w:t>
      </w:r>
      <w:r w:rsidR="00947638"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 xml:space="preserve">üzerinden </w:t>
      </w:r>
      <w:r w:rsidR="00853574" w:rsidRPr="007C1E0B">
        <w:rPr>
          <w:rFonts w:ascii="Times New Roman" w:hAnsi="Times New Roman" w:cs="Times New Roman"/>
          <w:sz w:val="20"/>
          <w:szCs w:val="20"/>
        </w:rPr>
        <w:t>b</w:t>
      </w:r>
      <w:r w:rsidR="00780C67" w:rsidRPr="007C1E0B">
        <w:rPr>
          <w:rFonts w:ascii="Times New Roman" w:hAnsi="Times New Roman" w:cs="Times New Roman"/>
          <w:sz w:val="20"/>
          <w:szCs w:val="20"/>
        </w:rPr>
        <w:t xml:space="preserve">elirli bir yapıda </w:t>
      </w:r>
      <w:r w:rsidRPr="007C1E0B">
        <w:rPr>
          <w:rFonts w:ascii="Times New Roman" w:hAnsi="Times New Roman" w:cs="Times New Roman"/>
          <w:sz w:val="20"/>
          <w:szCs w:val="20"/>
        </w:rPr>
        <w:t xml:space="preserve">parçaların toplamı 15’ten fazla ise, ilave bir </w:t>
      </w:r>
      <w:r w:rsidR="00947638"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gerekmez ve analiz</w:t>
      </w:r>
      <w:r w:rsidR="00947638" w:rsidRPr="007C1E0B">
        <w:rPr>
          <w:rFonts w:ascii="Times New Roman" w:hAnsi="Times New Roman" w:cs="Times New Roman"/>
          <w:sz w:val="20"/>
          <w:szCs w:val="20"/>
        </w:rPr>
        <w:t xml:space="preserve"> sonucu</w:t>
      </w:r>
      <w:r w:rsidRPr="007C1E0B">
        <w:rPr>
          <w:rFonts w:ascii="Times New Roman" w:hAnsi="Times New Roman" w:cs="Times New Roman"/>
          <w:sz w:val="20"/>
          <w:szCs w:val="20"/>
        </w:rPr>
        <w:t xml:space="preserve"> 2.1.5.3.bendinde belirtilen terminoloji kullanılarak direkt raporlandırılmalıdır. Üçüncü </w:t>
      </w:r>
      <w:r w:rsidR="0053184A" w:rsidRPr="007C1E0B">
        <w:rPr>
          <w:rFonts w:ascii="Times New Roman" w:hAnsi="Times New Roman" w:cs="Times New Roman"/>
          <w:sz w:val="20"/>
          <w:szCs w:val="20"/>
        </w:rPr>
        <w:t xml:space="preserve">tespit </w:t>
      </w:r>
      <w:r w:rsidRPr="007C1E0B">
        <w:rPr>
          <w:rFonts w:ascii="Times New Roman" w:hAnsi="Times New Roman" w:cs="Times New Roman"/>
          <w:sz w:val="20"/>
          <w:szCs w:val="20"/>
        </w:rPr>
        <w:t xml:space="preserve">sonrası </w:t>
      </w:r>
      <w:r w:rsidR="00853574" w:rsidRPr="007C1E0B">
        <w:rPr>
          <w:rFonts w:ascii="Times New Roman" w:hAnsi="Times New Roman" w:cs="Times New Roman"/>
          <w:sz w:val="20"/>
          <w:szCs w:val="20"/>
        </w:rPr>
        <w:t>b</w:t>
      </w:r>
      <w:r w:rsidR="00780C67" w:rsidRPr="007C1E0B">
        <w:rPr>
          <w:rFonts w:ascii="Times New Roman" w:hAnsi="Times New Roman" w:cs="Times New Roman"/>
          <w:sz w:val="20"/>
          <w:szCs w:val="20"/>
        </w:rPr>
        <w:t xml:space="preserve">elirli bir yapıda </w:t>
      </w:r>
      <w:r w:rsidRPr="007C1E0B">
        <w:rPr>
          <w:rFonts w:ascii="Times New Roman" w:hAnsi="Times New Roman" w:cs="Times New Roman"/>
          <w:sz w:val="20"/>
          <w:szCs w:val="20"/>
        </w:rPr>
        <w:t>hayvan parçacıklarının toplamı 15’ten fazla ise; analiz sonuçları 2.1.5.3. bendinde yer alan terminoloji kullanılarak raporlandırılmalıdır.Aksi takdirde, analiz sonuçları 2.1.5.2.bendinde belirtilen terminoloji kullanılarak raporlandırılmalıdır.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hint="eastAsia"/>
          <w:sz w:val="20"/>
          <w:szCs w:val="20"/>
        </w:rPr>
        <w:t>Ş</w:t>
      </w:r>
      <w:r w:rsidRPr="007C1E0B">
        <w:rPr>
          <w:rFonts w:ascii="Times New Roman" w:hAnsi="Times New Roman" w:cs="Times New Roman"/>
          <w:sz w:val="20"/>
          <w:szCs w:val="20"/>
        </w:rPr>
        <w:t>ekil 1 - Şekil 2 deki gözlem protokolüne göre ilk determinasyonda 5 ten fazla hayvan parçacığı (kara hayvanı veya balık) tespit edilmişse analiz sonuları 2.1.5.3 teki terminoloji kullanılarak raporlandırılırır.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2.1.5.   Sonuçların Açıklanması</w:t>
      </w:r>
      <w:r w:rsidRPr="007C1E0B">
        <w:rPr>
          <w:rFonts w:ascii="Times New Roman" w:hAnsi="Times New Roman" w:cs="Times New Roman"/>
          <w:sz w:val="20"/>
          <w:szCs w:val="20"/>
        </w:rPr>
        <w:cr/>
        <w:t xml:space="preserve">Sonuçlar raporlandırılırken,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w:t>
      </w:r>
      <w:r w:rsidR="00817BE6" w:rsidRPr="007C1E0B">
        <w:rPr>
          <w:rFonts w:ascii="Times New Roman" w:hAnsi="Times New Roman" w:cs="Times New Roman"/>
          <w:sz w:val="20"/>
          <w:szCs w:val="20"/>
        </w:rPr>
        <w:t>hangi</w:t>
      </w:r>
      <w:r w:rsidRPr="007C1E0B">
        <w:rPr>
          <w:rFonts w:ascii="Times New Roman" w:hAnsi="Times New Roman" w:cs="Times New Roman"/>
          <w:sz w:val="20"/>
          <w:szCs w:val="20"/>
        </w:rPr>
        <w:t xml:space="preserve"> çeşit materyal üzerinde (sediment, flotat veya ham materyal) analizlerin gerçekleştirilmiş olduğunu ve kaç adet determinasyonun yapılmış olduğunu belirtmelidir.</w:t>
      </w:r>
    </w:p>
    <w:p w:rsidR="008F593F" w:rsidRPr="007C1E0B" w:rsidRDefault="00381839" w:rsidP="001B722B">
      <w:pPr>
        <w:jc w:val="both"/>
        <w:rPr>
          <w:rFonts w:ascii="Times New Roman" w:hAnsi="Times New Roman" w:cs="Times New Roman"/>
          <w:sz w:val="20"/>
          <w:szCs w:val="20"/>
        </w:rPr>
      </w:pPr>
      <w:r w:rsidRPr="007C1E0B">
        <w:rPr>
          <w:rFonts w:ascii="Times New Roman" w:hAnsi="Times New Roman" w:cs="Times New Roman"/>
          <w:sz w:val="20"/>
          <w:szCs w:val="20"/>
        </w:rPr>
        <w:t>Laboratuvar</w:t>
      </w:r>
      <w:r w:rsidR="008F593F" w:rsidRPr="007C1E0B">
        <w:rPr>
          <w:rFonts w:ascii="Times New Roman" w:hAnsi="Times New Roman" w:cs="Times New Roman"/>
          <w:sz w:val="20"/>
          <w:szCs w:val="20"/>
        </w:rPr>
        <w:t xml:space="preserve"> raporu, en azından kara hayvanları veya balıktan elde edilen tamamlayıcıların mevcutluğu ile ilgili bilgi vermelidir.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Farklı durumlar, aşağıdaki yollarda raporlandırılmalıdır: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2.1.5.1</w:t>
      </w:r>
      <w:r w:rsidR="008F6FA2" w:rsidRPr="007C1E0B">
        <w:rPr>
          <w:rFonts w:ascii="Times New Roman" w:hAnsi="Times New Roman" w:cs="Times New Roman"/>
          <w:sz w:val="20"/>
          <w:szCs w:val="20"/>
        </w:rPr>
        <w:t>.</w:t>
      </w:r>
      <w:r w:rsidR="00853574" w:rsidRPr="007C1E0B">
        <w:rPr>
          <w:rFonts w:ascii="Times New Roman" w:hAnsi="Times New Roman" w:cs="Times New Roman"/>
          <w:sz w:val="20"/>
          <w:szCs w:val="20"/>
        </w:rPr>
        <w:t xml:space="preserve">  </w:t>
      </w:r>
      <w:r w:rsidR="00780C67" w:rsidRPr="007C1E0B">
        <w:rPr>
          <w:rFonts w:ascii="Times New Roman" w:hAnsi="Times New Roman" w:cs="Times New Roman"/>
          <w:sz w:val="20"/>
          <w:szCs w:val="20"/>
        </w:rPr>
        <w:t xml:space="preserve">Belirli bir yapıda </w:t>
      </w:r>
      <w:r w:rsidRPr="007C1E0B">
        <w:rPr>
          <w:rFonts w:ascii="Times New Roman" w:hAnsi="Times New Roman" w:cs="Times New Roman"/>
          <w:sz w:val="20"/>
          <w:szCs w:val="20"/>
        </w:rPr>
        <w:t xml:space="preserve">hayvan parçaları tespit edilememiş ise: </w:t>
      </w:r>
    </w:p>
    <w:p w:rsidR="008F593F" w:rsidRPr="007C1E0B" w:rsidRDefault="004A7A29" w:rsidP="001B722B">
      <w:pPr>
        <w:ind w:left="709"/>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 xml:space="preserve">Analiz edilen numunede, ışık mikroskobu kullanarak gözle görülebildiği kadarıyla kara hayvanlarına ait bileşen tespit edilememiştir. </w:t>
      </w:r>
    </w:p>
    <w:p w:rsidR="008F593F" w:rsidRPr="007C1E0B" w:rsidRDefault="004A7A29" w:rsidP="001B722B">
      <w:pPr>
        <w:ind w:left="709"/>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Analiz edilen numunede, ışık mikroskobu kullanarak gözle görülebildiği kadarıyla balıklara ait bileşen tespit edilememiştir.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2.1.5.2</w:t>
      </w:r>
      <w:r w:rsidR="00780C67" w:rsidRPr="007C1E0B">
        <w:rPr>
          <w:rFonts w:ascii="Times New Roman" w:hAnsi="Times New Roman" w:cs="Times New Roman"/>
          <w:sz w:val="20"/>
          <w:szCs w:val="20"/>
        </w:rPr>
        <w:t xml:space="preserve"> Belirli bir yapıda </w:t>
      </w:r>
      <w:r w:rsidRPr="007C1E0B">
        <w:rPr>
          <w:rFonts w:ascii="Times New Roman" w:hAnsi="Times New Roman" w:cs="Times New Roman"/>
          <w:sz w:val="20"/>
          <w:szCs w:val="20"/>
        </w:rPr>
        <w:t xml:space="preserve">hayvansal orjinli bileşen sayısı 1 ile 5 arasında tespit edilmiş ise: </w:t>
      </w:r>
    </w:p>
    <w:p w:rsidR="008F593F" w:rsidRPr="007C1E0B" w:rsidRDefault="008F593F" w:rsidP="001B722B">
      <w:pPr>
        <w:tabs>
          <w:tab w:val="left" w:pos="851"/>
        </w:tabs>
        <w:ind w:left="709"/>
        <w:jc w:val="both"/>
        <w:rPr>
          <w:rFonts w:ascii="Times New Roman" w:hAnsi="Times New Roman" w:cs="Times New Roman"/>
          <w:sz w:val="20"/>
          <w:szCs w:val="20"/>
        </w:rPr>
      </w:pPr>
      <w:r w:rsidRPr="007C1E0B">
        <w:rPr>
          <w:rFonts w:ascii="Times New Roman" w:hAnsi="Times New Roman" w:cs="Times New Roman"/>
          <w:sz w:val="20"/>
          <w:szCs w:val="20"/>
        </w:rPr>
        <w:tab/>
      </w:r>
      <w:r w:rsidR="004A7A29" w:rsidRPr="007C1E0B">
        <w:rPr>
          <w:rFonts w:ascii="Times New Roman" w:hAnsi="Times New Roman" w:cs="Times New Roman"/>
          <w:sz w:val="20"/>
          <w:szCs w:val="20"/>
        </w:rPr>
        <w:t xml:space="preserve">- </w:t>
      </w:r>
      <w:r w:rsidRPr="007C1E0B">
        <w:rPr>
          <w:rFonts w:ascii="Times New Roman" w:hAnsi="Times New Roman" w:cs="Times New Roman"/>
          <w:sz w:val="20"/>
          <w:szCs w:val="20"/>
        </w:rPr>
        <w:t>Verilen numunede ışık mikroskobu kullanarak gözle görülebildiği kadarıyla kara hayvanlarından, her determinasyon için ortalama 5 parçadan daha fazla parça tespit edilememiştir. Parçalar şu şekilde tanımlanır (kemik, kıkırdak, kas, saç, boynuz…vb.) Bu düşük seviyenin varlığı, mikroskobik metotta tespit limitinin altında olması, yanlış pozitif sonuç riskinin olabileceği göz ardı edilmemelidir.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veya, yukarıdaki gibi,</w:t>
      </w:r>
    </w:p>
    <w:p w:rsidR="008F593F" w:rsidRPr="007C1E0B" w:rsidRDefault="008F593F" w:rsidP="000748B1">
      <w:pPr>
        <w:pStyle w:val="ListeParagraf"/>
        <w:numPr>
          <w:ilvl w:val="0"/>
          <w:numId w:val="8"/>
        </w:numPr>
        <w:jc w:val="both"/>
        <w:rPr>
          <w:sz w:val="20"/>
          <w:szCs w:val="20"/>
        </w:rPr>
      </w:pPr>
      <w:r w:rsidRPr="007C1E0B">
        <w:rPr>
          <w:sz w:val="20"/>
          <w:szCs w:val="20"/>
        </w:rPr>
        <w:t>Verilen numunede ışık mikroskobu kullanarak gözle görülebildiği kadarıyla balıklardan, her determinasyon için ortalama 5 parçadan daha fazla parça tespit edilememiştir. Parçalar şu şekilde tanımlanır. (Balık kılçığı, balık iskeleti, kıkırdak, kas, otolit, solungaç) Bu düşük seviyenin varlığı, mikroskobik metotta tespit limitinin altında olması, yanlış pozitif sonuç riskinin olabileceği göz ardı edilmemelidir.</w:t>
      </w:r>
    </w:p>
    <w:p w:rsidR="008F593F" w:rsidRPr="007C1E0B" w:rsidRDefault="008F593F" w:rsidP="000748B1">
      <w:pPr>
        <w:pStyle w:val="ListeParagraf"/>
        <w:numPr>
          <w:ilvl w:val="0"/>
          <w:numId w:val="8"/>
        </w:numPr>
        <w:jc w:val="both"/>
        <w:rPr>
          <w:sz w:val="20"/>
          <w:szCs w:val="20"/>
        </w:rPr>
      </w:pPr>
      <w:r w:rsidRPr="007C1E0B">
        <w:rPr>
          <w:sz w:val="20"/>
          <w:szCs w:val="20"/>
        </w:rPr>
        <w:t xml:space="preserve">Yalnızca elenerek yapılan fraksiyonda hayvan parçalarının tespiti çevresel kontaminasyonlarla işareti olabileceğinden, ön-eleme durumunda, </w:t>
      </w:r>
      <w:r w:rsidR="00381839" w:rsidRPr="007C1E0B">
        <w:rPr>
          <w:sz w:val="20"/>
          <w:szCs w:val="20"/>
        </w:rPr>
        <w:t>laboratuvar</w:t>
      </w:r>
      <w:r w:rsidRPr="007C1E0B">
        <w:rPr>
          <w:sz w:val="20"/>
          <w:szCs w:val="20"/>
        </w:rPr>
        <w:t xml:space="preserve"> raporu, hangi fraksiyonda (elenen fraksiyon, taneli fraksiyon) hayvan parçalarının tespit edilmiş olduğunu belirtmelidir.</w:t>
      </w:r>
    </w:p>
    <w:p w:rsidR="00473FC5" w:rsidRPr="007C1E0B" w:rsidRDefault="00473FC5"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2.1.5.3.</w:t>
      </w:r>
      <w:r w:rsidRPr="007C1E0B">
        <w:rPr>
          <w:rFonts w:ascii="Times New Roman" w:hAnsi="Times New Roman" w:cs="Times New Roman"/>
          <w:sz w:val="20"/>
          <w:szCs w:val="20"/>
        </w:rPr>
        <w:tab/>
      </w:r>
      <w:r w:rsidR="00780C67" w:rsidRPr="007C1E0B">
        <w:rPr>
          <w:rFonts w:ascii="Times New Roman" w:hAnsi="Times New Roman" w:cs="Times New Roman"/>
          <w:sz w:val="20"/>
          <w:szCs w:val="20"/>
        </w:rPr>
        <w:t>Belirli bir yapıda</w:t>
      </w:r>
      <w:r w:rsidRPr="007C1E0B">
        <w:rPr>
          <w:rFonts w:ascii="Times New Roman" w:hAnsi="Times New Roman" w:cs="Times New Roman"/>
          <w:sz w:val="20"/>
          <w:szCs w:val="20"/>
        </w:rPr>
        <w:t xml:space="preserve"> ortalama 5 hayvan parçasından daha fazlası tespit edilmiştir:</w:t>
      </w:r>
    </w:p>
    <w:p w:rsidR="008F593F" w:rsidRPr="007C1E0B" w:rsidRDefault="008F593F" w:rsidP="000748B1">
      <w:pPr>
        <w:pStyle w:val="ListeParagraf"/>
        <w:numPr>
          <w:ilvl w:val="0"/>
          <w:numId w:val="10"/>
        </w:numPr>
        <w:jc w:val="both"/>
        <w:rPr>
          <w:sz w:val="20"/>
          <w:szCs w:val="20"/>
        </w:rPr>
      </w:pPr>
      <w:r w:rsidRPr="007C1E0B">
        <w:rPr>
          <w:sz w:val="20"/>
          <w:szCs w:val="20"/>
        </w:rPr>
        <w:t>Işık mikroskop kullanarak gözle görüldüğü üzere; kara hayvanlarından, verilen numunede her determinasyon için ortalama 5 parçadan daha fazla parça elde edilir. Bu parçalar şu şekilde tanımlanmıştır: [kemik, kıkırdak, kas, saç, boynuz…]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Verilen numunede ışık mikroskobu kullanarak gözle görülebildiği kadarıyla kara hayvanlarından, her determinasyon için ortalama 5 parçadan daha fazla parça tespit edilmiştir. Parçalar şu şekilde tanımlanır (kemik, kıkırdak, kas, saç, boynuz…vb.)</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veya, yukarıdaki gibi</w:t>
      </w:r>
    </w:p>
    <w:p w:rsidR="008F593F" w:rsidRPr="007C1E0B" w:rsidRDefault="008F593F" w:rsidP="000748B1">
      <w:pPr>
        <w:pStyle w:val="ListeParagraf"/>
        <w:numPr>
          <w:ilvl w:val="0"/>
          <w:numId w:val="10"/>
        </w:numPr>
        <w:jc w:val="both"/>
        <w:rPr>
          <w:sz w:val="20"/>
          <w:szCs w:val="20"/>
        </w:rPr>
      </w:pPr>
      <w:r w:rsidRPr="007C1E0B">
        <w:rPr>
          <w:sz w:val="20"/>
          <w:szCs w:val="20"/>
        </w:rPr>
        <w:t>Verilen numunede ışık mikroskobu kullanarak gözle görülebildiği kadarıyla balıklardan, her determinasyon için ortalama 5 parçadan daha fazla parça tespit edilmiştir. Parçalar şu şekilde tanımlanır (balık kılçığı, balık iskeleti, kıkırdak, kas, otolit, solungaç.)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Yalnızca elenerek yapılan fraksiyonda hayvan parçalarının tespiti çevresel kontaminasyonların işareti olabileceğinden, ön-eleme durumunda,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raporu, şimdiye kadar hangi fraksiyonda (elenen fraksiyon, taneli veya çekirdek içi fraksiyon) hayvan parçalarının tespit edilmiş olduğunu belirtmelidir.</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  </w:t>
      </w:r>
      <w:r w:rsidR="008F593F" w:rsidRPr="007C1E0B">
        <w:rPr>
          <w:rFonts w:ascii="Times New Roman" w:hAnsi="Times New Roman" w:cs="Times New Roman"/>
          <w:sz w:val="20"/>
          <w:szCs w:val="20"/>
        </w:rPr>
        <w:t>PCR</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2.2.1.  </w:t>
      </w:r>
      <w:r w:rsidR="008F593F"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Yem maddeleri ve karma yemlerdeki hayvan orijinli Deoksiribonukleik asit (DNA) fragmanlarındaki hedeflenen türe özgü spesifik DNA sekanslarının, PCR tekniği ile çoğaltılarak tespit edilmesidir.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PCR metodunda ilk olarak DNA ekstraksiyon basamağına gerek vardır. Elde edilen DNA ekstraktına analizde  hedeflenen hayvan türlerini tetkik etmek amacıyla çoğaltma basamağı uygulanmalıdır</w:t>
      </w:r>
    </w:p>
    <w:p w:rsidR="008F593F" w:rsidRPr="007C1E0B" w:rsidRDefault="00BE6EEB" w:rsidP="001B722B">
      <w:pPr>
        <w:jc w:val="both"/>
        <w:rPr>
          <w:rFonts w:ascii="Times New Roman" w:hAnsi="Times New Roman" w:cs="Times New Roman"/>
          <w:sz w:val="20"/>
          <w:szCs w:val="20"/>
        </w:rPr>
      </w:pPr>
      <w:r w:rsidRPr="007C1E0B">
        <w:rPr>
          <w:rFonts w:ascii="Times New Roman" w:hAnsi="Times New Roman" w:cs="Times New Roman"/>
          <w:sz w:val="20"/>
          <w:szCs w:val="20"/>
        </w:rPr>
        <w:t>2</w:t>
      </w:r>
      <w:r w:rsidR="00520383" w:rsidRPr="007C1E0B">
        <w:rPr>
          <w:rFonts w:ascii="Times New Roman" w:hAnsi="Times New Roman" w:cs="Times New Roman"/>
          <w:sz w:val="20"/>
          <w:szCs w:val="20"/>
        </w:rPr>
        <w:t xml:space="preserve">.2.2. </w:t>
      </w:r>
      <w:r w:rsidR="008F593F" w:rsidRPr="007C1E0B">
        <w:rPr>
          <w:rFonts w:ascii="Times New Roman" w:hAnsi="Times New Roman" w:cs="Times New Roman"/>
          <w:sz w:val="20"/>
          <w:szCs w:val="20"/>
        </w:rPr>
        <w:t>Reaktifler ve Ekipmanlar</w:t>
      </w:r>
    </w:p>
    <w:p w:rsidR="008F593F" w:rsidRPr="007C1E0B" w:rsidRDefault="00BE6EEB" w:rsidP="001B722B">
      <w:pPr>
        <w:jc w:val="both"/>
        <w:rPr>
          <w:rFonts w:ascii="Times New Roman" w:hAnsi="Times New Roman" w:cs="Times New Roman"/>
          <w:sz w:val="20"/>
          <w:szCs w:val="20"/>
        </w:rPr>
      </w:pPr>
      <w:r w:rsidRPr="007C1E0B">
        <w:rPr>
          <w:rFonts w:ascii="Times New Roman" w:hAnsi="Times New Roman" w:cs="Times New Roman"/>
          <w:sz w:val="20"/>
          <w:szCs w:val="20"/>
        </w:rPr>
        <w:t>2</w:t>
      </w:r>
      <w:r w:rsidR="00520383" w:rsidRPr="007C1E0B">
        <w:rPr>
          <w:rFonts w:ascii="Times New Roman" w:hAnsi="Times New Roman" w:cs="Times New Roman"/>
          <w:sz w:val="20"/>
          <w:szCs w:val="20"/>
        </w:rPr>
        <w:t xml:space="preserve">.2.2.1. </w:t>
      </w:r>
      <w:r w:rsidR="0079012B"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Reaktifler</w:t>
      </w:r>
    </w:p>
    <w:p w:rsidR="008F593F" w:rsidRPr="007C1E0B" w:rsidRDefault="008F593F" w:rsidP="001B722B">
      <w:pPr>
        <w:tabs>
          <w:tab w:val="left" w:pos="851"/>
        </w:tabs>
        <w:jc w:val="both"/>
        <w:rPr>
          <w:rFonts w:ascii="Times New Roman" w:hAnsi="Times New Roman" w:cs="Times New Roman"/>
          <w:sz w:val="20"/>
          <w:szCs w:val="20"/>
        </w:rPr>
      </w:pPr>
      <w:r w:rsidRPr="007C1E0B">
        <w:rPr>
          <w:rFonts w:ascii="Times New Roman" w:hAnsi="Times New Roman" w:cs="Times New Roman"/>
          <w:sz w:val="20"/>
          <w:szCs w:val="20"/>
        </w:rPr>
        <w:t>2.2.2.1.1.</w:t>
      </w:r>
      <w:r w:rsidRPr="007C1E0B">
        <w:rPr>
          <w:rFonts w:ascii="Times New Roman" w:hAnsi="Times New Roman" w:cs="Times New Roman"/>
          <w:sz w:val="20"/>
          <w:szCs w:val="20"/>
        </w:rPr>
        <w:tab/>
        <w:t xml:space="preserve">DNA ekstraksiyon basamağı için </w:t>
      </w:r>
      <w:r w:rsidR="00BE6EEB" w:rsidRPr="007C1E0B">
        <w:rPr>
          <w:rFonts w:ascii="Times New Roman" w:hAnsi="Times New Roman" w:cs="Times New Roman"/>
          <w:sz w:val="20"/>
          <w:szCs w:val="20"/>
        </w:rPr>
        <w:t>reaktifler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Yalnızca EURL-AP tarafından onaylanan ve internet sitesinde yayınlanmış olan reaktifler kullanılmalıdır.</w:t>
      </w:r>
    </w:p>
    <w:p w:rsidR="008F593F" w:rsidRPr="007C1E0B" w:rsidRDefault="008F593F" w:rsidP="001B722B">
      <w:pPr>
        <w:tabs>
          <w:tab w:val="left" w:pos="851"/>
        </w:tabs>
        <w:jc w:val="both"/>
        <w:rPr>
          <w:rFonts w:ascii="Times New Roman" w:hAnsi="Times New Roman" w:cs="Times New Roman"/>
          <w:sz w:val="20"/>
          <w:szCs w:val="20"/>
        </w:rPr>
      </w:pPr>
      <w:r w:rsidRPr="007C1E0B">
        <w:rPr>
          <w:rFonts w:ascii="Times New Roman" w:hAnsi="Times New Roman" w:cs="Times New Roman"/>
          <w:sz w:val="20"/>
          <w:szCs w:val="20"/>
        </w:rPr>
        <w:t>2.2.2.1.2.</w:t>
      </w:r>
      <w:r w:rsidRPr="007C1E0B">
        <w:rPr>
          <w:rFonts w:ascii="Times New Roman" w:hAnsi="Times New Roman" w:cs="Times New Roman"/>
          <w:sz w:val="20"/>
          <w:szCs w:val="20"/>
        </w:rPr>
        <w:tab/>
        <w:t>DNA çoğaltma basamakları için reaktifler</w:t>
      </w:r>
    </w:p>
    <w:p w:rsidR="008F593F" w:rsidRPr="007C1E0B" w:rsidRDefault="0079012B" w:rsidP="001B722B">
      <w:pPr>
        <w:tabs>
          <w:tab w:val="left" w:pos="1134"/>
        </w:tabs>
        <w:jc w:val="both"/>
        <w:rPr>
          <w:rFonts w:ascii="Times New Roman" w:hAnsi="Times New Roman" w:cs="Times New Roman"/>
          <w:sz w:val="20"/>
          <w:szCs w:val="20"/>
        </w:rPr>
      </w:pPr>
      <w:r w:rsidRPr="007C1E0B">
        <w:rPr>
          <w:rFonts w:ascii="Times New Roman" w:hAnsi="Times New Roman" w:cs="Times New Roman"/>
          <w:sz w:val="20"/>
          <w:szCs w:val="20"/>
        </w:rPr>
        <w:t xml:space="preserve">2.2.2.1.2.1.  </w:t>
      </w:r>
      <w:r w:rsidR="008F593F" w:rsidRPr="007C1E0B">
        <w:rPr>
          <w:rFonts w:ascii="Times New Roman" w:hAnsi="Times New Roman" w:cs="Times New Roman"/>
          <w:sz w:val="20"/>
          <w:szCs w:val="20"/>
        </w:rPr>
        <w:t xml:space="preserve">Primer ve </w:t>
      </w:r>
      <w:r w:rsidR="00BE6EEB" w:rsidRPr="007C1E0B">
        <w:rPr>
          <w:rFonts w:ascii="Times New Roman" w:hAnsi="Times New Roman" w:cs="Times New Roman"/>
          <w:sz w:val="20"/>
          <w:szCs w:val="20"/>
        </w:rPr>
        <w:t>Problar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Yalnızca EURL-AP tarafından valide edilen </w:t>
      </w:r>
      <w:r w:rsidR="00BE6EEB" w:rsidRPr="007C1E0B">
        <w:rPr>
          <w:rFonts w:ascii="Times New Roman" w:hAnsi="Times New Roman" w:cs="Times New Roman"/>
          <w:sz w:val="20"/>
          <w:szCs w:val="20"/>
        </w:rPr>
        <w:t xml:space="preserve">oligonükleotid dizilime sahip </w:t>
      </w:r>
      <w:r w:rsidRPr="007C1E0B">
        <w:rPr>
          <w:rFonts w:ascii="Times New Roman" w:hAnsi="Times New Roman" w:cs="Times New Roman"/>
          <w:sz w:val="20"/>
          <w:szCs w:val="20"/>
        </w:rPr>
        <w:t xml:space="preserve">Primer ve </w:t>
      </w:r>
      <w:r w:rsidR="00BE6EEB" w:rsidRPr="007C1E0B">
        <w:rPr>
          <w:rFonts w:ascii="Times New Roman" w:hAnsi="Times New Roman" w:cs="Times New Roman"/>
          <w:sz w:val="20"/>
          <w:szCs w:val="20"/>
        </w:rPr>
        <w:t xml:space="preserve">Problar </w:t>
      </w:r>
      <w:r w:rsidRPr="007C1E0B">
        <w:rPr>
          <w:rFonts w:ascii="Times New Roman" w:hAnsi="Times New Roman" w:cs="Times New Roman"/>
          <w:sz w:val="20"/>
          <w:szCs w:val="20"/>
        </w:rPr>
        <w:t>kullanılmalıdır. (</w:t>
      </w:r>
      <w:r w:rsidR="00520383" w:rsidRPr="007C1E0B">
        <w:rPr>
          <w:rStyle w:val="DipnotBavurusu"/>
          <w:rFonts w:ascii="Times New Roman" w:hAnsi="Times New Roman" w:cs="Times New Roman"/>
          <w:sz w:val="20"/>
          <w:szCs w:val="20"/>
        </w:rPr>
        <w:footnoteReference w:id="19"/>
      </w:r>
      <w:r w:rsidRPr="007C1E0B">
        <w:rPr>
          <w:rFonts w:ascii="Times New Roman" w:hAnsi="Times New Roman" w:cs="Times New Roman"/>
          <w:sz w:val="20"/>
          <w:szCs w:val="20"/>
        </w:rPr>
        <w:t xml:space="preserve"> ) </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2.2.2.1.2.2.  </w:t>
      </w:r>
      <w:r w:rsidR="008F593F" w:rsidRPr="007C1E0B">
        <w:rPr>
          <w:rFonts w:ascii="Times New Roman" w:hAnsi="Times New Roman" w:cs="Times New Roman"/>
          <w:sz w:val="20"/>
          <w:szCs w:val="20"/>
        </w:rPr>
        <w:t>Master Miks</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Yalnızca hayvansal DNA </w:t>
      </w:r>
      <w:r w:rsidR="006814EB" w:rsidRPr="007C1E0B">
        <w:rPr>
          <w:rFonts w:ascii="Times New Roman" w:hAnsi="Times New Roman" w:cs="Times New Roman"/>
          <w:sz w:val="20"/>
          <w:szCs w:val="20"/>
        </w:rPr>
        <w:t xml:space="preserve">varlığından dolayı yanlış sonuçlara neden olabilecek reaktifleri </w:t>
      </w:r>
      <w:r w:rsidRPr="007C1E0B">
        <w:rPr>
          <w:rFonts w:ascii="Times New Roman" w:hAnsi="Times New Roman" w:cs="Times New Roman"/>
          <w:sz w:val="20"/>
          <w:szCs w:val="20"/>
        </w:rPr>
        <w:t>içermeyen master miksler kullanılmalıdır.(</w:t>
      </w:r>
      <w:r w:rsidR="00520383" w:rsidRPr="007C1E0B">
        <w:rPr>
          <w:rStyle w:val="DipnotBavurusu"/>
          <w:rFonts w:ascii="Times New Roman" w:hAnsi="Times New Roman" w:cs="Times New Roman"/>
          <w:sz w:val="20"/>
          <w:szCs w:val="20"/>
        </w:rPr>
        <w:footnoteReference w:id="20"/>
      </w:r>
      <w:r w:rsidRPr="007C1E0B">
        <w:rPr>
          <w:rFonts w:ascii="Times New Roman" w:hAnsi="Times New Roman" w:cs="Times New Roman"/>
          <w:sz w:val="20"/>
          <w:szCs w:val="20"/>
        </w:rPr>
        <w:t xml:space="preserve"> ) </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2.2.2.1.2.3.  </w:t>
      </w:r>
      <w:r w:rsidR="008F593F" w:rsidRPr="007C1E0B">
        <w:rPr>
          <w:rFonts w:ascii="Times New Roman" w:hAnsi="Times New Roman" w:cs="Times New Roman"/>
          <w:sz w:val="20"/>
          <w:szCs w:val="20"/>
        </w:rPr>
        <w:t>Dekontaminasyon reaktifleri</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2.2.2.1.2.3.1.  </w:t>
      </w:r>
      <w:r w:rsidR="008F593F" w:rsidRPr="007C1E0B">
        <w:rPr>
          <w:rFonts w:ascii="Times New Roman" w:hAnsi="Times New Roman" w:cs="Times New Roman"/>
          <w:sz w:val="20"/>
          <w:szCs w:val="20"/>
        </w:rPr>
        <w:t>Hidroklorik asit çözeltisi (0,1 N)</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2.2.2.1.2.3.2.  </w:t>
      </w:r>
      <w:r w:rsidR="008F593F" w:rsidRPr="007C1E0B">
        <w:rPr>
          <w:rFonts w:ascii="Times New Roman" w:hAnsi="Times New Roman" w:cs="Times New Roman"/>
          <w:sz w:val="20"/>
          <w:szCs w:val="20"/>
        </w:rPr>
        <w:t>Ağartıcı (%</w:t>
      </w:r>
      <w:r w:rsidR="004218EC"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0,15 aktif klor</w:t>
      </w:r>
      <w:r w:rsidR="006814EB" w:rsidRPr="007C1E0B">
        <w:rPr>
          <w:rFonts w:ascii="Times New Roman" w:hAnsi="Times New Roman" w:cs="Times New Roman"/>
          <w:sz w:val="20"/>
          <w:szCs w:val="20"/>
        </w:rPr>
        <w:t xml:space="preserve"> içeren sodyum </w:t>
      </w:r>
      <w:r w:rsidR="008F593F" w:rsidRPr="007C1E0B">
        <w:rPr>
          <w:rFonts w:ascii="Times New Roman" w:hAnsi="Times New Roman" w:cs="Times New Roman"/>
          <w:sz w:val="20"/>
          <w:szCs w:val="20"/>
        </w:rPr>
        <w:t>hipoklorit çözeltisi)</w:t>
      </w:r>
    </w:p>
    <w:p w:rsidR="008F593F" w:rsidRPr="007C1E0B" w:rsidRDefault="0079012B"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2.2.2.1.2.3.3.  </w:t>
      </w:r>
      <w:r w:rsidR="008F593F" w:rsidRPr="007C1E0B">
        <w:rPr>
          <w:rFonts w:ascii="Times New Roman" w:hAnsi="Times New Roman" w:cs="Times New Roman"/>
          <w:sz w:val="20"/>
          <w:szCs w:val="20"/>
        </w:rPr>
        <w:t>Analitik teraz</w:t>
      </w:r>
      <w:r w:rsidR="00853574" w:rsidRPr="007C1E0B">
        <w:rPr>
          <w:rFonts w:ascii="Times New Roman" w:hAnsi="Times New Roman" w:cs="Times New Roman"/>
          <w:sz w:val="20"/>
          <w:szCs w:val="20"/>
        </w:rPr>
        <w:t>i</w:t>
      </w:r>
      <w:r w:rsidR="006814EB" w:rsidRPr="007C1E0B">
        <w:rPr>
          <w:rFonts w:ascii="Times New Roman" w:hAnsi="Times New Roman" w:cs="Times New Roman"/>
          <w:sz w:val="20"/>
          <w:szCs w:val="20"/>
        </w:rPr>
        <w:t>ler</w:t>
      </w:r>
      <w:r w:rsidR="008F593F" w:rsidRPr="007C1E0B">
        <w:rPr>
          <w:rFonts w:ascii="Times New Roman" w:hAnsi="Times New Roman" w:cs="Times New Roman"/>
          <w:sz w:val="20"/>
          <w:szCs w:val="20"/>
        </w:rPr>
        <w:t xml:space="preserve"> gibi </w:t>
      </w:r>
      <w:r w:rsidR="006814EB" w:rsidRPr="007C1E0B">
        <w:rPr>
          <w:rFonts w:ascii="Times New Roman" w:hAnsi="Times New Roman" w:cs="Times New Roman"/>
          <w:sz w:val="20"/>
          <w:szCs w:val="20"/>
        </w:rPr>
        <w:t xml:space="preserve">pahalı </w:t>
      </w:r>
      <w:r w:rsidR="008F593F" w:rsidRPr="007C1E0B">
        <w:rPr>
          <w:rFonts w:ascii="Times New Roman" w:hAnsi="Times New Roman" w:cs="Times New Roman"/>
          <w:sz w:val="20"/>
          <w:szCs w:val="20"/>
        </w:rPr>
        <w:t>cihazları</w:t>
      </w:r>
      <w:r w:rsidR="006814EB" w:rsidRPr="007C1E0B">
        <w:rPr>
          <w:rFonts w:ascii="Times New Roman" w:hAnsi="Times New Roman" w:cs="Times New Roman"/>
          <w:sz w:val="20"/>
          <w:szCs w:val="20"/>
        </w:rPr>
        <w:t>n</w:t>
      </w:r>
      <w:r w:rsidR="008F593F" w:rsidRPr="007C1E0B">
        <w:rPr>
          <w:rFonts w:ascii="Times New Roman" w:hAnsi="Times New Roman" w:cs="Times New Roman"/>
          <w:sz w:val="20"/>
          <w:szCs w:val="20"/>
        </w:rPr>
        <w:t xml:space="preserve"> dekontaminasyonu için aşındırıcı olmayan reaktifler (örn. MP Biomedi</w:t>
      </w:r>
      <w:r w:rsidR="006814EB" w:rsidRPr="007C1E0B">
        <w:rPr>
          <w:rFonts w:ascii="Times New Roman" w:hAnsi="Times New Roman" w:cs="Times New Roman"/>
          <w:sz w:val="20"/>
          <w:szCs w:val="20"/>
        </w:rPr>
        <w:t>c</w:t>
      </w:r>
      <w:r w:rsidR="008F593F" w:rsidRPr="007C1E0B">
        <w:rPr>
          <w:rFonts w:ascii="Times New Roman" w:hAnsi="Times New Roman" w:cs="Times New Roman"/>
          <w:sz w:val="20"/>
          <w:szCs w:val="20"/>
        </w:rPr>
        <w:t>al</w:t>
      </w:r>
      <w:r w:rsidR="006814EB" w:rsidRPr="007C1E0B">
        <w:rPr>
          <w:rFonts w:ascii="Times New Roman" w:hAnsi="Times New Roman" w:cs="Times New Roman"/>
          <w:sz w:val="20"/>
          <w:szCs w:val="20"/>
        </w:rPr>
        <w:t>s</w:t>
      </w:r>
      <w:r w:rsidR="008F593F" w:rsidRPr="007C1E0B">
        <w:rPr>
          <w:rFonts w:ascii="Times New Roman" w:hAnsi="Times New Roman" w:cs="Times New Roman"/>
          <w:sz w:val="20"/>
          <w:szCs w:val="20"/>
        </w:rPr>
        <w:t xml:space="preserve"> marka DNA Erase</w:t>
      </w:r>
      <w:r w:rsidR="008F593F" w:rsidRPr="007C1E0B">
        <w:rPr>
          <w:rFonts w:ascii="Times New Roman" w:hAnsi="Times New Roman" w:cs="Times New Roman"/>
          <w:sz w:val="20"/>
          <w:szCs w:val="20"/>
          <w:vertAlign w:val="superscript"/>
        </w:rPr>
        <w:t>TM</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2.2.2.2.</w:t>
      </w:r>
      <w:r w:rsidRPr="007C1E0B">
        <w:rPr>
          <w:rFonts w:ascii="Times New Roman" w:hAnsi="Times New Roman" w:cs="Times New Roman"/>
          <w:sz w:val="20"/>
          <w:szCs w:val="20"/>
        </w:rPr>
        <w:tab/>
        <w:t>Ekipman</w:t>
      </w:r>
    </w:p>
    <w:p w:rsidR="008F593F" w:rsidRPr="007C1E0B" w:rsidRDefault="008F593F"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2.2.2.2.1</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0,001 g doğruluktaki analitik terazi </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2.2.2.2.2.  </w:t>
      </w:r>
      <w:r w:rsidR="008F593F" w:rsidRPr="007C1E0B">
        <w:rPr>
          <w:rFonts w:ascii="Times New Roman" w:hAnsi="Times New Roman" w:cs="Times New Roman"/>
          <w:sz w:val="20"/>
          <w:szCs w:val="20"/>
        </w:rPr>
        <w:t xml:space="preserve">Öğütücü </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2.2.2.2.3.  </w:t>
      </w:r>
      <w:r w:rsidR="008F593F" w:rsidRPr="007C1E0B">
        <w:rPr>
          <w:rFonts w:ascii="Times New Roman" w:hAnsi="Times New Roman" w:cs="Times New Roman"/>
          <w:sz w:val="20"/>
          <w:szCs w:val="20"/>
        </w:rPr>
        <w:t xml:space="preserve">Real-time PCR   </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2.2.2.2.4.  </w:t>
      </w:r>
      <w:r w:rsidR="008F593F" w:rsidRPr="007C1E0B">
        <w:rPr>
          <w:rFonts w:ascii="Times New Roman" w:hAnsi="Times New Roman" w:cs="Times New Roman"/>
          <w:sz w:val="20"/>
          <w:szCs w:val="20"/>
        </w:rPr>
        <w:t xml:space="preserve">Mikrosantrifüj </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2.2.2.2.5.  </w:t>
      </w:r>
      <w:r w:rsidR="008F593F" w:rsidRPr="007C1E0B">
        <w:rPr>
          <w:rFonts w:ascii="Times New Roman" w:hAnsi="Times New Roman" w:cs="Times New Roman"/>
          <w:sz w:val="20"/>
          <w:szCs w:val="20"/>
        </w:rPr>
        <w:t>1 - 1 000 μl hacimli mikropipet seti</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2.2.2.2.6.  </w:t>
      </w:r>
      <w:r w:rsidR="008F593F" w:rsidRPr="007C1E0B">
        <w:rPr>
          <w:rFonts w:ascii="Times New Roman" w:hAnsi="Times New Roman" w:cs="Times New Roman"/>
          <w:sz w:val="20"/>
          <w:szCs w:val="20"/>
        </w:rPr>
        <w:t>Standart moleküler biyoloji sarf malzemeleri</w:t>
      </w:r>
      <w:r w:rsidR="00E33694" w:rsidRPr="007C1E0B">
        <w:rPr>
          <w:rFonts w:ascii="Times New Roman" w:hAnsi="Times New Roman" w:cs="Times New Roman"/>
          <w:sz w:val="20"/>
          <w:szCs w:val="20"/>
        </w:rPr>
        <w:t xml:space="preserve">; mikrofüj </w:t>
      </w:r>
      <w:r w:rsidR="008F593F" w:rsidRPr="007C1E0B">
        <w:rPr>
          <w:rFonts w:ascii="Times New Roman" w:hAnsi="Times New Roman" w:cs="Times New Roman"/>
          <w:sz w:val="20"/>
          <w:szCs w:val="20"/>
        </w:rPr>
        <w:t xml:space="preserve">tüpleri, filtreli </w:t>
      </w:r>
      <w:r w:rsidR="00E33694" w:rsidRPr="007C1E0B">
        <w:rPr>
          <w:rFonts w:ascii="Times New Roman" w:hAnsi="Times New Roman" w:cs="Times New Roman"/>
          <w:sz w:val="20"/>
          <w:szCs w:val="20"/>
        </w:rPr>
        <w:t xml:space="preserve">mikro </w:t>
      </w:r>
      <w:r w:rsidR="008F593F" w:rsidRPr="007C1E0B">
        <w:rPr>
          <w:rFonts w:ascii="Times New Roman" w:hAnsi="Times New Roman" w:cs="Times New Roman"/>
          <w:sz w:val="20"/>
          <w:szCs w:val="20"/>
        </w:rPr>
        <w:t xml:space="preserve">pipet ucları, real time PCR </w:t>
      </w:r>
      <w:r w:rsidR="00E33694" w:rsidRPr="007C1E0B">
        <w:rPr>
          <w:rFonts w:ascii="Times New Roman" w:hAnsi="Times New Roman" w:cs="Times New Roman"/>
          <w:sz w:val="20"/>
          <w:szCs w:val="20"/>
        </w:rPr>
        <w:t xml:space="preserve">plakaları </w:t>
      </w:r>
    </w:p>
    <w:p w:rsidR="008F593F" w:rsidRPr="007C1E0B" w:rsidRDefault="0079012B" w:rsidP="001B722B">
      <w:pPr>
        <w:tabs>
          <w:tab w:val="left" w:pos="993"/>
        </w:tabs>
        <w:jc w:val="both"/>
        <w:rPr>
          <w:rFonts w:ascii="Times New Roman" w:hAnsi="Times New Roman" w:cs="Times New Roman"/>
          <w:sz w:val="20"/>
          <w:szCs w:val="20"/>
        </w:rPr>
      </w:pPr>
      <w:r w:rsidRPr="007C1E0B">
        <w:rPr>
          <w:rFonts w:ascii="Times New Roman" w:hAnsi="Times New Roman" w:cs="Times New Roman"/>
          <w:sz w:val="20"/>
          <w:szCs w:val="20"/>
        </w:rPr>
        <w:t xml:space="preserve">2.2.2.2.7.  </w:t>
      </w:r>
      <w:r w:rsidR="008F593F" w:rsidRPr="007C1E0B">
        <w:rPr>
          <w:rFonts w:ascii="Times New Roman" w:hAnsi="Times New Roman" w:cs="Times New Roman"/>
          <w:sz w:val="20"/>
          <w:szCs w:val="20"/>
        </w:rPr>
        <w:t xml:space="preserve">Numune ve reaktifleri </w:t>
      </w:r>
      <w:r w:rsidR="00E33694" w:rsidRPr="007C1E0B">
        <w:rPr>
          <w:rFonts w:ascii="Times New Roman" w:hAnsi="Times New Roman" w:cs="Times New Roman"/>
          <w:sz w:val="20"/>
          <w:szCs w:val="20"/>
        </w:rPr>
        <w:t xml:space="preserve">depolama </w:t>
      </w:r>
      <w:r w:rsidR="008F593F" w:rsidRPr="007C1E0B">
        <w:rPr>
          <w:rFonts w:ascii="Times New Roman" w:hAnsi="Times New Roman" w:cs="Times New Roman"/>
          <w:sz w:val="20"/>
          <w:szCs w:val="20"/>
        </w:rPr>
        <w:t>amaçlı dondurucular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2.2.3.   Numune alma ve Numunenin Hazırlanması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2.2.3.1.</w:t>
      </w:r>
      <w:r w:rsidRPr="007C1E0B">
        <w:rPr>
          <w:rFonts w:ascii="Times New Roman" w:hAnsi="Times New Roman" w:cs="Times New Roman"/>
          <w:sz w:val="20"/>
          <w:szCs w:val="20"/>
        </w:rPr>
        <w:tab/>
        <w:t>Numune alma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Yemlerin Resmî Kontrolü İçin Numune Alma Ve Analiz Metotlarına Dair Yönetmeliğin E</w:t>
      </w:r>
      <w:r w:rsidR="00E76E92" w:rsidRPr="007C1E0B">
        <w:rPr>
          <w:rFonts w:ascii="Times New Roman" w:hAnsi="Times New Roman" w:cs="Times New Roman"/>
          <w:sz w:val="20"/>
          <w:szCs w:val="20"/>
        </w:rPr>
        <w:t>K</w:t>
      </w:r>
      <w:r w:rsidRPr="007C1E0B">
        <w:rPr>
          <w:rFonts w:ascii="Times New Roman" w:hAnsi="Times New Roman" w:cs="Times New Roman"/>
          <w:sz w:val="20"/>
          <w:szCs w:val="20"/>
        </w:rPr>
        <w:t>-1’de belirtilen metoda göre alınan numune kullanılmalıdır.</w:t>
      </w:r>
    </w:p>
    <w:p w:rsidR="00C24F19"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2.2.3.2.   Numune</w:t>
      </w:r>
      <w:r w:rsidR="00E556DF" w:rsidRPr="007C1E0B">
        <w:rPr>
          <w:rFonts w:ascii="Times New Roman" w:hAnsi="Times New Roman" w:cs="Times New Roman"/>
          <w:sz w:val="20"/>
          <w:szCs w:val="20"/>
        </w:rPr>
        <w:t>n</w:t>
      </w:r>
      <w:r w:rsidRPr="007C1E0B">
        <w:rPr>
          <w:rFonts w:ascii="Times New Roman" w:hAnsi="Times New Roman" w:cs="Times New Roman"/>
          <w:sz w:val="20"/>
          <w:szCs w:val="20"/>
        </w:rPr>
        <w:t xml:space="preserve">in </w:t>
      </w:r>
      <w:r w:rsidR="000712CD" w:rsidRPr="007C1E0B">
        <w:rPr>
          <w:rFonts w:ascii="Times New Roman" w:hAnsi="Times New Roman" w:cs="Times New Roman"/>
          <w:sz w:val="20"/>
          <w:szCs w:val="20"/>
        </w:rPr>
        <w:t>h</w:t>
      </w:r>
      <w:r w:rsidRPr="007C1E0B">
        <w:rPr>
          <w:rFonts w:ascii="Times New Roman" w:hAnsi="Times New Roman" w:cs="Times New Roman"/>
          <w:sz w:val="20"/>
          <w:szCs w:val="20"/>
        </w:rPr>
        <w:t>azırlanması</w:t>
      </w:r>
      <w:r w:rsidRPr="007C1E0B">
        <w:rPr>
          <w:rFonts w:ascii="Times New Roman" w:hAnsi="Times New Roman" w:cs="Times New Roman"/>
          <w:sz w:val="20"/>
          <w:szCs w:val="20"/>
        </w:rPr>
        <w:cr/>
      </w:r>
    </w:p>
    <w:p w:rsidR="008F593F"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 xml:space="preserve">DNA ektsraksiyonuna kadar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numunelerinin hazırlanması, E</w:t>
      </w:r>
      <w:r w:rsidR="0079012B" w:rsidRPr="007C1E0B">
        <w:rPr>
          <w:rFonts w:ascii="Times New Roman" w:hAnsi="Times New Roman" w:cs="Times New Roman"/>
          <w:sz w:val="20"/>
          <w:szCs w:val="20"/>
        </w:rPr>
        <w:t>K</w:t>
      </w:r>
      <w:r w:rsidRPr="007C1E0B">
        <w:rPr>
          <w:rFonts w:ascii="Times New Roman" w:hAnsi="Times New Roman" w:cs="Times New Roman"/>
          <w:sz w:val="20"/>
          <w:szCs w:val="20"/>
        </w:rPr>
        <w:t xml:space="preserve">-2’de yer alan şartlara uygun olmalıdır. Analiz için en az 50 g alt numune alınarak öğütülür. </w:t>
      </w:r>
    </w:p>
    <w:p w:rsidR="008F593F"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 xml:space="preserve">Numune hazırlığı, ISO 24276 da belirtildiği gibi PCR hazırlık odası ve DNA ekstraksiyon odalarından farklı bir odada yapılmalıdır. </w:t>
      </w:r>
    </w:p>
    <w:p w:rsidR="008F593F"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Her numune en az 100 mg lık iki paralel olarak hazırlanmalıdır.</w:t>
      </w:r>
    </w:p>
    <w:p w:rsidR="00C24F19" w:rsidRPr="007C1E0B" w:rsidRDefault="00C24F19" w:rsidP="00C24F19">
      <w:pPr>
        <w:spacing w:before="120" w:after="120"/>
        <w:contextualSpacing/>
        <w:jc w:val="both"/>
        <w:rPr>
          <w:rFonts w:ascii="Times New Roman" w:hAnsi="Times New Roman" w:cs="Times New Roman"/>
          <w:sz w:val="20"/>
          <w:szCs w:val="20"/>
        </w:rPr>
      </w:pPr>
    </w:p>
    <w:p w:rsidR="00C24F19"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2.2.4.   DNA ekstraksiyonu</w:t>
      </w:r>
      <w:r w:rsidRPr="007C1E0B">
        <w:rPr>
          <w:rFonts w:ascii="Times New Roman" w:hAnsi="Times New Roman" w:cs="Times New Roman"/>
          <w:sz w:val="20"/>
          <w:szCs w:val="20"/>
        </w:rPr>
        <w:cr/>
      </w:r>
    </w:p>
    <w:p w:rsidR="008F593F" w:rsidRPr="007C1E0B" w:rsidRDefault="008F593F" w:rsidP="00C24F19">
      <w:pPr>
        <w:spacing w:before="120" w:after="120"/>
        <w:contextualSpacing/>
        <w:jc w:val="both"/>
        <w:rPr>
          <w:rFonts w:ascii="Times New Roman" w:hAnsi="Times New Roman" w:cs="Times New Roman"/>
          <w:sz w:val="20"/>
          <w:szCs w:val="20"/>
        </w:rPr>
      </w:pPr>
      <w:r w:rsidRPr="007C1E0B">
        <w:rPr>
          <w:rFonts w:ascii="Times New Roman" w:hAnsi="Times New Roman" w:cs="Times New Roman"/>
          <w:sz w:val="20"/>
          <w:szCs w:val="20"/>
        </w:rPr>
        <w:t>DNA ekstraksiyonu, EURL-AP tarafından oluşturulan ve internet sitelerinde yayınlanan SOP’ler (Standart çalışma prosedürleri-SÇP) kullanılarak gerçekleştirilmelidir.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ISO 24276 da belirtildiği gibi, her eskraksiyon serisi  için iki ekstraksiyon kontrolü hazırlanmalıdır. </w:t>
      </w:r>
    </w:p>
    <w:p w:rsidR="008F593F" w:rsidRPr="007C1E0B" w:rsidRDefault="008F593F" w:rsidP="000748B1">
      <w:pPr>
        <w:pStyle w:val="ListeParagraf"/>
        <w:numPr>
          <w:ilvl w:val="0"/>
          <w:numId w:val="11"/>
        </w:numPr>
        <w:jc w:val="both"/>
        <w:rPr>
          <w:sz w:val="20"/>
          <w:szCs w:val="20"/>
        </w:rPr>
      </w:pPr>
      <w:r w:rsidRPr="007C1E0B">
        <w:rPr>
          <w:sz w:val="20"/>
          <w:szCs w:val="20"/>
        </w:rPr>
        <w:t xml:space="preserve">Ekstraksiyon negatif kontrol, </w:t>
      </w:r>
    </w:p>
    <w:p w:rsidR="008F593F" w:rsidRPr="007C1E0B" w:rsidRDefault="008F593F" w:rsidP="000748B1">
      <w:pPr>
        <w:pStyle w:val="ListeParagraf"/>
        <w:numPr>
          <w:ilvl w:val="0"/>
          <w:numId w:val="11"/>
        </w:numPr>
        <w:jc w:val="both"/>
        <w:rPr>
          <w:sz w:val="20"/>
          <w:szCs w:val="20"/>
        </w:rPr>
      </w:pPr>
      <w:r w:rsidRPr="007C1E0B">
        <w:rPr>
          <w:sz w:val="20"/>
          <w:szCs w:val="20"/>
        </w:rPr>
        <w:t>Ekstraksiyon pozitif kontrol</w:t>
      </w:r>
    </w:p>
    <w:p w:rsidR="00C24F19" w:rsidRPr="007C1E0B" w:rsidRDefault="00C24F19" w:rsidP="00C24F19">
      <w:pPr>
        <w:pStyle w:val="ListeParagraf"/>
        <w:jc w:val="both"/>
        <w:rPr>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2.2.5.</w:t>
      </w:r>
      <w:r w:rsidRPr="007C1E0B">
        <w:rPr>
          <w:rFonts w:ascii="Times New Roman" w:hAnsi="Times New Roman" w:cs="Times New Roman"/>
          <w:sz w:val="20"/>
          <w:szCs w:val="20"/>
        </w:rPr>
        <w:tab/>
      </w:r>
      <w:r w:rsidR="00E556DF" w:rsidRPr="007C1E0B">
        <w:rPr>
          <w:rFonts w:ascii="Times New Roman" w:hAnsi="Times New Roman" w:cs="Times New Roman"/>
          <w:sz w:val="20"/>
          <w:szCs w:val="20"/>
        </w:rPr>
        <w:t>Genetik amplifikasyon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Genetik çoğaltma, tanımlanması gereken her tür için valide edilmiş metotlar kullanarak gerçekleştirilmelidir. Bu metotlar, EURL-AP tarafından oluşturulan ve internet sitesinde yayınlanan SOP’lerde belirtilmiştir. Her DNA ekstraktı, inhibisyonun </w:t>
      </w:r>
      <w:r w:rsidR="00613A95" w:rsidRPr="007C1E0B">
        <w:rPr>
          <w:rFonts w:ascii="Times New Roman" w:hAnsi="Times New Roman" w:cs="Times New Roman"/>
          <w:sz w:val="20"/>
          <w:szCs w:val="20"/>
        </w:rPr>
        <w:t xml:space="preserve">kontrolü </w:t>
      </w:r>
      <w:r w:rsidRPr="007C1E0B">
        <w:rPr>
          <w:rFonts w:ascii="Times New Roman" w:hAnsi="Times New Roman" w:cs="Times New Roman"/>
          <w:sz w:val="20"/>
          <w:szCs w:val="20"/>
        </w:rPr>
        <w:t xml:space="preserve"> amacıyla en az iki farklı dilüsyonda analiz edilmelidir.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Hedeflenen her tür için, ISO 24276 da belirtildiği gibi, iki çoğaltma kontrolü hazırlanmalıdır.</w:t>
      </w:r>
    </w:p>
    <w:p w:rsidR="008F593F" w:rsidRPr="007C1E0B" w:rsidRDefault="00613A95" w:rsidP="000748B1">
      <w:pPr>
        <w:pStyle w:val="ListeParagraf"/>
        <w:numPr>
          <w:ilvl w:val="0"/>
          <w:numId w:val="12"/>
        </w:numPr>
        <w:jc w:val="both"/>
        <w:rPr>
          <w:sz w:val="20"/>
          <w:szCs w:val="20"/>
        </w:rPr>
      </w:pPr>
      <w:r w:rsidRPr="007C1E0B">
        <w:rPr>
          <w:sz w:val="20"/>
          <w:szCs w:val="20"/>
        </w:rPr>
        <w:t>Her bir plaka veya PCR analiz serisi için bir p</w:t>
      </w:r>
      <w:r w:rsidR="008F593F" w:rsidRPr="007C1E0B">
        <w:rPr>
          <w:sz w:val="20"/>
          <w:szCs w:val="20"/>
        </w:rPr>
        <w:t xml:space="preserve">ozitif </w:t>
      </w:r>
      <w:r w:rsidRPr="007C1E0B">
        <w:rPr>
          <w:sz w:val="20"/>
          <w:szCs w:val="20"/>
        </w:rPr>
        <w:t xml:space="preserve">hedef  </w:t>
      </w:r>
      <w:r w:rsidR="008F593F" w:rsidRPr="007C1E0B">
        <w:rPr>
          <w:sz w:val="20"/>
          <w:szCs w:val="20"/>
        </w:rPr>
        <w:t xml:space="preserve">DNA </w:t>
      </w:r>
      <w:r w:rsidRPr="007C1E0B">
        <w:rPr>
          <w:sz w:val="20"/>
          <w:szCs w:val="20"/>
        </w:rPr>
        <w:t xml:space="preserve">kontrolü </w:t>
      </w:r>
      <w:r w:rsidR="008F593F" w:rsidRPr="007C1E0B">
        <w:rPr>
          <w:sz w:val="20"/>
          <w:szCs w:val="20"/>
        </w:rPr>
        <w:t>kullanılmalıdır.</w:t>
      </w:r>
    </w:p>
    <w:p w:rsidR="008F593F" w:rsidRPr="007C1E0B" w:rsidRDefault="00613A95" w:rsidP="000748B1">
      <w:pPr>
        <w:pStyle w:val="ListeParagraf"/>
        <w:numPr>
          <w:ilvl w:val="0"/>
          <w:numId w:val="12"/>
        </w:numPr>
        <w:jc w:val="both"/>
        <w:rPr>
          <w:sz w:val="20"/>
          <w:szCs w:val="20"/>
        </w:rPr>
      </w:pPr>
      <w:r w:rsidRPr="007C1E0B">
        <w:rPr>
          <w:sz w:val="20"/>
          <w:szCs w:val="20"/>
        </w:rPr>
        <w:t>Her bir plaka veya PCR analiz serisi için ç</w:t>
      </w:r>
      <w:r w:rsidR="008F593F" w:rsidRPr="007C1E0B">
        <w:rPr>
          <w:sz w:val="20"/>
          <w:szCs w:val="20"/>
        </w:rPr>
        <w:t>oğaltma reaktifi kontrolü (hedef DNA yı içermeyen kontrol olarakta adlandırılır), her plate için kullanılmalıdır.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2.2.6.   Sonuçların </w:t>
      </w:r>
      <w:r w:rsidR="00613A95" w:rsidRPr="007C1E0B">
        <w:rPr>
          <w:rFonts w:ascii="Times New Roman" w:hAnsi="Times New Roman" w:cs="Times New Roman"/>
          <w:sz w:val="20"/>
          <w:szCs w:val="20"/>
        </w:rPr>
        <w:t xml:space="preserve">değerlendirilmesi </w:t>
      </w:r>
      <w:r w:rsidRPr="007C1E0B">
        <w:rPr>
          <w:rFonts w:ascii="Times New Roman" w:hAnsi="Times New Roman" w:cs="Times New Roman"/>
          <w:sz w:val="20"/>
          <w:szCs w:val="20"/>
        </w:rPr>
        <w:t>ve ifadesi</w:t>
      </w:r>
      <w:r w:rsidRPr="007C1E0B">
        <w:rPr>
          <w:rFonts w:ascii="Times New Roman" w:hAnsi="Times New Roman" w:cs="Times New Roman"/>
          <w:sz w:val="20"/>
          <w:szCs w:val="20"/>
        </w:rPr>
        <w:cr/>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sonuçları raporlandırırken, en azından, kullanılan numelerin ağırlığını, kullanılan ekstraksiyon tekniğini, tespit edilen bulguların sayısını ve metodun tespit limitini göstermelidir.</w:t>
      </w:r>
    </w:p>
    <w:p w:rsidR="008F593F" w:rsidRPr="007C1E0B" w:rsidRDefault="0043355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Çoğaltma reaktif kontrolü negatif iken </w:t>
      </w:r>
      <w:r w:rsidR="008F593F" w:rsidRPr="007C1E0B">
        <w:rPr>
          <w:rFonts w:ascii="Times New Roman" w:hAnsi="Times New Roman" w:cs="Times New Roman"/>
          <w:sz w:val="20"/>
          <w:szCs w:val="20"/>
        </w:rPr>
        <w:t xml:space="preserve"> pozitif DNA ekstraksiyon kontrolü ve pozitif DNA hedef </w:t>
      </w:r>
      <w:r w:rsidRPr="007C1E0B">
        <w:rPr>
          <w:rFonts w:ascii="Times New Roman" w:hAnsi="Times New Roman" w:cs="Times New Roman"/>
          <w:sz w:val="20"/>
          <w:szCs w:val="20"/>
        </w:rPr>
        <w:t xml:space="preserve">kontrolleri analiz edilen </w:t>
      </w:r>
      <w:r w:rsidR="008F593F" w:rsidRPr="007C1E0B">
        <w:rPr>
          <w:rFonts w:ascii="Times New Roman" w:hAnsi="Times New Roman" w:cs="Times New Roman"/>
          <w:sz w:val="20"/>
          <w:szCs w:val="20"/>
        </w:rPr>
        <w:t>hedef için pozitif sonuçlar</w:t>
      </w:r>
      <w:r w:rsidRPr="007C1E0B">
        <w:rPr>
          <w:rFonts w:ascii="Times New Roman" w:hAnsi="Times New Roman" w:cs="Times New Roman"/>
          <w:sz w:val="20"/>
          <w:szCs w:val="20"/>
        </w:rPr>
        <w:t xml:space="preserve"> </w:t>
      </w:r>
      <w:r w:rsidR="008F593F" w:rsidRPr="007C1E0B">
        <w:rPr>
          <w:rFonts w:ascii="Times New Roman" w:hAnsi="Times New Roman" w:cs="Times New Roman"/>
          <w:sz w:val="20"/>
          <w:szCs w:val="20"/>
        </w:rPr>
        <w:t xml:space="preserve">vermez ise sonuçlar </w:t>
      </w:r>
      <w:r w:rsidRPr="007C1E0B">
        <w:rPr>
          <w:rFonts w:ascii="Times New Roman" w:hAnsi="Times New Roman" w:cs="Times New Roman"/>
          <w:sz w:val="20"/>
          <w:szCs w:val="20"/>
        </w:rPr>
        <w:t xml:space="preserve">değerlendirilmemeli </w:t>
      </w:r>
      <w:r w:rsidR="008F593F" w:rsidRPr="007C1E0B">
        <w:rPr>
          <w:rFonts w:ascii="Times New Roman" w:hAnsi="Times New Roman" w:cs="Times New Roman"/>
          <w:sz w:val="20"/>
          <w:szCs w:val="20"/>
        </w:rPr>
        <w:t xml:space="preserve">ve raporlandırılmamalıdır.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Numuneye ait iki paralelin sonuçlarının uyumsuz olması durumunda, en azından PCR aşaması tekrarlanmalıdır.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DNA ekstraklarının uyumsuzluğun sebebi olabileceğinden şüpheleniyorsa, </w:t>
      </w:r>
      <w:r w:rsidR="0005160C" w:rsidRPr="007C1E0B">
        <w:rPr>
          <w:rFonts w:ascii="Times New Roman" w:hAnsi="Times New Roman" w:cs="Times New Roman"/>
          <w:sz w:val="20"/>
          <w:szCs w:val="20"/>
        </w:rPr>
        <w:t xml:space="preserve">sonuçlar yorumlanmadan önce </w:t>
      </w:r>
      <w:r w:rsidRPr="007C1E0B">
        <w:rPr>
          <w:rFonts w:ascii="Times New Roman" w:hAnsi="Times New Roman" w:cs="Times New Roman"/>
          <w:sz w:val="20"/>
          <w:szCs w:val="20"/>
        </w:rPr>
        <w:t xml:space="preserve">yeni bir DNA ekstraksiyonunu </w:t>
      </w:r>
      <w:r w:rsidR="0005160C" w:rsidRPr="007C1E0B">
        <w:rPr>
          <w:rFonts w:ascii="Times New Roman" w:hAnsi="Times New Roman" w:cs="Times New Roman"/>
          <w:sz w:val="20"/>
          <w:szCs w:val="20"/>
        </w:rPr>
        <w:t xml:space="preserve">ve bunu </w:t>
      </w:r>
      <w:r w:rsidRPr="007C1E0B">
        <w:rPr>
          <w:rFonts w:ascii="Times New Roman" w:hAnsi="Times New Roman" w:cs="Times New Roman"/>
          <w:sz w:val="20"/>
          <w:szCs w:val="20"/>
        </w:rPr>
        <w:t xml:space="preserve">takiben PCR aşaması </w:t>
      </w:r>
      <w:r w:rsidR="0005160C" w:rsidRPr="007C1E0B">
        <w:rPr>
          <w:rFonts w:ascii="Times New Roman" w:hAnsi="Times New Roman" w:cs="Times New Roman"/>
          <w:sz w:val="20"/>
          <w:szCs w:val="20"/>
        </w:rPr>
        <w:t>yapılmalıdır.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Sonuçların nihai yorumlanmasında EURL-AP tarafından oluşturulan ve internet sitesinde yayınlananan SOP </w:t>
      </w:r>
      <w:r w:rsidR="0005160C" w:rsidRPr="007C1E0B">
        <w:rPr>
          <w:rFonts w:ascii="Times New Roman" w:hAnsi="Times New Roman" w:cs="Times New Roman"/>
          <w:sz w:val="20"/>
          <w:szCs w:val="20"/>
        </w:rPr>
        <w:t xml:space="preserve">‘ye dayanarak paralel numunelerinin sonuçlarının integyonuna ve yorumlanmasına dayanmaktadır.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2.2.6.1.</w:t>
      </w:r>
      <w:r w:rsidRPr="007C1E0B">
        <w:rPr>
          <w:rFonts w:ascii="Times New Roman" w:hAnsi="Times New Roman" w:cs="Times New Roman"/>
          <w:sz w:val="20"/>
          <w:szCs w:val="20"/>
        </w:rPr>
        <w:tab/>
        <w:t>Negatif sonuç</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Negatif bir sonuç aşağıdaki gibi raporlandırıl</w:t>
      </w:r>
      <w:r w:rsidR="0005160C" w:rsidRPr="007C1E0B">
        <w:rPr>
          <w:rFonts w:ascii="Times New Roman" w:hAnsi="Times New Roman" w:cs="Times New Roman"/>
          <w:sz w:val="20"/>
          <w:szCs w:val="20"/>
        </w:rPr>
        <w:t>malıdır</w:t>
      </w:r>
      <w:r w:rsidRPr="007C1E0B">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edilen numunede X’e ait DNA tespit edilmedi. (X: hedeflenen hayvan türü veya grubu)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2.2.6.2.   Pozitif sonuç</w:t>
      </w:r>
      <w:r w:rsidRPr="007C1E0B">
        <w:rPr>
          <w:rFonts w:ascii="Times New Roman" w:hAnsi="Times New Roman" w:cs="Times New Roman"/>
          <w:sz w:val="20"/>
          <w:szCs w:val="20"/>
        </w:rPr>
        <w:cr/>
        <w:t xml:space="preserve">Pozitif bir sonuç aşağıdaki </w:t>
      </w:r>
      <w:r w:rsidR="0005160C" w:rsidRPr="007C1E0B">
        <w:rPr>
          <w:rFonts w:ascii="Times New Roman" w:hAnsi="Times New Roman" w:cs="Times New Roman"/>
          <w:sz w:val="20"/>
          <w:szCs w:val="20"/>
        </w:rPr>
        <w:t>gibi</w:t>
      </w:r>
      <w:r w:rsidRPr="007C1E0B">
        <w:rPr>
          <w:rFonts w:ascii="Times New Roman" w:hAnsi="Times New Roman" w:cs="Times New Roman"/>
          <w:sz w:val="20"/>
          <w:szCs w:val="20"/>
        </w:rPr>
        <w:t xml:space="preserve"> raporlandırılmalıdır: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Analiz edilen numunede X’e ait DNA tespit edildi. (X: hedeflenen hayvan türü veya grubu)</w:t>
      </w:r>
    </w:p>
    <w:p w:rsidR="00520383" w:rsidRPr="007C1E0B" w:rsidRDefault="00520383" w:rsidP="001B722B">
      <w:pPr>
        <w:jc w:val="both"/>
        <w:rPr>
          <w:rFonts w:ascii="Times New Roman" w:hAnsi="Times New Roman" w:cs="Times New Roman"/>
          <w:sz w:val="20"/>
          <w:szCs w:val="20"/>
        </w:rPr>
      </w:pPr>
    </w:p>
    <w:p w:rsidR="008F593F" w:rsidRPr="007C1E0B" w:rsidRDefault="0039089F" w:rsidP="001B722B">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EK-7</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KANATLI </w:t>
      </w:r>
      <w:r w:rsidR="00126F40" w:rsidRPr="007C1E0B">
        <w:rPr>
          <w:rFonts w:ascii="Times New Roman" w:hAnsi="Times New Roman" w:cs="Times New Roman"/>
          <w:b/>
          <w:sz w:val="20"/>
          <w:szCs w:val="20"/>
        </w:rPr>
        <w:t xml:space="preserve">KARMA </w:t>
      </w:r>
      <w:r w:rsidRPr="007C1E0B">
        <w:rPr>
          <w:rFonts w:ascii="Times New Roman" w:hAnsi="Times New Roman" w:cs="Times New Roman"/>
          <w:b/>
          <w:sz w:val="20"/>
          <w:szCs w:val="20"/>
        </w:rPr>
        <w:t>YEM</w:t>
      </w:r>
      <w:r w:rsidR="00126F40" w:rsidRPr="007C1E0B">
        <w:rPr>
          <w:rFonts w:ascii="Times New Roman" w:hAnsi="Times New Roman" w:cs="Times New Roman"/>
          <w:b/>
          <w:sz w:val="20"/>
          <w:szCs w:val="20"/>
        </w:rPr>
        <w:t xml:space="preserve">LERİNDE </w:t>
      </w:r>
      <w:r w:rsidRPr="007C1E0B">
        <w:rPr>
          <w:rFonts w:ascii="Times New Roman" w:hAnsi="Times New Roman" w:cs="Times New Roman"/>
          <w:b/>
          <w:sz w:val="20"/>
          <w:szCs w:val="20"/>
        </w:rPr>
        <w:t xml:space="preserve"> ENERJİ DEĞERİNİN HESAPLANMASI</w:t>
      </w:r>
      <w:r w:rsidR="00126F40" w:rsidRPr="007C1E0B">
        <w:rPr>
          <w:rFonts w:ascii="Times New Roman" w:hAnsi="Times New Roman" w:cs="Times New Roman"/>
          <w:b/>
          <w:sz w:val="20"/>
          <w:szCs w:val="20"/>
        </w:rPr>
        <w:t>NA YÖNELİK ANALİZ METODU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9012B" w:rsidRPr="007C1E0B">
        <w:rPr>
          <w:rFonts w:ascii="Times New Roman" w:hAnsi="Times New Roman" w:cs="Times New Roman"/>
          <w:sz w:val="20"/>
          <w:szCs w:val="20"/>
        </w:rPr>
        <w:t xml:space="preserve"> </w:t>
      </w:r>
      <w:r w:rsidR="00245B54" w:rsidRPr="007C1E0B">
        <w:rPr>
          <w:rFonts w:ascii="Times New Roman" w:hAnsi="Times New Roman" w:cs="Times New Roman"/>
          <w:sz w:val="20"/>
          <w:szCs w:val="20"/>
        </w:rPr>
        <w:t>HESAPLAMA METODU VE ENERJİ DEĞERİNİN İFADESİ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Kanatlı karma yemindeki enerji değeri, yemin belirli analitik bileşenlerinin yüzdesi temelinde aşağıda belirtilen formüle göre hesaplanmalıdır. Bu değer, karma yemin azota göre düzeltilmiş metabolize olabilir enerji (ME) değerini MJ/kg cinsinden ifade eder: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MJ/kg ME = 0,1551 × % ham protein + 0,3431 × % ham yağ + 0,1669 × % nişasta + 0,1301 × % toplam şeker (sakkaroz olarak).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79012B" w:rsidRPr="007C1E0B">
        <w:rPr>
          <w:rFonts w:ascii="Times New Roman" w:hAnsi="Times New Roman" w:cs="Times New Roman"/>
          <w:sz w:val="20"/>
          <w:szCs w:val="20"/>
        </w:rPr>
        <w:t xml:space="preserve"> </w:t>
      </w:r>
      <w:r w:rsidR="00245B54" w:rsidRPr="007C1E0B">
        <w:rPr>
          <w:rFonts w:ascii="Times New Roman" w:hAnsi="Times New Roman" w:cs="Times New Roman"/>
          <w:sz w:val="20"/>
          <w:szCs w:val="20"/>
        </w:rPr>
        <w:t>BEYAN EDİLEN DEĞERLER İÇİN GEÇERLİ TOLERANSLAR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Resmî muayenede, muayene sonuçları ile beyan edilen enerji değeri arasında bir farklılık (artan ya da azalan yem enerji değeri) ortaya çıkarsa, en az 0,4 MJ/kg ME’lik bir toleransa izin verilmelidir.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w:t>
      </w:r>
      <w:r w:rsidR="00245B54" w:rsidRPr="007C1E0B">
        <w:rPr>
          <w:rFonts w:ascii="Times New Roman" w:hAnsi="Times New Roman" w:cs="Times New Roman"/>
          <w:sz w:val="20"/>
          <w:szCs w:val="20"/>
        </w:rPr>
        <w:t>SONUCUN İFADE EDİLMESİ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Yukarıdaki formül uygulandıktan sonra, elde edilen sonuçlar bir ondalık hane ile verilmelidir.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79012B" w:rsidRPr="007C1E0B">
        <w:rPr>
          <w:rFonts w:ascii="Times New Roman" w:hAnsi="Times New Roman" w:cs="Times New Roman"/>
          <w:sz w:val="20"/>
          <w:szCs w:val="20"/>
        </w:rPr>
        <w:t xml:space="preserve"> </w:t>
      </w:r>
      <w:r w:rsidR="00245B54" w:rsidRPr="007C1E0B">
        <w:rPr>
          <w:rFonts w:ascii="Times New Roman" w:hAnsi="Times New Roman" w:cs="Times New Roman"/>
          <w:sz w:val="20"/>
          <w:szCs w:val="20"/>
        </w:rPr>
        <w:t>NUMUNE ALMA VE ANALİZ METOTLARI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Karma yemden numune alma ve hesaplama metodunda belirtilen analitik bileşenlerin içeriğinin tayini, resmî yem kontrolü için sırasıyla numune alma metotlarına ve analiz metotlarına göre gerçekleştirilmelidir.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Aşağıdakiler geçerlidir:</w:t>
      </w:r>
    </w:p>
    <w:p w:rsidR="008F593F" w:rsidRPr="007C1E0B" w:rsidRDefault="008F593F" w:rsidP="000748B1">
      <w:pPr>
        <w:pStyle w:val="ListeParagraf"/>
        <w:numPr>
          <w:ilvl w:val="0"/>
          <w:numId w:val="12"/>
        </w:numPr>
        <w:jc w:val="both"/>
        <w:rPr>
          <w:sz w:val="20"/>
          <w:szCs w:val="20"/>
        </w:rPr>
      </w:pPr>
      <w:r w:rsidRPr="007C1E0B">
        <w:rPr>
          <w:sz w:val="20"/>
          <w:szCs w:val="20"/>
        </w:rPr>
        <w:t xml:space="preserve"> ham yağ içeriğinin tayini için: EK-3, Bölüm H’de açıklanan, ham sıvı yağ ve katı yağ tayini metodu, metot B.</w:t>
      </w:r>
    </w:p>
    <w:p w:rsidR="008F593F" w:rsidRPr="007C1E0B" w:rsidRDefault="008F593F" w:rsidP="000748B1">
      <w:pPr>
        <w:pStyle w:val="ListeParagraf"/>
        <w:numPr>
          <w:ilvl w:val="0"/>
          <w:numId w:val="12"/>
        </w:numPr>
        <w:jc w:val="both"/>
        <w:rPr>
          <w:sz w:val="20"/>
          <w:szCs w:val="20"/>
        </w:rPr>
      </w:pPr>
      <w:r w:rsidRPr="007C1E0B">
        <w:rPr>
          <w:sz w:val="20"/>
          <w:szCs w:val="20"/>
        </w:rPr>
        <w:t xml:space="preserve"> nişasta içeriğinin tayini için: EK-3, Bölüm L’de belirtilen polarimetrik metot.</w:t>
      </w:r>
    </w:p>
    <w:p w:rsidR="00520383" w:rsidRPr="007C1E0B" w:rsidRDefault="00520383"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037D95" w:rsidRPr="007C1E0B" w:rsidRDefault="00037D95" w:rsidP="001B722B">
      <w:pPr>
        <w:jc w:val="both"/>
        <w:rPr>
          <w:rFonts w:ascii="Times New Roman" w:hAnsi="Times New Roman" w:cs="Times New Roman"/>
          <w:sz w:val="20"/>
          <w:szCs w:val="20"/>
        </w:rPr>
      </w:pPr>
    </w:p>
    <w:p w:rsidR="008F593F" w:rsidRPr="007C1E0B" w:rsidRDefault="0039089F" w:rsidP="00E66537">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8F593F" w:rsidRPr="007C1E0B">
        <w:rPr>
          <w:rFonts w:ascii="Times New Roman" w:hAnsi="Times New Roman" w:cs="Times New Roman"/>
          <w:b/>
          <w:sz w:val="20"/>
          <w:szCs w:val="20"/>
        </w:rPr>
        <w:t>EK-8</w:t>
      </w:r>
    </w:p>
    <w:p w:rsidR="008F593F" w:rsidRPr="007C1E0B" w:rsidRDefault="00126F40"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YEMLERDE KULLANIMI YASAKLANAN YEM KATKI MADDELERİNİN KONTROLÜNE YÖNELİK </w:t>
      </w:r>
      <w:r w:rsidR="008F593F" w:rsidRPr="007C1E0B">
        <w:rPr>
          <w:rFonts w:ascii="Times New Roman" w:hAnsi="Times New Roman" w:cs="Times New Roman"/>
          <w:b/>
          <w:sz w:val="20"/>
          <w:szCs w:val="20"/>
        </w:rPr>
        <w:t>ANALİZ METOTLARI</w:t>
      </w:r>
    </w:p>
    <w:p w:rsidR="008F593F" w:rsidRPr="007C1E0B" w:rsidRDefault="00C92BF2" w:rsidP="001B722B">
      <w:pPr>
        <w:jc w:val="both"/>
        <w:rPr>
          <w:rFonts w:ascii="Times New Roman" w:hAnsi="Times New Roman" w:cs="Times New Roman"/>
          <w:sz w:val="20"/>
          <w:szCs w:val="20"/>
        </w:rPr>
      </w:pPr>
      <w:r w:rsidRPr="007C1E0B">
        <w:rPr>
          <w:rFonts w:ascii="Times New Roman" w:hAnsi="Times New Roman" w:cs="Times New Roman"/>
          <w:sz w:val="20"/>
          <w:szCs w:val="20"/>
        </w:rPr>
        <w:t>Bu ekte belirtilen analiz metotlarından daha hassas analiz metotları, yemde izin verilmeyen katkı maddelerini saptamada kullanılabilir.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A. </w:t>
      </w:r>
      <w:r w:rsidR="0079012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METİL </w:t>
      </w:r>
      <w:r w:rsidR="00313305" w:rsidRPr="007C1E0B">
        <w:rPr>
          <w:rFonts w:ascii="Times New Roman" w:hAnsi="Times New Roman" w:cs="Times New Roman"/>
          <w:b/>
          <w:sz w:val="20"/>
          <w:szCs w:val="20"/>
        </w:rPr>
        <w:t xml:space="preserve">BENZOQUAT </w:t>
      </w:r>
      <w:r w:rsidRPr="007C1E0B">
        <w:rPr>
          <w:rFonts w:ascii="Times New Roman" w:hAnsi="Times New Roman" w:cs="Times New Roman"/>
          <w:b/>
          <w:sz w:val="20"/>
          <w:szCs w:val="20"/>
        </w:rPr>
        <w:t>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7-benziloski-6-butil-3-metoksikarbonil-4-kinolin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metot; yemdeki metil </w:t>
      </w:r>
      <w:r w:rsidR="00313305" w:rsidRPr="007C1E0B">
        <w:rPr>
          <w:rFonts w:ascii="Times New Roman" w:hAnsi="Times New Roman" w:cs="Times New Roman"/>
          <w:sz w:val="20"/>
          <w:szCs w:val="20"/>
        </w:rPr>
        <w:t xml:space="preserve">benzoquat </w:t>
      </w:r>
      <w:r w:rsidRPr="007C1E0B">
        <w:rPr>
          <w:rFonts w:ascii="Times New Roman" w:hAnsi="Times New Roman" w:cs="Times New Roman"/>
          <w:sz w:val="20"/>
          <w:szCs w:val="20"/>
        </w:rPr>
        <w:t xml:space="preserve">seviyesinin tayinini mümkün kılar. </w:t>
      </w:r>
      <w:r w:rsidR="00C92BF2" w:rsidRPr="007C1E0B">
        <w:rPr>
          <w:rFonts w:ascii="Times New Roman" w:hAnsi="Times New Roman" w:cs="Times New Roman"/>
          <w:sz w:val="20"/>
          <w:szCs w:val="20"/>
        </w:rPr>
        <w:t xml:space="preserve">Tespit limiti (LOQ) </w:t>
      </w:r>
      <w:r w:rsidRPr="007C1E0B">
        <w:rPr>
          <w:rFonts w:ascii="Times New Roman" w:hAnsi="Times New Roman" w:cs="Times New Roman"/>
          <w:sz w:val="20"/>
          <w:szCs w:val="20"/>
        </w:rPr>
        <w:t xml:space="preserve">1 </w:t>
      </w:r>
      <w:r w:rsidR="00A14627" w:rsidRPr="007C1E0B">
        <w:rPr>
          <w:rFonts w:ascii="Times New Roman" w:hAnsi="Times New Roman" w:cs="Times New Roman"/>
          <w:sz w:val="20"/>
          <w:szCs w:val="20"/>
        </w:rPr>
        <w:t>m</w:t>
      </w:r>
      <w:r w:rsidRPr="007C1E0B">
        <w:rPr>
          <w:rFonts w:ascii="Times New Roman" w:hAnsi="Times New Roman" w:cs="Times New Roman"/>
          <w:sz w:val="20"/>
          <w:szCs w:val="20"/>
        </w:rPr>
        <w:t>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numuneden metanollü metansülfonik asit çözeltisi ile ekstrakte edilir. Ekstrakt, diklorometan, iyon değişim kromatografisi ve sonra yeniden diklorometan ile saflaştırılır.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içeriği, </w:t>
      </w:r>
      <w:r w:rsidR="00FC3DC6" w:rsidRPr="007C1E0B">
        <w:rPr>
          <w:rFonts w:ascii="Times New Roman" w:hAnsi="Times New Roman" w:cs="Times New Roman"/>
          <w:sz w:val="20"/>
          <w:szCs w:val="20"/>
        </w:rPr>
        <w:t>UV dedektörlü ters faz yüksek performans sıvı kromatografi (HPLC) tespit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Diklorometan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 HPLC saflı</w:t>
      </w:r>
      <w:r w:rsidR="007E47F0" w:rsidRPr="007C1E0B">
        <w:rPr>
          <w:rFonts w:ascii="Times New Roman" w:hAnsi="Times New Roman" w:cs="Times New Roman"/>
          <w:sz w:val="20"/>
          <w:szCs w:val="20"/>
        </w:rPr>
        <w:t>kta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HPLC mobil faz </w:t>
      </w:r>
    </w:p>
    <w:p w:rsidR="00A16496" w:rsidRPr="007C1E0B" w:rsidRDefault="00A16496" w:rsidP="00A16496">
      <w:pPr>
        <w:jc w:val="both"/>
        <w:rPr>
          <w:rFonts w:ascii="Times New Roman" w:hAnsi="Times New Roman" w:cs="Times New Roman"/>
          <w:sz w:val="20"/>
          <w:szCs w:val="20"/>
        </w:rPr>
      </w:pPr>
      <w:r w:rsidRPr="007C1E0B">
        <w:rPr>
          <w:rFonts w:ascii="Times New Roman" w:hAnsi="Times New Roman" w:cs="Times New Roman"/>
          <w:sz w:val="20"/>
          <w:szCs w:val="20"/>
        </w:rPr>
        <w:t>Metanol (3.2) ve su (HPLC saflıta) karışım 75 + 25 (v+v), 0,22 μm filtreden (4,5) geçirilir ve çözelti gazdan arındırılır (örneğin 10 dakika ultrasonik su banyosunda tutularak).</w:t>
      </w:r>
    </w:p>
    <w:p w:rsidR="00A16496" w:rsidRPr="007C1E0B" w:rsidRDefault="00A16496"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 Metanosülfonik asit çözeltisi, c = %</w:t>
      </w:r>
      <w:r w:rsidR="00FF567D" w:rsidRPr="007C1E0B">
        <w:rPr>
          <w:rFonts w:ascii="Times New Roman" w:hAnsi="Times New Roman" w:cs="Times New Roman"/>
          <w:sz w:val="20"/>
          <w:szCs w:val="20"/>
        </w:rPr>
        <w:t xml:space="preserve"> </w:t>
      </w:r>
      <w:r w:rsidRPr="007C1E0B">
        <w:rPr>
          <w:rFonts w:ascii="Times New Roman" w:hAnsi="Times New Roman" w:cs="Times New Roman"/>
          <w:sz w:val="20"/>
          <w:szCs w:val="20"/>
        </w:rPr>
        <w:t>2,  20,0 ml metansülfonik asit, metanol (3.2) ile 1000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Hidroklorik asit çözeltisi, c = %</w:t>
      </w:r>
      <w:r w:rsidR="00FF567D" w:rsidRPr="007C1E0B">
        <w:rPr>
          <w:rFonts w:ascii="Times New Roman" w:hAnsi="Times New Roman" w:cs="Times New Roman"/>
          <w:sz w:val="20"/>
          <w:szCs w:val="20"/>
        </w:rPr>
        <w:t xml:space="preserve"> </w:t>
      </w:r>
      <w:r w:rsidRPr="007C1E0B">
        <w:rPr>
          <w:rFonts w:ascii="Times New Roman" w:hAnsi="Times New Roman" w:cs="Times New Roman"/>
          <w:sz w:val="20"/>
          <w:szCs w:val="20"/>
        </w:rPr>
        <w:t>10, 100 ml hidroklorik asit (ρ20 1,18 g/ml), su ile 1000 ml’ye tamamlanır.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79012B" w:rsidRPr="007C1E0B">
        <w:rPr>
          <w:rFonts w:ascii="Times New Roman" w:hAnsi="Times New Roman" w:cs="Times New Roman"/>
          <w:sz w:val="20"/>
          <w:szCs w:val="20"/>
        </w:rPr>
        <w:t xml:space="preserve"> </w:t>
      </w:r>
      <w:r w:rsidR="008D2A2A" w:rsidRPr="007C1E0B">
        <w:rPr>
          <w:rFonts w:ascii="Times New Roman" w:hAnsi="Times New Roman" w:cs="Times New Roman"/>
          <w:sz w:val="20"/>
          <w:szCs w:val="20"/>
        </w:rPr>
        <w:t>Amberlit katyon değişim  reçinesi CG-120 (Na), 100 ila 200 göz açıklığında</w:t>
      </w:r>
    </w:p>
    <w:p w:rsidR="008F593F" w:rsidRPr="007C1E0B" w:rsidRDefault="008D2A2A" w:rsidP="001B722B">
      <w:pPr>
        <w:jc w:val="both"/>
        <w:rPr>
          <w:rFonts w:ascii="Times New Roman" w:hAnsi="Times New Roman" w:cs="Times New Roman"/>
          <w:sz w:val="20"/>
          <w:szCs w:val="20"/>
        </w:rPr>
      </w:pPr>
      <w:r w:rsidRPr="007C1E0B">
        <w:rPr>
          <w:rFonts w:ascii="Times New Roman" w:hAnsi="Times New Roman" w:cs="Times New Roman"/>
          <w:sz w:val="20"/>
          <w:szCs w:val="20"/>
        </w:rPr>
        <w:t>Reçine kullanımdan önce ön işleme tabi tutulur. 100 g reçine 500 ml hidroklorik asit çözeltisi (3.5) ile karıştırılır ve sıcak plakada sürekli karıştırarak kaynayana kadar ısıtılır. Soğuması beklenir ve asit boşaltılır. Vakum altında bir filtre kağıdından geçirilir. Reçine iki kez 500 ml’lik su ile ve ardından 250 ml’lik metanolle  (3.2) ile yıkanır. Reçine yeniden 250 ml’lik metanol ile durulanır ve Yıkama ortamındaki katı madde (reçine)  hava geçirerek kurutulur. Kuruyan reçine kapalı bir şişede saklanır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Standard madde: Saf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(7-benziloski-6-butil-3-metoksikarbonil-4-kinolin)</w:t>
      </w:r>
    </w:p>
    <w:p w:rsidR="008D2A2A"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3.7.1.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stok standart çözeltisi, 500 μg/ml, </w:t>
      </w:r>
    </w:p>
    <w:p w:rsidR="008D2A2A" w:rsidRPr="007C1E0B" w:rsidRDefault="008D2A2A" w:rsidP="001B722B">
      <w:pPr>
        <w:jc w:val="both"/>
        <w:rPr>
          <w:rFonts w:ascii="Times New Roman" w:hAnsi="Times New Roman" w:cs="Times New Roman"/>
          <w:sz w:val="20"/>
          <w:szCs w:val="20"/>
        </w:rPr>
      </w:pPr>
      <w:r w:rsidRPr="007C1E0B">
        <w:rPr>
          <w:rFonts w:ascii="Times New Roman" w:hAnsi="Times New Roman" w:cs="Times New Roman"/>
          <w:sz w:val="20"/>
          <w:szCs w:val="20"/>
        </w:rPr>
        <w:t>50 mg standart madde (3.7) 0,1 mg hassasiyetle tartılır,  metansülfonik asit çözeltisi ile (3.4) çözdürülür, hacmi balon jojede 100 ml’ye tamamlanır ve karıştırılır</w:t>
      </w:r>
      <w:r w:rsidR="00C247B4" w:rsidRPr="007C1E0B">
        <w:rPr>
          <w:rFonts w:ascii="Times New Roman" w:hAnsi="Times New Roman" w:cs="Times New Roman"/>
          <w:sz w:val="20"/>
          <w:szCs w:val="20"/>
        </w:rPr>
        <w:t>.</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3.7.2.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ara standart çözeltisi, 50 μg/ml,  </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5,0 ml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stok standart çözeltisi (3.7.1) 50 ml’lik balon jojeye metanolle (3.2) hacmi tamamlanır ve karıştırılır.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3.7.3.  Kalibrasyon çözeltileri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25 ml’lik balon jojelere 1,0, 2,0, 3,0, 4,0 ve 5,0 ml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ara standart çözelti hazırlamak için (3.7.2) aktarılır. Mobil faz (3.3) ile hacmi tamamlanır ve karıştırılır. Bu çözeltiler sırasıyla 2,0, 4,0, 6,0, 8,0 ve 10,0 μg/ml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konsantrasyonlarına sahiptir. Bu çözeltiler kullanmadan önce taze olarak hazırlanmalıdır.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  Cihaz</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4.1.  Laboratuvar  tipi  çalkalayıcı</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4.2.  Döner buharlaştırıcı (Rotary evaporator)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4.3.  Yaklaşık 200 ml kapasite hazneli ve bir musluk  takılmış cam kolon (250 mm x 15 mm)</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4.4.  Değişken dalga boylu UV yada DAD dedektörlü HPLC cihazı </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4.4.1.  HPLC kolonu: 300 mm x 4 mm, C18, 10 μm dolgu ya da eşdeğeri.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4.5.  Membran filtreler, 0,22 μm</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4.6.  Membran filtreler, 0,45 μm</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  Metot</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5.1.  Genel</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Bir kör yem numunesi,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ya da girişim yapan maddelerin olup olmadığını kontrol etmek için analiz edilmelidir.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5.1.2.  Numunedeki varlığına yakın miktarda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eklenen kör yem numunesi analiz edilerek geri alma yapılmalıdır. 15 mg/kg geri alma için 20 g kör yeme 600 μl stok standart çözeltisi (3.7.1) eklenir, karıştırılır ve ekstraksiyondan (5.2) önce 10 dakika beklenir. </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Bu metodun amacı doğrultusunda, kör yem numunesi analiz edilecek örnek tipine  benzer olmalı ve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içermemelidir.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5.2.  Ekstraksiyon</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Hazırlanmış numunden 0,01 g hassasiyetle yaklaşık 20 g tartılır ve 250 ml’lik erlene aktarılır. 100,0 ml metansülfonik asit çözeltisi (3.4) eklenir ve 30 dakika boyunca mekanik olarak (4.1) çalkalanır. Çözelti bir süzgeç kağıdından süzülür ve filtrat sıvı-sıvı ayırma aşaması (5.3) için saklanır.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5.3.  Sıvı-sıvı ayırma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Elde edilen (5.2) filtratın 25,0 ml’si, 100 ml hidroklorik asit çözeltisi (3.5) içeren 500 ml’lik bir ayırma hunisine aktarılır. Ayırma hunisine 100 ml diklorometan (3.1) eklenir ve bir dakika çalkalanır. Faz ayrımı beklenir ve alttaki (diklorometan) katman 500 ml’lik yuvarlak tabanlı bir balona akıtılır. Sulu fazın ekstraksiyon işlemi 40 ml’lik diklorometan ile iki kez daha yapılır ve bunlar yuvarlak tabanlı balon jojede ilk ekstrakt ile birleştirilir. Diklorometan ekstraktı, düşük basınç altında 40°C’de döner buharlaştırıcıda (rotary evaporator) (4.2) kuruyana kadar buharlaştırılır. Kalıntı 20 ila 25 ml metanolde (3.2) çözdürülür, balon joje kapatılır ve tüm ekstrakt iyon değişim kromatografisi (5.4) için saklanır.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5.4.  İyon değişimi kromatografisi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5.4.1.  İyon değişimi kolonunun hazırlanması</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Bir cam kolonunun (4.3) alt kısmına cam yününden küçük bir tıkaç yapılır. 50 ml hidroklorik asit (3.5) ile işlenmiş 5,0 g katyon değişim reçinesi karışımı(3.6) hazırlanır, cam kolona dökülür ve çökmesi beklenir.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Reçine yüzeyinin hemen üstündeki fazla asit akıtılır ve dışarı akış turnusol kağıdında nötr görünene kadar kolon su ile yıkanır. 50 ml metanol (3.2) kolona aktarılır ve reçine yüzeyine tahliye olması beklenir.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5.4.2.  Kolon kromatografisi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Bir pipetle, (5.3)’te elde edilen ekstrakt dikkatle kolona aktarılır. Yuvarlak tabanlı balon joje 5 ile 10 ml’lik  metanolle (3.2)  2 defa yıkanır ve bu yıkama  solventleri kolona aktarılır. Ekstrakt reçine yüzeyine akıtılır ve kolon 50 ml metanol ile yıkanır, akış hızının en fazla 5 ml/dakika dolduğundan emin olunur. Atık kısım atılır. 150 ml metansülfonik asit çözeltisi (3.4) kullanarak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kolondan elüe edilir ve kolondaki elüat 250 ml’lik bir konik cam erlene alınır.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5.5.  Sıvı-sıvı ayırma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(5.4.2)’de elde edilen elüat 1 litrelik ayırma hunisine alınır. Konik balon joje 5 ile 10 ml metanol (3.2) ile yıkanır bu yıkama suları ayırma hunisinin içeriği ile birleştirilir. 300 ml hidroklorik asit çözeltisi (3.5) ve 130 ml diklorometan (3.1) eklenir. 1 dakika çalkalanır ve fazın ayrılması beklenir. Alt (diklorometan) faz 500 ml’lik yuvarlak tabanlı bir balona akıtılır. Sıvı fazın ekstraksiyon işlemi 70 ml’lik diklorometan ile iki kez daha yapılır ve bunlar yuvarlak tabanlı balon jojede ilk ekstrakt ile birleştirilir.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Diklorometan ekstraktı, düşük basınç altında 40°C’de döner buharlaştırıcıda (rotary evaporator) (4.2) kuruyana kadar buharlaştırılır. Şişedeki kalıntı yaklaşık 5 ml metanol (3.2) içinde çözündürülür ve bu çözelti 10 ml’lik dereceli balon jojeye aktarılır. Yuvarlak tabanlı balon joje iki defa 1 ile 2 ml’lik  metanol ile durulanır ve bunlar balon jojeye aktarılır. Metanol ile hacmi tamamlanır ve karıştırılır.  Numune membran filtreden (4.6) süzülür ve HPLC tayini (5.6) için saklanır.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5.6.  HPLC tayini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5.6.1.  Parametreler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sıvı kromatografik kolon (4.4.1)</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HPLC mobil faz: Metanol-su karışımı (3.3)</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akış hızı: 1 - 1,5 ml/dakika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tespit dalga boyu: 265 nm</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enjeksiyon hacmi: 20 ila 50 μl</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4 μg/ml içeren kalibrasyon çözeltisi (3.7.3), tutarlı pik yükseklikleri (alanlar) ve alıkonma süreleri elde edene kadar birkaç kez enjekte edilerek kromatografik sistemin stabilitesi kontrol edilir.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5.6.2.  Kalibrasyon grafiği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(3.7.3) birkaç kez enjekte edilir ve her bir konsantrasyonun pik yükseklikleri (alanları) ölçülür.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çözeltilerinin apsisteki μg/ml cinsinden konsantrasyonlarına ordinatlarda denk gelen ortalama pik yükseklikleri ya da alanları kullanarak bir kalibrasyon grafiği çizilir.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5.6.3.  Numune çözeltisi</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aynı enjeksiyon hacmi kullanarak numune ekstraktı (5.5) birkaç kez enjekte edilir ve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piklerinin ortalama pik yüksekliği (alan) belirlenir.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6.  Sonuçların hesaplanması</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çözeltisinin konsantrasyonu, kalibrasyon grafiği (5.6.2) referans alınarak numune çözeltisinin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piklerinin ortalama yüksekliğinden (alan) μg/ml olarak belirlenir.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Numunenin mg/kg cinsinden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içeriği “w” aşağıdaki formülle elde edilir: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noProof/>
          <w:sz w:val="20"/>
          <w:szCs w:val="20"/>
        </w:rPr>
        <w:drawing>
          <wp:inline distT="0" distB="0" distL="0" distR="0" wp14:anchorId="0EAD759D" wp14:editId="2F85B884">
            <wp:extent cx="1059180" cy="495300"/>
            <wp:effectExtent l="0" t="0" r="762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59180" cy="495300"/>
                    </a:xfrm>
                    <a:prstGeom prst="rect">
                      <a:avLst/>
                    </a:prstGeom>
                    <a:noFill/>
                    <a:ln>
                      <a:noFill/>
                    </a:ln>
                  </pic:spPr>
                </pic:pic>
              </a:graphicData>
            </a:graphic>
          </wp:inline>
        </w:drawing>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c = Numune çözeltisinin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konsantrasyonu, μg/ml</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m =</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g olarak numunenin ağırlığı</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 Sonuçların validasyonu</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7.1.  Tanımlama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Analitin tanımlanması  ortak</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kromatografi yöntemi ile ya da numune ekstraktının ve 10 μg/ml içeren kalibrasyon çözeltisinin (3.7.3) spektrumlarının karşılaştırılacağı bir Diode Array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(DAD)kullanılarak yapılabilir.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7.1.1.  Ortak kromatografi (co-chromatography)</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Bir numune ekstraktına, uygun miktarda ara standart çözeltisi (3.7.2) eklenir. Eklenen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miktarı numune ekstraktındaki tahmini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miktarına benzer olmalıdır. </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Hem eklenen miktar hem de ekstraktın seyreltilmesi hesaba katılarak yalnızca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pikinin yüksekliği artırılmalıdır. Maksimum yüksekliğinin yarısı boyutundaki pik genişliği orijinal genişliğin yaklaşık % 10’u aralığında olmalıdır.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7.1.2.  Diode Array Tanımlama</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(a) Numunedeki maksimum absobsiyon ve standart spectranın tepe noktasındaki dalga boyu diode array sisteminin limitleri içinde olmalıdır.  Diode Array ile tespit için bu tipik olarak yaklaşık 2 nm’dir;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(b) 220 - 350 nm arasında, kromatogramdaki pik tepe noktasında kaydedilen numune ve standart spektrumları, spektrumun % 10 ila % 100 bağıl absorbans aralığından farklı olmamalıdır. Bu kriter aynı maksimum pik olduğunda ve gözlenen noktaların hiçbirinde iki spektrum arasındaki sapma, standart analizin absorbansının % 15’ini geçmediğinde karşılanır;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(c) 220 - 350 nm arasında, aynı ekstrakta  ait pikin yukarı eğim, tepe noktası ve aşağı eğim spektrumları, spektrumun % 10 ila % 100 bağıl absorbans aralığındaki bölümleri için birbirinden farklı olmamalıdır. Bu kriter, aynı maksimum pik olduğunda ve gözlenen hiçbir noktada spektrumlar arasındaki sapma,  tepe noktası spektrumunun absorbansının % 15’ini geçmediğinde karşılanır.</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BC5761" w:rsidRPr="007C1E0B" w:rsidRDefault="00BC5761" w:rsidP="00695BA9">
      <w:pPr>
        <w:jc w:val="both"/>
        <w:rPr>
          <w:rFonts w:ascii="Times New Roman" w:hAnsi="Times New Roman" w:cs="Times New Roman"/>
          <w:sz w:val="20"/>
          <w:szCs w:val="20"/>
        </w:rPr>
      </w:pPr>
    </w:p>
    <w:p w:rsidR="00BC5761" w:rsidRPr="007C1E0B" w:rsidRDefault="00BC5761" w:rsidP="00695BA9">
      <w:pPr>
        <w:jc w:val="both"/>
        <w:rPr>
          <w:rFonts w:ascii="Times New Roman" w:hAnsi="Times New Roman" w:cs="Times New Roman"/>
          <w:sz w:val="20"/>
          <w:szCs w:val="20"/>
        </w:rPr>
      </w:pPr>
    </w:p>
    <w:p w:rsidR="00BC5761" w:rsidRPr="007C1E0B" w:rsidRDefault="00BC5761" w:rsidP="00695BA9">
      <w:pPr>
        <w:jc w:val="both"/>
        <w:rPr>
          <w:rFonts w:ascii="Times New Roman" w:hAnsi="Times New Roman" w:cs="Times New Roman"/>
          <w:sz w:val="20"/>
          <w:szCs w:val="20"/>
        </w:rPr>
      </w:pP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7.2.  Tekrar edilebilirlik</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 xml:space="preserve">Aynı numunedekiiki paralel sonuçları arasındaki fark aşağıdaki değerleri geçmemelidir: 4 ile 20 mg/kg arasındaki metil </w:t>
      </w:r>
      <w:r w:rsidR="00313305" w:rsidRPr="007C1E0B">
        <w:rPr>
          <w:rFonts w:ascii="Times New Roman" w:hAnsi="Times New Roman" w:cs="Times New Roman"/>
          <w:sz w:val="20"/>
          <w:szCs w:val="20"/>
        </w:rPr>
        <w:t>benzoquat</w:t>
      </w:r>
      <w:r w:rsidRPr="007C1E0B">
        <w:rPr>
          <w:rFonts w:ascii="Times New Roman" w:hAnsi="Times New Roman" w:cs="Times New Roman"/>
          <w:sz w:val="20"/>
          <w:szCs w:val="20"/>
        </w:rPr>
        <w:t xml:space="preserve"> içeriği için daha yüksek sonuca bağıl % 10.</w:t>
      </w:r>
    </w:p>
    <w:p w:rsidR="00695BA9" w:rsidRPr="007C1E0B" w:rsidRDefault="00695BA9" w:rsidP="00695BA9">
      <w:pPr>
        <w:jc w:val="both"/>
        <w:rPr>
          <w:rFonts w:ascii="Times New Roman" w:hAnsi="Times New Roman" w:cs="Times New Roman"/>
          <w:sz w:val="20"/>
          <w:szCs w:val="20"/>
        </w:rPr>
      </w:pPr>
      <w:r w:rsidRPr="007C1E0B">
        <w:rPr>
          <w:rFonts w:ascii="Times New Roman" w:hAnsi="Times New Roman" w:cs="Times New Roman"/>
          <w:sz w:val="20"/>
          <w:szCs w:val="20"/>
        </w:rPr>
        <w:t>7.3.  Geri kazanım</w:t>
      </w:r>
    </w:p>
    <w:p w:rsidR="00695BA9" w:rsidRPr="007C1E0B" w:rsidRDefault="00695BA9" w:rsidP="001B722B">
      <w:pPr>
        <w:jc w:val="both"/>
        <w:rPr>
          <w:rFonts w:ascii="Times New Roman" w:hAnsi="Times New Roman" w:cs="Times New Roman"/>
          <w:sz w:val="20"/>
          <w:szCs w:val="20"/>
        </w:rPr>
      </w:pPr>
      <w:r w:rsidRPr="007C1E0B">
        <w:rPr>
          <w:rFonts w:ascii="Times New Roman" w:hAnsi="Times New Roman" w:cs="Times New Roman"/>
          <w:sz w:val="20"/>
          <w:szCs w:val="20"/>
        </w:rPr>
        <w:t>Standart eklenmiş bir kör numune için geri kazanım en az % 90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da beş numune analiz edilmiştir. Her numunede analizler paralel olarak gerçekleştirilmiştir.</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6"/>
        <w:gridCol w:w="1384"/>
        <w:gridCol w:w="1386"/>
        <w:gridCol w:w="1384"/>
        <w:gridCol w:w="1155"/>
        <w:gridCol w:w="1747"/>
      </w:tblGrid>
      <w:tr w:rsidR="007C1E0B" w:rsidRPr="007C1E0B" w:rsidTr="00803CA9">
        <w:trPr>
          <w:trHeight w:val="1004"/>
        </w:trPr>
        <w:tc>
          <w:tcPr>
            <w:tcW w:w="2016" w:type="dxa"/>
          </w:tcPr>
          <w:p w:rsidR="00A14627" w:rsidRPr="007C1E0B" w:rsidRDefault="00A14627" w:rsidP="001B722B">
            <w:pPr>
              <w:jc w:val="both"/>
              <w:rPr>
                <w:rFonts w:ascii="Times New Roman" w:hAnsi="Times New Roman" w:cs="Times New Roman"/>
                <w:sz w:val="20"/>
                <w:szCs w:val="20"/>
              </w:rPr>
            </w:pP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Kör</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Toz yem 1</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Pelet yem 1</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Toz yem 2</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Pelet yem 2</w:t>
            </w:r>
          </w:p>
        </w:tc>
      </w:tr>
      <w:tr w:rsidR="007C1E0B" w:rsidRPr="007C1E0B" w:rsidTr="00803CA9">
        <w:trPr>
          <w:trHeight w:val="740"/>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Ortalama [mg/kg]</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ND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8,90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8,70</w:t>
            </w:r>
          </w:p>
        </w:tc>
      </w:tr>
      <w:tr w:rsidR="007C1E0B" w:rsidRPr="007C1E0B" w:rsidTr="00803CA9">
        <w:trPr>
          <w:trHeight w:val="476"/>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 xml:space="preserve">r </w:t>
            </w:r>
            <w:r w:rsidRPr="007C1E0B">
              <w:rPr>
                <w:rFonts w:ascii="Times New Roman" w:hAnsi="Times New Roman" w:cs="Times New Roman"/>
                <w:sz w:val="20"/>
                <w:szCs w:val="20"/>
              </w:rPr>
              <w:t xml:space="preserve">[mg/kg]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0,30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0,20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0,60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0,50</w:t>
            </w:r>
          </w:p>
        </w:tc>
      </w:tr>
      <w:tr w:rsidR="007C1E0B" w:rsidRPr="007C1E0B" w:rsidTr="00803CA9">
        <w:trPr>
          <w:trHeight w:val="466"/>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6,70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6,70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5,70</w:t>
            </w:r>
          </w:p>
        </w:tc>
      </w:tr>
      <w:tr w:rsidR="007C1E0B" w:rsidRPr="007C1E0B" w:rsidTr="00803CA9">
        <w:trPr>
          <w:trHeight w:val="476"/>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[mg/kg]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0,40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0,50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0,90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1,00</w:t>
            </w:r>
          </w:p>
        </w:tc>
      </w:tr>
      <w:tr w:rsidR="007C1E0B" w:rsidRPr="007C1E0B" w:rsidTr="00803CA9">
        <w:trPr>
          <w:trHeight w:val="466"/>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BE6236"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 xml:space="preserve">[%]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8,90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11,10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10,10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11,50</w:t>
            </w:r>
          </w:p>
        </w:tc>
      </w:tr>
      <w:tr w:rsidR="007C1E0B" w:rsidRPr="007C1E0B" w:rsidTr="00803CA9">
        <w:trPr>
          <w:trHeight w:val="740"/>
        </w:trPr>
        <w:tc>
          <w:tcPr>
            <w:tcW w:w="201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Geri kazanım [%]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p>
        </w:tc>
        <w:tc>
          <w:tcPr>
            <w:tcW w:w="1386"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92,00 </w:t>
            </w:r>
          </w:p>
        </w:tc>
        <w:tc>
          <w:tcPr>
            <w:tcW w:w="1384"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93,00 </w:t>
            </w:r>
          </w:p>
        </w:tc>
        <w:tc>
          <w:tcPr>
            <w:tcW w:w="1155"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92,00 </w:t>
            </w:r>
          </w:p>
        </w:tc>
        <w:tc>
          <w:tcPr>
            <w:tcW w:w="1747" w:type="dxa"/>
          </w:tcPr>
          <w:p w:rsidR="00A14627" w:rsidRPr="007C1E0B" w:rsidRDefault="00A14627" w:rsidP="001B722B">
            <w:pPr>
              <w:jc w:val="both"/>
              <w:rPr>
                <w:rFonts w:ascii="Times New Roman" w:hAnsi="Times New Roman" w:cs="Times New Roman"/>
                <w:sz w:val="20"/>
                <w:szCs w:val="20"/>
              </w:rPr>
            </w:pPr>
            <w:r w:rsidRPr="007C1E0B">
              <w:rPr>
                <w:rFonts w:ascii="Times New Roman" w:hAnsi="Times New Roman" w:cs="Times New Roman"/>
                <w:sz w:val="20"/>
                <w:szCs w:val="20"/>
              </w:rPr>
              <w:t>89,00</w:t>
            </w:r>
          </w:p>
        </w:tc>
      </w:tr>
    </w:tbl>
    <w:p w:rsidR="00A14627"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b/>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ND = </w:t>
      </w:r>
      <w:r w:rsidR="00BD6801" w:rsidRPr="007C1E0B">
        <w:rPr>
          <w:rFonts w:ascii="Times New Roman" w:hAnsi="Times New Roman" w:cs="Times New Roman"/>
          <w:sz w:val="20"/>
          <w:szCs w:val="20"/>
        </w:rPr>
        <w:t>Tespit Edilmedi</w:t>
      </w:r>
    </w:p>
    <w:p w:rsidR="008F593F" w:rsidRPr="007C1E0B" w:rsidRDefault="00BD6801"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00BD1F8E" w:rsidRPr="007C1E0B">
        <w:rPr>
          <w:rFonts w:ascii="Times New Roman" w:hAnsi="Times New Roman" w:cs="Times New Roman"/>
          <w:sz w:val="20"/>
          <w:szCs w:val="20"/>
          <w:vertAlign w:val="subscript"/>
        </w:rPr>
        <w:t>r</w:t>
      </w:r>
      <w:r w:rsidR="008F593F"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00A14627"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00BD6801"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BD6801" w:rsidRPr="007C1E0B">
        <w:rPr>
          <w:rFonts w:ascii="Times New Roman" w:hAnsi="Times New Roman" w:cs="Times New Roman"/>
          <w:sz w:val="20"/>
          <w:szCs w:val="20"/>
        </w:rPr>
        <w:t xml:space="preserve"> Katsayısı</w:t>
      </w:r>
      <w:r w:rsidRPr="007C1E0B">
        <w:rPr>
          <w:rFonts w:ascii="Times New Roman" w:hAnsi="Times New Roman" w:cs="Times New Roman"/>
          <w:sz w:val="20"/>
          <w:szCs w:val="20"/>
        </w:rPr>
        <w:t>,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BD6801" w:rsidRPr="007C1E0B">
        <w:rPr>
          <w:rFonts w:ascii="Times New Roman" w:hAnsi="Times New Roman" w:cs="Times New Roman"/>
          <w:sz w:val="20"/>
          <w:szCs w:val="20"/>
        </w:rPr>
        <w:t xml:space="preserve">Tekrar </w:t>
      </w:r>
      <w:r w:rsidR="001D7C7B" w:rsidRPr="007C1E0B">
        <w:rPr>
          <w:rFonts w:ascii="Times New Roman" w:hAnsi="Times New Roman" w:cs="Times New Roman"/>
          <w:sz w:val="20"/>
          <w:szCs w:val="20"/>
        </w:rPr>
        <w:t>Üretilebilirliğin</w:t>
      </w:r>
      <w:r w:rsidR="00BD6801"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BD6801" w:rsidRPr="007C1E0B">
        <w:rPr>
          <w:rFonts w:ascii="Times New Roman" w:hAnsi="Times New Roman" w:cs="Times New Roman"/>
          <w:sz w:val="20"/>
          <w:szCs w:val="20"/>
        </w:rPr>
        <w:t>Tekrar Üretilebilirli</w:t>
      </w:r>
      <w:r w:rsidR="008654C1" w:rsidRPr="007C1E0B">
        <w:rPr>
          <w:rFonts w:ascii="Times New Roman" w:hAnsi="Times New Roman" w:cs="Times New Roman"/>
          <w:sz w:val="20"/>
          <w:szCs w:val="20"/>
        </w:rPr>
        <w:t>ğin</w:t>
      </w:r>
      <w:r w:rsidR="00BD6801"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00BD6801" w:rsidRPr="007C1E0B">
        <w:rPr>
          <w:rFonts w:ascii="Times New Roman" w:hAnsi="Times New Roman" w:cs="Times New Roman"/>
          <w:sz w:val="20"/>
          <w:szCs w:val="20"/>
        </w:rPr>
        <w:t xml:space="preserve"> Katsayısı</w:t>
      </w:r>
      <w:r w:rsidRPr="007C1E0B">
        <w:rPr>
          <w:rFonts w:ascii="Times New Roman" w:hAnsi="Times New Roman" w:cs="Times New Roman"/>
          <w:sz w:val="20"/>
          <w:szCs w:val="20"/>
        </w:rPr>
        <w:t>, %.</w:t>
      </w:r>
    </w:p>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B. OLAQUİNDOX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2-[N-2'-(hidroksietil)karbamoil]-3-metilkinoksalin-N</w:t>
      </w:r>
      <w:r w:rsidRPr="007C1E0B">
        <w:rPr>
          <w:rFonts w:ascii="Times New Roman" w:hAnsi="Times New Roman" w:cs="Times New Roman"/>
          <w:sz w:val="20"/>
          <w:szCs w:val="20"/>
          <w:vertAlign w:val="superscript"/>
        </w:rPr>
        <w:t>1</w:t>
      </w:r>
      <w:r w:rsidRPr="007C1E0B">
        <w:rPr>
          <w:rFonts w:ascii="Times New Roman" w:hAnsi="Times New Roman" w:cs="Times New Roman"/>
          <w:sz w:val="20"/>
          <w:szCs w:val="20"/>
        </w:rPr>
        <w:t>,N</w:t>
      </w:r>
      <w:r w:rsidRPr="007C1E0B">
        <w:rPr>
          <w:rFonts w:ascii="Times New Roman" w:hAnsi="Times New Roman" w:cs="Times New Roman"/>
          <w:sz w:val="20"/>
          <w:szCs w:val="20"/>
          <w:vertAlign w:val="superscript"/>
        </w:rPr>
        <w:t>4</w:t>
      </w:r>
      <w:r w:rsidRPr="007C1E0B">
        <w:rPr>
          <w:rFonts w:ascii="Times New Roman" w:hAnsi="Times New Roman" w:cs="Times New Roman"/>
          <w:sz w:val="20"/>
          <w:szCs w:val="20"/>
        </w:rPr>
        <w:t>-dioksit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olaquindox seviyesinin tayinini mümkün kılar. Miktar tayinlerinin sınırı 5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su-metanol karışımı ile ekstrakte edilir. Olaquindox içeriği,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ters fazlı yüksek performans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3.2.</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Metanol, HPLC </w:t>
      </w:r>
      <w:r w:rsidR="007E47F0" w:rsidRPr="007C1E0B">
        <w:rPr>
          <w:rFonts w:ascii="Times New Roman" w:hAnsi="Times New Roman" w:cs="Times New Roman"/>
          <w:sz w:val="20"/>
          <w:szCs w:val="20"/>
        </w:rPr>
        <w:t>s</w:t>
      </w:r>
      <w:r w:rsidRPr="007C1E0B">
        <w:rPr>
          <w:rFonts w:ascii="Times New Roman" w:hAnsi="Times New Roman" w:cs="Times New Roman"/>
          <w:sz w:val="20"/>
          <w:szCs w:val="20"/>
        </w:rPr>
        <w:t>aflı</w:t>
      </w:r>
      <w:r w:rsidR="007E47F0" w:rsidRPr="007C1E0B">
        <w:rPr>
          <w:rFonts w:ascii="Times New Roman" w:hAnsi="Times New Roman" w:cs="Times New Roman"/>
          <w:sz w:val="20"/>
          <w:szCs w:val="20"/>
        </w:rPr>
        <w:t>kta</w:t>
      </w:r>
    </w:p>
    <w:p w:rsidR="007E47F0"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Su, HPLC </w:t>
      </w:r>
      <w:r w:rsidR="007E47F0" w:rsidRPr="007C1E0B">
        <w:rPr>
          <w:rFonts w:ascii="Times New Roman" w:hAnsi="Times New Roman" w:cs="Times New Roman"/>
          <w:sz w:val="20"/>
          <w:szCs w:val="20"/>
        </w:rPr>
        <w:t>saflıkta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3.4.</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Su (3.3)-metanol (3.2) karışımı, 900 +100 (V + 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3.5. Standard madde: Saf olaquindox 2-[N-2'-(hidroksietil)karbamoil]-3-metilkinoksalin-N1,N4-dioksit, E851.</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3.5.1.  Olaquindox stok standart çözeltisi, 250 μg/ml</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50 mg olaquindox’u (3.5) 0,1 mg hassasiyetle 200 ml’lik balon jojeye tartılır ve yaklaşık 190 ml su eklenir. Ardından balon joje 20 dakika ultrasonik banyoya (4.1) konulur. Ultrasonik işlemden sonra çözelti oda sıcaklığına getirilir, su ile hacmi tamamlanır ve karıştırılır. Balon joje alüminyum folyo ile sarılır ve buzdolabında saklanır. Bu çözelti her ay taze olarak hazırlanmalıdır.</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3.5.2.  Olaquindox ara standart çözeltisi, 25 μg/ml</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10,0 ml stok standart çözeltisi (3.5.1) 100 ml’lik balon jojeye aktarılır, mobil fazla (3,4) hacmi tamamlanır ve karıştırılır. Balon joje alüminyum folyo ile sarılır ve buzdolabında saklanır. Bu çözelti her gün taze olarak hazırlanmalıdır.</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3.5.3.  Kalibrasyon çözeltileri</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50 ml’lik balon jojelere 1,0, 2,0, 5,0, 10,0, 15,0 ve 20,0 ml ara standart çözeltisi (3.5.2) aktarılır. Mobil faz (3,4) ile hacmi tamamlanır ve karıştırılır. Cam malzeme alüminyum folyo ile sarılır.</w:t>
      </w:r>
    </w:p>
    <w:p w:rsidR="00572C94"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 xml:space="preserve">Bu çözeltiler sırasıyla 0,5, 1,0, 2,5, 5,0, 7,5 ve 10,0 μg/ml olaquindox içerirBu çözeltiler her gün taze olarak hazırlanmalıdır. </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4. Cihaz</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4.1.  Ultrasonik banyo</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4.2.  Mekanik çalkalayıcı</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 xml:space="preserve">4.3.  HPLC cihazı, değişken dalga boyu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lü ya da Diode Array (DAD)dedektörlü</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4.3.1.  Sıvı kromatografik kolon, 250 mm × 4 mm, C18, 10 μm dolgu ya da eşdeğeri</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 xml:space="preserve">4.4.  Membran filtreler, 0,45 μm </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  Metot</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Not: Olaquindox ışığa duyarlıdır. Tüm metotlar hafif ışık altında ya da amber renkli cam malzeme kullanarak gerçekleştirilmelidir.</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5.1.  Genel</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5.1.1.  Olaquindox ya da girişim yapan maddelerin olup olmadığını kontrol etmek için bir kör yem analiz edilmelidir.</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5.1.2.  Numunedeki varlığına yakın miktarda olaquindox eklenen</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yem analiz edilerek bir geri kazanım</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çalışması yapılmalıdır. 50 mg/kg düzeyinde geri alma için  10,0 ml stok standardı çözeltisi (3.5.1) 250 ml’lik erlene alınır ve çözelti yaklaşık 0,5 ml’ye buharlaştırılır. 50 g kör yem eklenir, iyice karıştırılır 10 dakika dinlendirilir, ekstraksiyona (5.2) başlamadan önce birkaç kez yeniden karıştırılır.</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 xml:space="preserve">Not: Bu metodun amacı doğrultusunda , kör yem numunesi analiz edilecek örneğe benzer olmalı ve olaquindoxiçermemelidir. </w:t>
      </w:r>
    </w:p>
    <w:p w:rsidR="005F7CEA" w:rsidRPr="007C1E0B" w:rsidRDefault="005F7CEA" w:rsidP="005F7CEA">
      <w:pPr>
        <w:jc w:val="both"/>
        <w:rPr>
          <w:rFonts w:ascii="Times New Roman" w:hAnsi="Times New Roman" w:cs="Times New Roman"/>
          <w:sz w:val="20"/>
          <w:szCs w:val="20"/>
        </w:rPr>
      </w:pPr>
      <w:r w:rsidRPr="007C1E0B">
        <w:rPr>
          <w:rFonts w:ascii="Times New Roman" w:hAnsi="Times New Roman" w:cs="Times New Roman"/>
          <w:sz w:val="20"/>
          <w:szCs w:val="20"/>
        </w:rPr>
        <w:t>5.2.  Ekstraksiyon</w:t>
      </w:r>
    </w:p>
    <w:p w:rsidR="008F593F" w:rsidRPr="007C1E0B" w:rsidRDefault="005F7CEA" w:rsidP="001B722B">
      <w:pPr>
        <w:jc w:val="both"/>
        <w:rPr>
          <w:rFonts w:ascii="Times New Roman" w:hAnsi="Times New Roman" w:cs="Times New Roman"/>
          <w:sz w:val="20"/>
          <w:szCs w:val="20"/>
        </w:rPr>
      </w:pPr>
      <w:r w:rsidRPr="007C1E0B">
        <w:rPr>
          <w:rFonts w:ascii="Times New Roman" w:hAnsi="Times New Roman" w:cs="Times New Roman"/>
          <w:sz w:val="20"/>
          <w:szCs w:val="20"/>
        </w:rPr>
        <w:t>Yaklaşık 50 g numune 0,01 g hassasiyetle tartılır. 1000 ml’lik bir konik cam erlene aktarılır ve 100 ml metanol (3.1) eklenir ve balon joje 5 dakika boyunca ultrasonik banyoda (4.1) tutulur.. 410 ml su eklenir ve ultrasonik banyoda 15 dakika daha bırakılır. Balon joje ultrasonik banyodan alınır, 30 dakika çalkalayıcıda (4.2) çalkalanır ve katlanmış bir filtreden süzülür. 10,0 ml filtrat 20 ml’lik balon jojeye aktarılır, su ile işarete kadar tamamlanır ve karıştırılır.  Numune bir membran filtreden (4,4) süzülür. (bakınız 9) HPLC tayini (5.3) adımına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Analitik kolon (4.3.1):</w:t>
      </w:r>
    </w:p>
    <w:tbl>
      <w:tblPr>
        <w:tblStyle w:val="TabloKlavuzu"/>
        <w:tblW w:w="0" w:type="auto"/>
        <w:tblInd w:w="108" w:type="dxa"/>
        <w:tblLayout w:type="fixed"/>
        <w:tblLook w:val="04A0" w:firstRow="1" w:lastRow="0" w:firstColumn="1" w:lastColumn="0" w:noHBand="0" w:noVBand="1"/>
      </w:tblPr>
      <w:tblGrid>
        <w:gridCol w:w="4433"/>
        <w:gridCol w:w="4609"/>
      </w:tblGrid>
      <w:tr w:rsidR="007C1E0B" w:rsidRPr="007C1E0B" w:rsidTr="000B6C3A">
        <w:trPr>
          <w:trHeight w:val="554"/>
        </w:trPr>
        <w:tc>
          <w:tcPr>
            <w:tcW w:w="4433" w:type="dxa"/>
          </w:tcPr>
          <w:p w:rsidR="00A14627" w:rsidRPr="007C1E0B" w:rsidRDefault="00A14627" w:rsidP="000B6C3A">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Analitik kolon (4.3.1):</w:t>
            </w:r>
            <w:r w:rsidR="000B6C3A" w:rsidRPr="007C1E0B">
              <w:rPr>
                <w:rFonts w:ascii="Times New Roman" w:eastAsiaTheme="minorEastAsia" w:hAnsi="Times New Roman" w:cs="Times New Roman"/>
                <w:sz w:val="20"/>
                <w:szCs w:val="20"/>
                <w:lang w:eastAsia="tr-TR"/>
              </w:rPr>
              <w:t xml:space="preserve"> </w:t>
            </w:r>
          </w:p>
        </w:tc>
        <w:tc>
          <w:tcPr>
            <w:tcW w:w="4609"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p>
        </w:tc>
      </w:tr>
      <w:tr w:rsidR="007C1E0B" w:rsidRPr="007C1E0B" w:rsidTr="00803CA9">
        <w:trPr>
          <w:trHeight w:val="586"/>
        </w:trPr>
        <w:tc>
          <w:tcPr>
            <w:tcW w:w="4433"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Mobil faz (3.4):</w:t>
            </w:r>
          </w:p>
        </w:tc>
        <w:tc>
          <w:tcPr>
            <w:tcW w:w="4609"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Su (3.3)-metanol (3.2) karışımı, 900 100 (V + V).</w:t>
            </w:r>
          </w:p>
        </w:tc>
      </w:tr>
      <w:tr w:rsidR="007C1E0B" w:rsidRPr="007C1E0B" w:rsidTr="00803CA9">
        <w:trPr>
          <w:trHeight w:val="351"/>
        </w:trPr>
        <w:tc>
          <w:tcPr>
            <w:tcW w:w="4433"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Akış hızı:</w:t>
            </w:r>
          </w:p>
        </w:tc>
        <w:tc>
          <w:tcPr>
            <w:tcW w:w="4609"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1,5-2 ml/dak.</w:t>
            </w:r>
          </w:p>
        </w:tc>
      </w:tr>
      <w:tr w:rsidR="007C1E0B" w:rsidRPr="007C1E0B" w:rsidTr="00803CA9">
        <w:trPr>
          <w:trHeight w:val="351"/>
        </w:trPr>
        <w:tc>
          <w:tcPr>
            <w:tcW w:w="4433"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Tespit dalga boyu:</w:t>
            </w:r>
          </w:p>
        </w:tc>
        <w:tc>
          <w:tcPr>
            <w:tcW w:w="4609"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380 nm</w:t>
            </w:r>
          </w:p>
        </w:tc>
      </w:tr>
      <w:tr w:rsidR="00A14627" w:rsidRPr="007C1E0B" w:rsidTr="00803CA9">
        <w:trPr>
          <w:trHeight w:val="351"/>
        </w:trPr>
        <w:tc>
          <w:tcPr>
            <w:tcW w:w="4433"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Enjeksiyon hacmi:</w:t>
            </w:r>
          </w:p>
        </w:tc>
        <w:tc>
          <w:tcPr>
            <w:tcW w:w="4609" w:type="dxa"/>
          </w:tcPr>
          <w:p w:rsidR="00A14627" w:rsidRPr="007C1E0B" w:rsidRDefault="00A14627"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20 μl –100 μl</w:t>
            </w:r>
          </w:p>
        </w:tc>
      </w:tr>
    </w:tbl>
    <w:p w:rsidR="00A14627" w:rsidRPr="007C1E0B" w:rsidRDefault="00A14627"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2,5 μg/ml içeren kalibrasyon çözeltisini (3.5.3), tutarlı pik yükseklikleri ve alıkonma süreleri elde edilene kadar birkaç kez enjekte ederek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grafiği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(3.5.3) birkaç kez enjekte edilir ve her bir konsantrasyonun ortalama pik yükseklikleri (alanları) tayin edilir. Kalibrasyon çözeltilerinin apsisteki μg/ml cinsinden konsantrasyonlarına ordinatlarda denk gelen ortalama pik yükseklikleri (alanlar) kullanılarak bir kalibrasyon grafiği çizilir.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5.3.3.  Numune çözeltisi</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 aynı enjeksiyon  hacmi kullanarak numune ekstraktı (5.2) birkaç kez enjekte edilir ve olaquindox piklerinin ortalama pik yüksekliği (alan) belirlenir.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6.  Sonuçların hesaplanması</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Kalibrasyon grafiği (5.3.2) referans alınarak, numune çözeltisinin olaquindox pikinin ortalama yüksekliğinden (alan), numune çözeltisinin konsantrasyonu μg/ml cinsinden tayin edilir.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Numunenin mg/kg cinsinden olaquindox içeriği “w” aşağıdaki formülle elde edilir: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Pr="007C1E0B">
        <w:rPr>
          <w:rFonts w:ascii="Times New Roman" w:hAnsi="Times New Roman" w:cs="Times New Roman"/>
          <w:noProof/>
          <w:sz w:val="20"/>
          <w:szCs w:val="20"/>
        </w:rPr>
        <w:drawing>
          <wp:inline distT="0" distB="0" distL="0" distR="0" wp14:anchorId="1488E29B" wp14:editId="626A096E">
            <wp:extent cx="1013460" cy="45720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13460" cy="457200"/>
                    </a:xfrm>
                    <a:prstGeom prst="rect">
                      <a:avLst/>
                    </a:prstGeom>
                    <a:noFill/>
                    <a:ln>
                      <a:noFill/>
                    </a:ln>
                  </pic:spPr>
                </pic:pic>
              </a:graphicData>
            </a:graphic>
          </wp:inline>
        </w:drawing>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c = Numune ekstraktının olaquindox konsantrasyonu, μg/ml</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m = Test numunesinin ağırlığı (5.2), g</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  Sonuçların validasyonu</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7.1.  Tanımlama</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Analitin tanımlanması ortak kromatografi yöntemi ile ya da numune ekstraktının (5.2) ve 5,0 μg/ml içeren kalibrasyon çözeltisinin (3.5.3) spektrumlarının karşılaştırılacağı bir Diode Array dedektörü (DAD) kullanılarak onaylanabilir.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7.1.1.  Ortak kromatografi</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Bir numune ekstraktına (5.2), uygun miktarda kalibrasyon çözeltisi (3.5.3) eklenir. Eklenen olaquindox miktarı numune ekstraktında bulunan olaquindox miktarına benzer olmalıdır.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Hem eklenen miktar hem de ekstraktın seyreltilmesi hesaba katılarak yalnızca olaquindox pikinin yüksekliği</w:t>
      </w:r>
      <w:r w:rsidR="00BC5761" w:rsidRPr="007C1E0B">
        <w:rPr>
          <w:rFonts w:ascii="Times New Roman" w:hAnsi="Times New Roman" w:cs="Times New Roman"/>
          <w:sz w:val="20"/>
          <w:szCs w:val="20"/>
        </w:rPr>
        <w:t xml:space="preserve"> </w:t>
      </w:r>
      <w:r w:rsidRPr="007C1E0B">
        <w:rPr>
          <w:rFonts w:ascii="Times New Roman" w:hAnsi="Times New Roman" w:cs="Times New Roman"/>
          <w:sz w:val="20"/>
          <w:szCs w:val="20"/>
        </w:rPr>
        <w:t>artırılmalıdır. Yüksekliğinin yarısı boyutundaki pik genişliği, kirletilmemiş numune ekstraktının orijinal olaquindox piki genişliğinin ± % 10 aralı</w:t>
      </w:r>
      <w:r w:rsidRPr="007C1E0B">
        <w:rPr>
          <w:rFonts w:ascii="Times New Roman" w:hAnsi="Times New Roman" w:cs="Times New Roman" w:hint="eastAsia"/>
          <w:sz w:val="20"/>
          <w:szCs w:val="20"/>
        </w:rPr>
        <w:t>ğı</w:t>
      </w:r>
      <w:r w:rsidRPr="007C1E0B">
        <w:rPr>
          <w:rFonts w:ascii="Times New Roman" w:hAnsi="Times New Roman" w:cs="Times New Roman"/>
          <w:sz w:val="20"/>
          <w:szCs w:val="20"/>
        </w:rPr>
        <w:t>nda olmalıdır.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7.1.2.  Diode Array Tanımlama</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 xml:space="preserve">(a). Numunedeki maksimum absobsiyon ve standart spectranın tepe noktasındaki dalga boyu diode array sisteminin limitleri içinde olmalıdır.  </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 xml:space="preserve"> Diode Array saptama için bu tipik olarak ± 2 nm’dir.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(b) 220 ile 400 nm arasında, kromatogramın pik tepe noktasında kaydedilen numune ve standart spektrumlar, spektrumun % 10 ila % 100 bağıl absorbans aralığındaki bölümleri için farklı olmamalıdır. Bu kriter aynı maksimum pik olduğunda ve gözlenen noktaların hiçbirinde iki spektrum arasındaki sapma, standart analizin absorbansının % 15’ini geçmediğinde karşılanır.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(c) 220 ile 400 nm arasında, aynı ekstrakta ait pikin yukarı eğim, apeks ve aşağı eğim spektrumları, spektrumun % 10 ila % 100 bağıl absorbans aralığındaki bölümleri için birbirinden farklı olmamalıdır. Bu kriter, aynı maksimum piki olduğunda ve gözlenen tüm noktalarda spektrumlar arasındaki sapma, pik tepe noktası spektrumunun absorbansının % 15’ini geçmediğinde karşılanır.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7.2.  Tekrar edilebilirlik</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 10 ila 200 mg/kg arasındaki olaquindox içeriği için  aynı ürün üzerinde yapılan 2 parelel arasındaki fark yüksek sonucakıyasla  % 15’i geçmemelidir.</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7.3.  Geri kazanım</w:t>
      </w:r>
    </w:p>
    <w:p w:rsidR="00EB6737" w:rsidRPr="007C1E0B" w:rsidRDefault="00EB6737" w:rsidP="00EB6737">
      <w:pPr>
        <w:jc w:val="both"/>
        <w:rPr>
          <w:rFonts w:ascii="Times New Roman" w:hAnsi="Times New Roman" w:cs="Times New Roman"/>
          <w:sz w:val="20"/>
          <w:szCs w:val="20"/>
        </w:rPr>
      </w:pPr>
      <w:r w:rsidRPr="007C1E0B">
        <w:rPr>
          <w:rFonts w:ascii="Times New Roman" w:hAnsi="Times New Roman" w:cs="Times New Roman"/>
          <w:sz w:val="20"/>
          <w:szCs w:val="20"/>
        </w:rPr>
        <w:t>Standart eklenmiş bir kör numune için geri kazanım en az % 90 olmalıdır.</w:t>
      </w:r>
    </w:p>
    <w:p w:rsidR="008F593F" w:rsidRPr="007C1E0B" w:rsidRDefault="00EB6737" w:rsidP="001B722B">
      <w:pPr>
        <w:jc w:val="both"/>
        <w:rPr>
          <w:rFonts w:ascii="Times New Roman" w:hAnsi="Times New Roman" w:cs="Times New Roman"/>
          <w:sz w:val="20"/>
          <w:szCs w:val="20"/>
        </w:rPr>
      </w:pPr>
      <w:r w:rsidRPr="007C1E0B">
        <w:rPr>
          <w:rFonts w:ascii="Times New Roman" w:hAnsi="Times New Roman" w:cs="Times New Roman"/>
          <w:sz w:val="20"/>
          <w:szCs w:val="20"/>
        </w:rPr>
        <w:t>8.  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EC ortak çalışması düzenlenmiş, bu çalışmada 13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bir kör yem de dahil dört domuz yavrusu yemi numunesi analiz edilmiştir. Sonuçlar aşağıda verilmiştir:</w:t>
      </w:r>
    </w:p>
    <w:tbl>
      <w:tblPr>
        <w:tblW w:w="9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9"/>
        <w:gridCol w:w="1440"/>
        <w:gridCol w:w="1439"/>
        <w:gridCol w:w="1440"/>
        <w:gridCol w:w="2160"/>
      </w:tblGrid>
      <w:tr w:rsidR="007C1E0B" w:rsidRPr="007C1E0B" w:rsidTr="00803CA9">
        <w:trPr>
          <w:trHeight w:val="40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1</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2</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3</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4</w:t>
            </w:r>
          </w:p>
        </w:tc>
      </w:tr>
      <w:tr w:rsidR="007C1E0B" w:rsidRPr="007C1E0B" w:rsidTr="00803CA9">
        <w:trPr>
          <w:trHeight w:val="27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L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13</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11</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11</w:t>
            </w:r>
          </w:p>
        </w:tc>
      </w:tr>
      <w:tr w:rsidR="007C1E0B" w:rsidRPr="007C1E0B" w:rsidTr="00803CA9">
        <w:trPr>
          <w:trHeight w:val="284"/>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40</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40</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44</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44</w:t>
            </w:r>
          </w:p>
        </w:tc>
      </w:tr>
      <w:tr w:rsidR="007C1E0B" w:rsidRPr="007C1E0B" w:rsidTr="00803CA9">
        <w:trPr>
          <w:trHeight w:val="404"/>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14,6</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48,0</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95,4</w:t>
            </w:r>
          </w:p>
        </w:tc>
      </w:tr>
      <w:tr w:rsidR="007C1E0B" w:rsidRPr="007C1E0B" w:rsidTr="00803CA9">
        <w:trPr>
          <w:trHeight w:val="284"/>
        </w:trPr>
        <w:tc>
          <w:tcPr>
            <w:tcW w:w="2579" w:type="dxa"/>
          </w:tcPr>
          <w:p w:rsidR="00A14627" w:rsidRPr="007C1E0B" w:rsidRDefault="00BD6801" w:rsidP="00BD6801">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00A14627" w:rsidRPr="007C1E0B">
              <w:rPr>
                <w:rFonts w:ascii="Times New Roman" w:hAnsi="Times New Roman" w:cs="Times New Roman"/>
                <w:sz w:val="20"/>
                <w:szCs w:val="20"/>
                <w:vertAlign w:val="subscript"/>
              </w:rPr>
              <w:t>r</w:t>
            </w:r>
            <w:r w:rsidR="00A14627" w:rsidRPr="007C1E0B">
              <w:rPr>
                <w:rFonts w:ascii="Times New Roman" w:hAnsi="Times New Roman" w:cs="Times New Roman"/>
                <w:sz w:val="20"/>
                <w:szCs w:val="20"/>
              </w:rPr>
              <w:t xml:space="preserve"> [mg/kg]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0,82</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2,05</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6,36</w:t>
            </w:r>
          </w:p>
        </w:tc>
      </w:tr>
      <w:tr w:rsidR="007C1E0B" w:rsidRPr="007C1E0B" w:rsidTr="00803CA9">
        <w:trPr>
          <w:trHeight w:val="27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1,62</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4,28</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8,42</w:t>
            </w:r>
          </w:p>
        </w:tc>
      </w:tr>
      <w:tr w:rsidR="007C1E0B" w:rsidRPr="007C1E0B" w:rsidTr="00803CA9">
        <w:trPr>
          <w:trHeight w:val="284"/>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E861EA"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 xml:space="preserve">[%]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4,3</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6,7</w:t>
            </w:r>
          </w:p>
        </w:tc>
      </w:tr>
      <w:tr w:rsidR="007C1E0B" w:rsidRPr="007C1E0B" w:rsidTr="00803CA9">
        <w:trPr>
          <w:trHeight w:val="27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11,1</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8,9</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8,8</w:t>
            </w:r>
          </w:p>
        </w:tc>
      </w:tr>
      <w:tr w:rsidR="007C1E0B" w:rsidRPr="007C1E0B" w:rsidTr="00803CA9">
        <w:trPr>
          <w:trHeight w:val="40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Nominal içerik [mg/kg]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r>
      <w:tr w:rsidR="00A14627" w:rsidRPr="007C1E0B" w:rsidTr="00803CA9">
        <w:trPr>
          <w:trHeight w:val="279"/>
        </w:trPr>
        <w:tc>
          <w:tcPr>
            <w:tcW w:w="257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geri kazanım % </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439"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97,3</w:t>
            </w:r>
          </w:p>
        </w:tc>
        <w:tc>
          <w:tcPr>
            <w:tcW w:w="144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96,0</w:t>
            </w:r>
          </w:p>
        </w:tc>
        <w:tc>
          <w:tcPr>
            <w:tcW w:w="2160" w:type="dxa"/>
          </w:tcPr>
          <w:p w:rsidR="00A14627" w:rsidRPr="007C1E0B" w:rsidRDefault="00A14627"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95,4</w:t>
            </w:r>
          </w:p>
        </w:tc>
      </w:tr>
    </w:tbl>
    <w:p w:rsidR="00A14627" w:rsidRPr="007C1E0B" w:rsidRDefault="00A14627"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Tekil değerlerin sayısı</w:t>
      </w:r>
    </w:p>
    <w:p w:rsidR="008F593F" w:rsidRPr="007C1E0B" w:rsidRDefault="00BD6801"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008F593F" w:rsidRPr="007C1E0B">
        <w:rPr>
          <w:rFonts w:ascii="Times New Roman" w:hAnsi="Times New Roman" w:cs="Times New Roman"/>
          <w:sz w:val="20"/>
          <w:szCs w:val="20"/>
          <w:vertAlign w:val="subscript"/>
        </w:rPr>
        <w:t>r</w:t>
      </w:r>
      <w:r w:rsidR="008F593F"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008F593F"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Gözlem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Metot, 100 mg/kg’dan fazla olaquindox içeren yemler için valide edilmemiş olsa da, daha az numune ağırlığı alarak ve/veya ekstraktı (5.2) kalibrasyon grafiğinin (5.3.2) aralığı aralığında ki bir konsantrasyona erişecek şekilde seyrelterek tatmin edici sonu</w:t>
      </w:r>
      <w:r w:rsidRPr="007C1E0B">
        <w:rPr>
          <w:rFonts w:ascii="Times New Roman" w:hAnsi="Times New Roman" w:cs="Times New Roman" w:hint="eastAsia"/>
          <w:sz w:val="20"/>
          <w:szCs w:val="20"/>
        </w:rPr>
        <w:t>ç</w:t>
      </w:r>
      <w:r w:rsidRPr="007C1E0B">
        <w:rPr>
          <w:rFonts w:ascii="Times New Roman" w:hAnsi="Times New Roman" w:cs="Times New Roman"/>
          <w:sz w:val="20"/>
          <w:szCs w:val="20"/>
        </w:rPr>
        <w:t>lar almak mümkündür.</w:t>
      </w: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b/>
          <w:sz w:val="20"/>
          <w:szCs w:val="20"/>
        </w:rPr>
        <w:t xml:space="preserve">C. </w:t>
      </w:r>
      <w:r w:rsidR="0079012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AMPROLİUM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1-[(4-amino-2-propilpirimidin-5-il)metil]-2-metil-piridinyum klorür hidroklorür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yemdeki ve premikslerdeki amprolium seviyesinin tayinini mümkün kılar. Tespit limiti 1 mg/kg, ölçüm limiti 5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su-metanol karışımı ile ekstrakte edilir. Mobil faz ile seyreltilip membran ile süzüldükten sonra, amprolium içeriği,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kullanan katyon değişimi yüksek performanslı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Asetonitril, HPLC </w:t>
      </w:r>
      <w:r w:rsidR="00EB6737" w:rsidRPr="007C1E0B">
        <w:rPr>
          <w:rFonts w:ascii="Times New Roman" w:hAnsi="Times New Roman" w:cs="Times New Roman"/>
          <w:sz w:val="20"/>
          <w:szCs w:val="20"/>
        </w:rPr>
        <w:t>saflıkta</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Su, HPLC </w:t>
      </w:r>
      <w:r w:rsidR="00EB6737" w:rsidRPr="007C1E0B">
        <w:rPr>
          <w:rFonts w:ascii="Times New Roman" w:hAnsi="Times New Roman" w:cs="Times New Roman"/>
          <w:sz w:val="20"/>
          <w:szCs w:val="20"/>
        </w:rPr>
        <w:t>saflıkta</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dihidrojen fosfat çözeltisi, c = 0,1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13,80 g sodyum dihidrojen fosfat monohidrat 1000 ml’lik balon jojede su (3.3) içinde çözündürülür, suyla (3.3) </w:t>
      </w:r>
      <w:r w:rsidR="00EB6737" w:rsidRPr="007C1E0B">
        <w:rPr>
          <w:rFonts w:ascii="Times New Roman" w:hAnsi="Times New Roman" w:cs="Times New Roman"/>
          <w:sz w:val="20"/>
          <w:szCs w:val="20"/>
        </w:rPr>
        <w:t xml:space="preserve">hacmi </w:t>
      </w:r>
      <w:r w:rsidRPr="007C1E0B">
        <w:rPr>
          <w:rFonts w:ascii="Times New Roman" w:hAnsi="Times New Roman" w:cs="Times New Roman"/>
          <w:sz w:val="20"/>
          <w:szCs w:val="20"/>
        </w:rPr>
        <w:t>tamamlanır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perklorat çözeltisi, c = 1,6 mol/l.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224,74 g sodyum perklorat monohidrat 1000 ml’lik balon jojede su (3.3) içinde çözündürülür, suyla (3.3) </w:t>
      </w:r>
      <w:r w:rsidR="00FD73B5" w:rsidRPr="007C1E0B">
        <w:rPr>
          <w:rFonts w:ascii="Times New Roman" w:hAnsi="Times New Roman" w:cs="Times New Roman"/>
          <w:sz w:val="20"/>
          <w:szCs w:val="20"/>
        </w:rPr>
        <w:t xml:space="preserve">hacmi </w:t>
      </w:r>
      <w:r w:rsidRPr="007C1E0B">
        <w:rPr>
          <w:rFonts w:ascii="Times New Roman" w:hAnsi="Times New Roman" w:cs="Times New Roman"/>
          <w:sz w:val="20"/>
          <w:szCs w:val="20"/>
        </w:rPr>
        <w:t>tamamlanır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için mobil faz (bakınız 9.1)</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Asetonitril (3.2), sodyum dihidrojen fosfat çözeltisi (3.4) ve sodyum perklorat çözeltisi (3.5) karışımı, 450+450+100 (v+v+v). Kullanmadan önce 0,22 μm’lik bir membran filtreden (4.3) süzülür ve çözelti gazdan arındırılır (örn. Ultrasonik banyoda (4.4) en az 15 dakika).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3.7. Standard madde: saf amprolium, 1-[(4-amino-2-propilpirimidin-5-il)metil]-2-metil-piridinyum klorür hidroklorür, E 750 (bakınız 9.2).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Amprolium stok standart çözeltisi, 500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50 mg amprolium (3.7) en</w:t>
      </w:r>
      <w:r w:rsidR="00FC5657" w:rsidRPr="007C1E0B">
        <w:rPr>
          <w:rFonts w:ascii="Times New Roman" w:hAnsi="Times New Roman" w:cs="Times New Roman"/>
          <w:sz w:val="20"/>
          <w:szCs w:val="20"/>
        </w:rPr>
        <w:t xml:space="preserve"> az</w:t>
      </w:r>
      <w:r w:rsidRPr="007C1E0B">
        <w:rPr>
          <w:rFonts w:ascii="Times New Roman" w:hAnsi="Times New Roman" w:cs="Times New Roman"/>
          <w:sz w:val="20"/>
          <w:szCs w:val="20"/>
        </w:rPr>
        <w:t xml:space="preserve"> 0,1 mg hassasiyetle 100 ml’lik balon jojeye tartılır, 80 ml metanol (3.1) içinde çözündürülür ve balon joje 10 dakika ultrasonik banyoya (4.4)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Ultrasonik işlemden sonra çözelti oda sıcaklığına getirilir, su ile işarete kadar tamamlanır ve karıştırılır.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Amprolium ara standart çözeltisi, 50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5,0 ml stok standart çözeltisi (3.7.1) 50 ml’lik balon jojeye </w:t>
      </w:r>
      <w:r w:rsidR="00FC5657" w:rsidRPr="007C1E0B">
        <w:rPr>
          <w:rFonts w:ascii="Times New Roman" w:hAnsi="Times New Roman" w:cs="Times New Roman"/>
          <w:sz w:val="20"/>
          <w:szCs w:val="20"/>
        </w:rPr>
        <w:t>alınır</w:t>
      </w:r>
      <w:r w:rsidRPr="007C1E0B">
        <w:rPr>
          <w:rFonts w:ascii="Times New Roman" w:hAnsi="Times New Roman" w:cs="Times New Roman"/>
          <w:sz w:val="20"/>
          <w:szCs w:val="20"/>
        </w:rPr>
        <w:t>, ekstraksiyon çözücüsüyle (3.8) işarete kadar tamamlanır ve karıştırılır.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dizi 50 ml’lik balon jojeye 0,5, 1,0 ve 2,0 ml ara standart çözeltisi (3.7.2) aktarılır.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Mobil faz (3,6) ile işarete kadar tamamlanır ve karıştırılır. Bu çözeltiler sırasıyla 0,5, 1,0 ve 2,0 μg/ml amprolium</w:t>
      </w:r>
      <w:r w:rsidR="00FC5657" w:rsidRPr="007C1E0B">
        <w:rPr>
          <w:rFonts w:ascii="Times New Roman" w:hAnsi="Times New Roman" w:cs="Times New Roman"/>
          <w:sz w:val="20"/>
          <w:szCs w:val="20"/>
        </w:rPr>
        <w:t xml:space="preserve"> içerir</w:t>
      </w:r>
      <w:r w:rsidRPr="007C1E0B">
        <w:rPr>
          <w:rFonts w:ascii="Times New Roman" w:hAnsi="Times New Roman" w:cs="Times New Roman"/>
          <w:sz w:val="20"/>
          <w:szCs w:val="20"/>
        </w:rPr>
        <w:t>. Bu çözeltiler kullanmadan önce taze olarak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3.8.</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 çözücüsü.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Metanol (3.1) -su karışımı 2+1 (v+v).</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100 μl’lik hacimleri enjekte etmeye uygun enjeksiyon sistemli HPLC cihazı.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125 mm × 4 mm, katyon değişimi Nucleosil 10 SA, 5 ya da 10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Değişken dalga boyu ayarlı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ya da Diode Array dedektörü.</w:t>
      </w:r>
      <w:r w:rsidR="00470439" w:rsidRPr="007C1E0B">
        <w:rPr>
          <w:rFonts w:ascii="Times New Roman" w:hAnsi="Times New Roman" w:cs="Times New Roman"/>
          <w:sz w:val="20"/>
          <w:szCs w:val="20"/>
        </w:rPr>
        <w:t>(DAD)</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PTFE materyali,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0,22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Ultrasonik banyo.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4.5. Mekanik çalkalayıcı ya da manyetik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Metot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470439" w:rsidRPr="007C1E0B" w:rsidRDefault="00470439" w:rsidP="00470439">
      <w:pPr>
        <w:jc w:val="both"/>
        <w:rPr>
          <w:rFonts w:ascii="Times New Roman" w:hAnsi="Times New Roman" w:cs="Times New Roman"/>
          <w:sz w:val="20"/>
          <w:szCs w:val="20"/>
        </w:rPr>
      </w:pPr>
      <w:r w:rsidRPr="007C1E0B">
        <w:rPr>
          <w:rFonts w:ascii="Times New Roman" w:hAnsi="Times New Roman" w:cs="Times New Roman"/>
          <w:sz w:val="20"/>
          <w:szCs w:val="20"/>
        </w:rPr>
        <w:t>5.1.1.  Kör yem</w:t>
      </w:r>
    </w:p>
    <w:p w:rsidR="00470439" w:rsidRPr="007C1E0B" w:rsidRDefault="00470439" w:rsidP="00470439">
      <w:pPr>
        <w:jc w:val="both"/>
        <w:rPr>
          <w:rFonts w:ascii="Times New Roman" w:hAnsi="Times New Roman" w:cs="Times New Roman"/>
          <w:sz w:val="20"/>
          <w:szCs w:val="20"/>
        </w:rPr>
      </w:pPr>
      <w:r w:rsidRPr="007C1E0B">
        <w:rPr>
          <w:rFonts w:ascii="Times New Roman" w:hAnsi="Times New Roman" w:cs="Times New Roman"/>
          <w:sz w:val="20"/>
          <w:szCs w:val="20"/>
        </w:rPr>
        <w:t>Geri kazanım testinin (5.1.2) performansında, amprolium ya da girişim yapan maddeleri içermeyen  bir kör yem analiz edilmelidir. Kör yem numunedekine benzer türde olmalı ve analizde, amprolium ya da etkileyen maddeler tespit edilmemelidir.</w:t>
      </w:r>
    </w:p>
    <w:p w:rsidR="00470439" w:rsidRPr="007C1E0B" w:rsidRDefault="00470439" w:rsidP="00470439">
      <w:pPr>
        <w:jc w:val="both"/>
        <w:rPr>
          <w:rFonts w:ascii="Times New Roman" w:hAnsi="Times New Roman" w:cs="Times New Roman"/>
          <w:sz w:val="20"/>
          <w:szCs w:val="20"/>
        </w:rPr>
      </w:pPr>
      <w:r w:rsidRPr="007C1E0B">
        <w:rPr>
          <w:rFonts w:ascii="Times New Roman" w:hAnsi="Times New Roman" w:cs="Times New Roman"/>
          <w:sz w:val="20"/>
          <w:szCs w:val="20"/>
        </w:rPr>
        <w:t>5.1.2.  Geri kazanım testi</w:t>
      </w:r>
    </w:p>
    <w:p w:rsidR="00470439" w:rsidRPr="007C1E0B" w:rsidRDefault="00470439" w:rsidP="00470439">
      <w:pPr>
        <w:jc w:val="both"/>
        <w:rPr>
          <w:rFonts w:ascii="Times New Roman" w:hAnsi="Times New Roman" w:cs="Times New Roman"/>
          <w:sz w:val="20"/>
          <w:szCs w:val="20"/>
        </w:rPr>
      </w:pPr>
      <w:r w:rsidRPr="007C1E0B">
        <w:rPr>
          <w:rFonts w:ascii="Times New Roman" w:hAnsi="Times New Roman" w:cs="Times New Roman"/>
          <w:sz w:val="20"/>
          <w:szCs w:val="20"/>
        </w:rPr>
        <w:t>Numunedeki varlığına yakın miktarda amprolium eklenen kör yem analiz edilerek bir geri kazanım testi yapılmalıdır. 100 mg/kg düzeyinde geri kazanım  için 10,0 ml stok standardı çözeltisi (3.7.1) 250 ml’lik erlene aktarılır ve çözelti yaklaşık 0,5 ml’ye buharlaştırılır.</w:t>
      </w:r>
    </w:p>
    <w:p w:rsidR="00470439" w:rsidRPr="007C1E0B" w:rsidRDefault="00470439" w:rsidP="00470439">
      <w:pPr>
        <w:jc w:val="both"/>
        <w:rPr>
          <w:rFonts w:ascii="Times New Roman" w:hAnsi="Times New Roman" w:cs="Times New Roman"/>
          <w:sz w:val="20"/>
          <w:szCs w:val="20"/>
        </w:rPr>
      </w:pPr>
      <w:r w:rsidRPr="007C1E0B">
        <w:rPr>
          <w:rFonts w:ascii="Times New Roman" w:hAnsi="Times New Roman" w:cs="Times New Roman"/>
          <w:sz w:val="20"/>
          <w:szCs w:val="20"/>
        </w:rPr>
        <w:t>50 g kör yem eklenir, iyice karıştırılır 10 dakika dinlendirilir, ekstraksiyona (5.2) geçilmeden önce birkaç kez yeniden karıştırılır.</w:t>
      </w:r>
    </w:p>
    <w:p w:rsidR="008F593F" w:rsidRPr="007C1E0B" w:rsidRDefault="00470439" w:rsidP="001B722B">
      <w:pPr>
        <w:jc w:val="both"/>
        <w:rPr>
          <w:rFonts w:ascii="Times New Roman" w:hAnsi="Times New Roman" w:cs="Times New Roman"/>
          <w:sz w:val="20"/>
          <w:szCs w:val="20"/>
        </w:rPr>
      </w:pPr>
      <w:r w:rsidRPr="007C1E0B">
        <w:rPr>
          <w:rFonts w:ascii="Times New Roman" w:hAnsi="Times New Roman" w:cs="Times New Roman"/>
          <w:sz w:val="20"/>
          <w:szCs w:val="20"/>
        </w:rPr>
        <w:t>Alternatif olarak, numune ile benzer türde bir kör yem mümkün değilse (bakınız 5.1.1), standart ekleme metodu yoluyla bir geri kazanım testi gerçekleştirilebilir. Bu durumda analiz edilecek numune, zaten numune içinde mevcut olana benzer bir miktar amprolium eklenir. Bu numune standart eklenmiş numune ile birlikte analiz edilir ve  standart ekleme yöntemi ile</w:t>
      </w:r>
      <w:r w:rsidR="00C7084D"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 hesaplanabilir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 (içerik &lt; %</w:t>
      </w:r>
      <w:r w:rsidR="008A145B" w:rsidRPr="007C1E0B">
        <w:rPr>
          <w:rFonts w:ascii="Times New Roman" w:hAnsi="Times New Roman" w:cs="Times New Roman"/>
          <w:sz w:val="20"/>
          <w:szCs w:val="20"/>
        </w:rPr>
        <w:t xml:space="preserve"> </w:t>
      </w:r>
      <w:r w:rsidRPr="007C1E0B">
        <w:rPr>
          <w:rFonts w:ascii="Times New Roman" w:hAnsi="Times New Roman" w:cs="Times New Roman"/>
          <w:sz w:val="20"/>
          <w:szCs w:val="20"/>
        </w:rPr>
        <w:t>1 amprolium) ve yem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Amprolium içeriğine göre 5-40 g numune 0,01 g hassasiyetle 500 ml’lik bir konik cam malzemeye tartılır ve 200 ml ekstraksiyon çözücüsü (3.8) eklenir. Balon joje ultrasonik banyoya (4.4)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15 dakika bırakılır. Balon joje ultrasonik banyodan alınır ve 1 saat  çalkalayıcıda çalkalanır ya da manyetik karıştırıcıda (4.5) karıştırılır. Ekstrakttan temsili bir miktarı mobil faz (3.6) ile 0,5-2 μg/ml amprolium içeriğine seyreltilir ve karıştırılır (bakınız 9.3). Bu seyreltilmiş çözeltiden 5-10 ml bir membran filtrede (4.2) süzülür. HPLC tayinine (5.3)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 (içerik ≥ %</w:t>
      </w:r>
      <w:r w:rsidR="008A145B" w:rsidRPr="007C1E0B">
        <w:rPr>
          <w:rFonts w:ascii="Times New Roman" w:hAnsi="Times New Roman" w:cs="Times New Roman"/>
          <w:sz w:val="20"/>
          <w:szCs w:val="20"/>
        </w:rPr>
        <w:t xml:space="preserve"> </w:t>
      </w:r>
      <w:r w:rsidRPr="007C1E0B">
        <w:rPr>
          <w:rFonts w:ascii="Times New Roman" w:hAnsi="Times New Roman" w:cs="Times New Roman"/>
          <w:sz w:val="20"/>
          <w:szCs w:val="20"/>
        </w:rPr>
        <w:t>1 amprolium)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Amprolium içeriğine göre 1-4 g premik</w:t>
      </w:r>
      <w:r w:rsidR="00C7084D" w:rsidRPr="007C1E0B">
        <w:rPr>
          <w:rFonts w:ascii="Times New Roman" w:hAnsi="Times New Roman" w:cs="Times New Roman"/>
          <w:sz w:val="20"/>
          <w:szCs w:val="20"/>
        </w:rPr>
        <w:t>s’</w:t>
      </w:r>
      <w:r w:rsidRPr="007C1E0B">
        <w:rPr>
          <w:rFonts w:ascii="Times New Roman" w:hAnsi="Times New Roman" w:cs="Times New Roman"/>
          <w:sz w:val="20"/>
          <w:szCs w:val="20"/>
        </w:rPr>
        <w:t xml:space="preserve">i 0,001 g hassasiyetle 500 ml’lik bir konik cam malzemeye tartılır ve 200 ml ekstraksiyon çözücüsü (3.8) eklenir. Balon joje ultrasonik banyoya (4.4) </w:t>
      </w:r>
      <w:r w:rsidR="00F00BC8" w:rsidRPr="007C1E0B">
        <w:rPr>
          <w:rFonts w:ascii="Times New Roman" w:hAnsi="Times New Roman" w:cs="Times New Roman"/>
          <w:sz w:val="20"/>
          <w:szCs w:val="20"/>
        </w:rPr>
        <w:t>konur</w:t>
      </w:r>
      <w:r w:rsidRPr="007C1E0B">
        <w:rPr>
          <w:rFonts w:ascii="Times New Roman" w:hAnsi="Times New Roman" w:cs="Times New Roman"/>
          <w:sz w:val="20"/>
          <w:szCs w:val="20"/>
        </w:rPr>
        <w:t xml:space="preserve"> ve 15 dakika bırakılır. Balon joje ultrasonik banyodan alınır ve 1 saat çalkalayıcıda çalkalanır ya da manyetik karıştırıcıda (4.5) karıştırılır. Ekstrakttan temsili bir miktarı mobil faz (3.6) ile 0,5-2 μg/ml amprolium içeriğine seyreltilir ve karıştırılır. Bu seyreltilmiş çözeltiden 5-10 ml’si bir membran filtrede (4.2) süzülür. HPLC tayinine (5.3) geçilir.</w:t>
      </w:r>
    </w:p>
    <w:p w:rsidR="00245B54" w:rsidRPr="007C1E0B" w:rsidRDefault="00245B54"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tbl>
      <w:tblPr>
        <w:tblStyle w:val="TabloKlavuzu"/>
        <w:tblW w:w="8982" w:type="dxa"/>
        <w:tblInd w:w="108" w:type="dxa"/>
        <w:tblLayout w:type="fixed"/>
        <w:tblLook w:val="04A0" w:firstRow="1" w:lastRow="0" w:firstColumn="1" w:lastColumn="0" w:noHBand="0" w:noVBand="1"/>
      </w:tblPr>
      <w:tblGrid>
        <w:gridCol w:w="4436"/>
        <w:gridCol w:w="4546"/>
      </w:tblGrid>
      <w:tr w:rsidR="007C1E0B" w:rsidRPr="007C1E0B" w:rsidTr="00803CA9">
        <w:trPr>
          <w:trHeight w:val="201"/>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xml:space="preserve">Sıvı kromatografik </w:t>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p>
        </w:tc>
      </w:tr>
      <w:tr w:rsidR="007C1E0B" w:rsidRPr="007C1E0B" w:rsidTr="00803CA9">
        <w:trPr>
          <w:trHeight w:val="665"/>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 xml:space="preserve">kolon (4.1.1): </w:t>
            </w:r>
            <w:r w:rsidRPr="007C1E0B">
              <w:rPr>
                <w:rFonts w:ascii="Times New Roman" w:hAnsi="Times New Roman" w:cs="Times New Roman"/>
                <w:sz w:val="20"/>
                <w:szCs w:val="20"/>
              </w:rPr>
              <w:tab/>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125 mm"/>
              </w:smartTagPr>
              <w:r w:rsidRPr="007C1E0B">
                <w:rPr>
                  <w:rFonts w:ascii="Times New Roman" w:hAnsi="Times New Roman" w:cs="Times New Roman"/>
                  <w:sz w:val="20"/>
                  <w:szCs w:val="20"/>
                </w:rPr>
                <w:t>125 mm</w:t>
              </w:r>
            </w:smartTag>
            <w:r w:rsidRPr="007C1E0B">
              <w:rPr>
                <w:rFonts w:ascii="Times New Roman" w:hAnsi="Times New Roman" w:cs="Times New Roman"/>
                <w:sz w:val="20"/>
                <w:szCs w:val="20"/>
              </w:rPr>
              <w:t xml:space="preserve"> × </w:t>
            </w:r>
            <w:smartTag w:uri="urn:schemas-microsoft-com:office:smarttags" w:element="metricconverter">
              <w:smartTagPr>
                <w:attr w:name="ProductID" w:val="4 mm"/>
              </w:smartTagPr>
              <w:r w:rsidRPr="007C1E0B">
                <w:rPr>
                  <w:rFonts w:ascii="Times New Roman" w:hAnsi="Times New Roman" w:cs="Times New Roman"/>
                  <w:sz w:val="20"/>
                  <w:szCs w:val="20"/>
                </w:rPr>
                <w:t>4 mm</w:t>
              </w:r>
            </w:smartTag>
            <w:r w:rsidRPr="007C1E0B">
              <w:rPr>
                <w:rFonts w:ascii="Times New Roman" w:hAnsi="Times New Roman" w:cs="Times New Roman"/>
                <w:sz w:val="20"/>
                <w:szCs w:val="20"/>
              </w:rPr>
              <w:t>, katyon değişimi Nucleosil 10 SA, 5 ya da 10 μm dolgu ya da eşdeğeri.</w:t>
            </w:r>
          </w:p>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p>
        </w:tc>
      </w:tr>
      <w:tr w:rsidR="007C1E0B" w:rsidRPr="007C1E0B" w:rsidTr="00803CA9">
        <w:trPr>
          <w:trHeight w:val="728"/>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Mobil faz (3,6):</w:t>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Asetonitril (3.2), sodyum dihidrojen fosfat çözeltisi (3.4) ve sodyum perklorat çözeltisi (3.5) karışımı, 450+450+100 (v+v+v).</w:t>
            </w:r>
          </w:p>
        </w:tc>
      </w:tr>
      <w:tr w:rsidR="007C1E0B" w:rsidRPr="007C1E0B" w:rsidTr="00803CA9">
        <w:trPr>
          <w:trHeight w:val="201"/>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Akış hızı:</w:t>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0,7-1 ml/dak</w:t>
            </w:r>
          </w:p>
        </w:tc>
      </w:tr>
      <w:tr w:rsidR="007C1E0B" w:rsidRPr="007C1E0B" w:rsidTr="00803CA9">
        <w:trPr>
          <w:trHeight w:val="201"/>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Tespit dalga boyu:</w:t>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264 nm</w:t>
            </w:r>
          </w:p>
        </w:tc>
      </w:tr>
      <w:tr w:rsidR="00E5673A" w:rsidRPr="007C1E0B" w:rsidTr="00803CA9">
        <w:trPr>
          <w:trHeight w:val="201"/>
        </w:trPr>
        <w:tc>
          <w:tcPr>
            <w:tcW w:w="443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Enjeksiyon hacmi:</w:t>
            </w:r>
          </w:p>
        </w:tc>
        <w:tc>
          <w:tcPr>
            <w:tcW w:w="4546" w:type="dxa"/>
          </w:tcPr>
          <w:p w:rsidR="00E5673A" w:rsidRPr="007C1E0B" w:rsidRDefault="00E5673A" w:rsidP="001B722B">
            <w:pPr>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100 μl</w:t>
            </w:r>
          </w:p>
        </w:tc>
      </w:tr>
    </w:tbl>
    <w:p w:rsidR="00E5673A" w:rsidRPr="007C1E0B" w:rsidRDefault="00E5673A"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1,0 μg/ml içeren kalibrasyon çözeltisi (3.7.3), tutarlı pik yükseklikleri ve alıkonma süreleri elde edene kadar birkaç kez enjekte edilerek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grafiği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(3.7.3) birkaç kez enjekte edilir ve her bir konsantrasyonun ortalama pik yükseklikleri (alanları) tayin edilir. Kalibrasyon çözeltilerinin apsisteki μg/ml cinsinden konsantrasyonlarına ordinatlarda denk gelen ortalama pik yüksekliklerini (alanlar) kullanarak bir kalibrasyon grafiği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çözeltileri için alınanla aynı hacmi kullanarak numune ekstraktı (5.2) birkaç kez enjekte edilir ve amprolium piklerinin ortalama pik yüksekliği (alan)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grafiğini (5.3.2) referans alınarak, aynı çözeltinin amprolium piklerinin ortalama yüksekliğinden (alan), numune çözeltisinin konsantrasyonu μg/ml cinsinden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Numunenin mg/kg cinsinden amprolium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E5673A" w:rsidRPr="007C1E0B">
        <w:rPr>
          <w:rFonts w:ascii="Times New Roman" w:hAnsi="Times New Roman" w:cs="Times New Roman"/>
          <w:noProof/>
          <w:sz w:val="20"/>
          <w:szCs w:val="20"/>
        </w:rPr>
        <w:drawing>
          <wp:inline distT="0" distB="0" distL="0" distR="0" wp14:anchorId="35388A5D" wp14:editId="5520D718">
            <wp:extent cx="1630680" cy="426720"/>
            <wp:effectExtent l="0" t="0" r="762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30680" cy="42672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 = Ekstraksiyon çözücüsünün (3.8) 5.2’e göre hacmi, ml (örneğin 200 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ekstraktının amprolium konsantrasyonu,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 = 5.2’ye göre seyreltme faktörü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 = </w:t>
      </w:r>
      <w:r w:rsidR="00AA3750" w:rsidRPr="007C1E0B">
        <w:rPr>
          <w:rFonts w:ascii="Times New Roman" w:hAnsi="Times New Roman" w:cs="Times New Roman"/>
          <w:sz w:val="20"/>
          <w:szCs w:val="20"/>
        </w:rPr>
        <w:t xml:space="preserve">Analize alınan numune </w:t>
      </w:r>
      <w:r w:rsidRPr="007C1E0B">
        <w:rPr>
          <w:rFonts w:ascii="Times New Roman" w:hAnsi="Times New Roman" w:cs="Times New Roman"/>
          <w:sz w:val="20"/>
          <w:szCs w:val="20"/>
        </w:rPr>
        <w:t>ağırlığı, g</w:t>
      </w:r>
      <w:r w:rsidR="00117DA7" w:rsidRPr="007C1E0B">
        <w:rPr>
          <w:rFonts w:ascii="Times New Roman" w:hAnsi="Times New Roman" w:cs="Times New Roman"/>
          <w:sz w:val="20"/>
          <w:szCs w:val="20"/>
        </w:rPr>
        <w:t xml:space="preserve"> </w:t>
      </w:r>
    </w:p>
    <w:p w:rsidR="00245B54" w:rsidRPr="007C1E0B" w:rsidRDefault="00245B54"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validasyonu</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Tanım</w:t>
      </w:r>
      <w:r w:rsidR="00117DA7" w:rsidRPr="007C1E0B">
        <w:rPr>
          <w:rFonts w:ascii="Times New Roman" w:hAnsi="Times New Roman" w:cs="Times New Roman"/>
          <w:sz w:val="20"/>
          <w:szCs w:val="20"/>
        </w:rPr>
        <w:t>lama</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Analitin tanımlanması ortak kromatografi ile ya da numune ekstraktının (5.2) ve 2,0 μg/ml içeren kalibrasyon çözeltisinin (3.7.3) spektrumlarının karşılaştırılacağı bir Diode Array dedektörü kullanılarak tanımlanır.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7.1.1.  Ortak kromatografi (co-chromatography)</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Bir numune ekstraktına (5.2), uygun miktarda kalibrasyon çözeltisi (3.7.3) eklenir. Eklenen amprolium miktarı numune ekstraktında bulunan amprolium miktarına benzer olmalıdır.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Hem eklenen miktar hem de ekstraktın seyreltilmesi hesaba katılarak yalnızca amprolium pikinin yüksekliği artırılmalıdır. Yüksekliğinin yarısı boyutundaki pik genişliği, kirletilmemiş numune ekstraktının orijinal amprolium piki genişliğinin ± % 10 aralığında olmalıdır.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7.1.2.  Diode Array Tanımlama</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 xml:space="preserve">(a) Numunedeki maksimum absobsiyon ve standart spectranın tepe noktasındaki dalga boyu diode array sisteminin limitleri içinde olmalıdır.  </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Diode Array saptama için bu tipik olarak ± 2 nm’dir.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(b) 210 ile 320 nm arasında, kromatogramın pik tepe noktasında kaydedilen numune ve standart spektrumlar, spektrumun % 10 ila % 100 bağıl absorbans aralığındaki bölümleri için farklı olmamalıdır. Bu kriter aynı maksimum piki olduğunda ve gözlenen noktaların hiçbirinde iki spektrum arasındaki sapma, standart analizin absorbansının % 15’ini geçmediğinde karşılanır.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 xml:space="preserve"> c) 210 ile 320 nm arasında, aynı ekstraktına ait  pikin yukarı eğim, apeks ve aşağı eğim spektrumları, spektrumun % 10 ila % 100 bağıl absorbans aralığındaki bölümleri için birbirinden farklı olmamalıdır. Bu kriter, aynı maksimum piki olduğunda ve gözlenen tüm noktalarda spektrumlar arasındaki sapma, pik tepe noktası spektrumunun absorbansının % 15’ini geçmediğinde karşılanır.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7.2.  Tekrar edilebilirlik</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Aynı numunenin iki paralel tayininin sonuçları arasındaki farkı aşağıdaki değerleri geçmemelidir: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 25 mg/kg ila 500 mg/kg amprolium içeriği için daha yüksek değere bağıl % 15,</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 500 mg/kg ile 1.000 mg/kg arasındaki amprolium içeriği için 75 mg/kg,</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 1000 mg/kg’dan fazla amprolium içeriği için fark  yüksek değere kıyasla  % 7,5 İ geçmemelidir.</w:t>
      </w:r>
    </w:p>
    <w:p w:rsidR="0051118D" w:rsidRPr="007C1E0B" w:rsidRDefault="0051118D" w:rsidP="0051118D">
      <w:pPr>
        <w:jc w:val="both"/>
        <w:rPr>
          <w:rFonts w:ascii="Times New Roman" w:hAnsi="Times New Roman" w:cs="Times New Roman"/>
          <w:sz w:val="20"/>
          <w:szCs w:val="20"/>
        </w:rPr>
      </w:pPr>
      <w:r w:rsidRPr="007C1E0B">
        <w:rPr>
          <w:rFonts w:ascii="Times New Roman" w:hAnsi="Times New Roman" w:cs="Times New Roman"/>
          <w:sz w:val="20"/>
          <w:szCs w:val="20"/>
        </w:rPr>
        <w:t>7.3.  Geri kazanım</w:t>
      </w:r>
    </w:p>
    <w:p w:rsidR="008F593F" w:rsidRPr="007C1E0B" w:rsidRDefault="0051118D" w:rsidP="001B722B">
      <w:pPr>
        <w:jc w:val="both"/>
        <w:rPr>
          <w:rFonts w:ascii="Times New Roman" w:hAnsi="Times New Roman" w:cs="Times New Roman"/>
          <w:sz w:val="20"/>
          <w:szCs w:val="20"/>
        </w:rPr>
      </w:pPr>
      <w:r w:rsidRPr="007C1E0B">
        <w:rPr>
          <w:rFonts w:ascii="Times New Roman" w:hAnsi="Times New Roman" w:cs="Times New Roman"/>
          <w:sz w:val="20"/>
          <w:szCs w:val="20"/>
        </w:rPr>
        <w:t>Standart eklenmiş bir (kör) numune için geri kazanım en az % 90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Bir ortak çalışma düzenlenmiş, bu çalışmada üç kanatlı  yemi (numune 1-3), bir mineral yem (numune 4) ve bir premiks (numune 5) analiz edilmiştir. Sonuçlar aşağıdaki tabloda verilmiştir:</w:t>
      </w:r>
    </w:p>
    <w:p w:rsidR="007C5AF9" w:rsidRPr="007C1E0B" w:rsidRDefault="007C5AF9" w:rsidP="001B722B">
      <w:pPr>
        <w:jc w:val="both"/>
        <w:rPr>
          <w:rFonts w:ascii="Times New Roman" w:hAnsi="Times New Roman" w:cs="Times New Roman"/>
          <w:sz w:val="20"/>
          <w:szCs w:val="20"/>
        </w:rPr>
      </w:pPr>
    </w:p>
    <w:p w:rsidR="007C5AF9" w:rsidRPr="007C1E0B" w:rsidRDefault="007C5AF9" w:rsidP="001B722B">
      <w:pPr>
        <w:jc w:val="both"/>
        <w:rPr>
          <w:rFonts w:ascii="Times New Roman" w:hAnsi="Times New Roman" w:cs="Times New Roman"/>
          <w:sz w:val="20"/>
          <w:szCs w:val="20"/>
        </w:rPr>
      </w:pPr>
    </w:p>
    <w:tbl>
      <w:tblPr>
        <w:tblW w:w="91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0"/>
        <w:gridCol w:w="1388"/>
        <w:gridCol w:w="1386"/>
        <w:gridCol w:w="1388"/>
        <w:gridCol w:w="1386"/>
        <w:gridCol w:w="1156"/>
      </w:tblGrid>
      <w:tr w:rsidR="007C1E0B" w:rsidRPr="007C1E0B" w:rsidTr="00803CA9">
        <w:trPr>
          <w:trHeight w:val="810"/>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Numune 1 </w:t>
            </w:r>
          </w:p>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(kör yem)</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2</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3</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4</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5</w:t>
            </w:r>
          </w:p>
        </w:tc>
      </w:tr>
      <w:tr w:rsidR="007C1E0B" w:rsidRPr="007C1E0B" w:rsidTr="00803CA9">
        <w:trPr>
          <w:trHeight w:val="315"/>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L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r>
      <w:tr w:rsidR="007C1E0B" w:rsidRPr="007C1E0B" w:rsidTr="00803CA9">
        <w:trPr>
          <w:trHeight w:val="449"/>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60</w:t>
            </w:r>
          </w:p>
        </w:tc>
      </w:tr>
      <w:tr w:rsidR="007C1E0B" w:rsidRPr="007C1E0B" w:rsidTr="00803CA9">
        <w:trPr>
          <w:trHeight w:val="658"/>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45,5</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188</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5129</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25140</w:t>
            </w:r>
          </w:p>
        </w:tc>
      </w:tr>
      <w:tr w:rsidR="007C1E0B" w:rsidRPr="007C1E0B" w:rsidTr="00803CA9">
        <w:trPr>
          <w:trHeight w:val="457"/>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2,26</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3,57</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178</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550</w:t>
            </w:r>
          </w:p>
        </w:tc>
      </w:tr>
      <w:tr w:rsidR="007C1E0B" w:rsidRPr="007C1E0B" w:rsidTr="00803CA9">
        <w:trPr>
          <w:trHeight w:val="449"/>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00C73E5D" w:rsidRPr="007C1E0B">
              <w:rPr>
                <w:rFonts w:ascii="Times New Roman" w:hAnsi="Times New Roman" w:cs="Times New Roman"/>
                <w:sz w:val="20"/>
                <w:szCs w:val="20"/>
                <w:vertAlign w:val="subscript"/>
              </w:rPr>
              <w:t xml:space="preserve"> </w:t>
            </w:r>
            <w:r w:rsidRPr="007C1E0B">
              <w:rPr>
                <w:rFonts w:ascii="Times New Roman" w:hAnsi="Times New Roman" w:cs="Times New Roman"/>
                <w:sz w:val="20"/>
                <w:szCs w:val="20"/>
              </w:rPr>
              <w:t xml:space="preserve">[%]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4,95</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1,90</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3,46</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2,20</w:t>
            </w:r>
          </w:p>
        </w:tc>
      </w:tr>
      <w:tr w:rsidR="007C1E0B" w:rsidRPr="007C1E0B" w:rsidTr="00803CA9">
        <w:trPr>
          <w:trHeight w:val="457"/>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2,95</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11,8</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266</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760</w:t>
            </w:r>
          </w:p>
        </w:tc>
      </w:tr>
      <w:tr w:rsidR="007C1E0B" w:rsidRPr="007C1E0B" w:rsidTr="00803CA9">
        <w:trPr>
          <w:trHeight w:val="449"/>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6,47</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6,27</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5,19</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3,00</w:t>
            </w:r>
          </w:p>
        </w:tc>
      </w:tr>
      <w:tr w:rsidR="00E5673A" w:rsidRPr="007C1E0B" w:rsidTr="00803CA9">
        <w:trPr>
          <w:trHeight w:val="658"/>
        </w:trPr>
        <w:tc>
          <w:tcPr>
            <w:tcW w:w="2480"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nominal içerik [mg/kg] </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w:t>
            </w:r>
          </w:p>
        </w:tc>
        <w:tc>
          <w:tcPr>
            <w:tcW w:w="1388"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200</w:t>
            </w:r>
          </w:p>
        </w:tc>
        <w:tc>
          <w:tcPr>
            <w:tcW w:w="138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5000</w:t>
            </w:r>
          </w:p>
        </w:tc>
        <w:tc>
          <w:tcPr>
            <w:tcW w:w="1156"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25000</w:t>
            </w:r>
          </w:p>
        </w:tc>
      </w:tr>
    </w:tbl>
    <w:p w:rsidR="00E5673A" w:rsidRPr="007C1E0B" w:rsidRDefault="00E5673A"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Tekil değerlerin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1D7C7B" w:rsidRPr="007C1E0B">
        <w:rPr>
          <w:rFonts w:ascii="Times New Roman" w:hAnsi="Times New Roman" w:cs="Times New Roman"/>
          <w:sz w:val="20"/>
          <w:szCs w:val="20"/>
        </w:rPr>
        <w:t>Tekrar edilebilirliğin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 xml:space="preserve">Tekrar </w:t>
      </w:r>
      <w:r w:rsidR="001D7C7B" w:rsidRPr="007C1E0B">
        <w:rPr>
          <w:rFonts w:ascii="Times New Roman" w:hAnsi="Times New Roman" w:cs="Times New Roman"/>
          <w:sz w:val="20"/>
          <w:szCs w:val="20"/>
        </w:rPr>
        <w:t>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9. Gözlemler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Numune tiamin içeriyorsa, tiamin piki kromatogramda amprolium pikinden biraz önce görünür. Bu metodu </w:t>
      </w:r>
      <w:r w:rsidR="0053184A" w:rsidRPr="007C1E0B">
        <w:rPr>
          <w:rFonts w:ascii="Times New Roman" w:hAnsi="Times New Roman" w:cs="Times New Roman"/>
          <w:sz w:val="20"/>
          <w:szCs w:val="20"/>
        </w:rPr>
        <w:t xml:space="preserve">uygularken </w:t>
      </w:r>
      <w:r w:rsidRPr="007C1E0B">
        <w:rPr>
          <w:rFonts w:ascii="Times New Roman" w:hAnsi="Times New Roman" w:cs="Times New Roman"/>
          <w:sz w:val="20"/>
          <w:szCs w:val="20"/>
        </w:rPr>
        <w:t xml:space="preserve">amprolium ve tiamin ayrılmalıdır. </w:t>
      </w:r>
      <w:r w:rsidR="00497F4D" w:rsidRPr="007C1E0B">
        <w:rPr>
          <w:rFonts w:ascii="Times New Roman" w:hAnsi="Times New Roman" w:cs="Times New Roman"/>
          <w:sz w:val="20"/>
          <w:szCs w:val="20"/>
        </w:rPr>
        <w:t xml:space="preserve">Numunedeki </w:t>
      </w:r>
      <w:r w:rsidRPr="007C1E0B">
        <w:rPr>
          <w:rFonts w:ascii="Times New Roman" w:hAnsi="Times New Roman" w:cs="Times New Roman"/>
          <w:sz w:val="20"/>
          <w:szCs w:val="20"/>
        </w:rPr>
        <w:t>Amprolium ve tiamin bu metotda kullanılan kol</w:t>
      </w:r>
      <w:r w:rsidR="0053184A" w:rsidRPr="007C1E0B">
        <w:rPr>
          <w:rFonts w:ascii="Times New Roman" w:hAnsi="Times New Roman" w:cs="Times New Roman"/>
          <w:sz w:val="20"/>
          <w:szCs w:val="20"/>
        </w:rPr>
        <w:t>o</w:t>
      </w:r>
      <w:r w:rsidRPr="007C1E0B">
        <w:rPr>
          <w:rFonts w:ascii="Times New Roman" w:hAnsi="Times New Roman" w:cs="Times New Roman"/>
          <w:sz w:val="20"/>
          <w:szCs w:val="20"/>
        </w:rPr>
        <w:t>n (4.1.1) tarafından ayrılmazsa, mobil fazın %</w:t>
      </w:r>
      <w:r w:rsidR="00F93D38" w:rsidRPr="007C1E0B">
        <w:rPr>
          <w:rFonts w:ascii="Times New Roman" w:hAnsi="Times New Roman" w:cs="Times New Roman"/>
          <w:sz w:val="20"/>
          <w:szCs w:val="20"/>
        </w:rPr>
        <w:t xml:space="preserve"> </w:t>
      </w:r>
      <w:r w:rsidRPr="007C1E0B">
        <w:rPr>
          <w:rFonts w:ascii="Times New Roman" w:hAnsi="Times New Roman" w:cs="Times New Roman"/>
          <w:sz w:val="20"/>
          <w:szCs w:val="20"/>
        </w:rPr>
        <w:t>50 asetonitril kısmı (3.6) metanol ile değiştirilir.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İngiliz Farmakopesine göre bir amprolium çözeltisinin (c = 0,02 mol/l) hidroklorik asit (c = 0,1 mol/l) içindeki spektrumu 246 nm ve 262 nm’de maksimum pikler gösterir. Absorbans 246 nm’de 0,84 ve 262 nm’de 0,80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9.3.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Ekstrakt her zaman mobil fazla seyreltilmelidir, çünkü amprolium pikinin</w:t>
      </w:r>
      <w:r w:rsidR="00497F4D" w:rsidRPr="007C1E0B">
        <w:rPr>
          <w:rFonts w:ascii="Times New Roman" w:hAnsi="Times New Roman" w:cs="Times New Roman"/>
          <w:sz w:val="20"/>
          <w:szCs w:val="20"/>
        </w:rPr>
        <w:t xml:space="preserve"> alıkonma süresi </w:t>
      </w:r>
      <w:r w:rsidRPr="007C1E0B">
        <w:rPr>
          <w:rFonts w:ascii="Times New Roman" w:hAnsi="Times New Roman" w:cs="Times New Roman"/>
          <w:sz w:val="20"/>
          <w:szCs w:val="20"/>
        </w:rPr>
        <w:t>iyonik güçteki değişime bağlı olarak önemli oranda kayabilir.</w:t>
      </w:r>
    </w:p>
    <w:p w:rsidR="002A04C1" w:rsidRPr="007C1E0B" w:rsidRDefault="002A04C1" w:rsidP="001B722B">
      <w:pPr>
        <w:jc w:val="both"/>
        <w:rPr>
          <w:rFonts w:ascii="Times New Roman" w:hAnsi="Times New Roman" w:cs="Times New Roman"/>
          <w:b/>
          <w:sz w:val="20"/>
          <w:szCs w:val="20"/>
        </w:rPr>
      </w:pPr>
    </w:p>
    <w:p w:rsidR="002A04C1" w:rsidRPr="007C1E0B" w:rsidRDefault="002A04C1" w:rsidP="001B722B">
      <w:pPr>
        <w:jc w:val="both"/>
        <w:rPr>
          <w:rFonts w:ascii="Times New Roman" w:hAnsi="Times New Roman" w:cs="Times New Roman"/>
          <w:b/>
          <w:sz w:val="20"/>
          <w:szCs w:val="20"/>
        </w:rPr>
      </w:pPr>
    </w:p>
    <w:p w:rsidR="008F593F" w:rsidRPr="007C1E0B" w:rsidRDefault="008F593F" w:rsidP="001B722B">
      <w:pPr>
        <w:jc w:val="both"/>
        <w:rPr>
          <w:rFonts w:ascii="Times New Roman" w:hAnsi="Times New Roman" w:cs="Times New Roman"/>
          <w:b/>
          <w:sz w:val="20"/>
          <w:szCs w:val="20"/>
        </w:rPr>
      </w:pPr>
      <w:r w:rsidRPr="007C1E0B">
        <w:rPr>
          <w:rFonts w:ascii="Times New Roman" w:hAnsi="Times New Roman" w:cs="Times New Roman" w:hint="eastAsia"/>
          <w:b/>
          <w:sz w:val="20"/>
          <w:szCs w:val="20"/>
        </w:rPr>
        <w:t>Ç</w:t>
      </w:r>
      <w:r w:rsidRPr="007C1E0B">
        <w:rPr>
          <w:rFonts w:ascii="Times New Roman" w:hAnsi="Times New Roman" w:cs="Times New Roman"/>
          <w:b/>
          <w:sz w:val="20"/>
          <w:szCs w:val="20"/>
        </w:rPr>
        <w:t xml:space="preserve">. </w:t>
      </w:r>
      <w:r w:rsidR="0079012B"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 xml:space="preserve">CARBADOX </w:t>
      </w:r>
      <w:r w:rsidR="002C589E" w:rsidRPr="007C1E0B">
        <w:rPr>
          <w:rFonts w:ascii="Times New Roman" w:hAnsi="Times New Roman" w:cs="Times New Roman"/>
          <w:b/>
          <w:sz w:val="20"/>
          <w:szCs w:val="20"/>
        </w:rPr>
        <w:t xml:space="preserve"> </w:t>
      </w:r>
      <w:r w:rsidRPr="007C1E0B">
        <w:rPr>
          <w:rFonts w:ascii="Times New Roman" w:hAnsi="Times New Roman" w:cs="Times New Roman"/>
          <w:b/>
          <w:sz w:val="20"/>
          <w:szCs w:val="20"/>
        </w:rPr>
        <w:t>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Methil 3-(2-kinoksalinilmetilen) carbazate N1,N4-dioksit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Amaç ve kapsam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metot, yemlerdeki, premikslerdeki ve preparatlardaki carbadox seviyesinin tayinini mümkün kılar. Tespit limiti 1 mg/kg, ölçüm limiti 5 mg/kg’dır.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Prensip</w:t>
      </w:r>
    </w:p>
    <w:p w:rsidR="008F593F" w:rsidRPr="007C1E0B" w:rsidRDefault="00E85699"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Numune su ile dengelenir ve metanol-asetonitril ile ekstrakte edilir. Filtrelenmiş yem ekstraktındantan temsili bir miktar, alüminyum oksit kolonunda temizlemeye tabi tutulur. Premiksler ve preparatlar için filtrelenmiş ekstrakttan bir miktar, su, metanol ve asetonitril ile uygun konsantrasyona seyreltilir. Carbadox içeriği, bir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 kullanılarak ters fazlı yüksek performans sıvı kromatografisi (HPLC) ile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Ayıraçlar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Asetonitril, HPLC kullanım saflığında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Asetik asit, w = %</w:t>
      </w:r>
      <w:r w:rsidR="009D7AF4" w:rsidRPr="007C1E0B">
        <w:rPr>
          <w:rFonts w:ascii="Times New Roman" w:hAnsi="Times New Roman" w:cs="Times New Roman"/>
          <w:sz w:val="20"/>
          <w:szCs w:val="20"/>
        </w:rPr>
        <w:t xml:space="preserve"> </w:t>
      </w:r>
      <w:r w:rsidRPr="007C1E0B">
        <w:rPr>
          <w:rFonts w:ascii="Times New Roman" w:hAnsi="Times New Roman" w:cs="Times New Roman"/>
          <w:sz w:val="20"/>
          <w:szCs w:val="20"/>
        </w:rPr>
        <w:t>100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Alüminyum oksit: nötr, etkinlik derecesi 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3.5.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Metanol-asetonitril 1+1 (v+v), 500 ml metanol (3.1) 500 ml asetonitril (3.2) ile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3.6.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Asetik asit, σ = %</w:t>
      </w:r>
      <w:r w:rsidR="009D7AF4" w:rsidRPr="007C1E0B">
        <w:rPr>
          <w:rFonts w:ascii="Times New Roman" w:hAnsi="Times New Roman" w:cs="Times New Roman"/>
          <w:sz w:val="20"/>
          <w:szCs w:val="20"/>
        </w:rPr>
        <w:t xml:space="preserve"> </w:t>
      </w:r>
      <w:r w:rsidRPr="007C1E0B">
        <w:rPr>
          <w:rFonts w:ascii="Times New Roman" w:hAnsi="Times New Roman" w:cs="Times New Roman"/>
          <w:sz w:val="20"/>
          <w:szCs w:val="20"/>
        </w:rPr>
        <w:t>10,  10 ml asetik asit (3.3) suyla 100 ml’ye seyreltilir.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3.7.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Sodyum asetat.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3.8.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Su, HPLC </w:t>
      </w:r>
      <w:r w:rsidR="00E85699" w:rsidRPr="007C1E0B">
        <w:rPr>
          <w:rFonts w:ascii="Times New Roman" w:hAnsi="Times New Roman" w:cs="Times New Roman"/>
          <w:sz w:val="20"/>
          <w:szCs w:val="20"/>
        </w:rPr>
        <w:t>saflıkta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3.9.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Asetat tampon çözeltisi, c = 0,01 mol/l, pH = 6,0,  0,82 g sodyum asetat (3.7) 700 ml su (3.8) içinde çözündürülür ve asetik asitle (3.6) pH’ı 6,0’a ayarlanır. 1000 ml’lik balon jojeye aktarılır, su (3.8) ile işarete kadar tamamlanır ve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3.10.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HPLC için mobil faz, 825 ml asetat tampon çözeltisi (3.9) 175 ml asetonitril (3.2) ile karıştırılır. 0,22 μm filtreden (4,5) süzülür ve çözelti gazdan arındırılır (örneğin 10 dakika ultrason </w:t>
      </w:r>
      <w:r w:rsidR="00BA548B" w:rsidRPr="007C1E0B">
        <w:rPr>
          <w:rFonts w:ascii="Times New Roman" w:hAnsi="Times New Roman" w:cs="Times New Roman"/>
          <w:sz w:val="20"/>
          <w:szCs w:val="20"/>
        </w:rPr>
        <w:t>su banyosu ile</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Standard madde, Saf carbadox: Methil 3-(2-kinoksalinilmetilen) carbazate N</w:t>
      </w:r>
      <w:r w:rsidRPr="007C1E0B">
        <w:rPr>
          <w:rFonts w:ascii="Times New Roman" w:hAnsi="Times New Roman" w:cs="Times New Roman"/>
          <w:sz w:val="20"/>
          <w:szCs w:val="20"/>
          <w:vertAlign w:val="superscript"/>
        </w:rPr>
        <w:t>1</w:t>
      </w:r>
      <w:r w:rsidRPr="007C1E0B">
        <w:rPr>
          <w:rFonts w:ascii="Times New Roman" w:hAnsi="Times New Roman" w:cs="Times New Roman"/>
          <w:sz w:val="20"/>
          <w:szCs w:val="20"/>
        </w:rPr>
        <w:t>,N</w:t>
      </w:r>
      <w:r w:rsidRPr="007C1E0B">
        <w:rPr>
          <w:rFonts w:ascii="Times New Roman" w:hAnsi="Times New Roman" w:cs="Times New Roman"/>
          <w:sz w:val="20"/>
          <w:szCs w:val="20"/>
          <w:vertAlign w:val="superscript"/>
        </w:rPr>
        <w:t>4</w:t>
      </w:r>
      <w:r w:rsidRPr="007C1E0B">
        <w:rPr>
          <w:rFonts w:ascii="Times New Roman" w:hAnsi="Times New Roman" w:cs="Times New Roman"/>
          <w:sz w:val="20"/>
          <w:szCs w:val="20"/>
        </w:rPr>
        <w:t>-dioksit, E 850.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3.11.1. Carbadox stok standart çözeltisi, 100 μg/ml (bakınız 5. Metot Not), 25 mg carbadox standart maddesi (3.11) 0,1 mg hassasiyetle 250 ml’lik balon jojeye tartılır.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Metanol-asetonitril (3.5) içinde ultrason </w:t>
      </w:r>
      <w:r w:rsidR="00BA548B" w:rsidRPr="007C1E0B">
        <w:rPr>
          <w:rFonts w:ascii="Times New Roman" w:hAnsi="Times New Roman" w:cs="Times New Roman"/>
          <w:sz w:val="20"/>
          <w:szCs w:val="20"/>
        </w:rPr>
        <w:t>su banyosu ile</w:t>
      </w:r>
      <w:r w:rsidR="00BA548B" w:rsidRPr="007C1E0B" w:rsidDel="00BA548B">
        <w:rPr>
          <w:rFonts w:ascii="Times New Roman" w:hAnsi="Times New Roman" w:cs="Times New Roman"/>
          <w:sz w:val="20"/>
          <w:szCs w:val="20"/>
        </w:rPr>
        <w:t xml:space="preserve"> </w:t>
      </w:r>
      <w:r w:rsidRPr="007C1E0B">
        <w:rPr>
          <w:rFonts w:ascii="Times New Roman" w:hAnsi="Times New Roman" w:cs="Times New Roman"/>
          <w:sz w:val="20"/>
          <w:szCs w:val="20"/>
        </w:rPr>
        <w:t xml:space="preserve">(4.7) çözündürülür. Ultrasonik işlemden sonra çözelti oda sıcaklığına getirilir, metanol asetonitril (3.5) ile </w:t>
      </w:r>
      <w:r w:rsidR="00BA548B" w:rsidRPr="007C1E0B">
        <w:rPr>
          <w:rFonts w:ascii="Times New Roman" w:hAnsi="Times New Roman" w:cs="Times New Roman"/>
          <w:sz w:val="20"/>
          <w:szCs w:val="20"/>
        </w:rPr>
        <w:t xml:space="preserve">hacmi </w:t>
      </w:r>
      <w:r w:rsidRPr="007C1E0B">
        <w:rPr>
          <w:rFonts w:ascii="Times New Roman" w:hAnsi="Times New Roman" w:cs="Times New Roman"/>
          <w:sz w:val="20"/>
          <w:szCs w:val="20"/>
        </w:rPr>
        <w:t>işarete kadar tamamlanır ve karıştırılır. Balon joje alüminyum folyo ile sarılır ya da amber renkli cam malzeme kullanılır ve bir buzdolabında saklanır. En fazla 4°C sıcaklıkta çözelti 1 ay süreyle stabildir.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3.11.2.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çözeltileri</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Bir dizi 100 ml’lik balon jojeye 2,0, 5,0, 10,0 ve 20,0 ml stok standart çözeltisi (3.11.1) aktarılır. 30 ml su eklenir, metanol-asetonitril (3.5) ile hacmi tamamlanır ve karıştırılır. Balon jojeler alüminyum folyo ile sarılır. Bu çözeltiler sırasıyla 2,0, 5,0, 10,0 ve 20,0 μg/ml carbadox’içerir. Kalibrasyon çözeltileri kullanılmadan önce taze olarak hazırlanmalıdır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Not: 10 mg/kg’dan az içeren yemlerde carbadox tayini için, konsantrasyonu 2,0 μg/ml altındaki kalibrasyon çözeltileri hazırlanmalıdır.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3.12.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Su-[metanol-asetonitril] (3.5) karışımı, 300 + 700 (v + v), 300 ml suyla 700 ml metanol-asetonitril karışımı (3.5) karıştırılır.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Cihaz</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4.1. </w:t>
      </w:r>
      <w:r w:rsidR="0079012B" w:rsidRPr="007C1E0B">
        <w:rPr>
          <w:rFonts w:ascii="Times New Roman" w:hAnsi="Times New Roman" w:cs="Times New Roman"/>
          <w:sz w:val="20"/>
          <w:szCs w:val="20"/>
        </w:rPr>
        <w:t xml:space="preserve">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çalkalayıcısı ya da manyetik karıştırıcı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Fiberglas filtre kağıdı (Whatman GF/A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4.3. </w:t>
      </w:r>
      <w:r w:rsidR="0079012B" w:rsidRPr="007C1E0B">
        <w:rPr>
          <w:rFonts w:ascii="Times New Roman" w:hAnsi="Times New Roman" w:cs="Times New Roman"/>
          <w:sz w:val="20"/>
          <w:szCs w:val="20"/>
        </w:rPr>
        <w:t xml:space="preserve"> </w:t>
      </w:r>
      <w:r w:rsidR="00F16DD3" w:rsidRPr="007C1E0B">
        <w:rPr>
          <w:rFonts w:ascii="Times New Roman" w:hAnsi="Times New Roman" w:cs="Times New Roman"/>
          <w:sz w:val="20"/>
          <w:szCs w:val="20"/>
        </w:rPr>
        <w:t>Sinterlenmiş camlı ve sıvı geçirme valflı cam kolon (300 ila 400 mm uzunluk yaklaşık 10 mm iç çap)</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Not: Ayrıca musluk takılı bir cam kolon ya da konik uçlu bir cam kolon da kullanılabilir; bu durumda cam yününden küçük bir tapa alt uca sokulur ve bir cam çubuk kullanılarak sıkıştırılır.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20 μl’lik hacimleri enjekte etmeye uygun enjeksiyon sistemli HPLC ekipmanı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Sıvı kromatografik kolon: 300 mm x 4 mm,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10 μm dolgu ya da eşdeğeri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4.4.2. Değişken dalga boyu ayarlı UV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 xml:space="preserve">ü ya da 225 – 400 nm aralığında çalışan Diode Array </w:t>
      </w:r>
      <w:r w:rsidR="00A557CA" w:rsidRPr="007C1E0B">
        <w:rPr>
          <w:rFonts w:ascii="Times New Roman" w:hAnsi="Times New Roman" w:cs="Times New Roman"/>
          <w:sz w:val="20"/>
          <w:szCs w:val="20"/>
        </w:rPr>
        <w:t>dedektör</w:t>
      </w:r>
      <w:r w:rsidRPr="007C1E0B">
        <w:rPr>
          <w:rFonts w:ascii="Times New Roman" w:hAnsi="Times New Roman" w:cs="Times New Roman"/>
          <w:sz w:val="20"/>
          <w:szCs w:val="20"/>
        </w:rPr>
        <w:t>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4.5.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0,22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4.6.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Membran filtre, 0,45 μm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4.7.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Ultrasonik banyo</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5.</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 xml:space="preserve"> Metot</w:t>
      </w:r>
    </w:p>
    <w:p w:rsidR="008F593F" w:rsidRPr="007C1E0B" w:rsidRDefault="00592EA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Not: </w:t>
      </w:r>
      <w:r w:rsidR="008F593F" w:rsidRPr="007C1E0B">
        <w:rPr>
          <w:rFonts w:ascii="Times New Roman" w:hAnsi="Times New Roman" w:cs="Times New Roman"/>
          <w:sz w:val="20"/>
          <w:szCs w:val="20"/>
        </w:rPr>
        <w:t>Carbadox ışığa duyarlıdır. Tüm metotlar hafif ışık altında ya da amber renkli cam malzeme ya da alüminyum folyo sarılmış cam malzeme kullanarak gerçekleştirilir.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Genel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Kör yem</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Geri kazanım testinin (5.1.2) performansında, carbadox ya da girişim yapan maddelerin olmadığını kontrol etmek için bir kör yem analiz edilmelidir. Kör yem numunedekine benzer türde olmalı ve analizde, carbadox ya da etkileyen maddeler tespit edilmemelidir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5.1.2.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 testi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varlığına yakın miktarda carbadox eklenerek kirletilen kör yem (5.1.1) analiz edilerek bir geri kazanım testi yürütülmelidir. 50 mg/kg düzeyinde kirletmek için 5,0 ml stok standart çözeltisi (3.11.1) 200 ml’lik erlene aktarılır. Çözelti, bir azot akışında yaklaşık 0,5 ml’ye buharlaştırılır. 10 g kör yem eklenir, karıştırılır ve ekstraksiyon adımıyla (5.2) devam etmeden önce 10 dakika beklenir.</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Alternatif olarak, numune ile benzer türde bir kör yem mümkün değilse (bakınız 5.1.1), standart ekleme metodu yoluyla bir geri kazanım testi gerçekleştirilebilir. Bu durumda numune, zaten numune içinde mevcut olana benzer bir miktar carbadox ile zenginleştirilir. Bu numune zenginleştirilmemiş numune ile birlikte analiz edilir ve standart ekleme metodu yoluyla geri kazanım hesaplanabilir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Ekstraksiyon</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Yem</w:t>
      </w:r>
    </w:p>
    <w:p w:rsidR="00F16DD3"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10 g numune 0,01 g hassasiyetle tartılır ve 200 ml’lik erlene aktarılır. 15,0 ml su eklenir, karıştırılır ve 5 dakika bekletilir. 35,0 ml metanol-asetonitril (3.5) eklenir, kapatılır ve 30 dakika çalkalayıcıda çalkalanır ya da manyetik karıştırıcıda (4.1) karıştırılır. Çözelti fiberglas süzgeç kağıdından (4.2) süzülür. Bu çözelti saflaştırma adımı (5.3) için tutulur.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Premiksler (%</w:t>
      </w:r>
      <w:r w:rsidR="00026270" w:rsidRPr="007C1E0B">
        <w:rPr>
          <w:rFonts w:ascii="Times New Roman" w:hAnsi="Times New Roman" w:cs="Times New Roman"/>
          <w:sz w:val="20"/>
          <w:szCs w:val="20"/>
        </w:rPr>
        <w:t xml:space="preserve"> </w:t>
      </w:r>
      <w:r w:rsidRPr="007C1E0B">
        <w:rPr>
          <w:rFonts w:ascii="Times New Roman" w:hAnsi="Times New Roman" w:cs="Times New Roman"/>
          <w:sz w:val="20"/>
          <w:szCs w:val="20"/>
        </w:rPr>
        <w:t>0,1 ile %</w:t>
      </w:r>
      <w:r w:rsidR="00026270" w:rsidRPr="007C1E0B">
        <w:rPr>
          <w:rFonts w:ascii="Times New Roman" w:hAnsi="Times New Roman" w:cs="Times New Roman"/>
          <w:sz w:val="20"/>
          <w:szCs w:val="20"/>
        </w:rPr>
        <w:t xml:space="preserve"> </w:t>
      </w:r>
      <w:r w:rsidRPr="007C1E0B">
        <w:rPr>
          <w:rFonts w:ascii="Times New Roman" w:hAnsi="Times New Roman" w:cs="Times New Roman"/>
          <w:sz w:val="20"/>
          <w:szCs w:val="20"/>
        </w:rPr>
        <w:t>2,0)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1 g öğütülmemiş numune 0,001 g hassasiyetle tartılır ve 200 ml’lik erlene aktarılır. 15,0 ml su eklenir, karıştırılır ve 5 dakika dengelenir. 35,0 ml metanol-asetonitril (3.5) eklenir, kapatılır ve 30 dakika çalkalayıcıda çalkalanır ya da manyetik karıştır</w:t>
      </w:r>
      <w:r w:rsidRPr="007C1E0B">
        <w:rPr>
          <w:rFonts w:ascii="Times New Roman" w:hAnsi="Times New Roman" w:cs="Times New Roman" w:hint="eastAsia"/>
          <w:sz w:val="20"/>
          <w:szCs w:val="20"/>
        </w:rPr>
        <w:t>ı</w:t>
      </w:r>
      <w:r w:rsidRPr="007C1E0B">
        <w:rPr>
          <w:rFonts w:ascii="Times New Roman" w:hAnsi="Times New Roman" w:cs="Times New Roman"/>
          <w:sz w:val="20"/>
          <w:szCs w:val="20"/>
        </w:rPr>
        <w:t>cıda (4.1) karıştırılır. Çözelti fiberglas süzgeç kağıdından (4.2) süzülür.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Temsili miktarda filtrat 50 ml’lik balon jojeye pipetlenir. 15,0 ml su eklenir, metanol-asetonitril (3.5) ile işarete kadar tamamlanır ve karıştırılır. Nihai çözeltideki carbadox konsantrasyonu yaklaşık 10 μg/ml olmalıdır. Temsili bir miktar, 0,45 μm’lik bir filtreden (4,6) süzülür. HPLC tayinine (5,4)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5.2.3.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Preparatlar ( &gt; %</w:t>
      </w:r>
      <w:r w:rsidR="000E1957" w:rsidRPr="007C1E0B">
        <w:rPr>
          <w:rFonts w:ascii="Times New Roman" w:hAnsi="Times New Roman" w:cs="Times New Roman"/>
          <w:sz w:val="20"/>
          <w:szCs w:val="20"/>
        </w:rPr>
        <w:t xml:space="preserve"> </w:t>
      </w:r>
      <w:r w:rsidRPr="007C1E0B">
        <w:rPr>
          <w:rFonts w:ascii="Times New Roman" w:hAnsi="Times New Roman" w:cs="Times New Roman"/>
          <w:sz w:val="20"/>
          <w:szCs w:val="20"/>
        </w:rPr>
        <w:t>2)</w:t>
      </w:r>
    </w:p>
    <w:p w:rsidR="00F16DD3" w:rsidRPr="007C1E0B" w:rsidRDefault="00F16DD3" w:rsidP="00F16DD3">
      <w:pPr>
        <w:jc w:val="both"/>
        <w:rPr>
          <w:rFonts w:ascii="Times New Roman" w:hAnsi="Times New Roman" w:cs="Times New Roman"/>
          <w:sz w:val="20"/>
          <w:szCs w:val="20"/>
        </w:rPr>
      </w:pPr>
      <w:r w:rsidRPr="007C1E0B">
        <w:rPr>
          <w:rFonts w:ascii="Times New Roman" w:hAnsi="Times New Roman" w:cs="Times New Roman"/>
          <w:sz w:val="20"/>
          <w:szCs w:val="20"/>
        </w:rPr>
        <w:t>0,2 g öğütülmemiş numune 0,001 g hassasiyetle  tartılır ve 250 ml’lik erlene aktarılır. 45,0 ml su eklenir, karıştırılır ve 5 dakika bekletilir. 105,0 ml metanol-asetonitril (3.5) eklenir, kapatılır ve homojenleştirilir.</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Numune 15 dakika ultrasonik su banyosunda  (4.7) t tutulur, ardından 15 dakika çalkalanır ya da karıştırılır (4.1). Çözelti fiberglas süzgeç kağıdından (4.2) süzülür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Temsili miktarda filtrat su-metanol-asetonitril (3.12) karışımı ile 10-15 μg/ml’lik nihai bir carbadox konsantrasyonuna (%</w:t>
      </w:r>
      <w:r w:rsidR="00026270" w:rsidRPr="007C1E0B">
        <w:rPr>
          <w:rFonts w:ascii="Times New Roman" w:hAnsi="Times New Roman" w:cs="Times New Roman"/>
          <w:sz w:val="20"/>
          <w:szCs w:val="20"/>
        </w:rPr>
        <w:t xml:space="preserve"> </w:t>
      </w:r>
      <w:r w:rsidRPr="007C1E0B">
        <w:rPr>
          <w:rFonts w:ascii="Times New Roman" w:hAnsi="Times New Roman" w:cs="Times New Roman"/>
          <w:sz w:val="20"/>
          <w:szCs w:val="20"/>
        </w:rPr>
        <w:t>10’luk bir preparat için seyreltme faktörü 10’dur) seyreltilir. Temsili bir miktar, 0,45 μm’lik bir filtreden (4,6) süzülür. HPLC tayinine (5,4) geçilir.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Saflaştırma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Alüminyum oksit kolonunun hazırlanması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4 g alüminyum oksit (3.4) tartılır ve cam kolona (4.3) aktarılır.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5.3.2.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saflaştırma</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15 ml filtrelenmiş ekstrakt (5.2.1) alüminyum oksit kolonuna uygulanır ve ilk 2 ml’lik ekstrakt atılır. Sonraki 5 ml’lik ekstrakte edilen kısım alınır ve temsili bir miktarı 0,45 μm’lik bir filtreden (4.6) süzülür. HPLC tayinine (5,4) geçilir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HPLC tayini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Parametreler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Aşağıdaki koşullar rehberlik amacıyla sunulmuştur; eşdeğer sonuçlar vermeleri kaydıyla diğer koşullar da kullanılabilir:</w:t>
      </w:r>
    </w:p>
    <w:tbl>
      <w:tblPr>
        <w:tblStyle w:val="TabloKlavuzu"/>
        <w:tblW w:w="0" w:type="auto"/>
        <w:tblInd w:w="108" w:type="dxa"/>
        <w:tblLayout w:type="fixed"/>
        <w:tblLook w:val="04A0" w:firstRow="1" w:lastRow="0" w:firstColumn="1" w:lastColumn="0" w:noHBand="0" w:noVBand="1"/>
      </w:tblPr>
      <w:tblGrid>
        <w:gridCol w:w="4121"/>
        <w:gridCol w:w="4951"/>
      </w:tblGrid>
      <w:tr w:rsidR="007C1E0B" w:rsidRPr="007C1E0B" w:rsidTr="00803CA9">
        <w:trPr>
          <w:trHeight w:val="346"/>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Sıvı kromatografik</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p>
        </w:tc>
      </w:tr>
      <w:tr w:rsidR="007C1E0B" w:rsidRPr="007C1E0B" w:rsidTr="00803CA9">
        <w:trPr>
          <w:trHeight w:val="574"/>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kolon (4.4.1):</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smartTag w:uri="urn:schemas-microsoft-com:office:smarttags" w:element="metricconverter">
              <w:smartTagPr>
                <w:attr w:name="ProductID" w:val="300 mm"/>
              </w:smartTagPr>
              <w:r w:rsidRPr="007C1E0B">
                <w:rPr>
                  <w:rFonts w:ascii="Times New Roman" w:hAnsi="Times New Roman" w:cs="Times New Roman"/>
                  <w:sz w:val="20"/>
                  <w:szCs w:val="20"/>
                </w:rPr>
                <w:t>300 mm</w:t>
              </w:r>
            </w:smartTag>
            <w:r w:rsidRPr="007C1E0B">
              <w:rPr>
                <w:rFonts w:ascii="Times New Roman" w:hAnsi="Times New Roman" w:cs="Times New Roman"/>
                <w:sz w:val="20"/>
                <w:szCs w:val="20"/>
              </w:rPr>
              <w:t xml:space="preserve"> x </w:t>
            </w:r>
            <w:smartTag w:uri="urn:schemas-microsoft-com:office:smarttags" w:element="metricconverter">
              <w:smartTagPr>
                <w:attr w:name="ProductID" w:val="4 mm"/>
              </w:smartTagPr>
              <w:r w:rsidRPr="007C1E0B">
                <w:rPr>
                  <w:rFonts w:ascii="Times New Roman" w:hAnsi="Times New Roman" w:cs="Times New Roman"/>
                  <w:sz w:val="20"/>
                  <w:szCs w:val="20"/>
                </w:rPr>
                <w:t>4 mm</w:t>
              </w:r>
            </w:smartTag>
            <w:r w:rsidRPr="007C1E0B">
              <w:rPr>
                <w:rFonts w:ascii="Times New Roman" w:hAnsi="Times New Roman" w:cs="Times New Roman"/>
                <w:sz w:val="20"/>
                <w:szCs w:val="20"/>
              </w:rPr>
              <w:t>, C</w:t>
            </w:r>
            <w:r w:rsidRPr="007C1E0B">
              <w:rPr>
                <w:rFonts w:ascii="Times New Roman" w:hAnsi="Times New Roman" w:cs="Times New Roman"/>
                <w:sz w:val="20"/>
                <w:szCs w:val="20"/>
                <w:vertAlign w:val="subscript"/>
              </w:rPr>
              <w:t>18</w:t>
            </w:r>
            <w:r w:rsidRPr="007C1E0B">
              <w:rPr>
                <w:rFonts w:ascii="Times New Roman" w:hAnsi="Times New Roman" w:cs="Times New Roman"/>
                <w:sz w:val="20"/>
                <w:szCs w:val="20"/>
              </w:rPr>
              <w:t>, 10 μm dolgu ya da eşdeğeri</w:t>
            </w:r>
          </w:p>
        </w:tc>
      </w:tr>
      <w:tr w:rsidR="007C1E0B" w:rsidRPr="007C1E0B" w:rsidTr="00803CA9">
        <w:trPr>
          <w:trHeight w:val="801"/>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Mobil faz (3,10):</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Asetat tampon çözeltisi (3.9) ve asetonitril (3.2) karışımı, 825 + 175 (v+v).</w:t>
            </w:r>
          </w:p>
        </w:tc>
      </w:tr>
      <w:tr w:rsidR="007C1E0B" w:rsidRPr="007C1E0B" w:rsidTr="00803CA9">
        <w:trPr>
          <w:trHeight w:val="346"/>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Akış hızı:</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1,5-2 ml/dak.</w:t>
            </w:r>
          </w:p>
        </w:tc>
      </w:tr>
      <w:tr w:rsidR="007C1E0B" w:rsidRPr="007C1E0B" w:rsidTr="00803CA9">
        <w:trPr>
          <w:trHeight w:val="346"/>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Tespit dalga boyu:</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365 nm</w:t>
            </w:r>
          </w:p>
        </w:tc>
      </w:tr>
      <w:tr w:rsidR="007C1E0B" w:rsidRPr="007C1E0B" w:rsidTr="00803CA9">
        <w:trPr>
          <w:trHeight w:val="346"/>
        </w:trPr>
        <w:tc>
          <w:tcPr>
            <w:tcW w:w="412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Enjeksiyon hacmi:</w:t>
            </w:r>
          </w:p>
        </w:tc>
        <w:tc>
          <w:tcPr>
            <w:tcW w:w="4951" w:type="dxa"/>
          </w:tcPr>
          <w:p w:rsidR="00E5673A" w:rsidRPr="007C1E0B" w:rsidRDefault="00E5673A" w:rsidP="001B722B">
            <w:pPr>
              <w:tabs>
                <w:tab w:val="left" w:pos="3720"/>
              </w:tabs>
              <w:autoSpaceDE w:val="0"/>
              <w:autoSpaceDN w:val="0"/>
              <w:adjustRightInd w:val="0"/>
              <w:spacing w:before="120"/>
              <w:jc w:val="both"/>
              <w:rPr>
                <w:rFonts w:ascii="Times New Roman" w:eastAsiaTheme="minorEastAsia" w:hAnsi="Times New Roman" w:cs="Times New Roman"/>
                <w:sz w:val="20"/>
                <w:szCs w:val="20"/>
                <w:lang w:eastAsia="tr-TR"/>
              </w:rPr>
            </w:pPr>
            <w:r w:rsidRPr="007C1E0B">
              <w:rPr>
                <w:rFonts w:ascii="Times New Roman" w:hAnsi="Times New Roman" w:cs="Times New Roman"/>
                <w:sz w:val="20"/>
                <w:szCs w:val="20"/>
              </w:rPr>
              <w:t>20 μl</w:t>
            </w:r>
          </w:p>
        </w:tc>
      </w:tr>
    </w:tbl>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cr/>
        <w:t>5,0 μg/ml içeren kalibrasyon çözeltisi (3.11.2), tutarlı pik yükseklikleri (alanlar) ve alıkonma süreleri elde edilene kadar birkaç kez enjekte edilerek kromatografik sistemin stabilitesi kontrol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Kalibrasyon grafiği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Her bir kalibrasyon çözeltisi (3.11.2) birkaç kez enjekte edilir ve her bir konsantrasyonun pik yükseklikleri (alanları) ölçülür. Kalibrasyon çözeltilerinin apsisteki μg/ml cinsinden konsantrasyonlarına ordinatlarda denk gelen ortalama pik yükseklikleri ya da alanları kullanılarak bir kalibrasyon eğrisi çizilir.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5.4.3.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Numune çözeltisi</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 ekstraktı (yem için (5.3.2), Premiksler için (5.2.2) ve preparatlar için (5.2.3)) birkaç kez enjekte edilir ve carbadox piklerinin ortalama pik yüksekliği (alan) belirlenir.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hesaplanması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Kalibrasyon grafiği (5.4.2) referans alınarak, aynı çözeltinin carbadox piklerinin ortalama yüksekliğinden (alan), numune çözeltisinin carbadox konsantrasyonu μg/ml cinsinden tayin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Yemler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carbadox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E5673A" w:rsidRPr="007C1E0B">
        <w:rPr>
          <w:rFonts w:ascii="Times New Roman" w:hAnsi="Times New Roman" w:cs="Times New Roman"/>
          <w:noProof/>
          <w:sz w:val="20"/>
          <w:szCs w:val="20"/>
        </w:rPr>
        <w:drawing>
          <wp:inline distT="0" distB="0" distL="0" distR="0" wp14:anchorId="67E88E3B" wp14:editId="5FA55775">
            <wp:extent cx="1470660" cy="48006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0660" cy="48006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ekstraktının (5.3.2) carbadox konsantrasyonu,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1</w:t>
      </w:r>
      <w:r w:rsidRPr="007C1E0B">
        <w:rPr>
          <w:rFonts w:ascii="Times New Roman" w:hAnsi="Times New Roman" w:cs="Times New Roman"/>
          <w:sz w:val="20"/>
          <w:szCs w:val="20"/>
        </w:rPr>
        <w:t xml:space="preserve"> = Ekstraksiyon hacmi, ml (örneğin 50)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Test kısmının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6.2. </w:t>
      </w:r>
      <w:r w:rsidR="00A52554" w:rsidRPr="007C1E0B">
        <w:rPr>
          <w:rFonts w:ascii="Times New Roman" w:hAnsi="Times New Roman" w:cs="Times New Roman"/>
          <w:sz w:val="20"/>
          <w:szCs w:val="20"/>
        </w:rPr>
        <w:t xml:space="preserve">Premiksler </w:t>
      </w:r>
      <w:r w:rsidRPr="007C1E0B">
        <w:rPr>
          <w:rFonts w:ascii="Times New Roman" w:hAnsi="Times New Roman" w:cs="Times New Roman"/>
          <w:sz w:val="20"/>
          <w:szCs w:val="20"/>
        </w:rPr>
        <w:t xml:space="preserve"> ve preparatlar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Numunedeki mg/kg cinsinden carbadox içeriği “w” aşağıdaki formülle elde edilir: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E5673A" w:rsidRPr="007C1E0B">
        <w:rPr>
          <w:rFonts w:ascii="Times New Roman" w:hAnsi="Times New Roman" w:cs="Times New Roman"/>
          <w:noProof/>
          <w:sz w:val="20"/>
          <w:szCs w:val="20"/>
        </w:rPr>
        <w:drawing>
          <wp:inline distT="0" distB="0" distL="0" distR="0" wp14:anchorId="6518FE2A" wp14:editId="0ADB8939">
            <wp:extent cx="1592580" cy="480060"/>
            <wp:effectExtent l="0" t="0" r="762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92580" cy="480060"/>
                    </a:xfrm>
                    <a:prstGeom prst="rect">
                      <a:avLst/>
                    </a:prstGeom>
                    <a:noFill/>
                    <a:ln>
                      <a:noFill/>
                    </a:ln>
                  </pic:spPr>
                </pic:pic>
              </a:graphicData>
            </a:graphic>
          </wp:inline>
        </w:drawing>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Burada;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 = Numune ekstraktının (5.2.2 ya da 5.2.3) carbadox konsantrasyonu, μg/ml</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V</w:t>
      </w:r>
      <w:r w:rsidRPr="007C1E0B">
        <w:rPr>
          <w:rFonts w:ascii="Times New Roman" w:hAnsi="Times New Roman" w:cs="Times New Roman"/>
          <w:sz w:val="20"/>
          <w:szCs w:val="20"/>
          <w:vertAlign w:val="subscript"/>
        </w:rPr>
        <w:t>2</w:t>
      </w:r>
      <w:r w:rsidRPr="007C1E0B">
        <w:rPr>
          <w:rFonts w:ascii="Times New Roman" w:hAnsi="Times New Roman" w:cs="Times New Roman"/>
          <w:sz w:val="20"/>
          <w:szCs w:val="20"/>
        </w:rPr>
        <w:t xml:space="preserve"> = Ekstraksiyon hacmi, ml (örneğin </w:t>
      </w:r>
      <w:r w:rsidR="00A52554" w:rsidRPr="007C1E0B">
        <w:rPr>
          <w:rFonts w:ascii="Times New Roman" w:hAnsi="Times New Roman" w:cs="Times New Roman"/>
          <w:sz w:val="20"/>
          <w:szCs w:val="20"/>
        </w:rPr>
        <w:t>premiksler</w:t>
      </w:r>
      <w:r w:rsidRPr="007C1E0B">
        <w:rPr>
          <w:rFonts w:ascii="Times New Roman" w:hAnsi="Times New Roman" w:cs="Times New Roman"/>
          <w:sz w:val="20"/>
          <w:szCs w:val="20"/>
        </w:rPr>
        <w:t xml:space="preserve"> için 50, preparatlar için 150)</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f = 5.2.2’ye (Premiksler) ya da 5.2.3'e (preparatlar) göre seyreltme faktörü</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m = Test kısmının ağırlığı, g</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Sonuçların validasyonu</w:t>
      </w:r>
    </w:p>
    <w:p w:rsidR="00F16DD3" w:rsidRPr="007C1E0B" w:rsidRDefault="0053184A"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 </w:t>
      </w:r>
      <w:r w:rsidR="00F16DD3" w:rsidRPr="007C1E0B">
        <w:rPr>
          <w:rFonts w:ascii="Times New Roman" w:hAnsi="Times New Roman" w:cs="Times New Roman"/>
          <w:sz w:val="20"/>
          <w:szCs w:val="20"/>
        </w:rPr>
        <w:t>Tanımlama</w:t>
      </w:r>
      <w:r w:rsidR="00F16DD3" w:rsidRPr="007C1E0B" w:rsidDel="00F16DD3">
        <w:rPr>
          <w:rFonts w:ascii="Times New Roman" w:hAnsi="Times New Roman" w:cs="Times New Roman"/>
          <w:sz w:val="20"/>
          <w:szCs w:val="20"/>
        </w:rPr>
        <w:t xml:space="preserve"> </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Analitin tanıması </w:t>
      </w:r>
      <w:r w:rsidR="00E074E6" w:rsidRPr="007C1E0B">
        <w:rPr>
          <w:rFonts w:ascii="Times New Roman" w:hAnsi="Times New Roman" w:cs="Times New Roman"/>
          <w:sz w:val="20"/>
          <w:szCs w:val="20"/>
        </w:rPr>
        <w:t>co-</w:t>
      </w:r>
      <w:r w:rsidRPr="007C1E0B">
        <w:rPr>
          <w:rFonts w:ascii="Times New Roman" w:hAnsi="Times New Roman" w:cs="Times New Roman"/>
          <w:sz w:val="20"/>
          <w:szCs w:val="20"/>
        </w:rPr>
        <w:t>kromatografi ile ya da numune ekstraktının ve 10,0 μg/ml içeren kalibrasyon çözeltisinin (3.11.2) spektrumlarının karşılaştırılacağı bir Diode Array dedektörü kullanılarak onaylanabilir.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7.1.1.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kromatografi ( co-chromatography)</w:t>
      </w:r>
    </w:p>
    <w:p w:rsidR="008F593F" w:rsidRPr="007C1E0B" w:rsidRDefault="00F16DD3" w:rsidP="001B722B">
      <w:pPr>
        <w:jc w:val="both"/>
        <w:rPr>
          <w:rFonts w:ascii="Times New Roman" w:hAnsi="Times New Roman" w:cs="Times New Roman"/>
          <w:sz w:val="20"/>
          <w:szCs w:val="20"/>
        </w:rPr>
      </w:pPr>
      <w:r w:rsidRPr="007C1E0B">
        <w:rPr>
          <w:rFonts w:ascii="Times New Roman" w:hAnsi="Times New Roman" w:cs="Times New Roman"/>
          <w:sz w:val="20"/>
          <w:szCs w:val="20"/>
        </w:rPr>
        <w:t>Bir numune ekstraktına, uygun miktarda kalibrasyon çözeltisi (3.11.2) eklenir. Eklenen carbadox miktarı numune ekstraktında bulunan tahmini carbadox miktarına benzer olmalıdır. Hem eklenen miktar hem de ekstraktın seyreltilmesi hesaba katılarak yalnızca carbadox pikinin yüksekliği artırılmalıdır. Maksimum yüksekliğinin yarısı boyutundaki pik genişliği orijinal genişliğin yaklaşık % 10’u aralığında olmalıdır</w:t>
      </w:r>
      <w:r w:rsidR="008F593F"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7.1.2.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Diode Array Tanımlama</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Sonuçlar aşağıdaki kriterlere göre değerlendirilir: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(a) </w:t>
      </w:r>
      <w:r w:rsidR="00F16DD3" w:rsidRPr="007C1E0B">
        <w:rPr>
          <w:rFonts w:ascii="Times New Roman" w:hAnsi="Times New Roman" w:cs="Times New Roman"/>
          <w:sz w:val="20"/>
          <w:szCs w:val="20"/>
        </w:rPr>
        <w:t>Numunedeki maksimum absobsiyon ve standart spectranın tepe noktasındaki dalga boyu diode array sisteminin limitleri içinde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 </w:t>
      </w:r>
      <w:r w:rsidR="00F16DD3" w:rsidRPr="007C1E0B">
        <w:rPr>
          <w:rFonts w:ascii="Times New Roman" w:hAnsi="Times New Roman" w:cs="Times New Roman"/>
          <w:sz w:val="20"/>
          <w:szCs w:val="20"/>
        </w:rPr>
        <w:t>225 ile 400 nm arasında, kromatogramın pik tepe noktası</w:t>
      </w:r>
      <w:r w:rsidR="00C7084D" w:rsidRPr="007C1E0B">
        <w:rPr>
          <w:rFonts w:ascii="Times New Roman" w:hAnsi="Times New Roman" w:cs="Times New Roman"/>
          <w:sz w:val="20"/>
          <w:szCs w:val="20"/>
        </w:rPr>
        <w:t xml:space="preserve"> </w:t>
      </w:r>
      <w:r w:rsidR="00F16DD3" w:rsidRPr="007C1E0B">
        <w:rPr>
          <w:rFonts w:ascii="Times New Roman" w:hAnsi="Times New Roman" w:cs="Times New Roman"/>
          <w:sz w:val="20"/>
          <w:szCs w:val="20"/>
        </w:rPr>
        <w:t>kaydedilen numune ve standart spektrumlar, spektrumun % 10 ila % 100 bağıl absorbans aralığındaki bölümleri için farklı olmamalıdır. Bu kriter aynı maksimum piki olduğunda ve gözlenen noktaların hiçbirinde iki spektrum arasındaki sapma, standart analizin absorbansının % 15’ini geçmediğinde karşılanır</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 </w:t>
      </w:r>
      <w:r w:rsidR="000C0645" w:rsidRPr="007C1E0B">
        <w:rPr>
          <w:rFonts w:ascii="Times New Roman" w:hAnsi="Times New Roman" w:cs="Times New Roman"/>
          <w:sz w:val="20"/>
          <w:szCs w:val="20"/>
        </w:rPr>
        <w:t xml:space="preserve">c) </w:t>
      </w:r>
      <w:r w:rsidR="00F16DD3" w:rsidRPr="007C1E0B">
        <w:rPr>
          <w:rFonts w:ascii="Times New Roman" w:hAnsi="Times New Roman" w:cs="Times New Roman"/>
          <w:sz w:val="20"/>
          <w:szCs w:val="20"/>
        </w:rPr>
        <w:t>225 ile 400 nm arasında, aynı ekstrakt tarafından üretilen pikin yukarı eğim, tepe noktası ve aşağı eğim spektrumları, spektrumun % 10 ila % 100 bağıl absorbans aralığındaki bölümleri için birbirinden farklı olmamalıdır. Bu kriter, aynı maksimum piki olduğunda ve gözlenen tüm noktalarda spektrumlar arasındaki sapma, tepe noktası spektrumunun absorbansının % 15’ini geçmediğinde karşılanır</w:t>
      </w:r>
      <w:r w:rsidRPr="007C1E0B">
        <w:rPr>
          <w:rFonts w:ascii="Times New Roman" w:hAnsi="Times New Roman" w:cs="Times New Roman"/>
          <w:sz w:val="20"/>
          <w:szCs w:val="20"/>
        </w:rPr>
        <w:t>.</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Bu kriterlerden biri karşılanmazsa analitin varlığı doğrulanmamıştır.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7.2. </w:t>
      </w:r>
      <w:r w:rsidR="0079012B" w:rsidRPr="007C1E0B">
        <w:rPr>
          <w:rFonts w:ascii="Times New Roman" w:hAnsi="Times New Roman" w:cs="Times New Roman"/>
          <w:sz w:val="20"/>
          <w:szCs w:val="20"/>
        </w:rPr>
        <w:t xml:space="preserve"> </w:t>
      </w:r>
      <w:r w:rsidR="004B29C1" w:rsidRPr="007C1E0B">
        <w:rPr>
          <w:rFonts w:ascii="Times New Roman" w:hAnsi="Times New Roman" w:cs="Times New Roman"/>
          <w:sz w:val="20"/>
          <w:szCs w:val="20"/>
        </w:rPr>
        <w:t>Tekrar edilebilirlik</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10 mg/kg ya da </w:t>
      </w:r>
      <w:r w:rsidR="00E074E6" w:rsidRPr="007C1E0B">
        <w:rPr>
          <w:rFonts w:ascii="Times New Roman" w:hAnsi="Times New Roman" w:cs="Times New Roman"/>
          <w:sz w:val="20"/>
          <w:szCs w:val="20"/>
        </w:rPr>
        <w:t xml:space="preserve">yüksek </w:t>
      </w:r>
      <w:r w:rsidRPr="007C1E0B">
        <w:rPr>
          <w:rFonts w:ascii="Times New Roman" w:hAnsi="Times New Roman" w:cs="Times New Roman"/>
          <w:sz w:val="20"/>
          <w:szCs w:val="20"/>
        </w:rPr>
        <w:t>içerik için, aynı numunenin iki paralel tayininin sonuçları arasındaki fark daha yüksek sonuc</w:t>
      </w:r>
      <w:r w:rsidR="0022557C" w:rsidRPr="007C1E0B">
        <w:rPr>
          <w:rFonts w:ascii="Times New Roman" w:hAnsi="Times New Roman" w:cs="Times New Roman"/>
          <w:sz w:val="20"/>
          <w:szCs w:val="20"/>
        </w:rPr>
        <w:t>un</w:t>
      </w:r>
      <w:r w:rsidRPr="007C1E0B">
        <w:rPr>
          <w:rFonts w:ascii="Times New Roman" w:hAnsi="Times New Roman" w:cs="Times New Roman"/>
          <w:sz w:val="20"/>
          <w:szCs w:val="20"/>
        </w:rPr>
        <w:t xml:space="preserve">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15’i</w:t>
      </w:r>
      <w:r w:rsidR="0022557C" w:rsidRPr="007C1E0B">
        <w:rPr>
          <w:rFonts w:ascii="Times New Roman" w:hAnsi="Times New Roman" w:cs="Times New Roman"/>
          <w:sz w:val="20"/>
          <w:szCs w:val="20"/>
        </w:rPr>
        <w:t>ni</w:t>
      </w:r>
      <w:r w:rsidRPr="007C1E0B">
        <w:rPr>
          <w:rFonts w:ascii="Times New Roman" w:hAnsi="Times New Roman" w:cs="Times New Roman"/>
          <w:sz w:val="20"/>
          <w:szCs w:val="20"/>
        </w:rPr>
        <w:t xml:space="preserve"> geçmemelidir.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7.3.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Geri kazanım</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Zenginleştirilmiş bir (kör) numune için geri kazanım en az %</w:t>
      </w:r>
      <w:r w:rsidR="00B9298F" w:rsidRPr="007C1E0B">
        <w:rPr>
          <w:rFonts w:ascii="Times New Roman" w:hAnsi="Times New Roman" w:cs="Times New Roman"/>
          <w:sz w:val="20"/>
          <w:szCs w:val="20"/>
        </w:rPr>
        <w:t xml:space="preserve"> </w:t>
      </w:r>
      <w:r w:rsidRPr="007C1E0B">
        <w:rPr>
          <w:rFonts w:ascii="Times New Roman" w:hAnsi="Times New Roman" w:cs="Times New Roman"/>
          <w:sz w:val="20"/>
          <w:szCs w:val="20"/>
        </w:rPr>
        <w:t>90 olmalıdır.</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8. </w:t>
      </w:r>
      <w:r w:rsidR="0079012B" w:rsidRPr="007C1E0B">
        <w:rPr>
          <w:rFonts w:ascii="Times New Roman" w:hAnsi="Times New Roman" w:cs="Times New Roman"/>
          <w:sz w:val="20"/>
          <w:szCs w:val="20"/>
        </w:rPr>
        <w:t xml:space="preserve"> </w:t>
      </w:r>
      <w:r w:rsidRPr="007C1E0B">
        <w:rPr>
          <w:rFonts w:ascii="Times New Roman" w:hAnsi="Times New Roman" w:cs="Times New Roman"/>
          <w:sz w:val="20"/>
          <w:szCs w:val="20"/>
        </w:rPr>
        <w:t>Ortak bir çalışmanın sonuçları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Bir ortak çalışma düzenlenmiş, bu çalışmada 8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 xml:space="preserve"> tarafından 6 yem, 4 premiks ve 3 preparat numunesi analiz edilmiştir. Her numunede analizler paralel olarak gerçekleştirilmiştir. (Bu ortak çalışma hakkında daha ayrıntılı bilgi için bkz. Journal of the AOAC, Volume 71, 1988, p. 484-490). Sonuçlar (atılanlar dışında) aşağıda verilmiştir:</w:t>
      </w: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2A04C1" w:rsidRPr="007C1E0B" w:rsidRDefault="002A04C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Tablo 1</w:t>
      </w:r>
    </w:p>
    <w:p w:rsidR="00EE0A90" w:rsidRPr="007C1E0B" w:rsidRDefault="00EE0A90" w:rsidP="001B722B">
      <w:pPr>
        <w:jc w:val="both"/>
        <w:rPr>
          <w:rFonts w:ascii="Times New Roman" w:hAnsi="Times New Roman" w:cs="Times New Roman"/>
          <w:sz w:val="20"/>
          <w:szCs w:val="20"/>
        </w:rPr>
      </w:pPr>
      <w:r w:rsidRPr="007C1E0B">
        <w:rPr>
          <w:rFonts w:ascii="Times New Roman" w:hAnsi="Times New Roman" w:cs="Times New Roman"/>
          <w:sz w:val="20"/>
          <w:szCs w:val="20"/>
        </w:rPr>
        <w:t>Yem için ortak çalışmanın sonuçları</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134"/>
        <w:gridCol w:w="1134"/>
        <w:gridCol w:w="1134"/>
        <w:gridCol w:w="1134"/>
        <w:gridCol w:w="1275"/>
        <w:gridCol w:w="1247"/>
      </w:tblGrid>
      <w:tr w:rsidR="007C1E0B" w:rsidRPr="007C1E0B" w:rsidTr="009425B5">
        <w:trPr>
          <w:trHeight w:val="480"/>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1</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2</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3</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4</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5</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Numune 6</w:t>
            </w:r>
          </w:p>
        </w:tc>
      </w:tr>
      <w:tr w:rsidR="007C1E0B" w:rsidRPr="007C1E0B" w:rsidTr="009425B5">
        <w:trPr>
          <w:trHeight w:val="445"/>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L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r>
      <w:tr w:rsidR="007C1E0B" w:rsidRPr="007C1E0B" w:rsidTr="009425B5">
        <w:trPr>
          <w:trHeight w:val="425"/>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w:t>
            </w:r>
          </w:p>
        </w:tc>
      </w:tr>
      <w:tr w:rsidR="007C1E0B" w:rsidRPr="007C1E0B" w:rsidTr="009425B5">
        <w:trPr>
          <w:trHeight w:val="557"/>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Ortalama (mg/kg)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47,6</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48,2</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49,7</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46,9</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49,7</w:t>
            </w:r>
          </w:p>
        </w:tc>
      </w:tr>
      <w:tr w:rsidR="007C1E0B" w:rsidRPr="007C1E0B" w:rsidTr="009425B5">
        <w:trPr>
          <w:trHeight w:val="380"/>
        </w:trPr>
        <w:tc>
          <w:tcPr>
            <w:tcW w:w="2122" w:type="dxa"/>
          </w:tcPr>
          <w:p w:rsidR="00E5673A" w:rsidRPr="007C1E0B" w:rsidRDefault="00BD6801" w:rsidP="00BD6801">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00E5673A" w:rsidRPr="007C1E0B">
              <w:rPr>
                <w:rFonts w:ascii="Times New Roman" w:hAnsi="Times New Roman" w:cs="Times New Roman"/>
                <w:sz w:val="20"/>
                <w:szCs w:val="20"/>
                <w:vertAlign w:val="subscript"/>
              </w:rPr>
              <w:t>r</w:t>
            </w:r>
            <w:r w:rsidR="00E5673A" w:rsidRPr="007C1E0B">
              <w:rPr>
                <w:rFonts w:ascii="Times New Roman" w:hAnsi="Times New Roman" w:cs="Times New Roman"/>
                <w:sz w:val="20"/>
                <w:szCs w:val="20"/>
              </w:rPr>
              <w:t xml:space="preserve"> (mg/kg)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2,90</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2,69</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1,38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1,55</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1,52</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2,12</w:t>
            </w:r>
          </w:p>
        </w:tc>
      </w:tr>
      <w:tr w:rsidR="007C1E0B" w:rsidRPr="007C1E0B" w:rsidTr="009425B5">
        <w:trPr>
          <w:trHeight w:val="387"/>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5,6</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2,9</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3,1</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3,2</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4,3</w:t>
            </w:r>
          </w:p>
        </w:tc>
      </w:tr>
      <w:tr w:rsidR="007C1E0B" w:rsidRPr="007C1E0B" w:rsidTr="009425B5">
        <w:trPr>
          <w:trHeight w:val="380"/>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(mg/kg)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3,92</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4,13</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2,23</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2,58</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2,26</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2,44</w:t>
            </w:r>
          </w:p>
        </w:tc>
      </w:tr>
      <w:tr w:rsidR="007C1E0B" w:rsidRPr="007C1E0B" w:rsidTr="009425B5">
        <w:trPr>
          <w:trHeight w:val="380"/>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7,8</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8,7</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4,6</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5,2</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4,8</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4,9</w:t>
            </w:r>
          </w:p>
        </w:tc>
      </w:tr>
      <w:tr w:rsidR="007C1E0B" w:rsidRPr="007C1E0B" w:rsidTr="009425B5">
        <w:trPr>
          <w:trHeight w:val="688"/>
        </w:trPr>
        <w:tc>
          <w:tcPr>
            <w:tcW w:w="2122"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Nominal içerik (mg/kg) </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134"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275"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c>
          <w:tcPr>
            <w:tcW w:w="1247" w:type="dxa"/>
          </w:tcPr>
          <w:p w:rsidR="00E5673A" w:rsidRPr="007C1E0B" w:rsidRDefault="00E5673A"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50,0</w:t>
            </w:r>
          </w:p>
        </w:tc>
      </w:tr>
    </w:tbl>
    <w:p w:rsidR="008F593F" w:rsidRPr="007C1E0B" w:rsidRDefault="008F593F"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Tablo 2</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Premiksler ve preparatlar için ortak çalışmanın sonuçları</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134"/>
        <w:gridCol w:w="850"/>
        <w:gridCol w:w="1134"/>
        <w:gridCol w:w="993"/>
        <w:gridCol w:w="850"/>
        <w:gridCol w:w="851"/>
        <w:gridCol w:w="1241"/>
      </w:tblGrid>
      <w:tr w:rsidR="007C1E0B" w:rsidRPr="007C1E0B" w:rsidTr="009425B5">
        <w:trPr>
          <w:trHeight w:val="268"/>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p>
        </w:tc>
        <w:tc>
          <w:tcPr>
            <w:tcW w:w="4111" w:type="dxa"/>
            <w:gridSpan w:val="4"/>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Premiksler</w:t>
            </w:r>
          </w:p>
        </w:tc>
        <w:tc>
          <w:tcPr>
            <w:tcW w:w="2942" w:type="dxa"/>
            <w:gridSpan w:val="3"/>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Preparatlar</w:t>
            </w:r>
          </w:p>
        </w:tc>
      </w:tr>
      <w:tr w:rsidR="007C1E0B" w:rsidRPr="007C1E0B" w:rsidTr="009425B5">
        <w:trPr>
          <w:trHeight w:val="376"/>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A</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B</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D</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A</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B</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w:t>
            </w:r>
          </w:p>
        </w:tc>
      </w:tr>
      <w:tr w:rsidR="007C1E0B" w:rsidRPr="007C1E0B" w:rsidTr="009425B5">
        <w:trPr>
          <w:trHeight w:val="384"/>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L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w:t>
            </w:r>
          </w:p>
        </w:tc>
      </w:tr>
      <w:tr w:rsidR="007C1E0B" w:rsidRPr="007C1E0B" w:rsidTr="009425B5">
        <w:trPr>
          <w:trHeight w:val="358"/>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14</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16</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16</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16</w:t>
            </w:r>
          </w:p>
        </w:tc>
      </w:tr>
      <w:tr w:rsidR="007C1E0B" w:rsidRPr="007C1E0B" w:rsidTr="009425B5">
        <w:trPr>
          <w:trHeight w:val="331"/>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Ortalama (g/kg)</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8,89</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9,29</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9,21</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8,76</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94,6</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98,1</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104</w:t>
            </w:r>
          </w:p>
        </w:tc>
      </w:tr>
      <w:tr w:rsidR="007C1E0B" w:rsidRPr="007C1E0B" w:rsidTr="009425B5">
        <w:trPr>
          <w:trHeight w:val="315"/>
        </w:trPr>
        <w:tc>
          <w:tcPr>
            <w:tcW w:w="1980" w:type="dxa"/>
          </w:tcPr>
          <w:p w:rsidR="00EE0A90" w:rsidRPr="007C1E0B" w:rsidRDefault="00BD6801" w:rsidP="00BD6801">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00EE0A90" w:rsidRPr="007C1E0B">
              <w:rPr>
                <w:rFonts w:ascii="Times New Roman" w:hAnsi="Times New Roman" w:cs="Times New Roman"/>
                <w:sz w:val="20"/>
                <w:szCs w:val="20"/>
                <w:vertAlign w:val="subscript"/>
              </w:rPr>
              <w:t>r</w:t>
            </w:r>
            <w:r w:rsidR="00EE0A90" w:rsidRPr="007C1E0B">
              <w:rPr>
                <w:rFonts w:ascii="Times New Roman" w:hAnsi="Times New Roman" w:cs="Times New Roman"/>
                <w:sz w:val="20"/>
                <w:szCs w:val="20"/>
              </w:rPr>
              <w:t xml:space="preserve"> (g/kg)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0,37</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0,28</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0,28</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0,44</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4,1</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5,1</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7,7</w:t>
            </w:r>
          </w:p>
        </w:tc>
      </w:tr>
      <w:tr w:rsidR="007C1E0B" w:rsidRPr="007C1E0B" w:rsidTr="009425B5">
        <w:trPr>
          <w:trHeight w:val="398"/>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4,2</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3,0</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3,0</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5,0</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4,3</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5,2</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7,4</w:t>
            </w:r>
          </w:p>
        </w:tc>
      </w:tr>
      <w:tr w:rsidR="007C1E0B" w:rsidRPr="007C1E0B" w:rsidTr="009425B5">
        <w:trPr>
          <w:trHeight w:val="383"/>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(g/kg)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0,37</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0,28</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0,40</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0,55</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5,4</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6,4</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7,7</w:t>
            </w:r>
          </w:p>
        </w:tc>
      </w:tr>
      <w:tr w:rsidR="007C1E0B" w:rsidRPr="007C1E0B" w:rsidTr="009425B5">
        <w:trPr>
          <w:trHeight w:val="385"/>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4,2</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3,0</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4,3</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6,3</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5,7</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6,5</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7,4</w:t>
            </w:r>
          </w:p>
        </w:tc>
      </w:tr>
      <w:tr w:rsidR="007C1E0B" w:rsidRPr="007C1E0B" w:rsidTr="009425B5">
        <w:trPr>
          <w:trHeight w:val="535"/>
        </w:trPr>
        <w:tc>
          <w:tcPr>
            <w:tcW w:w="198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 xml:space="preserve">Nominal içerik (g/kg) </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1134"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993"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850"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85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c>
          <w:tcPr>
            <w:tcW w:w="1241" w:type="dxa"/>
          </w:tcPr>
          <w:p w:rsidR="00EE0A90" w:rsidRPr="007C1E0B" w:rsidRDefault="00EE0A90" w:rsidP="001B722B">
            <w:pPr>
              <w:autoSpaceDE w:val="0"/>
              <w:autoSpaceDN w:val="0"/>
              <w:adjustRightInd w:val="0"/>
              <w:spacing w:before="120"/>
              <w:jc w:val="both"/>
              <w:rPr>
                <w:rFonts w:ascii="Times New Roman" w:hAnsi="Times New Roman" w:cs="Times New Roman"/>
                <w:sz w:val="20"/>
                <w:szCs w:val="20"/>
              </w:rPr>
            </w:pPr>
            <w:r w:rsidRPr="007C1E0B">
              <w:rPr>
                <w:rFonts w:ascii="Times New Roman" w:hAnsi="Times New Roman" w:cs="Times New Roman"/>
                <w:sz w:val="20"/>
                <w:szCs w:val="20"/>
              </w:rPr>
              <w:t>100</w:t>
            </w:r>
          </w:p>
        </w:tc>
      </w:tr>
    </w:tbl>
    <w:p w:rsidR="002A04C1" w:rsidRPr="007C1E0B" w:rsidRDefault="002A04C1" w:rsidP="001B722B">
      <w:pPr>
        <w:jc w:val="both"/>
        <w:rPr>
          <w:rFonts w:ascii="Times New Roman" w:hAnsi="Times New Roman" w:cs="Times New Roman"/>
          <w:sz w:val="20"/>
          <w:szCs w:val="20"/>
        </w:rPr>
      </w:pP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 xml:space="preserve">L = </w:t>
      </w:r>
      <w:r w:rsidR="00381839" w:rsidRPr="007C1E0B">
        <w:rPr>
          <w:rFonts w:ascii="Times New Roman" w:hAnsi="Times New Roman" w:cs="Times New Roman"/>
          <w:sz w:val="20"/>
          <w:szCs w:val="20"/>
        </w:rPr>
        <w:t>Laboratuvar</w:t>
      </w:r>
      <w:r w:rsidRPr="007C1E0B">
        <w:rPr>
          <w:rFonts w:ascii="Times New Roman" w:hAnsi="Times New Roman" w:cs="Times New Roman"/>
          <w:sz w:val="20"/>
          <w:szCs w:val="20"/>
        </w:rPr>
        <w:t>ların 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n= Tekil değerlerin sayısı</w:t>
      </w:r>
    </w:p>
    <w:p w:rsidR="008F593F" w:rsidRPr="007C1E0B" w:rsidRDefault="00BD6801"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008F593F" w:rsidRPr="007C1E0B">
        <w:rPr>
          <w:rFonts w:ascii="Times New Roman" w:hAnsi="Times New Roman" w:cs="Times New Roman"/>
          <w:sz w:val="20"/>
          <w:szCs w:val="20"/>
          <w:vertAlign w:val="subscript"/>
        </w:rPr>
        <w:t>r</w:t>
      </w:r>
      <w:r w:rsidR="008F593F"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 xml:space="preserve">Tekrar </w:t>
      </w:r>
      <w:r w:rsidR="001D7C7B" w:rsidRPr="007C1E0B">
        <w:rPr>
          <w:rFonts w:ascii="Times New Roman" w:hAnsi="Times New Roman" w:cs="Times New Roman"/>
          <w:sz w:val="20"/>
          <w:szCs w:val="20"/>
        </w:rPr>
        <w:t>edilebilirliğin</w:t>
      </w:r>
      <w:r w:rsidR="008F593F" w:rsidRPr="007C1E0B">
        <w:rPr>
          <w:rFonts w:ascii="Times New Roman" w:hAnsi="Times New Roman" w:cs="Times New Roman"/>
          <w:sz w:val="20"/>
          <w:szCs w:val="20"/>
        </w:rPr>
        <w:t xml:space="preserve"> standart sapması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w:t>
      </w:r>
      <w:r w:rsidR="004B29C1" w:rsidRPr="007C1E0B">
        <w:rPr>
          <w:rFonts w:ascii="Times New Roman" w:hAnsi="Times New Roman" w:cs="Times New Roman"/>
          <w:sz w:val="20"/>
          <w:szCs w:val="20"/>
        </w:rPr>
        <w:t xml:space="preserve">Tekrar </w:t>
      </w:r>
      <w:r w:rsidR="001D7C7B" w:rsidRPr="007C1E0B">
        <w:rPr>
          <w:rFonts w:ascii="Times New Roman" w:hAnsi="Times New Roman" w:cs="Times New Roman"/>
          <w:sz w:val="20"/>
          <w:szCs w:val="20"/>
        </w:rPr>
        <w:t>edilebilirliğin</w:t>
      </w:r>
      <w:r w:rsidRPr="007C1E0B">
        <w:rPr>
          <w:rFonts w:ascii="Times New Roman" w:hAnsi="Times New Roman" w:cs="Times New Roman"/>
          <w:sz w:val="20"/>
          <w:szCs w:val="20"/>
        </w:rPr>
        <w:t xml:space="preserve"> </w:t>
      </w:r>
      <w:r w:rsidR="00F52DA3" w:rsidRPr="007C1E0B">
        <w:rPr>
          <w:rFonts w:ascii="Times New Roman" w:hAnsi="Times New Roman" w:cs="Times New Roman"/>
          <w:sz w:val="20"/>
          <w:szCs w:val="20"/>
        </w:rPr>
        <w:t>değişim</w:t>
      </w:r>
      <w:r w:rsidRPr="007C1E0B">
        <w:rPr>
          <w:rFonts w:ascii="Times New Roman" w:hAnsi="Times New Roman" w:cs="Times New Roman"/>
          <w:sz w:val="20"/>
          <w:szCs w:val="20"/>
        </w:rPr>
        <w:t xml:space="preserve"> katsayısı</w:t>
      </w:r>
    </w:p>
    <w:p w:rsidR="008F593F" w:rsidRPr="007C1E0B" w:rsidRDefault="008F593F" w:rsidP="001B722B">
      <w:pPr>
        <w:jc w:val="both"/>
        <w:rPr>
          <w:rFonts w:ascii="Times New Roman" w:hAnsi="Times New Roman" w:cs="Times New Roman"/>
          <w:sz w:val="20"/>
          <w:szCs w:val="20"/>
        </w:rPr>
      </w:pPr>
      <w:r w:rsidRPr="007C1E0B">
        <w:rPr>
          <w:rFonts w:ascii="Times New Roman" w:hAnsi="Times New Roman" w:cs="Times New Roman"/>
          <w:sz w:val="20"/>
          <w:szCs w:val="20"/>
        </w:rPr>
        <w:t>S</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Pr="007C1E0B">
        <w:rPr>
          <w:rFonts w:ascii="Times New Roman" w:hAnsi="Times New Roman" w:cs="Times New Roman"/>
          <w:sz w:val="20"/>
          <w:szCs w:val="20"/>
        </w:rPr>
        <w:t xml:space="preserve"> standart sapması</w:t>
      </w:r>
    </w:p>
    <w:p w:rsidR="00B37B6A" w:rsidRPr="007C1E0B" w:rsidRDefault="008F593F" w:rsidP="001B722B">
      <w:pPr>
        <w:jc w:val="both"/>
        <w:rPr>
          <w:rFonts w:ascii="Times New Roman" w:eastAsia="Times New Roman" w:hAnsi="Times New Roman" w:cs="Times New Roman"/>
          <w:sz w:val="20"/>
          <w:szCs w:val="20"/>
          <w:lang w:eastAsia="en-GB"/>
        </w:rPr>
      </w:pPr>
      <w:r w:rsidRPr="007C1E0B">
        <w:rPr>
          <w:rFonts w:ascii="Times New Roman" w:hAnsi="Times New Roman" w:cs="Times New Roman"/>
          <w:sz w:val="20"/>
          <w:szCs w:val="20"/>
        </w:rPr>
        <w:t>CV</w:t>
      </w:r>
      <w:r w:rsidRPr="007C1E0B">
        <w:rPr>
          <w:rFonts w:ascii="Times New Roman" w:hAnsi="Times New Roman" w:cs="Times New Roman"/>
          <w:sz w:val="20"/>
          <w:szCs w:val="20"/>
          <w:vertAlign w:val="subscript"/>
        </w:rPr>
        <w:t>R</w:t>
      </w:r>
      <w:r w:rsidRPr="007C1E0B">
        <w:rPr>
          <w:rFonts w:ascii="Times New Roman" w:hAnsi="Times New Roman" w:cs="Times New Roman"/>
          <w:sz w:val="20"/>
          <w:szCs w:val="20"/>
        </w:rPr>
        <w:t xml:space="preserve"> = Tekrar </w:t>
      </w:r>
      <w:r w:rsidR="001D7C7B" w:rsidRPr="007C1E0B">
        <w:rPr>
          <w:rFonts w:ascii="Times New Roman" w:hAnsi="Times New Roman" w:cs="Times New Roman"/>
          <w:sz w:val="20"/>
          <w:szCs w:val="20"/>
        </w:rPr>
        <w:t>üretilebilirliğin</w:t>
      </w:r>
      <w:r w:rsidR="00DA413D">
        <w:rPr>
          <w:rFonts w:ascii="Times New Roman" w:hAnsi="Times New Roman" w:cs="Times New Roman"/>
          <w:sz w:val="20"/>
          <w:szCs w:val="20"/>
        </w:rPr>
        <w:t xml:space="preserve"> değişi</w:t>
      </w:r>
      <w:bookmarkStart w:id="0" w:name="_GoBack"/>
      <w:bookmarkEnd w:id="0"/>
      <w:r w:rsidR="00DA413D">
        <w:rPr>
          <w:rFonts w:ascii="Times New Roman" w:hAnsi="Times New Roman" w:cs="Times New Roman"/>
          <w:sz w:val="20"/>
          <w:szCs w:val="20"/>
        </w:rPr>
        <w:t>m</w:t>
      </w:r>
      <w:r w:rsidRPr="007C1E0B">
        <w:rPr>
          <w:rFonts w:ascii="Times New Roman" w:hAnsi="Times New Roman" w:cs="Times New Roman"/>
          <w:sz w:val="20"/>
          <w:szCs w:val="20"/>
        </w:rPr>
        <w:t xml:space="preserve"> katsayısı</w:t>
      </w:r>
      <w:r w:rsidR="00AD5E32" w:rsidRPr="007C1E0B">
        <w:rPr>
          <w:rFonts w:ascii="Times New Roman" w:hAnsi="Times New Roman" w:cs="Times New Roman"/>
          <w:sz w:val="20"/>
          <w:szCs w:val="20"/>
        </w:rPr>
        <w:t xml:space="preserve"> </w:t>
      </w:r>
    </w:p>
    <w:sectPr w:rsidR="00B37B6A" w:rsidRPr="007C1E0B" w:rsidSect="00AE5307">
      <w:footerReference w:type="default" r:id="rId49"/>
      <w:pgSz w:w="11906" w:h="16838"/>
      <w:pgMar w:top="1417" w:right="1417" w:bottom="1417" w:left="1417" w:header="709" w:footer="709" w:gutter="0"/>
      <w:pgNumType w:start="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B83" w:rsidRDefault="00072B83" w:rsidP="0084707E">
      <w:pPr>
        <w:spacing w:after="0" w:line="240" w:lineRule="auto"/>
      </w:pPr>
      <w:r>
        <w:separator/>
      </w:r>
    </w:p>
  </w:endnote>
  <w:endnote w:type="continuationSeparator" w:id="0">
    <w:p w:rsidR="00072B83" w:rsidRDefault="00072B83" w:rsidP="00847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EUAlbertina">
    <w:altName w:val="Times New Roman"/>
    <w:panose1 w:val="00000000000000000000"/>
    <w:charset w:val="A2"/>
    <w:family w:val="auto"/>
    <w:notTrueType/>
    <w:pitch w:val="default"/>
    <w:sig w:usb0="00000007" w:usb1="00000000" w:usb2="00000000" w:usb3="00000000" w:csb0="00000011"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Arial">
    <w:panose1 w:val="020B0604020202020204"/>
    <w:charset w:val="A2"/>
    <w:family w:val="swiss"/>
    <w:pitch w:val="variable"/>
    <w:sig w:usb0="E0002AFF" w:usb1="C0007843" w:usb2="00000009" w:usb3="00000000" w:csb0="000001FF" w:csb1="00000000"/>
  </w:font>
  <w:font w:name="ABNOED+TeX_CM_Maths_Symbols">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722144"/>
      <w:docPartObj>
        <w:docPartGallery w:val="Page Numbers (Bottom of Page)"/>
        <w:docPartUnique/>
      </w:docPartObj>
    </w:sdtPr>
    <w:sdtEndPr/>
    <w:sdtContent>
      <w:p w:rsidR="00626E47" w:rsidRDefault="00626E47">
        <w:pPr>
          <w:pStyle w:val="Altbilgi"/>
          <w:jc w:val="center"/>
        </w:pPr>
        <w:r>
          <w:fldChar w:fldCharType="begin"/>
        </w:r>
        <w:r>
          <w:instrText>PAGE   \* MERGEFORMAT</w:instrText>
        </w:r>
        <w:r>
          <w:fldChar w:fldCharType="separate"/>
        </w:r>
        <w:r w:rsidR="00DA413D">
          <w:rPr>
            <w:noProof/>
          </w:rPr>
          <w:t>20</w:t>
        </w:r>
        <w:r>
          <w:fldChar w:fldCharType="end"/>
        </w:r>
      </w:p>
    </w:sdtContent>
  </w:sdt>
  <w:p w:rsidR="00626E47" w:rsidRDefault="00626E4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629519"/>
      <w:docPartObj>
        <w:docPartGallery w:val="Page Numbers (Bottom of Page)"/>
        <w:docPartUnique/>
      </w:docPartObj>
    </w:sdtPr>
    <w:sdtEndPr/>
    <w:sdtContent>
      <w:p w:rsidR="00626E47" w:rsidRDefault="00626E47">
        <w:pPr>
          <w:pStyle w:val="Altbilgi"/>
          <w:jc w:val="center"/>
        </w:pPr>
        <w:r>
          <w:fldChar w:fldCharType="begin"/>
        </w:r>
        <w:r>
          <w:instrText>PAGE   \* MERGEFORMAT</w:instrText>
        </w:r>
        <w:r>
          <w:fldChar w:fldCharType="separate"/>
        </w:r>
        <w:r w:rsidR="00DA413D">
          <w:rPr>
            <w:noProof/>
          </w:rPr>
          <w:t>152</w:t>
        </w:r>
        <w:r>
          <w:fldChar w:fldCharType="end"/>
        </w:r>
      </w:p>
    </w:sdtContent>
  </w:sdt>
  <w:p w:rsidR="00626E47" w:rsidRDefault="00626E4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B83" w:rsidRDefault="00072B83" w:rsidP="0084707E">
      <w:pPr>
        <w:spacing w:after="0" w:line="240" w:lineRule="auto"/>
      </w:pPr>
      <w:r>
        <w:separator/>
      </w:r>
    </w:p>
  </w:footnote>
  <w:footnote w:type="continuationSeparator" w:id="0">
    <w:p w:rsidR="00072B83" w:rsidRDefault="00072B83" w:rsidP="0084707E">
      <w:pPr>
        <w:spacing w:after="0" w:line="240" w:lineRule="auto"/>
      </w:pPr>
      <w:r>
        <w:continuationSeparator/>
      </w:r>
    </w:p>
  </w:footnote>
  <w:footnote w:id="1">
    <w:p w:rsidR="00626E47" w:rsidRPr="008F593F" w:rsidRDefault="00626E47" w:rsidP="008F593F">
      <w:pPr>
        <w:pStyle w:val="DipnotMetni"/>
        <w:rPr>
          <w:rFonts w:ascii="Times New Roman" w:hAnsi="Times New Roman" w:cs="Times New Roman"/>
          <w:sz w:val="16"/>
        </w:rPr>
      </w:pPr>
      <w:r w:rsidRPr="008F593F">
        <w:rPr>
          <w:sz w:val="16"/>
        </w:rPr>
        <w:t>(</w:t>
      </w:r>
      <w:r w:rsidRPr="008F593F">
        <w:rPr>
          <w:rStyle w:val="DipnotBavurusu"/>
          <w:sz w:val="16"/>
        </w:rPr>
        <w:footnoteRef/>
      </w:r>
      <w:r w:rsidRPr="008F593F">
        <w:rPr>
          <w:sz w:val="16"/>
        </w:rPr>
        <w:t xml:space="preserve">) </w:t>
      </w:r>
      <w:r w:rsidRPr="008F593F">
        <w:rPr>
          <w:rFonts w:ascii="Times New Roman" w:hAnsi="Times New Roman" w:cs="Times New Roman"/>
          <w:sz w:val="16"/>
        </w:rPr>
        <w:t>Topaklanmış parçalar ezilir ve karıştırılır.</w:t>
      </w:r>
    </w:p>
  </w:footnote>
  <w:footnote w:id="2">
    <w:p w:rsidR="00626E47" w:rsidRPr="008F593F" w:rsidRDefault="00626E47" w:rsidP="008F593F">
      <w:pPr>
        <w:pStyle w:val="DipnotMetni"/>
        <w:rPr>
          <w:sz w:val="16"/>
        </w:rPr>
      </w:pPr>
      <w:r w:rsidRPr="008F593F">
        <w:rPr>
          <w:rFonts w:ascii="Times New Roman" w:hAnsi="Times New Roman" w:cs="Times New Roman"/>
          <w:sz w:val="16"/>
        </w:rPr>
        <w:t>(</w:t>
      </w:r>
      <w:r w:rsidRPr="008F593F">
        <w:rPr>
          <w:rStyle w:val="DipnotBavurusu"/>
          <w:rFonts w:ascii="Times New Roman" w:hAnsi="Times New Roman" w:cs="Times New Roman"/>
          <w:sz w:val="16"/>
        </w:rPr>
        <w:footnoteRef/>
      </w:r>
      <w:r w:rsidRPr="008F593F">
        <w:rPr>
          <w:rFonts w:ascii="Times New Roman" w:hAnsi="Times New Roman" w:cs="Times New Roman"/>
          <w:sz w:val="16"/>
        </w:rPr>
        <w:t>) Düşük özgül ağırlığa sahip kaba yemler dışında</w:t>
      </w:r>
      <w:r w:rsidRPr="008F593F">
        <w:rPr>
          <w:sz w:val="16"/>
        </w:rPr>
        <w:t>.</w:t>
      </w:r>
    </w:p>
  </w:footnote>
  <w:footnote w:id="3">
    <w:p w:rsidR="00626E47" w:rsidRPr="008F593F" w:rsidRDefault="00626E47">
      <w:pPr>
        <w:pStyle w:val="DipnotMetni"/>
        <w:rPr>
          <w:rFonts w:ascii="Times New Roman" w:hAnsi="Times New Roman" w:cs="Times New Roman"/>
          <w:sz w:val="16"/>
        </w:rPr>
      </w:pPr>
      <w:r w:rsidRPr="008F593F">
        <w:rPr>
          <w:sz w:val="16"/>
        </w:rPr>
        <w:t>(</w:t>
      </w:r>
      <w:r w:rsidRPr="008F593F">
        <w:rPr>
          <w:rStyle w:val="DipnotBavurusu"/>
          <w:sz w:val="16"/>
        </w:rPr>
        <w:footnoteRef/>
      </w:r>
      <w:r w:rsidRPr="008F593F">
        <w:rPr>
          <w:sz w:val="16"/>
        </w:rPr>
        <w:t xml:space="preserve">) </w:t>
      </w:r>
      <w:r w:rsidRPr="008F593F">
        <w:rPr>
          <w:rFonts w:ascii="Times New Roman" w:hAnsi="Times New Roman" w:cs="Times New Roman"/>
          <w:sz w:val="16"/>
        </w:rPr>
        <w:t>Düşük özgül ağırlığa sahip kaba yemler dışında</w:t>
      </w:r>
    </w:p>
  </w:footnote>
  <w:footnote w:id="4">
    <w:p w:rsidR="00626E47" w:rsidRPr="008F593F" w:rsidRDefault="00626E47" w:rsidP="00EE4195">
      <w:pPr>
        <w:pStyle w:val="DipnotMetni"/>
        <w:jc w:val="both"/>
        <w:rPr>
          <w:rFonts w:ascii="Times New Roman" w:hAnsi="Times New Roman" w:cs="Times New Roman"/>
          <w:sz w:val="16"/>
          <w:szCs w:val="16"/>
        </w:rPr>
      </w:pPr>
      <w:r>
        <w:rPr>
          <w:sz w:val="16"/>
          <w:szCs w:val="16"/>
        </w:rPr>
        <w:t>(</w:t>
      </w:r>
      <w:r w:rsidRPr="008F593F">
        <w:rPr>
          <w:rStyle w:val="DipnotBavurusu"/>
          <w:sz w:val="16"/>
          <w:szCs w:val="16"/>
        </w:rPr>
        <w:footnoteRef/>
      </w:r>
      <w:r>
        <w:rPr>
          <w:sz w:val="16"/>
          <w:szCs w:val="16"/>
        </w:rPr>
        <w:t>)</w:t>
      </w:r>
      <w:r w:rsidRPr="008F593F">
        <w:rPr>
          <w:sz w:val="16"/>
          <w:szCs w:val="16"/>
        </w:rPr>
        <w:t xml:space="preserve"> </w:t>
      </w:r>
      <w:r w:rsidRPr="008F593F">
        <w:rPr>
          <w:rFonts w:ascii="Times New Roman" w:hAnsi="Times New Roman" w:cs="Times New Roman"/>
          <w:sz w:val="16"/>
          <w:szCs w:val="16"/>
        </w:rPr>
        <w:t>Tahıl ve ürünlerinin kurutulması için etüvün termal kapasitesinin 131°C’lik bir ön ayarda olması ve eş zamanlı kurutma için maksimum sayıda test numunesi yerleştirildikten sonra en fazla 45 dakika içinde bu sıcaklığa ulaşacak şekilde olması gerekir. Alabildiği kadar buğday numunesi iki saat boyunca kurutulduğunda, dört saatlik kurutmaya göre sonuçlar arasındaki farkın en fazla %</w:t>
      </w:r>
      <w:r>
        <w:rPr>
          <w:rFonts w:ascii="Times New Roman" w:hAnsi="Times New Roman" w:cs="Times New Roman"/>
          <w:sz w:val="16"/>
          <w:szCs w:val="16"/>
        </w:rPr>
        <w:t xml:space="preserve"> </w:t>
      </w:r>
      <w:r w:rsidRPr="008F593F">
        <w:rPr>
          <w:rFonts w:ascii="Times New Roman" w:hAnsi="Times New Roman" w:cs="Times New Roman"/>
          <w:sz w:val="16"/>
          <w:szCs w:val="16"/>
        </w:rPr>
        <w:t>0,15 olacağı şekilde havalandırma sağlanmalıdır.</w:t>
      </w:r>
    </w:p>
  </w:footnote>
  <w:footnote w:id="5">
    <w:p w:rsidR="00626E47" w:rsidRPr="004C0925" w:rsidRDefault="00626E47">
      <w:pPr>
        <w:pStyle w:val="DipnotMetni"/>
        <w:rPr>
          <w:rFonts w:ascii="Times New Roman" w:hAnsi="Times New Roman" w:cs="Times New Roman"/>
          <w:sz w:val="16"/>
          <w:szCs w:val="16"/>
        </w:rPr>
      </w:pPr>
      <w:r w:rsidRPr="004C0925">
        <w:rPr>
          <w:sz w:val="16"/>
          <w:szCs w:val="16"/>
        </w:rPr>
        <w:t>(</w:t>
      </w:r>
      <w:r w:rsidRPr="004C0925">
        <w:rPr>
          <w:rStyle w:val="DipnotBavurusu"/>
          <w:sz w:val="16"/>
          <w:szCs w:val="16"/>
        </w:rPr>
        <w:footnoteRef/>
      </w:r>
      <w:r w:rsidRPr="004C0925">
        <w:rPr>
          <w:sz w:val="16"/>
          <w:szCs w:val="16"/>
        </w:rPr>
        <w:t xml:space="preserve">) </w:t>
      </w:r>
      <w:r w:rsidRPr="004C0925">
        <w:rPr>
          <w:rFonts w:ascii="Times New Roman" w:hAnsi="Times New Roman" w:cs="Times New Roman"/>
          <w:sz w:val="16"/>
          <w:szCs w:val="16"/>
        </w:rPr>
        <w:t>Katı ve sıvı yağların kalite testine girmesi gerektiği durumlarda, süngertaşı parçaları yerine cam boncuklar kullanılır.</w:t>
      </w:r>
    </w:p>
  </w:footnote>
  <w:footnote w:id="6">
    <w:p w:rsidR="00626E47" w:rsidRDefault="00626E47" w:rsidP="00FE568C">
      <w:pPr>
        <w:pStyle w:val="DipnotMetni"/>
        <w:jc w:val="both"/>
      </w:pPr>
      <w:r>
        <w:t>(</w:t>
      </w:r>
      <w:r>
        <w:rPr>
          <w:rStyle w:val="DipnotBavurusu"/>
        </w:rPr>
        <w:footnoteRef/>
      </w:r>
      <w:r>
        <w:t xml:space="preserve">) </w:t>
      </w:r>
      <w:r w:rsidRPr="00FE568C">
        <w:rPr>
          <w:rFonts w:ascii="Times New Roman" w:eastAsia="Times New Roman" w:hAnsi="Times New Roman" w:cs="Times New Roman"/>
          <w:sz w:val="16"/>
          <w:szCs w:val="16"/>
        </w:rPr>
        <w:t>Aynı sonuçları vermeleri kaydıyla diğer parçalama metotları (mikrodalga basınçlı parçalama) de kullanılabilir.</w:t>
      </w:r>
    </w:p>
  </w:footnote>
  <w:footnote w:id="7">
    <w:p w:rsidR="00626E47" w:rsidRDefault="00626E47" w:rsidP="00FE568C">
      <w:pPr>
        <w:pStyle w:val="DipnotMetni"/>
        <w:jc w:val="both"/>
      </w:pPr>
      <w:r>
        <w:t>(</w:t>
      </w:r>
      <w:r>
        <w:rPr>
          <w:rStyle w:val="DipnotBavurusu"/>
        </w:rPr>
        <w:footnoteRef/>
      </w:r>
      <w:r>
        <w:t xml:space="preserve">) </w:t>
      </w:r>
      <w:r w:rsidRPr="00FE568C">
        <w:rPr>
          <w:rFonts w:ascii="Times New Roman" w:eastAsia="Times New Roman" w:hAnsi="Times New Roman" w:cs="Times New Roman"/>
          <w:sz w:val="16"/>
          <w:szCs w:val="16"/>
        </w:rPr>
        <w:t>Yeşil kaba yem (taze ya da kuru), eser elementleri tutabilecek çok miktarda bitkisel silis içerme eğilimindedir ve ortamdan uzaklaştırılmalıdır. Bu nedenle bu yemlerin numunelerinde aşağıdaki değiştirilmiş metod izlenmelidir. Süzme işlemine kadar 5.1.1.1 işlemini uygulanır. Çözünmeyen kalıntıyı içeren süzgeç kağıdı iki kez kaynar suyla yıkanır ve kuvars ya da platin bir kroze içine koyulur. Kül fırınında (4.1) 550°C’nin altında bir sıcaklıkta tüm karbonlu materyaller tümüyle yanana kadar yakılır. Soğumaya bırakılır, birkaç damla su ve ardından 10 ile 15 ml hidroflorik asit (3.4) eklenir ve yaklaşık 150°C’de kuruyana kadar buharlaştırılır. Kalıntıda herhangi bir silis içeriği kalırsa, birkaç  ml hidroflorik asit (3.4) içinde yeniden çözündürülür ve kuruyana kadar buharlaştırılır. Beş damla sülfürik asit (3.5) eklenir ve beyaz duman çıkmayana kadar ısıtılır. 5 ml 6 mol/litre hidroklorik asit (3.2) ve yaklaşık 30 ml su ekledikten sonra, ısıtılır, çözelti 250 ml’lik balon jojeye filtrelenir ve su ile işaretine kadar tamamlanır (HCl konsantrasyonu yaklaşık 0,5 mol/l). Tayin işlemine madde 5.1.2’den devam edilir.</w:t>
      </w:r>
    </w:p>
  </w:footnote>
  <w:footnote w:id="8">
    <w:p w:rsidR="00626E47" w:rsidRPr="00E8702C" w:rsidRDefault="00626E47" w:rsidP="00E66537">
      <w:pPr>
        <w:pStyle w:val="DipnotMetni"/>
        <w:spacing w:after="120"/>
      </w:pPr>
      <w:r>
        <w:t>(</w:t>
      </w:r>
      <w:r>
        <w:rPr>
          <w:rStyle w:val="DipnotBavurusu"/>
        </w:rPr>
        <w:footnoteRef/>
      </w:r>
      <w:r>
        <w:t>)</w:t>
      </w:r>
      <w:r w:rsidRPr="001B722B">
        <w:rPr>
          <w:rFonts w:ascii="Times New Roman" w:hAnsi="Times New Roman" w:cs="Times New Roman"/>
          <w:sz w:val="16"/>
          <w:szCs w:val="16"/>
        </w:rPr>
        <w:t>Dioksinler, furanlar ve dioksin benzeri PCB’ler için TEF (toksik ekivalans faktörleri) tablosu</w:t>
      </w:r>
    </w:p>
    <w:p w:rsidR="00626E47" w:rsidRDefault="00626E47" w:rsidP="00E66537">
      <w:pPr>
        <w:pStyle w:val="DipnotMetni"/>
        <w:spacing w:after="120"/>
        <w:jc w:val="both"/>
        <w:rPr>
          <w:rFonts w:ascii="Times New Roman" w:hAnsi="Times New Roman" w:cs="Times New Roman"/>
          <w:sz w:val="16"/>
          <w:szCs w:val="16"/>
        </w:rPr>
      </w:pPr>
      <w:r w:rsidRPr="001B722B">
        <w:rPr>
          <w:rFonts w:ascii="Times New Roman" w:hAnsi="Times New Roman" w:cs="Times New Roman"/>
          <w:sz w:val="16"/>
          <w:szCs w:val="16"/>
        </w:rPr>
        <w:t>Dünya Sağlık Örgütü tarafından Haziran 2005’te, Cenevre’de düzenlenen ‘Kimyasal Güvenilirlik Uluslararası Programı (IPCS)’nda (Martin Van den Berg ve ark., ‘Dioksin ve Dioksin Benzeri Bileşiklerin İnsanlar ve Memeliler İçin Toksik Eşdeğerlik Faktörlerinin 2005 Dünya Sağlık Örgütü Yeniden Değerlendirmesi’) kabul edilen, dioksin ve dioksin benzeri bileşiklerin insanlar için tehlike değerlerini gösteren Toksik Eşdeğerlik Faktörleri (WHO-TEF, 2005) [Toxicological Sciences 93(2), 223-241 (2006)]</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17"/>
        <w:gridCol w:w="1752"/>
        <w:gridCol w:w="2252"/>
        <w:gridCol w:w="1751"/>
      </w:tblGrid>
      <w:tr w:rsidR="00626E47" w:rsidRPr="00E8702C" w:rsidTr="00AE5307">
        <w:trPr>
          <w:trHeight w:val="371"/>
        </w:trPr>
        <w:tc>
          <w:tcPr>
            <w:tcW w:w="3317" w:type="dxa"/>
            <w:tcBorders>
              <w:top w:val="single" w:sz="4" w:space="0" w:color="auto"/>
              <w:left w:val="single" w:sz="4" w:space="0" w:color="auto"/>
              <w:bottom w:val="single" w:sz="4" w:space="0" w:color="auto"/>
              <w:right w:val="single" w:sz="4" w:space="0" w:color="auto"/>
            </w:tcBorders>
            <w:vAlign w:val="center"/>
          </w:tcPr>
          <w:p w:rsidR="00626E47" w:rsidRPr="001B722B" w:rsidRDefault="00626E47" w:rsidP="001B722B">
            <w:pPr>
              <w:spacing w:after="0" w:line="240" w:lineRule="auto"/>
              <w:ind w:left="142"/>
              <w:rPr>
                <w:rFonts w:ascii="Times New Roman" w:hAnsi="Times New Roman" w:cs="Times New Roman"/>
                <w:b/>
                <w:sz w:val="16"/>
                <w:szCs w:val="16"/>
              </w:rPr>
            </w:pPr>
            <w:r w:rsidRPr="001B722B">
              <w:rPr>
                <w:rFonts w:ascii="Times New Roman" w:hAnsi="Times New Roman" w:cs="Times New Roman"/>
                <w:b/>
                <w:sz w:val="16"/>
                <w:szCs w:val="16"/>
              </w:rPr>
              <w:t>Türdeş bileşen</w:t>
            </w:r>
          </w:p>
        </w:tc>
        <w:tc>
          <w:tcPr>
            <w:tcW w:w="1752" w:type="dxa"/>
            <w:tcBorders>
              <w:top w:val="single" w:sz="4" w:space="0" w:color="auto"/>
              <w:left w:val="single" w:sz="4" w:space="0" w:color="auto"/>
              <w:bottom w:val="single" w:sz="4" w:space="0" w:color="auto"/>
              <w:right w:val="single" w:sz="4" w:space="0" w:color="auto"/>
            </w:tcBorders>
            <w:vAlign w:val="center"/>
          </w:tcPr>
          <w:p w:rsidR="00626E47" w:rsidRPr="001B722B" w:rsidRDefault="00626E47" w:rsidP="001B722B">
            <w:pPr>
              <w:spacing w:after="0" w:line="240" w:lineRule="exact"/>
              <w:ind w:left="142"/>
              <w:rPr>
                <w:rFonts w:ascii="Times New Roman" w:hAnsi="Times New Roman" w:cs="Times New Roman"/>
                <w:b/>
                <w:color w:val="000000"/>
                <w:sz w:val="16"/>
                <w:szCs w:val="16"/>
              </w:rPr>
            </w:pPr>
            <w:r w:rsidRPr="001B722B">
              <w:rPr>
                <w:rFonts w:ascii="Times New Roman" w:hAnsi="Times New Roman" w:cs="Times New Roman"/>
                <w:b/>
                <w:color w:val="000000"/>
                <w:sz w:val="16"/>
                <w:szCs w:val="16"/>
              </w:rPr>
              <w:t>TEF değeri</w:t>
            </w:r>
          </w:p>
        </w:tc>
        <w:tc>
          <w:tcPr>
            <w:tcW w:w="2252" w:type="dxa"/>
            <w:tcBorders>
              <w:top w:val="single" w:sz="4" w:space="0" w:color="auto"/>
              <w:left w:val="single" w:sz="4" w:space="0" w:color="auto"/>
              <w:bottom w:val="single" w:sz="4" w:space="0" w:color="auto"/>
              <w:right w:val="single" w:sz="4" w:space="0" w:color="auto"/>
            </w:tcBorders>
            <w:vAlign w:val="center"/>
          </w:tcPr>
          <w:p w:rsidR="00626E47" w:rsidRPr="001B722B" w:rsidRDefault="00626E47" w:rsidP="001B722B">
            <w:pPr>
              <w:spacing w:after="0" w:line="240" w:lineRule="exact"/>
              <w:ind w:left="142"/>
              <w:rPr>
                <w:rFonts w:ascii="Times New Roman" w:hAnsi="Times New Roman" w:cs="Times New Roman"/>
                <w:b/>
                <w:sz w:val="16"/>
                <w:szCs w:val="16"/>
              </w:rPr>
            </w:pPr>
            <w:r w:rsidRPr="001B722B">
              <w:rPr>
                <w:rFonts w:ascii="Times New Roman" w:hAnsi="Times New Roman" w:cs="Times New Roman"/>
                <w:b/>
                <w:sz w:val="16"/>
                <w:szCs w:val="16"/>
              </w:rPr>
              <w:t>Türdeş bileşen</w:t>
            </w:r>
          </w:p>
        </w:tc>
        <w:tc>
          <w:tcPr>
            <w:tcW w:w="1751" w:type="dxa"/>
            <w:tcBorders>
              <w:top w:val="single" w:sz="4" w:space="0" w:color="auto"/>
              <w:left w:val="single" w:sz="4" w:space="0" w:color="auto"/>
              <w:bottom w:val="single" w:sz="4" w:space="0" w:color="auto"/>
              <w:right w:val="single" w:sz="4" w:space="0" w:color="auto"/>
            </w:tcBorders>
            <w:vAlign w:val="center"/>
          </w:tcPr>
          <w:p w:rsidR="00626E47" w:rsidRPr="001B722B" w:rsidRDefault="00626E47" w:rsidP="001B722B">
            <w:pPr>
              <w:spacing w:after="0" w:line="240" w:lineRule="exact"/>
              <w:ind w:left="142"/>
              <w:rPr>
                <w:rFonts w:ascii="Times New Roman" w:hAnsi="Times New Roman" w:cs="Times New Roman"/>
                <w:b/>
                <w:color w:val="000000"/>
                <w:sz w:val="16"/>
                <w:szCs w:val="16"/>
              </w:rPr>
            </w:pPr>
            <w:r w:rsidRPr="001B722B">
              <w:rPr>
                <w:rFonts w:ascii="Times New Roman" w:hAnsi="Times New Roman" w:cs="Times New Roman"/>
                <w:b/>
                <w:color w:val="000000"/>
                <w:sz w:val="16"/>
                <w:szCs w:val="16"/>
              </w:rPr>
              <w:t>TEF değeri</w:t>
            </w:r>
          </w:p>
        </w:tc>
      </w:tr>
      <w:tr w:rsidR="00626E47" w:rsidRPr="00E8702C" w:rsidTr="00AE5307">
        <w:trPr>
          <w:trHeight w:val="291"/>
        </w:trPr>
        <w:tc>
          <w:tcPr>
            <w:tcW w:w="5069" w:type="dxa"/>
            <w:gridSpan w:val="2"/>
            <w:tcBorders>
              <w:top w:val="single" w:sz="4" w:space="0" w:color="auto"/>
              <w:left w:val="single" w:sz="4" w:space="0" w:color="auto"/>
              <w:bottom w:val="single" w:sz="4" w:space="0" w:color="auto"/>
              <w:right w:val="single" w:sz="4" w:space="0" w:color="auto"/>
            </w:tcBorders>
            <w:vAlign w:val="center"/>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b/>
                <w:bCs/>
                <w:color w:val="000000"/>
                <w:sz w:val="16"/>
                <w:szCs w:val="16"/>
              </w:rPr>
              <w:t>Dibenzo-p-dioksinler (‘PCDD’ler)</w:t>
            </w:r>
          </w:p>
        </w:tc>
        <w:tc>
          <w:tcPr>
            <w:tcW w:w="4003" w:type="dxa"/>
            <w:gridSpan w:val="2"/>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b/>
                <w:bCs/>
                <w:color w:val="000000"/>
                <w:sz w:val="16"/>
                <w:szCs w:val="16"/>
              </w:rPr>
              <w:t>Dioksin benzeri PCB’ler: Non-orto PCB’ler ve Mono-orto PCB’ler</w:t>
            </w:r>
          </w:p>
        </w:tc>
      </w:tr>
      <w:tr w:rsidR="00626E47" w:rsidRPr="00E8702C" w:rsidTr="00AE5307">
        <w:trPr>
          <w:trHeight w:val="232"/>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2,3,7,8-TCDD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w:t>
            </w:r>
          </w:p>
        </w:tc>
        <w:tc>
          <w:tcPr>
            <w:tcW w:w="4003" w:type="dxa"/>
            <w:gridSpan w:val="2"/>
            <w:vMerge w:val="restart"/>
            <w:tcBorders>
              <w:top w:val="single" w:sz="4" w:space="0" w:color="auto"/>
              <w:left w:val="single" w:sz="4" w:space="0" w:color="auto"/>
              <w:right w:val="single" w:sz="4" w:space="0" w:color="auto"/>
            </w:tcBorders>
            <w:vAlign w:val="center"/>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b/>
                <w:color w:val="000000"/>
                <w:sz w:val="16"/>
                <w:szCs w:val="16"/>
              </w:rPr>
              <w:t>Non-orto PCB’ler</w:t>
            </w:r>
          </w:p>
        </w:tc>
      </w:tr>
      <w:tr w:rsidR="00626E47" w:rsidRPr="00E8702C" w:rsidTr="00AE5307">
        <w:trPr>
          <w:trHeight w:val="232"/>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1,2,3,7,8-PeCDD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w:t>
            </w:r>
          </w:p>
        </w:tc>
        <w:tc>
          <w:tcPr>
            <w:tcW w:w="4003" w:type="dxa"/>
            <w:gridSpan w:val="2"/>
            <w:vMerge/>
            <w:tcBorders>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b/>
                <w:color w:val="000000"/>
                <w:sz w:val="16"/>
                <w:szCs w:val="16"/>
              </w:rPr>
            </w:pPr>
          </w:p>
        </w:tc>
      </w:tr>
      <w:tr w:rsidR="00626E47" w:rsidRPr="00E8702C" w:rsidTr="00AE5307">
        <w:trPr>
          <w:trHeight w:val="104"/>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1,2,3,4,7,8-HxCDD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77</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0,0001</w:t>
            </w:r>
          </w:p>
        </w:tc>
      </w:tr>
      <w:tr w:rsidR="00626E47" w:rsidRPr="00E8702C" w:rsidTr="00AE5307">
        <w:trPr>
          <w:trHeight w:val="145"/>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1,2,3,6,7,8-HxCDD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81</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0,0003</w:t>
            </w:r>
          </w:p>
        </w:tc>
      </w:tr>
      <w:tr w:rsidR="00626E47" w:rsidRPr="00E8702C" w:rsidTr="00AE5307">
        <w:trPr>
          <w:trHeight w:val="191"/>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1,2,3,7,8,9-HxCDD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126</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r>
      <w:tr w:rsidR="00626E47" w:rsidRPr="00E8702C" w:rsidTr="00AE5307">
        <w:trPr>
          <w:trHeight w:val="81"/>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1,2,3,4,6,7,8-HpCDD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169</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0,03</w:t>
            </w:r>
          </w:p>
        </w:tc>
      </w:tr>
      <w:tr w:rsidR="00626E47" w:rsidRPr="00E8702C" w:rsidTr="00AE5307">
        <w:trPr>
          <w:trHeight w:val="56"/>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OCDD</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0,0003</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p>
        </w:tc>
      </w:tr>
      <w:tr w:rsidR="00626E47" w:rsidRPr="00E8702C" w:rsidTr="00AE5307">
        <w:trPr>
          <w:trHeight w:val="232"/>
        </w:trPr>
        <w:tc>
          <w:tcPr>
            <w:tcW w:w="5069" w:type="dxa"/>
            <w:gridSpan w:val="2"/>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b/>
                <w:bCs/>
                <w:color w:val="000000"/>
                <w:sz w:val="16"/>
                <w:szCs w:val="16"/>
              </w:rPr>
              <w:t>Dibenzofuranlar (‘PCDF’ler)</w:t>
            </w:r>
          </w:p>
        </w:tc>
        <w:tc>
          <w:tcPr>
            <w:tcW w:w="4003" w:type="dxa"/>
            <w:gridSpan w:val="2"/>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b/>
                <w:color w:val="000000"/>
                <w:sz w:val="16"/>
                <w:szCs w:val="16"/>
              </w:rPr>
            </w:pPr>
            <w:r w:rsidRPr="001B722B">
              <w:rPr>
                <w:rFonts w:ascii="Times New Roman" w:hAnsi="Times New Roman" w:cs="Times New Roman"/>
                <w:b/>
                <w:color w:val="000000"/>
                <w:sz w:val="16"/>
                <w:szCs w:val="16"/>
              </w:rPr>
              <w:t>Mono-orto PCB’ler</w:t>
            </w:r>
          </w:p>
        </w:tc>
      </w:tr>
      <w:tr w:rsidR="00626E47" w:rsidRPr="00E8702C" w:rsidTr="00AE5307">
        <w:trPr>
          <w:trHeight w:val="64"/>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2,3,7,8- TCDF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105</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279"/>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1,2,3,7,8-PeCDF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0,03</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114</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225"/>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2,3,4,7,8-PeCDF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0,3</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118</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161"/>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1,2,3,4,7,8-HxCDF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123</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163"/>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1,2,3,6,7,8-HxCDF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156</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111"/>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1,2,3,7,8,9-HxCDF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157</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253"/>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2,3,4,6,7,8-HxCDF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167</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62"/>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1,2,3,4,6,7,8-HpCDF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PCB 189</w:t>
            </w: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0,00003</w:t>
            </w:r>
          </w:p>
        </w:tc>
      </w:tr>
      <w:tr w:rsidR="00626E47" w:rsidRPr="00E8702C" w:rsidTr="00AE5307">
        <w:trPr>
          <w:trHeight w:val="235"/>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1,2,3,4,7,8,9-HpCDF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0,01</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p>
        </w:tc>
      </w:tr>
      <w:tr w:rsidR="00626E47" w:rsidRPr="00E8702C" w:rsidTr="00AE5307">
        <w:trPr>
          <w:trHeight w:val="56"/>
        </w:trPr>
        <w:tc>
          <w:tcPr>
            <w:tcW w:w="3317"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exact"/>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OCDF</w:t>
            </w:r>
          </w:p>
        </w:tc>
        <w:tc>
          <w:tcPr>
            <w:tcW w:w="17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0,0003</w:t>
            </w:r>
          </w:p>
        </w:tc>
        <w:tc>
          <w:tcPr>
            <w:tcW w:w="2252"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p>
        </w:tc>
        <w:tc>
          <w:tcPr>
            <w:tcW w:w="1751" w:type="dxa"/>
            <w:tcBorders>
              <w:top w:val="single" w:sz="4" w:space="0" w:color="auto"/>
              <w:left w:val="single" w:sz="4" w:space="0" w:color="auto"/>
              <w:bottom w:val="single" w:sz="4" w:space="0" w:color="auto"/>
              <w:right w:val="single" w:sz="4" w:space="0" w:color="auto"/>
            </w:tcBorders>
          </w:tcPr>
          <w:p w:rsidR="00626E47" w:rsidRPr="001B722B" w:rsidRDefault="00626E47" w:rsidP="001B722B">
            <w:pPr>
              <w:spacing w:after="0" w:line="240" w:lineRule="auto"/>
              <w:ind w:left="142"/>
              <w:rPr>
                <w:rFonts w:ascii="Times New Roman" w:hAnsi="Times New Roman" w:cs="Times New Roman"/>
                <w:color w:val="000000"/>
                <w:sz w:val="16"/>
                <w:szCs w:val="16"/>
              </w:rPr>
            </w:pPr>
          </w:p>
        </w:tc>
      </w:tr>
      <w:tr w:rsidR="00626E47" w:rsidRPr="00E8702C" w:rsidTr="00AE5307">
        <w:trPr>
          <w:trHeight w:val="258"/>
        </w:trPr>
        <w:tc>
          <w:tcPr>
            <w:tcW w:w="9072" w:type="dxa"/>
            <w:gridSpan w:val="4"/>
            <w:tcBorders>
              <w:top w:val="single" w:sz="4" w:space="0" w:color="auto"/>
              <w:left w:val="single" w:sz="4" w:space="0" w:color="auto"/>
              <w:bottom w:val="single" w:sz="4" w:space="0" w:color="auto"/>
              <w:right w:val="single" w:sz="4" w:space="0" w:color="auto"/>
            </w:tcBorders>
          </w:tcPr>
          <w:p w:rsidR="00626E47" w:rsidRPr="001B722B" w:rsidRDefault="00626E47" w:rsidP="009B7D0C">
            <w:pPr>
              <w:spacing w:after="0" w:line="240" w:lineRule="auto"/>
              <w:ind w:left="142"/>
              <w:rPr>
                <w:rFonts w:ascii="Times New Roman" w:hAnsi="Times New Roman" w:cs="Times New Roman"/>
                <w:color w:val="000000"/>
                <w:sz w:val="16"/>
                <w:szCs w:val="16"/>
              </w:rPr>
            </w:pPr>
            <w:r w:rsidRPr="001B722B">
              <w:rPr>
                <w:rFonts w:ascii="Times New Roman" w:hAnsi="Times New Roman" w:cs="Times New Roman"/>
                <w:color w:val="000000"/>
                <w:sz w:val="16"/>
                <w:szCs w:val="16"/>
              </w:rPr>
              <w:t>Kısaltmalar: T; Tetra/Dört, Pe; Penta/Beş, Hx;Hekza/Altı, Hp;Hepta/Yedi, O;Octa/Sekiz, CDD; Klorodibenzodioksin, CDF; Klorodibenzofuran, CB; Klorobifenil</w:t>
            </w:r>
            <w:r>
              <w:rPr>
                <w:rFonts w:ascii="Times New Roman" w:hAnsi="Times New Roman" w:cs="Times New Roman"/>
                <w:color w:val="000000"/>
                <w:sz w:val="16"/>
                <w:szCs w:val="16"/>
              </w:rPr>
              <w:t xml:space="preserve"> </w:t>
            </w:r>
          </w:p>
        </w:tc>
      </w:tr>
    </w:tbl>
    <w:p w:rsidR="00626E47" w:rsidRDefault="00626E47">
      <w:pPr>
        <w:pStyle w:val="DipnotMetni"/>
      </w:pPr>
    </w:p>
  </w:footnote>
  <w:footnote w:id="9">
    <w:p w:rsidR="00626E47" w:rsidRPr="00305FE7" w:rsidRDefault="00626E47">
      <w:pPr>
        <w:pStyle w:val="DipnotMetni"/>
        <w:rPr>
          <w:rFonts w:ascii="Times New Roman" w:hAnsi="Times New Roman" w:cs="Times New Roman"/>
          <w:sz w:val="16"/>
          <w:szCs w:val="16"/>
        </w:rPr>
      </w:pPr>
      <w:r w:rsidRPr="00007B8B">
        <w:rPr>
          <w:rFonts w:ascii="Times New Roman" w:hAnsi="Times New Roman" w:cs="Times New Roman"/>
          <w:sz w:val="16"/>
          <w:szCs w:val="16"/>
        </w:rPr>
        <w:t>(</w:t>
      </w:r>
      <w:r w:rsidRPr="00007B8B">
        <w:rPr>
          <w:rStyle w:val="DipnotBavurusu"/>
          <w:rFonts w:ascii="Times New Roman" w:hAnsi="Times New Roman" w:cs="Times New Roman"/>
          <w:sz w:val="16"/>
          <w:szCs w:val="16"/>
        </w:rPr>
        <w:footnoteRef/>
      </w:r>
      <w:r w:rsidRPr="00007B8B">
        <w:rPr>
          <w:rFonts w:ascii="Times New Roman" w:hAnsi="Times New Roman" w:cs="Times New Roman"/>
          <w:sz w:val="16"/>
          <w:szCs w:val="16"/>
        </w:rPr>
        <w:t>) Analitik metotların yürütülmesi ve sonuçların yorumlanmasına ilişkin 96/23/EC sayılı Konsey Direktifi’ni uygulayan 14 Ağustos 2002 tarihli ve 2002/657/EC sayılı Komisyon Kararı</w:t>
      </w:r>
    </w:p>
  </w:footnote>
  <w:footnote w:id="10">
    <w:p w:rsidR="00626E47" w:rsidRPr="000617B6" w:rsidRDefault="00626E47">
      <w:pPr>
        <w:pStyle w:val="DipnotMetni"/>
        <w:rPr>
          <w:rFonts w:ascii="Times New Roman" w:hAnsi="Times New Roman" w:cs="Times New Roman"/>
          <w:sz w:val="16"/>
          <w:szCs w:val="16"/>
        </w:rPr>
      </w:pPr>
      <w:r w:rsidRPr="000617B6">
        <w:rPr>
          <w:rFonts w:ascii="Times New Roman" w:hAnsi="Times New Roman" w:cs="Times New Roman"/>
          <w:sz w:val="16"/>
          <w:szCs w:val="16"/>
        </w:rPr>
        <w:t>(</w:t>
      </w:r>
      <w:r w:rsidRPr="000617B6">
        <w:rPr>
          <w:rStyle w:val="DipnotBavurusu"/>
          <w:rFonts w:ascii="Times New Roman" w:hAnsi="Times New Roman" w:cs="Times New Roman"/>
          <w:sz w:val="16"/>
          <w:szCs w:val="16"/>
        </w:rPr>
        <w:footnoteRef/>
      </w:r>
      <w:r w:rsidRPr="000617B6">
        <w:rPr>
          <w:rFonts w:ascii="Times New Roman" w:hAnsi="Times New Roman" w:cs="Times New Roman"/>
          <w:sz w:val="16"/>
          <w:szCs w:val="16"/>
        </w:rPr>
        <w:t>) “üst sınır” kavramı miktarı belirlenmemiş her türdeşin katkısı için miktar tayin limitinin kullanılmasını gerektirir. “alt sınır” miktarı belirlenmemiş her türdeşin katkısı için sıfır kullanılmasını gerektirir. “orta sınır” miktarı belirlenmemiş her türdeşin katkısını hesaplamak için miktar tayin limitinin yarısını kullanmayı gerektirir.</w:t>
      </w:r>
    </w:p>
  </w:footnote>
  <w:footnote w:id="11">
    <w:p w:rsidR="00626E47" w:rsidRPr="000617B6" w:rsidRDefault="00626E47">
      <w:pPr>
        <w:pStyle w:val="DipnotMetni"/>
        <w:rPr>
          <w:rFonts w:ascii="Times New Roman" w:hAnsi="Times New Roman" w:cs="Times New Roman"/>
          <w:sz w:val="16"/>
          <w:szCs w:val="16"/>
        </w:rPr>
      </w:pPr>
      <w:r>
        <w:t>(</w:t>
      </w:r>
      <w:r>
        <w:rPr>
          <w:rStyle w:val="DipnotBavurusu"/>
        </w:rPr>
        <w:footnoteRef/>
      </w:r>
      <w:r>
        <w:t xml:space="preserve">) </w:t>
      </w:r>
      <w:r w:rsidRPr="000617B6">
        <w:rPr>
          <w:rFonts w:ascii="Times New Roman" w:hAnsi="Times New Roman" w:cs="Times New Roman"/>
          <w:sz w:val="16"/>
          <w:szCs w:val="16"/>
        </w:rPr>
        <w:t xml:space="preserve">Genel olarak, </w:t>
      </w:r>
      <w:r>
        <w:rPr>
          <w:rFonts w:ascii="Times New Roman" w:hAnsi="Times New Roman" w:cs="Times New Roman"/>
          <w:sz w:val="16"/>
          <w:szCs w:val="16"/>
        </w:rPr>
        <w:t>EK-2</w:t>
      </w:r>
      <w:r w:rsidRPr="000617B6">
        <w:rPr>
          <w:rFonts w:ascii="Times New Roman" w:hAnsi="Times New Roman" w:cs="Times New Roman"/>
          <w:sz w:val="16"/>
          <w:szCs w:val="16"/>
        </w:rPr>
        <w:t xml:space="preserve">, Bölüm C’nin 3’üncü maddesinde tekrarlı analizlere ilişkin gereklilikler geçerli olur.  Bununla birlikte, ilgili analitler için </w:t>
      </w:r>
      <w:r w:rsidRPr="00175AE4">
        <w:rPr>
          <w:rFonts w:ascii="Times New Roman" w:hAnsi="Times New Roman" w:cs="Times New Roman"/>
          <w:vertAlign w:val="superscript"/>
        </w:rPr>
        <w:t>13</w:t>
      </w:r>
      <w:r w:rsidRPr="008F593F">
        <w:rPr>
          <w:rFonts w:ascii="Times New Roman" w:hAnsi="Times New Roman" w:cs="Times New Roman"/>
        </w:rPr>
        <w:t>C</w:t>
      </w:r>
      <w:r w:rsidRPr="000617B6">
        <w:rPr>
          <w:rFonts w:ascii="Times New Roman" w:hAnsi="Times New Roman" w:cs="Times New Roman"/>
          <w:sz w:val="16"/>
          <w:szCs w:val="16"/>
        </w:rPr>
        <w:t xml:space="preserve"> etiketli iç standardın kullanımıyla birlikte yürütülen doğrulama metotları için, tekrarlı analiz sadece söz konusu doğrulama metotlarını uygulayan ilk tespitin sonucunun uyumsuz olması halinde gereklidir. Tekrarlı analiz iç çapraz bulaşma veya numunelerin kazara karışması olasılığını ortadan kaldırmak için gereklidir. Analizin bulaşma hadisesi çerçevesinde yürütülmesi durumunda, analiz için seçilen numunelerin izlenebilirlik yoluyla bulaşma hadisesiyle bağlantılandırılması ve düzeyin maksimum seviyenin önemli ölçüde üstünde olması halinde tekrarlı analiz yoluyla doğrulama yapılabilir.</w:t>
      </w:r>
    </w:p>
  </w:footnote>
  <w:footnote w:id="12">
    <w:p w:rsidR="00626E47" w:rsidRPr="000617B6" w:rsidRDefault="00626E47">
      <w:pPr>
        <w:pStyle w:val="DipnotMetni"/>
        <w:rPr>
          <w:rFonts w:ascii="Times New Roman" w:hAnsi="Times New Roman" w:cs="Times New Roman"/>
          <w:sz w:val="16"/>
          <w:szCs w:val="16"/>
        </w:rPr>
      </w:pPr>
      <w:r>
        <w:t>(</w:t>
      </w:r>
      <w:r>
        <w:rPr>
          <w:rStyle w:val="DipnotBavurusu"/>
        </w:rPr>
        <w:footnoteRef/>
      </w:r>
      <w:r>
        <w:t xml:space="preserve">)  </w:t>
      </w:r>
      <w:r w:rsidRPr="000617B6">
        <w:rPr>
          <w:rFonts w:ascii="Times New Roman" w:hAnsi="Times New Roman" w:cs="Times New Roman"/>
          <w:sz w:val="16"/>
          <w:szCs w:val="16"/>
        </w:rPr>
        <w:t>Üst sınır” kavramı miktarı belirlenmemiş her türdeşin Toksik Ekivalana (TEQ) katkısının miktar sınırını kullanmayı gerektirir. “Alt sınır” kavramı miktarı belirlenmemiş her türdeşin TEQ’ye katkısı için sıfır değerinin kullanılmasını gerektirir. “Orta sınır” kavramı miktarı belirlenmemiş her türdeşin TEQ’ye katkısını hesaplamada miktar tayin limitinin yarısının kullanılmasını gerektirir.</w:t>
      </w:r>
    </w:p>
  </w:footnote>
  <w:footnote w:id="13">
    <w:p w:rsidR="00626E47" w:rsidRDefault="00626E47">
      <w:pPr>
        <w:pStyle w:val="DipnotMetni"/>
      </w:pPr>
      <w:r>
        <w:t>(</w:t>
      </w:r>
      <w:r>
        <w:rPr>
          <w:rStyle w:val="DipnotBavurusu"/>
        </w:rPr>
        <w:footnoteRef/>
      </w:r>
      <w:r>
        <w:t>)</w:t>
      </w:r>
      <w:r w:rsidRPr="000617B6">
        <w:rPr>
          <w:rFonts w:ascii="Times New Roman" w:hAnsi="Times New Roman" w:cs="Times New Roman"/>
          <w:sz w:val="16"/>
          <w:szCs w:val="16"/>
        </w:rPr>
        <w:t xml:space="preserve">Genel olarak, </w:t>
      </w:r>
      <w:r>
        <w:rPr>
          <w:rFonts w:ascii="Times New Roman" w:hAnsi="Times New Roman" w:cs="Times New Roman"/>
          <w:sz w:val="16"/>
          <w:szCs w:val="16"/>
        </w:rPr>
        <w:t>EK-2</w:t>
      </w:r>
      <w:r w:rsidRPr="000617B6">
        <w:rPr>
          <w:rFonts w:ascii="Times New Roman" w:hAnsi="Times New Roman" w:cs="Times New Roman"/>
          <w:sz w:val="16"/>
          <w:szCs w:val="16"/>
        </w:rPr>
        <w:t xml:space="preserve">, Bölüm C’nin 3’üncü maddesinde tekrarlı analizlere ilişkin gereklilikler geçerli olur.  Bununla birlikte, ilgili analitler için </w:t>
      </w:r>
      <w:r w:rsidRPr="000617B6">
        <w:rPr>
          <w:rFonts w:ascii="Times New Roman" w:hAnsi="Times New Roman" w:cs="Times New Roman"/>
          <w:sz w:val="16"/>
          <w:szCs w:val="16"/>
          <w:vertAlign w:val="superscript"/>
        </w:rPr>
        <w:t>13</w:t>
      </w:r>
      <w:r w:rsidRPr="000617B6">
        <w:rPr>
          <w:rFonts w:ascii="Times New Roman" w:hAnsi="Times New Roman" w:cs="Times New Roman"/>
          <w:sz w:val="16"/>
          <w:szCs w:val="16"/>
        </w:rPr>
        <w:t>C etiketli iç standartın kullanımıyla birlikte yürütülen doğrulama metotları için, tekrarlı analiz sadece söz konusu doğrulama metotlarını uygulayan ilk tespitin sonucunun uyumsuz olması halinde gereklidir. Tekrarlı analiz iç çapraz bulaşma veya numunelerin kazara karışması olasılığını ortadan kaldırmak için gereklidir. Analizin bulaşma hadisesi çerçevesinde yürütülmesi durumunda, analiz için seçilen numunelerin izlenebilirlik yoluyla bulaşma hadisesiyle bağlantılandırılması ve düzeyin maksimum seviyenin önemli ölçüde üstünde olması halinde tekrarlı analiz yoluyla doğrulama çıkarılabilir.</w:t>
      </w:r>
    </w:p>
  </w:footnote>
  <w:footnote w:id="14">
    <w:p w:rsidR="00626E47" w:rsidRPr="00A56FAE" w:rsidRDefault="00626E47">
      <w:pPr>
        <w:pStyle w:val="DipnotMetni"/>
        <w:rPr>
          <w:rFonts w:ascii="Times New Roman" w:hAnsi="Times New Roman" w:cs="Times New Roman"/>
          <w:sz w:val="16"/>
          <w:szCs w:val="16"/>
        </w:rPr>
      </w:pPr>
      <w:r>
        <w:t>(</w:t>
      </w:r>
      <w:r>
        <w:rPr>
          <w:rStyle w:val="DipnotBavurusu"/>
        </w:rPr>
        <w:footnoteRef/>
      </w:r>
      <w:r>
        <w:t xml:space="preserve">) </w:t>
      </w:r>
      <w:r w:rsidRPr="00A56FAE">
        <w:rPr>
          <w:rFonts w:ascii="Times New Roman" w:hAnsi="Times New Roman" w:cs="Times New Roman"/>
          <w:sz w:val="16"/>
          <w:szCs w:val="16"/>
        </w:rPr>
        <w:t>Maksimum düzeyler için 5 nolu dipnotta olduğu gibi müdahale eşiklerinin kontrolü için tekrarlı analize ilişkin aynı açıklama ve gereklilikler.</w:t>
      </w:r>
    </w:p>
  </w:footnote>
  <w:footnote w:id="15">
    <w:p w:rsidR="00626E47" w:rsidRPr="00B56281" w:rsidRDefault="00626E47">
      <w:pPr>
        <w:pStyle w:val="DipnotMetni"/>
        <w:rPr>
          <w:rFonts w:ascii="Times New Roman" w:hAnsi="Times New Roman" w:cs="Times New Roman"/>
          <w:sz w:val="16"/>
          <w:szCs w:val="16"/>
        </w:rPr>
      </w:pPr>
      <w:r>
        <w:rPr>
          <w:rFonts w:ascii="Times New Roman" w:hAnsi="Times New Roman" w:cs="Times New Roman"/>
          <w:sz w:val="16"/>
          <w:szCs w:val="16"/>
        </w:rPr>
        <w:t>(</w:t>
      </w:r>
      <w:r w:rsidRPr="00B56281">
        <w:rPr>
          <w:rStyle w:val="DipnotBavurusu"/>
          <w:rFonts w:ascii="Times New Roman" w:hAnsi="Times New Roman" w:cs="Times New Roman"/>
          <w:sz w:val="16"/>
          <w:szCs w:val="16"/>
        </w:rPr>
        <w:footnoteRef/>
      </w:r>
      <w:r>
        <w:rPr>
          <w:rFonts w:ascii="Times New Roman" w:hAnsi="Times New Roman" w:cs="Times New Roman"/>
          <w:sz w:val="16"/>
          <w:szCs w:val="16"/>
        </w:rPr>
        <w:t>)</w:t>
      </w:r>
      <w:r w:rsidRPr="00B56281">
        <w:rPr>
          <w:rFonts w:ascii="Times New Roman" w:hAnsi="Times New Roman" w:cs="Times New Roman"/>
          <w:sz w:val="16"/>
          <w:szCs w:val="16"/>
        </w:rPr>
        <w:t xml:space="preserve"> Biyoanalitik metotlar TEF programına dahil edilen türdeşlere özgü değildir. Yapısal olarak ilişkili diğer AhR-aktif bileşikler genel yanıta katkı yapan numune ekstraktında mevcut olabilir. Bu nedenle biyoanalitik sonuçlar numunedeki TEQ düzeyinin bir tahmini değil fakat bir göstergesi olabilir.</w:t>
      </w:r>
    </w:p>
  </w:footnote>
  <w:footnote w:id="16">
    <w:p w:rsidR="00626E47" w:rsidRDefault="00626E47">
      <w:pPr>
        <w:pStyle w:val="DipnotMetni"/>
      </w:pPr>
      <w:r>
        <w:t>(</w:t>
      </w:r>
      <w:r>
        <w:rPr>
          <w:rStyle w:val="DipnotBavurusu"/>
        </w:rPr>
        <w:footnoteRef/>
      </w:r>
      <w:r>
        <w:t xml:space="preserve">) </w:t>
      </w:r>
      <w:r w:rsidRPr="001B722B">
        <w:rPr>
          <w:rFonts w:ascii="Times New Roman" w:hAnsi="Times New Roman" w:cs="Times New Roman"/>
          <w:sz w:val="16"/>
          <w:szCs w:val="16"/>
        </w:rPr>
        <w:t>Mevcut gereklilikler M. Van den Berg et al, Toxicol Sci 93 (2), 223-241 (2006) künye bilgisine sahip kaynakta yayımlanan TEF’lere dayanmaktadır</w:t>
      </w:r>
    </w:p>
  </w:footnote>
  <w:footnote w:id="17">
    <w:p w:rsidR="00626E47" w:rsidRPr="001B722B" w:rsidRDefault="00626E47">
      <w:pPr>
        <w:pStyle w:val="DipnotMetni"/>
        <w:rPr>
          <w:rFonts w:ascii="Times New Roman" w:hAnsi="Times New Roman" w:cs="Times New Roman"/>
          <w:sz w:val="16"/>
          <w:szCs w:val="16"/>
        </w:rPr>
      </w:pPr>
      <w:r>
        <w:rPr>
          <w:rFonts w:ascii="Times New Roman" w:hAnsi="Times New Roman" w:cs="Times New Roman"/>
          <w:sz w:val="16"/>
          <w:szCs w:val="16"/>
        </w:rPr>
        <w:t>(</w:t>
      </w:r>
      <w:r>
        <w:rPr>
          <w:rStyle w:val="DipnotBavurusu"/>
        </w:rPr>
        <w:footnoteRef/>
      </w:r>
      <w:r>
        <w:rPr>
          <w:rFonts w:ascii="Times New Roman" w:hAnsi="Times New Roman" w:cs="Times New Roman"/>
          <w:sz w:val="16"/>
          <w:szCs w:val="16"/>
        </w:rPr>
        <w:t>)</w:t>
      </w:r>
      <w:r w:rsidRPr="006D0B2F">
        <w:rPr>
          <w:rFonts w:ascii="Times New Roman" w:hAnsi="Times New Roman" w:cs="Times New Roman"/>
          <w:sz w:val="16"/>
          <w:szCs w:val="16"/>
        </w:rPr>
        <w:t>. Numunedeki bir bulaşanın seviyesine kimyasal kör seviyesinin katılımının olabildiğince düşük olması önerilir. Özellikle de kör seviyelerinin çıkarıldığı durumlarda, kör seviyelerindeki varyasyonun kontrolü, laboratuvarın sorumluluğundadır.</w:t>
      </w:r>
    </w:p>
  </w:footnote>
  <w:footnote w:id="18">
    <w:p w:rsidR="00626E47" w:rsidRPr="001B722B" w:rsidRDefault="00626E47">
      <w:pPr>
        <w:pStyle w:val="DipnotMetni"/>
        <w:rPr>
          <w:sz w:val="16"/>
          <w:szCs w:val="16"/>
        </w:rPr>
      </w:pPr>
      <w:r w:rsidRPr="001B722B">
        <w:rPr>
          <w:sz w:val="16"/>
          <w:szCs w:val="16"/>
        </w:rPr>
        <w:t>(</w:t>
      </w:r>
      <w:r w:rsidRPr="001B722B">
        <w:rPr>
          <w:rStyle w:val="DipnotBavurusu"/>
          <w:sz w:val="16"/>
          <w:szCs w:val="16"/>
        </w:rPr>
        <w:footnoteRef/>
      </w:r>
      <w:r w:rsidRPr="001B722B">
        <w:rPr>
          <w:sz w:val="16"/>
          <w:szCs w:val="16"/>
        </w:rPr>
        <w:t xml:space="preserve">)  </w:t>
      </w:r>
      <w:r w:rsidRPr="001B722B">
        <w:rPr>
          <w:rFonts w:ascii="Times New Roman" w:hAnsi="Times New Roman" w:cs="Times New Roman"/>
        </w:rPr>
        <w:t>http://eurl.craw.eu</w:t>
      </w:r>
      <w:r w:rsidRPr="001B722B">
        <w:rPr>
          <w:sz w:val="16"/>
          <w:szCs w:val="16"/>
        </w:rPr>
        <w:t>/</w:t>
      </w:r>
    </w:p>
  </w:footnote>
  <w:footnote w:id="19">
    <w:p w:rsidR="00626E47" w:rsidRPr="001B722B" w:rsidRDefault="00626E47" w:rsidP="00520383">
      <w:pPr>
        <w:pStyle w:val="DipnotMetni"/>
        <w:rPr>
          <w:rFonts w:ascii="Times New Roman" w:hAnsi="Times New Roman" w:cs="Times New Roman"/>
          <w:sz w:val="16"/>
          <w:szCs w:val="16"/>
        </w:rPr>
      </w:pPr>
      <w:r w:rsidRPr="001B722B">
        <w:rPr>
          <w:rFonts w:ascii="Times New Roman" w:hAnsi="Times New Roman" w:cs="Times New Roman"/>
          <w:sz w:val="16"/>
          <w:szCs w:val="16"/>
        </w:rPr>
        <w:t>(</w:t>
      </w:r>
      <w:r w:rsidRPr="001B722B">
        <w:rPr>
          <w:rStyle w:val="DipnotBavurusu"/>
          <w:rFonts w:ascii="Times New Roman" w:hAnsi="Times New Roman" w:cs="Times New Roman"/>
          <w:sz w:val="16"/>
          <w:szCs w:val="16"/>
        </w:rPr>
        <w:footnoteRef/>
      </w:r>
      <w:r w:rsidRPr="001B722B">
        <w:rPr>
          <w:rFonts w:ascii="Times New Roman" w:hAnsi="Times New Roman" w:cs="Times New Roman"/>
          <w:sz w:val="16"/>
          <w:szCs w:val="16"/>
        </w:rPr>
        <w:t>) Analiz</w:t>
      </w:r>
      <w:r>
        <w:rPr>
          <w:rFonts w:ascii="Times New Roman" w:hAnsi="Times New Roman" w:cs="Times New Roman"/>
          <w:sz w:val="16"/>
          <w:szCs w:val="16"/>
        </w:rPr>
        <w:t xml:space="preserve">de </w:t>
      </w:r>
      <w:r w:rsidRPr="001B722B">
        <w:rPr>
          <w:rFonts w:ascii="Times New Roman" w:hAnsi="Times New Roman" w:cs="Times New Roman"/>
          <w:sz w:val="16"/>
          <w:szCs w:val="16"/>
        </w:rPr>
        <w:t xml:space="preserve">hedeflenen, her hayvan türü için </w:t>
      </w:r>
      <w:r>
        <w:rPr>
          <w:rFonts w:ascii="Times New Roman" w:hAnsi="Times New Roman" w:cs="Times New Roman"/>
          <w:sz w:val="16"/>
          <w:szCs w:val="16"/>
        </w:rPr>
        <w:t xml:space="preserve">primerlerin ve probların </w:t>
      </w:r>
      <w:r w:rsidRPr="001B722B">
        <w:rPr>
          <w:rFonts w:ascii="Times New Roman" w:hAnsi="Times New Roman" w:cs="Times New Roman"/>
          <w:sz w:val="16"/>
          <w:szCs w:val="16"/>
        </w:rPr>
        <w:t>listesi EURL-AP websitesinde bulun</w:t>
      </w:r>
      <w:r>
        <w:rPr>
          <w:rFonts w:ascii="Times New Roman" w:hAnsi="Times New Roman" w:cs="Times New Roman"/>
          <w:sz w:val="16"/>
          <w:szCs w:val="16"/>
        </w:rPr>
        <w:t>maktadır.</w:t>
      </w:r>
      <w:r w:rsidRPr="001B722B">
        <w:rPr>
          <w:rFonts w:ascii="Times New Roman" w:hAnsi="Times New Roman" w:cs="Times New Roman"/>
          <w:sz w:val="16"/>
          <w:szCs w:val="16"/>
        </w:rPr>
        <w:t>.</w:t>
      </w:r>
    </w:p>
    <w:p w:rsidR="00626E47" w:rsidRDefault="00626E47">
      <w:pPr>
        <w:pStyle w:val="DipnotMetni"/>
      </w:pPr>
    </w:p>
  </w:footnote>
  <w:footnote w:id="20">
    <w:p w:rsidR="00626E47" w:rsidRPr="00E66537" w:rsidRDefault="00626E47">
      <w:pPr>
        <w:pStyle w:val="DipnotMetni"/>
        <w:rPr>
          <w:rFonts w:ascii="Times New Roman" w:hAnsi="Times New Roman" w:cs="Times New Roman"/>
          <w:sz w:val="16"/>
          <w:szCs w:val="16"/>
        </w:rPr>
      </w:pPr>
      <w:r>
        <w:rPr>
          <w:rFonts w:ascii="Times New Roman" w:hAnsi="Times New Roman" w:cs="Times New Roman"/>
          <w:sz w:val="16"/>
          <w:szCs w:val="16"/>
        </w:rPr>
        <w:t>(</w:t>
      </w:r>
      <w:r>
        <w:rPr>
          <w:rStyle w:val="DipnotBavurusu"/>
        </w:rPr>
        <w:footnoteRef/>
      </w:r>
      <w:r>
        <w:rPr>
          <w:rFonts w:ascii="Times New Roman" w:hAnsi="Times New Roman" w:cs="Times New Roman"/>
          <w:sz w:val="16"/>
          <w:szCs w:val="16"/>
        </w:rPr>
        <w:t>)</w:t>
      </w:r>
      <w:r w:rsidRPr="001B722B">
        <w:rPr>
          <w:rFonts w:ascii="Times New Roman" w:hAnsi="Times New Roman" w:cs="Times New Roman"/>
          <w:sz w:val="16"/>
          <w:szCs w:val="16"/>
        </w:rPr>
        <w:t xml:space="preserve"> </w:t>
      </w:r>
      <w:r>
        <w:rPr>
          <w:rFonts w:ascii="Times New Roman" w:hAnsi="Times New Roman" w:cs="Times New Roman"/>
          <w:sz w:val="16"/>
          <w:szCs w:val="16"/>
        </w:rPr>
        <w:t>Fonksiyonel olan m</w:t>
      </w:r>
      <w:r w:rsidRPr="001B722B">
        <w:rPr>
          <w:rFonts w:ascii="Times New Roman" w:hAnsi="Times New Roman" w:cs="Times New Roman"/>
          <w:sz w:val="16"/>
          <w:szCs w:val="16"/>
        </w:rPr>
        <w:t xml:space="preserve">aster miks </w:t>
      </w:r>
      <w:r>
        <w:rPr>
          <w:rFonts w:ascii="Times New Roman" w:hAnsi="Times New Roman" w:cs="Times New Roman"/>
          <w:sz w:val="16"/>
          <w:szCs w:val="16"/>
        </w:rPr>
        <w:t xml:space="preserve">örnekleri </w:t>
      </w:r>
      <w:r w:rsidRPr="001B722B">
        <w:rPr>
          <w:rFonts w:ascii="Times New Roman" w:hAnsi="Times New Roman" w:cs="Times New Roman"/>
          <w:sz w:val="16"/>
          <w:szCs w:val="16"/>
        </w:rPr>
        <w:t xml:space="preserve">EURL-AP websitesinden </w:t>
      </w:r>
      <w:r>
        <w:rPr>
          <w:rFonts w:ascii="Times New Roman" w:hAnsi="Times New Roman" w:cs="Times New Roman"/>
          <w:sz w:val="16"/>
          <w:szCs w:val="16"/>
        </w:rPr>
        <w:t>bulunmaktadır..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54D96"/>
    <w:multiLevelType w:val="hybridMultilevel"/>
    <w:tmpl w:val="4F12E1F0"/>
    <w:lvl w:ilvl="0" w:tplc="7D549AD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D604F43"/>
    <w:multiLevelType w:val="hybridMultilevel"/>
    <w:tmpl w:val="0C706C10"/>
    <w:lvl w:ilvl="0" w:tplc="7D549AD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D63EDC"/>
    <w:multiLevelType w:val="hybridMultilevel"/>
    <w:tmpl w:val="95042CD6"/>
    <w:lvl w:ilvl="0" w:tplc="2AA8DE6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7362CE"/>
    <w:multiLevelType w:val="hybridMultilevel"/>
    <w:tmpl w:val="604481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1873447"/>
    <w:multiLevelType w:val="hybridMultilevel"/>
    <w:tmpl w:val="57CA5802"/>
    <w:lvl w:ilvl="0" w:tplc="BB60F096">
      <w:start w:val="2"/>
      <w:numFmt w:val="bullet"/>
      <w:lvlText w:val="-"/>
      <w:lvlJc w:val="left"/>
      <w:pPr>
        <w:ind w:left="786" w:hanging="360"/>
      </w:pPr>
      <w:rPr>
        <w:rFonts w:ascii="Times New Roman" w:eastAsiaTheme="minorHAnsi" w:hAnsi="Times New Roman" w:cs="Times New Roman"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5" w15:restartNumberingAfterBreak="0">
    <w:nsid w:val="38F00644"/>
    <w:multiLevelType w:val="hybridMultilevel"/>
    <w:tmpl w:val="23C486AC"/>
    <w:lvl w:ilvl="0" w:tplc="5A96ACB0">
      <w:start w:val="5"/>
      <w:numFmt w:val="bullet"/>
      <w:lvlText w:val="-"/>
      <w:lvlJc w:val="left"/>
      <w:pPr>
        <w:ind w:left="720" w:hanging="360"/>
      </w:pPr>
      <w:rPr>
        <w:rFonts w:ascii="EUAlbertina" w:eastAsia="Times New Roman" w:hAnsi="EUAlberti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F362C7"/>
    <w:multiLevelType w:val="hybridMultilevel"/>
    <w:tmpl w:val="840053B4"/>
    <w:lvl w:ilvl="0" w:tplc="2AA8DE6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E9F07E6"/>
    <w:multiLevelType w:val="hybridMultilevel"/>
    <w:tmpl w:val="463E0D6E"/>
    <w:lvl w:ilvl="0" w:tplc="2AA8DE6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31346FA"/>
    <w:multiLevelType w:val="hybridMultilevel"/>
    <w:tmpl w:val="465C9F26"/>
    <w:lvl w:ilvl="0" w:tplc="BB60F096">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96677BC"/>
    <w:multiLevelType w:val="hybridMultilevel"/>
    <w:tmpl w:val="5C2A41E8"/>
    <w:lvl w:ilvl="0" w:tplc="7D549AD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98E56A3"/>
    <w:multiLevelType w:val="hybridMultilevel"/>
    <w:tmpl w:val="F9BC4CF4"/>
    <w:lvl w:ilvl="0" w:tplc="5A96ACB0">
      <w:start w:val="5"/>
      <w:numFmt w:val="bullet"/>
      <w:lvlText w:val="-"/>
      <w:lvlJc w:val="left"/>
      <w:pPr>
        <w:ind w:left="720" w:hanging="360"/>
      </w:pPr>
      <w:rPr>
        <w:rFonts w:ascii="EUAlbertina" w:eastAsia="Times New Roman" w:hAnsi="EUAlberti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C376E36"/>
    <w:multiLevelType w:val="hybridMultilevel"/>
    <w:tmpl w:val="C90679EA"/>
    <w:lvl w:ilvl="0" w:tplc="7D549AD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D4598B"/>
    <w:multiLevelType w:val="hybridMultilevel"/>
    <w:tmpl w:val="D0D2966A"/>
    <w:lvl w:ilvl="0" w:tplc="7D549AD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B9B7677"/>
    <w:multiLevelType w:val="hybridMultilevel"/>
    <w:tmpl w:val="F9DAB384"/>
    <w:lvl w:ilvl="0" w:tplc="D70692A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79255CE8"/>
    <w:multiLevelType w:val="hybridMultilevel"/>
    <w:tmpl w:val="F5402234"/>
    <w:lvl w:ilvl="0" w:tplc="5A96ACB0">
      <w:start w:val="5"/>
      <w:numFmt w:val="bullet"/>
      <w:lvlText w:val="-"/>
      <w:lvlJc w:val="left"/>
      <w:pPr>
        <w:ind w:left="720" w:hanging="360"/>
      </w:pPr>
      <w:rPr>
        <w:rFonts w:ascii="EUAlbertina" w:eastAsia="Times New Roman" w:hAnsi="EUAlberti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A9A2FC7"/>
    <w:multiLevelType w:val="singleLevel"/>
    <w:tmpl w:val="EFBC954A"/>
    <w:lvl w:ilvl="0">
      <w:start w:val="1"/>
      <w:numFmt w:val="decimal"/>
      <w:lvlText w:val="2.1.2.2.%1."/>
      <w:legacy w:legacy="1" w:legacySpace="0" w:legacyIndent="951"/>
      <w:lvlJc w:val="left"/>
      <w:rPr>
        <w:rFonts w:ascii="Times New Roman" w:hAnsi="Times New Roman" w:cs="Times New Roman" w:hint="default"/>
      </w:rPr>
    </w:lvl>
  </w:abstractNum>
  <w:abstractNum w:abstractNumId="16" w15:restartNumberingAfterBreak="0">
    <w:nsid w:val="7B321039"/>
    <w:multiLevelType w:val="hybridMultilevel"/>
    <w:tmpl w:val="36DACA0E"/>
    <w:lvl w:ilvl="0" w:tplc="1174008E">
      <w:start w:val="1"/>
      <w:numFmt w:val="lowerLetter"/>
      <w:lvlText w:val="%1)"/>
      <w:lvlJc w:val="left"/>
      <w:pPr>
        <w:ind w:left="1353"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4"/>
  </w:num>
  <w:num w:numId="2">
    <w:abstractNumId w:val="11"/>
  </w:num>
  <w:num w:numId="3">
    <w:abstractNumId w:val="1"/>
  </w:num>
  <w:num w:numId="4">
    <w:abstractNumId w:val="3"/>
  </w:num>
  <w:num w:numId="5">
    <w:abstractNumId w:val="16"/>
  </w:num>
  <w:num w:numId="6">
    <w:abstractNumId w:val="9"/>
  </w:num>
  <w:num w:numId="7">
    <w:abstractNumId w:val="0"/>
  </w:num>
  <w:num w:numId="8">
    <w:abstractNumId w:val="12"/>
  </w:num>
  <w:num w:numId="9">
    <w:abstractNumId w:val="13"/>
  </w:num>
  <w:num w:numId="10">
    <w:abstractNumId w:val="6"/>
  </w:num>
  <w:num w:numId="11">
    <w:abstractNumId w:val="2"/>
  </w:num>
  <w:num w:numId="12">
    <w:abstractNumId w:val="7"/>
  </w:num>
  <w:num w:numId="13">
    <w:abstractNumId w:val="10"/>
  </w:num>
  <w:num w:numId="14">
    <w:abstractNumId w:val="5"/>
  </w:num>
  <w:num w:numId="15">
    <w:abstractNumId w:val="14"/>
  </w:num>
  <w:num w:numId="16">
    <w:abstractNumId w:val="8"/>
  </w:num>
  <w:num w:numId="17">
    <w:abstractNumId w:val="15"/>
    <w:lvlOverride w:ilvl="0">
      <w:lvl w:ilvl="0">
        <w:start w:val="1"/>
        <w:numFmt w:val="decimal"/>
        <w:lvlText w:val="2.1.2.2.%1."/>
        <w:legacy w:legacy="1" w:legacySpace="0" w:legacyIndent="950"/>
        <w:lvlJc w:val="left"/>
        <w:rPr>
          <w:rFonts w:ascii="Times New Roman" w:hAnsi="Times New Roman" w:cs="Times New Roman" w:hint="default"/>
          <w:strike w:val="0"/>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tr-TR" w:vendorID="1" w:dllVersion="512"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E92"/>
    <w:rsid w:val="000001C4"/>
    <w:rsid w:val="00002062"/>
    <w:rsid w:val="00002903"/>
    <w:rsid w:val="0000724A"/>
    <w:rsid w:val="00007B8B"/>
    <w:rsid w:val="00016C2F"/>
    <w:rsid w:val="00023CAD"/>
    <w:rsid w:val="00024B3A"/>
    <w:rsid w:val="00026270"/>
    <w:rsid w:val="00026E58"/>
    <w:rsid w:val="00027016"/>
    <w:rsid w:val="00027F2F"/>
    <w:rsid w:val="00031476"/>
    <w:rsid w:val="00031F10"/>
    <w:rsid w:val="00033B89"/>
    <w:rsid w:val="000355A0"/>
    <w:rsid w:val="00035D06"/>
    <w:rsid w:val="00036EF6"/>
    <w:rsid w:val="00037A07"/>
    <w:rsid w:val="00037D95"/>
    <w:rsid w:val="00037DD5"/>
    <w:rsid w:val="00041B6D"/>
    <w:rsid w:val="00042519"/>
    <w:rsid w:val="000434C7"/>
    <w:rsid w:val="00043593"/>
    <w:rsid w:val="000454E4"/>
    <w:rsid w:val="0005160C"/>
    <w:rsid w:val="00054CA3"/>
    <w:rsid w:val="00057A8F"/>
    <w:rsid w:val="00057D90"/>
    <w:rsid w:val="00061739"/>
    <w:rsid w:val="000617B6"/>
    <w:rsid w:val="00063D00"/>
    <w:rsid w:val="00063E62"/>
    <w:rsid w:val="00064CCB"/>
    <w:rsid w:val="00064FB4"/>
    <w:rsid w:val="0006543C"/>
    <w:rsid w:val="00066029"/>
    <w:rsid w:val="00066C9F"/>
    <w:rsid w:val="000712CD"/>
    <w:rsid w:val="00072B83"/>
    <w:rsid w:val="000748B1"/>
    <w:rsid w:val="00074B6B"/>
    <w:rsid w:val="0007730F"/>
    <w:rsid w:val="0008754E"/>
    <w:rsid w:val="00090292"/>
    <w:rsid w:val="0009151D"/>
    <w:rsid w:val="00091DCE"/>
    <w:rsid w:val="00093702"/>
    <w:rsid w:val="00096874"/>
    <w:rsid w:val="00097D4B"/>
    <w:rsid w:val="000A0DED"/>
    <w:rsid w:val="000A1630"/>
    <w:rsid w:val="000A1ADC"/>
    <w:rsid w:val="000A2234"/>
    <w:rsid w:val="000A27BC"/>
    <w:rsid w:val="000A6AF4"/>
    <w:rsid w:val="000A7F07"/>
    <w:rsid w:val="000A7F92"/>
    <w:rsid w:val="000B0634"/>
    <w:rsid w:val="000B2BB0"/>
    <w:rsid w:val="000B31B8"/>
    <w:rsid w:val="000B4DC1"/>
    <w:rsid w:val="000B6C3A"/>
    <w:rsid w:val="000B7EB7"/>
    <w:rsid w:val="000B7EF6"/>
    <w:rsid w:val="000C0645"/>
    <w:rsid w:val="000C15ED"/>
    <w:rsid w:val="000C644D"/>
    <w:rsid w:val="000C6546"/>
    <w:rsid w:val="000D3DAE"/>
    <w:rsid w:val="000D4FFC"/>
    <w:rsid w:val="000D704E"/>
    <w:rsid w:val="000D7530"/>
    <w:rsid w:val="000D7753"/>
    <w:rsid w:val="000D78E2"/>
    <w:rsid w:val="000D7A23"/>
    <w:rsid w:val="000E1957"/>
    <w:rsid w:val="000E1E33"/>
    <w:rsid w:val="000E2932"/>
    <w:rsid w:val="000E43DD"/>
    <w:rsid w:val="000E494B"/>
    <w:rsid w:val="000E74A1"/>
    <w:rsid w:val="000F1F6F"/>
    <w:rsid w:val="000F3E76"/>
    <w:rsid w:val="000F7890"/>
    <w:rsid w:val="00100B66"/>
    <w:rsid w:val="00102847"/>
    <w:rsid w:val="001064DE"/>
    <w:rsid w:val="00107680"/>
    <w:rsid w:val="00110312"/>
    <w:rsid w:val="001104A3"/>
    <w:rsid w:val="00114B7A"/>
    <w:rsid w:val="00114F6D"/>
    <w:rsid w:val="0011671A"/>
    <w:rsid w:val="001175DF"/>
    <w:rsid w:val="00117DA7"/>
    <w:rsid w:val="00120A4B"/>
    <w:rsid w:val="001240C1"/>
    <w:rsid w:val="0012479A"/>
    <w:rsid w:val="00124C6B"/>
    <w:rsid w:val="00125CE0"/>
    <w:rsid w:val="00126F40"/>
    <w:rsid w:val="00131E87"/>
    <w:rsid w:val="00133A75"/>
    <w:rsid w:val="00134E15"/>
    <w:rsid w:val="00134E1E"/>
    <w:rsid w:val="00135397"/>
    <w:rsid w:val="00140781"/>
    <w:rsid w:val="00140929"/>
    <w:rsid w:val="001445DC"/>
    <w:rsid w:val="00144699"/>
    <w:rsid w:val="00144A67"/>
    <w:rsid w:val="0014503A"/>
    <w:rsid w:val="001477CD"/>
    <w:rsid w:val="00150035"/>
    <w:rsid w:val="0015171E"/>
    <w:rsid w:val="00152A31"/>
    <w:rsid w:val="00153262"/>
    <w:rsid w:val="0015448B"/>
    <w:rsid w:val="00155BC1"/>
    <w:rsid w:val="00160175"/>
    <w:rsid w:val="00160D62"/>
    <w:rsid w:val="0016497C"/>
    <w:rsid w:val="0016685A"/>
    <w:rsid w:val="00167847"/>
    <w:rsid w:val="00173EED"/>
    <w:rsid w:val="0017442D"/>
    <w:rsid w:val="00174775"/>
    <w:rsid w:val="00174998"/>
    <w:rsid w:val="0017560F"/>
    <w:rsid w:val="00175922"/>
    <w:rsid w:val="00175AE4"/>
    <w:rsid w:val="00180270"/>
    <w:rsid w:val="001816A3"/>
    <w:rsid w:val="001839ED"/>
    <w:rsid w:val="001857B9"/>
    <w:rsid w:val="00185BA4"/>
    <w:rsid w:val="0018689C"/>
    <w:rsid w:val="00186D54"/>
    <w:rsid w:val="00190FB6"/>
    <w:rsid w:val="001911A7"/>
    <w:rsid w:val="00192719"/>
    <w:rsid w:val="001936EA"/>
    <w:rsid w:val="00195047"/>
    <w:rsid w:val="001A3174"/>
    <w:rsid w:val="001A4ACC"/>
    <w:rsid w:val="001A6ABD"/>
    <w:rsid w:val="001B1A8F"/>
    <w:rsid w:val="001B35F9"/>
    <w:rsid w:val="001B722B"/>
    <w:rsid w:val="001B7BA0"/>
    <w:rsid w:val="001C0BD9"/>
    <w:rsid w:val="001C1F4D"/>
    <w:rsid w:val="001C495F"/>
    <w:rsid w:val="001C683D"/>
    <w:rsid w:val="001D3115"/>
    <w:rsid w:val="001D31BE"/>
    <w:rsid w:val="001D32F8"/>
    <w:rsid w:val="001D7C7B"/>
    <w:rsid w:val="001E00F3"/>
    <w:rsid w:val="001E0DF7"/>
    <w:rsid w:val="001E28C2"/>
    <w:rsid w:val="001E324D"/>
    <w:rsid w:val="001E4774"/>
    <w:rsid w:val="001E5879"/>
    <w:rsid w:val="001E64D3"/>
    <w:rsid w:val="001E7127"/>
    <w:rsid w:val="001E722C"/>
    <w:rsid w:val="001E7943"/>
    <w:rsid w:val="001F4952"/>
    <w:rsid w:val="001F4BC0"/>
    <w:rsid w:val="001F51FD"/>
    <w:rsid w:val="001F715D"/>
    <w:rsid w:val="00200730"/>
    <w:rsid w:val="00200BBA"/>
    <w:rsid w:val="002027A8"/>
    <w:rsid w:val="0020477A"/>
    <w:rsid w:val="00206899"/>
    <w:rsid w:val="002101D1"/>
    <w:rsid w:val="002107EE"/>
    <w:rsid w:val="002113CD"/>
    <w:rsid w:val="00212633"/>
    <w:rsid w:val="00213CC2"/>
    <w:rsid w:val="00213D65"/>
    <w:rsid w:val="00215AB8"/>
    <w:rsid w:val="002174E4"/>
    <w:rsid w:val="002211C6"/>
    <w:rsid w:val="00224AAD"/>
    <w:rsid w:val="00224BF9"/>
    <w:rsid w:val="0022528D"/>
    <w:rsid w:val="0022557C"/>
    <w:rsid w:val="00225B6A"/>
    <w:rsid w:val="002276B3"/>
    <w:rsid w:val="00230612"/>
    <w:rsid w:val="00231675"/>
    <w:rsid w:val="00231CD5"/>
    <w:rsid w:val="00232CDD"/>
    <w:rsid w:val="002339D2"/>
    <w:rsid w:val="002341F4"/>
    <w:rsid w:val="0023640C"/>
    <w:rsid w:val="00236C01"/>
    <w:rsid w:val="002406A2"/>
    <w:rsid w:val="00242F6C"/>
    <w:rsid w:val="00244FC4"/>
    <w:rsid w:val="00245B54"/>
    <w:rsid w:val="00246E4E"/>
    <w:rsid w:val="00250CBE"/>
    <w:rsid w:val="00253644"/>
    <w:rsid w:val="00254FDB"/>
    <w:rsid w:val="00255773"/>
    <w:rsid w:val="00256789"/>
    <w:rsid w:val="002619BD"/>
    <w:rsid w:val="00261C05"/>
    <w:rsid w:val="00261EF4"/>
    <w:rsid w:val="00264499"/>
    <w:rsid w:val="00265ACF"/>
    <w:rsid w:val="002671BA"/>
    <w:rsid w:val="002672AE"/>
    <w:rsid w:val="00267452"/>
    <w:rsid w:val="00267B5B"/>
    <w:rsid w:val="0027029A"/>
    <w:rsid w:val="00270F56"/>
    <w:rsid w:val="00274BCD"/>
    <w:rsid w:val="0027698E"/>
    <w:rsid w:val="00280088"/>
    <w:rsid w:val="00280948"/>
    <w:rsid w:val="00286A89"/>
    <w:rsid w:val="002870B1"/>
    <w:rsid w:val="00287366"/>
    <w:rsid w:val="002875F9"/>
    <w:rsid w:val="0028777B"/>
    <w:rsid w:val="00290A8C"/>
    <w:rsid w:val="00293903"/>
    <w:rsid w:val="00294DCC"/>
    <w:rsid w:val="00295AE4"/>
    <w:rsid w:val="00297064"/>
    <w:rsid w:val="002971B9"/>
    <w:rsid w:val="00297995"/>
    <w:rsid w:val="002A04C1"/>
    <w:rsid w:val="002A22DF"/>
    <w:rsid w:val="002A2684"/>
    <w:rsid w:val="002A391D"/>
    <w:rsid w:val="002A3C96"/>
    <w:rsid w:val="002A4D57"/>
    <w:rsid w:val="002A72E4"/>
    <w:rsid w:val="002A76C3"/>
    <w:rsid w:val="002A7934"/>
    <w:rsid w:val="002B0B56"/>
    <w:rsid w:val="002B1DE1"/>
    <w:rsid w:val="002B3DB2"/>
    <w:rsid w:val="002B4410"/>
    <w:rsid w:val="002B51FB"/>
    <w:rsid w:val="002C1041"/>
    <w:rsid w:val="002C2319"/>
    <w:rsid w:val="002C252A"/>
    <w:rsid w:val="002C34CC"/>
    <w:rsid w:val="002C4B37"/>
    <w:rsid w:val="002C589E"/>
    <w:rsid w:val="002C5CA9"/>
    <w:rsid w:val="002C6491"/>
    <w:rsid w:val="002C782B"/>
    <w:rsid w:val="002D0A32"/>
    <w:rsid w:val="002D4138"/>
    <w:rsid w:val="002D4D4C"/>
    <w:rsid w:val="002E0EAA"/>
    <w:rsid w:val="002E2D6C"/>
    <w:rsid w:val="002E5B1A"/>
    <w:rsid w:val="002E6D28"/>
    <w:rsid w:val="002F2391"/>
    <w:rsid w:val="002F4272"/>
    <w:rsid w:val="002F4823"/>
    <w:rsid w:val="002F51C2"/>
    <w:rsid w:val="002F6065"/>
    <w:rsid w:val="002F66E2"/>
    <w:rsid w:val="002F783D"/>
    <w:rsid w:val="003002FC"/>
    <w:rsid w:val="00300D98"/>
    <w:rsid w:val="00301D0C"/>
    <w:rsid w:val="003026D4"/>
    <w:rsid w:val="003031CF"/>
    <w:rsid w:val="00304E48"/>
    <w:rsid w:val="00305CB8"/>
    <w:rsid w:val="00305FE7"/>
    <w:rsid w:val="00306631"/>
    <w:rsid w:val="00311058"/>
    <w:rsid w:val="00311C60"/>
    <w:rsid w:val="003126C6"/>
    <w:rsid w:val="003128DB"/>
    <w:rsid w:val="00313305"/>
    <w:rsid w:val="00320540"/>
    <w:rsid w:val="00325826"/>
    <w:rsid w:val="003323AA"/>
    <w:rsid w:val="003363DB"/>
    <w:rsid w:val="00336519"/>
    <w:rsid w:val="0034045A"/>
    <w:rsid w:val="00341E4E"/>
    <w:rsid w:val="00343A68"/>
    <w:rsid w:val="00351E25"/>
    <w:rsid w:val="00353BC0"/>
    <w:rsid w:val="00354645"/>
    <w:rsid w:val="0035472A"/>
    <w:rsid w:val="00355453"/>
    <w:rsid w:val="0035571C"/>
    <w:rsid w:val="003632AC"/>
    <w:rsid w:val="00364618"/>
    <w:rsid w:val="00371B9E"/>
    <w:rsid w:val="00371EDA"/>
    <w:rsid w:val="00372277"/>
    <w:rsid w:val="003731DA"/>
    <w:rsid w:val="00373CCC"/>
    <w:rsid w:val="00373DCE"/>
    <w:rsid w:val="0037458A"/>
    <w:rsid w:val="00374D40"/>
    <w:rsid w:val="0038075F"/>
    <w:rsid w:val="00381839"/>
    <w:rsid w:val="00381AFE"/>
    <w:rsid w:val="00381F84"/>
    <w:rsid w:val="003831A3"/>
    <w:rsid w:val="0038541B"/>
    <w:rsid w:val="003858EC"/>
    <w:rsid w:val="00385A7C"/>
    <w:rsid w:val="00390357"/>
    <w:rsid w:val="0039089F"/>
    <w:rsid w:val="0039458C"/>
    <w:rsid w:val="00397806"/>
    <w:rsid w:val="00397D7D"/>
    <w:rsid w:val="003A1B28"/>
    <w:rsid w:val="003A1E68"/>
    <w:rsid w:val="003A418D"/>
    <w:rsid w:val="003A4BFF"/>
    <w:rsid w:val="003A4E3D"/>
    <w:rsid w:val="003A5EA9"/>
    <w:rsid w:val="003A5F18"/>
    <w:rsid w:val="003A7D7F"/>
    <w:rsid w:val="003A7F7B"/>
    <w:rsid w:val="003B2E6E"/>
    <w:rsid w:val="003B418A"/>
    <w:rsid w:val="003C136F"/>
    <w:rsid w:val="003C13B8"/>
    <w:rsid w:val="003C1B95"/>
    <w:rsid w:val="003C7CE8"/>
    <w:rsid w:val="003D0473"/>
    <w:rsid w:val="003D5B82"/>
    <w:rsid w:val="003D606C"/>
    <w:rsid w:val="003E49DF"/>
    <w:rsid w:val="003E4E45"/>
    <w:rsid w:val="003F0DF9"/>
    <w:rsid w:val="003F5C5D"/>
    <w:rsid w:val="00400A13"/>
    <w:rsid w:val="004014B7"/>
    <w:rsid w:val="0040175A"/>
    <w:rsid w:val="004021E1"/>
    <w:rsid w:val="00406687"/>
    <w:rsid w:val="0040675B"/>
    <w:rsid w:val="004122D5"/>
    <w:rsid w:val="004130E4"/>
    <w:rsid w:val="0041327D"/>
    <w:rsid w:val="00414D9E"/>
    <w:rsid w:val="00415CCE"/>
    <w:rsid w:val="00417CB2"/>
    <w:rsid w:val="004209D0"/>
    <w:rsid w:val="00421084"/>
    <w:rsid w:val="004210E4"/>
    <w:rsid w:val="004218EC"/>
    <w:rsid w:val="00422450"/>
    <w:rsid w:val="00422925"/>
    <w:rsid w:val="004234D3"/>
    <w:rsid w:val="00423926"/>
    <w:rsid w:val="00423F8B"/>
    <w:rsid w:val="004263CB"/>
    <w:rsid w:val="0042723E"/>
    <w:rsid w:val="00432500"/>
    <w:rsid w:val="00433557"/>
    <w:rsid w:val="0043651D"/>
    <w:rsid w:val="00441060"/>
    <w:rsid w:val="00441B5A"/>
    <w:rsid w:val="00442802"/>
    <w:rsid w:val="0044504B"/>
    <w:rsid w:val="00446232"/>
    <w:rsid w:val="00447DB8"/>
    <w:rsid w:val="00451763"/>
    <w:rsid w:val="00453E75"/>
    <w:rsid w:val="004548F7"/>
    <w:rsid w:val="00455E91"/>
    <w:rsid w:val="0045666B"/>
    <w:rsid w:val="00457624"/>
    <w:rsid w:val="00457AF7"/>
    <w:rsid w:val="0046251E"/>
    <w:rsid w:val="00467795"/>
    <w:rsid w:val="00470439"/>
    <w:rsid w:val="00471384"/>
    <w:rsid w:val="004714FE"/>
    <w:rsid w:val="00472896"/>
    <w:rsid w:val="00473AAA"/>
    <w:rsid w:val="00473FC5"/>
    <w:rsid w:val="004745F2"/>
    <w:rsid w:val="0047619D"/>
    <w:rsid w:val="00481327"/>
    <w:rsid w:val="00481B0F"/>
    <w:rsid w:val="00484A66"/>
    <w:rsid w:val="00485B40"/>
    <w:rsid w:val="00486A19"/>
    <w:rsid w:val="0048746B"/>
    <w:rsid w:val="00495042"/>
    <w:rsid w:val="00497F4D"/>
    <w:rsid w:val="004A1F06"/>
    <w:rsid w:val="004A2E94"/>
    <w:rsid w:val="004A35AA"/>
    <w:rsid w:val="004A4DDD"/>
    <w:rsid w:val="004A7A29"/>
    <w:rsid w:val="004B075E"/>
    <w:rsid w:val="004B0FB5"/>
    <w:rsid w:val="004B12BF"/>
    <w:rsid w:val="004B180B"/>
    <w:rsid w:val="004B29C1"/>
    <w:rsid w:val="004B2E8A"/>
    <w:rsid w:val="004B3A0F"/>
    <w:rsid w:val="004B3B22"/>
    <w:rsid w:val="004B51CE"/>
    <w:rsid w:val="004B5537"/>
    <w:rsid w:val="004B7406"/>
    <w:rsid w:val="004C0925"/>
    <w:rsid w:val="004C1FB0"/>
    <w:rsid w:val="004C4FD5"/>
    <w:rsid w:val="004C5E57"/>
    <w:rsid w:val="004C6CEB"/>
    <w:rsid w:val="004D1316"/>
    <w:rsid w:val="004D1344"/>
    <w:rsid w:val="004D2ECC"/>
    <w:rsid w:val="004D66C3"/>
    <w:rsid w:val="004D7758"/>
    <w:rsid w:val="004E350F"/>
    <w:rsid w:val="004E447F"/>
    <w:rsid w:val="004E62B5"/>
    <w:rsid w:val="004E6E41"/>
    <w:rsid w:val="004F05EA"/>
    <w:rsid w:val="004F1700"/>
    <w:rsid w:val="0050156D"/>
    <w:rsid w:val="005025CB"/>
    <w:rsid w:val="005030C2"/>
    <w:rsid w:val="00503BDF"/>
    <w:rsid w:val="005045AF"/>
    <w:rsid w:val="005055D2"/>
    <w:rsid w:val="0051118D"/>
    <w:rsid w:val="00511FF4"/>
    <w:rsid w:val="0051369D"/>
    <w:rsid w:val="00514A3B"/>
    <w:rsid w:val="00515A20"/>
    <w:rsid w:val="00520383"/>
    <w:rsid w:val="0052256E"/>
    <w:rsid w:val="0052678C"/>
    <w:rsid w:val="00527BAA"/>
    <w:rsid w:val="0053184A"/>
    <w:rsid w:val="00532225"/>
    <w:rsid w:val="005323B9"/>
    <w:rsid w:val="0053274B"/>
    <w:rsid w:val="00534DF4"/>
    <w:rsid w:val="00540137"/>
    <w:rsid w:val="00541AA3"/>
    <w:rsid w:val="005425E2"/>
    <w:rsid w:val="00542817"/>
    <w:rsid w:val="005451BD"/>
    <w:rsid w:val="005458A0"/>
    <w:rsid w:val="00546206"/>
    <w:rsid w:val="00546635"/>
    <w:rsid w:val="005507BF"/>
    <w:rsid w:val="00554D7C"/>
    <w:rsid w:val="00554DEE"/>
    <w:rsid w:val="005575C4"/>
    <w:rsid w:val="00560002"/>
    <w:rsid w:val="005629DD"/>
    <w:rsid w:val="00562DA9"/>
    <w:rsid w:val="0056379B"/>
    <w:rsid w:val="00565DC1"/>
    <w:rsid w:val="00565FA6"/>
    <w:rsid w:val="00572C94"/>
    <w:rsid w:val="005748FC"/>
    <w:rsid w:val="00575F64"/>
    <w:rsid w:val="00581409"/>
    <w:rsid w:val="005822BB"/>
    <w:rsid w:val="00582DDF"/>
    <w:rsid w:val="0058397D"/>
    <w:rsid w:val="00584032"/>
    <w:rsid w:val="0058445F"/>
    <w:rsid w:val="00584C50"/>
    <w:rsid w:val="005854C1"/>
    <w:rsid w:val="00585A9D"/>
    <w:rsid w:val="0058610D"/>
    <w:rsid w:val="005875A3"/>
    <w:rsid w:val="005900C0"/>
    <w:rsid w:val="005904AE"/>
    <w:rsid w:val="00590D9F"/>
    <w:rsid w:val="00591C35"/>
    <w:rsid w:val="0059226B"/>
    <w:rsid w:val="00592EAF"/>
    <w:rsid w:val="00594385"/>
    <w:rsid w:val="00594D05"/>
    <w:rsid w:val="00595B86"/>
    <w:rsid w:val="0059606A"/>
    <w:rsid w:val="00596B34"/>
    <w:rsid w:val="00596E6F"/>
    <w:rsid w:val="005A35E5"/>
    <w:rsid w:val="005A4439"/>
    <w:rsid w:val="005B107A"/>
    <w:rsid w:val="005B1C86"/>
    <w:rsid w:val="005B552E"/>
    <w:rsid w:val="005C0C6F"/>
    <w:rsid w:val="005C49BD"/>
    <w:rsid w:val="005C4B32"/>
    <w:rsid w:val="005C58AD"/>
    <w:rsid w:val="005C678A"/>
    <w:rsid w:val="005D0809"/>
    <w:rsid w:val="005D1432"/>
    <w:rsid w:val="005D2273"/>
    <w:rsid w:val="005D3148"/>
    <w:rsid w:val="005D3533"/>
    <w:rsid w:val="005D6111"/>
    <w:rsid w:val="005E0B8F"/>
    <w:rsid w:val="005E16DD"/>
    <w:rsid w:val="005E49E9"/>
    <w:rsid w:val="005E63E4"/>
    <w:rsid w:val="005F0142"/>
    <w:rsid w:val="005F0ECB"/>
    <w:rsid w:val="005F4A7E"/>
    <w:rsid w:val="005F4B57"/>
    <w:rsid w:val="005F7CEA"/>
    <w:rsid w:val="00601495"/>
    <w:rsid w:val="0060180D"/>
    <w:rsid w:val="006038A0"/>
    <w:rsid w:val="00607E0F"/>
    <w:rsid w:val="00610D7A"/>
    <w:rsid w:val="00611E58"/>
    <w:rsid w:val="00613A95"/>
    <w:rsid w:val="006149EC"/>
    <w:rsid w:val="00621F49"/>
    <w:rsid w:val="00624F26"/>
    <w:rsid w:val="00626C36"/>
    <w:rsid w:val="00626E47"/>
    <w:rsid w:val="006279AD"/>
    <w:rsid w:val="00630617"/>
    <w:rsid w:val="0063095F"/>
    <w:rsid w:val="00631B14"/>
    <w:rsid w:val="0063607D"/>
    <w:rsid w:val="00637029"/>
    <w:rsid w:val="006370ED"/>
    <w:rsid w:val="0063771F"/>
    <w:rsid w:val="0064020E"/>
    <w:rsid w:val="00641DFD"/>
    <w:rsid w:val="00641F68"/>
    <w:rsid w:val="00642095"/>
    <w:rsid w:val="006431CF"/>
    <w:rsid w:val="00643586"/>
    <w:rsid w:val="00647D27"/>
    <w:rsid w:val="00650275"/>
    <w:rsid w:val="00650A8E"/>
    <w:rsid w:val="00651793"/>
    <w:rsid w:val="006547A9"/>
    <w:rsid w:val="006547D3"/>
    <w:rsid w:val="006602D2"/>
    <w:rsid w:val="00661563"/>
    <w:rsid w:val="0066336C"/>
    <w:rsid w:val="006637E8"/>
    <w:rsid w:val="006643D1"/>
    <w:rsid w:val="00664933"/>
    <w:rsid w:val="00665778"/>
    <w:rsid w:val="006814EB"/>
    <w:rsid w:val="00683F0C"/>
    <w:rsid w:val="00685F73"/>
    <w:rsid w:val="00690EF1"/>
    <w:rsid w:val="006915B0"/>
    <w:rsid w:val="00691641"/>
    <w:rsid w:val="006945BE"/>
    <w:rsid w:val="00695BA9"/>
    <w:rsid w:val="00697F93"/>
    <w:rsid w:val="006A043F"/>
    <w:rsid w:val="006A0CF1"/>
    <w:rsid w:val="006A1EC2"/>
    <w:rsid w:val="006A4144"/>
    <w:rsid w:val="006A51D4"/>
    <w:rsid w:val="006A5695"/>
    <w:rsid w:val="006A75EB"/>
    <w:rsid w:val="006B0D5E"/>
    <w:rsid w:val="006B0EA2"/>
    <w:rsid w:val="006B140F"/>
    <w:rsid w:val="006B304C"/>
    <w:rsid w:val="006B4579"/>
    <w:rsid w:val="006B49EE"/>
    <w:rsid w:val="006B77F9"/>
    <w:rsid w:val="006C1F49"/>
    <w:rsid w:val="006C5114"/>
    <w:rsid w:val="006C6589"/>
    <w:rsid w:val="006D0B2F"/>
    <w:rsid w:val="006D44C4"/>
    <w:rsid w:val="006D4B47"/>
    <w:rsid w:val="006D5084"/>
    <w:rsid w:val="006D6CA1"/>
    <w:rsid w:val="006E0640"/>
    <w:rsid w:val="006E112A"/>
    <w:rsid w:val="006E1B34"/>
    <w:rsid w:val="006E1BEF"/>
    <w:rsid w:val="006E1D8A"/>
    <w:rsid w:val="006E2010"/>
    <w:rsid w:val="006E44E9"/>
    <w:rsid w:val="006F0D8C"/>
    <w:rsid w:val="006F0E2B"/>
    <w:rsid w:val="006F55C7"/>
    <w:rsid w:val="006F6BC4"/>
    <w:rsid w:val="006F6E82"/>
    <w:rsid w:val="00704D8B"/>
    <w:rsid w:val="0070607B"/>
    <w:rsid w:val="00706942"/>
    <w:rsid w:val="0071201C"/>
    <w:rsid w:val="00712D33"/>
    <w:rsid w:val="007132CB"/>
    <w:rsid w:val="00713480"/>
    <w:rsid w:val="0071594C"/>
    <w:rsid w:val="00722A6A"/>
    <w:rsid w:val="00722CBC"/>
    <w:rsid w:val="00723FD2"/>
    <w:rsid w:val="0072495E"/>
    <w:rsid w:val="00727E47"/>
    <w:rsid w:val="00731230"/>
    <w:rsid w:val="00731C41"/>
    <w:rsid w:val="00735083"/>
    <w:rsid w:val="007350B9"/>
    <w:rsid w:val="00737027"/>
    <w:rsid w:val="00741A00"/>
    <w:rsid w:val="007429E2"/>
    <w:rsid w:val="00745A55"/>
    <w:rsid w:val="00746BD6"/>
    <w:rsid w:val="00751DB2"/>
    <w:rsid w:val="00753A7C"/>
    <w:rsid w:val="00754CD9"/>
    <w:rsid w:val="00756D7A"/>
    <w:rsid w:val="00757048"/>
    <w:rsid w:val="00757689"/>
    <w:rsid w:val="0076066B"/>
    <w:rsid w:val="00760FBC"/>
    <w:rsid w:val="00761525"/>
    <w:rsid w:val="00762F76"/>
    <w:rsid w:val="007630F5"/>
    <w:rsid w:val="0076390A"/>
    <w:rsid w:val="0076482F"/>
    <w:rsid w:val="007678F6"/>
    <w:rsid w:val="00771510"/>
    <w:rsid w:val="007723F5"/>
    <w:rsid w:val="00772BEF"/>
    <w:rsid w:val="00773639"/>
    <w:rsid w:val="007749E4"/>
    <w:rsid w:val="0077669C"/>
    <w:rsid w:val="007766FD"/>
    <w:rsid w:val="00780C67"/>
    <w:rsid w:val="00781333"/>
    <w:rsid w:val="007824EC"/>
    <w:rsid w:val="007845D8"/>
    <w:rsid w:val="00784A16"/>
    <w:rsid w:val="00784ED4"/>
    <w:rsid w:val="0079012B"/>
    <w:rsid w:val="00792A94"/>
    <w:rsid w:val="007934A3"/>
    <w:rsid w:val="007973E8"/>
    <w:rsid w:val="007A14D3"/>
    <w:rsid w:val="007A226C"/>
    <w:rsid w:val="007A3473"/>
    <w:rsid w:val="007A36FE"/>
    <w:rsid w:val="007A43EC"/>
    <w:rsid w:val="007A44F1"/>
    <w:rsid w:val="007B04A4"/>
    <w:rsid w:val="007B236F"/>
    <w:rsid w:val="007B286D"/>
    <w:rsid w:val="007B5A92"/>
    <w:rsid w:val="007C0AE1"/>
    <w:rsid w:val="007C1E0B"/>
    <w:rsid w:val="007C375F"/>
    <w:rsid w:val="007C3E92"/>
    <w:rsid w:val="007C4F74"/>
    <w:rsid w:val="007C54F3"/>
    <w:rsid w:val="007C5AF9"/>
    <w:rsid w:val="007D3CD3"/>
    <w:rsid w:val="007D3FCD"/>
    <w:rsid w:val="007D49F1"/>
    <w:rsid w:val="007D56D8"/>
    <w:rsid w:val="007D5FEB"/>
    <w:rsid w:val="007D6D81"/>
    <w:rsid w:val="007D6DA8"/>
    <w:rsid w:val="007D7E67"/>
    <w:rsid w:val="007E05D3"/>
    <w:rsid w:val="007E08BD"/>
    <w:rsid w:val="007E1BC0"/>
    <w:rsid w:val="007E29FB"/>
    <w:rsid w:val="007E47F0"/>
    <w:rsid w:val="007E5F35"/>
    <w:rsid w:val="007E60BF"/>
    <w:rsid w:val="007E74AD"/>
    <w:rsid w:val="007E7CAD"/>
    <w:rsid w:val="007F07C8"/>
    <w:rsid w:val="007F31E5"/>
    <w:rsid w:val="007F3420"/>
    <w:rsid w:val="007F343B"/>
    <w:rsid w:val="007F4468"/>
    <w:rsid w:val="0080155A"/>
    <w:rsid w:val="008030AE"/>
    <w:rsid w:val="008030E7"/>
    <w:rsid w:val="00803CA9"/>
    <w:rsid w:val="00803F9C"/>
    <w:rsid w:val="00804270"/>
    <w:rsid w:val="008051FB"/>
    <w:rsid w:val="008060EC"/>
    <w:rsid w:val="008102D1"/>
    <w:rsid w:val="008107C7"/>
    <w:rsid w:val="00810D63"/>
    <w:rsid w:val="008119FB"/>
    <w:rsid w:val="00812E61"/>
    <w:rsid w:val="00815258"/>
    <w:rsid w:val="00815EBF"/>
    <w:rsid w:val="00816386"/>
    <w:rsid w:val="00817BE6"/>
    <w:rsid w:val="00821512"/>
    <w:rsid w:val="0082220A"/>
    <w:rsid w:val="00823411"/>
    <w:rsid w:val="00826E3A"/>
    <w:rsid w:val="008270CF"/>
    <w:rsid w:val="00827691"/>
    <w:rsid w:val="00827C41"/>
    <w:rsid w:val="00827EB8"/>
    <w:rsid w:val="008311F6"/>
    <w:rsid w:val="00833990"/>
    <w:rsid w:val="00834BA3"/>
    <w:rsid w:val="0083569F"/>
    <w:rsid w:val="00835D2B"/>
    <w:rsid w:val="00836A06"/>
    <w:rsid w:val="0084067D"/>
    <w:rsid w:val="00840CF4"/>
    <w:rsid w:val="00845162"/>
    <w:rsid w:val="0084707E"/>
    <w:rsid w:val="0084737D"/>
    <w:rsid w:val="0084748A"/>
    <w:rsid w:val="0084773C"/>
    <w:rsid w:val="00847B94"/>
    <w:rsid w:val="00852151"/>
    <w:rsid w:val="00853574"/>
    <w:rsid w:val="00854AC7"/>
    <w:rsid w:val="00856312"/>
    <w:rsid w:val="00856531"/>
    <w:rsid w:val="00861759"/>
    <w:rsid w:val="00862BCD"/>
    <w:rsid w:val="00862F0B"/>
    <w:rsid w:val="00863282"/>
    <w:rsid w:val="008635E1"/>
    <w:rsid w:val="008654C1"/>
    <w:rsid w:val="0086585B"/>
    <w:rsid w:val="008664ED"/>
    <w:rsid w:val="00866EF1"/>
    <w:rsid w:val="00867727"/>
    <w:rsid w:val="0087196E"/>
    <w:rsid w:val="00871C13"/>
    <w:rsid w:val="00872B5B"/>
    <w:rsid w:val="008758E2"/>
    <w:rsid w:val="00876432"/>
    <w:rsid w:val="00876D94"/>
    <w:rsid w:val="00877BA4"/>
    <w:rsid w:val="0088295D"/>
    <w:rsid w:val="00883262"/>
    <w:rsid w:val="00887D80"/>
    <w:rsid w:val="0089001B"/>
    <w:rsid w:val="00890387"/>
    <w:rsid w:val="0089451D"/>
    <w:rsid w:val="008950C7"/>
    <w:rsid w:val="0089667C"/>
    <w:rsid w:val="00897EAA"/>
    <w:rsid w:val="008A0A3E"/>
    <w:rsid w:val="008A0C2B"/>
    <w:rsid w:val="008A145B"/>
    <w:rsid w:val="008A410D"/>
    <w:rsid w:val="008A4DC9"/>
    <w:rsid w:val="008B0B78"/>
    <w:rsid w:val="008B0C7D"/>
    <w:rsid w:val="008B1018"/>
    <w:rsid w:val="008B4F44"/>
    <w:rsid w:val="008B71AB"/>
    <w:rsid w:val="008C09FB"/>
    <w:rsid w:val="008C1E03"/>
    <w:rsid w:val="008C1FAF"/>
    <w:rsid w:val="008C218C"/>
    <w:rsid w:val="008C429E"/>
    <w:rsid w:val="008D01BC"/>
    <w:rsid w:val="008D12D4"/>
    <w:rsid w:val="008D2987"/>
    <w:rsid w:val="008D2A2A"/>
    <w:rsid w:val="008D361F"/>
    <w:rsid w:val="008D3BD1"/>
    <w:rsid w:val="008E2224"/>
    <w:rsid w:val="008E390A"/>
    <w:rsid w:val="008E3BD2"/>
    <w:rsid w:val="008E402A"/>
    <w:rsid w:val="008E5240"/>
    <w:rsid w:val="008E72AE"/>
    <w:rsid w:val="008F1EE7"/>
    <w:rsid w:val="008F593F"/>
    <w:rsid w:val="008F68B9"/>
    <w:rsid w:val="008F6FA2"/>
    <w:rsid w:val="00900F5D"/>
    <w:rsid w:val="009019C5"/>
    <w:rsid w:val="00904310"/>
    <w:rsid w:val="009069A2"/>
    <w:rsid w:val="00921071"/>
    <w:rsid w:val="00922FA7"/>
    <w:rsid w:val="00923689"/>
    <w:rsid w:val="009279A3"/>
    <w:rsid w:val="00927BBA"/>
    <w:rsid w:val="00932449"/>
    <w:rsid w:val="00932864"/>
    <w:rsid w:val="00934C2F"/>
    <w:rsid w:val="00935B66"/>
    <w:rsid w:val="0093652D"/>
    <w:rsid w:val="009379ED"/>
    <w:rsid w:val="009403EB"/>
    <w:rsid w:val="0094042F"/>
    <w:rsid w:val="009406AC"/>
    <w:rsid w:val="00941BCF"/>
    <w:rsid w:val="00941DF2"/>
    <w:rsid w:val="009425B5"/>
    <w:rsid w:val="00946104"/>
    <w:rsid w:val="00947638"/>
    <w:rsid w:val="0094796D"/>
    <w:rsid w:val="00951DB9"/>
    <w:rsid w:val="00951EFF"/>
    <w:rsid w:val="00952662"/>
    <w:rsid w:val="00953288"/>
    <w:rsid w:val="00954639"/>
    <w:rsid w:val="00955A80"/>
    <w:rsid w:val="00960546"/>
    <w:rsid w:val="00960AA7"/>
    <w:rsid w:val="00960F30"/>
    <w:rsid w:val="00962101"/>
    <w:rsid w:val="009628D0"/>
    <w:rsid w:val="00964E89"/>
    <w:rsid w:val="009657FC"/>
    <w:rsid w:val="00965899"/>
    <w:rsid w:val="00965E6D"/>
    <w:rsid w:val="009665F7"/>
    <w:rsid w:val="00970AF0"/>
    <w:rsid w:val="00971F84"/>
    <w:rsid w:val="00971FC9"/>
    <w:rsid w:val="009721DD"/>
    <w:rsid w:val="009743AA"/>
    <w:rsid w:val="00976FA1"/>
    <w:rsid w:val="00980A59"/>
    <w:rsid w:val="00980B64"/>
    <w:rsid w:val="00981495"/>
    <w:rsid w:val="00992C96"/>
    <w:rsid w:val="009970F2"/>
    <w:rsid w:val="00997282"/>
    <w:rsid w:val="00997510"/>
    <w:rsid w:val="009A0FC3"/>
    <w:rsid w:val="009A145F"/>
    <w:rsid w:val="009A2055"/>
    <w:rsid w:val="009A4970"/>
    <w:rsid w:val="009A4DD8"/>
    <w:rsid w:val="009A5EFF"/>
    <w:rsid w:val="009A60FF"/>
    <w:rsid w:val="009A70BC"/>
    <w:rsid w:val="009B196C"/>
    <w:rsid w:val="009B1E36"/>
    <w:rsid w:val="009B6E2C"/>
    <w:rsid w:val="009B7290"/>
    <w:rsid w:val="009B7C5C"/>
    <w:rsid w:val="009B7D0C"/>
    <w:rsid w:val="009C0BFB"/>
    <w:rsid w:val="009C4F8A"/>
    <w:rsid w:val="009C5796"/>
    <w:rsid w:val="009D006D"/>
    <w:rsid w:val="009D0EF8"/>
    <w:rsid w:val="009D3088"/>
    <w:rsid w:val="009D4197"/>
    <w:rsid w:val="009D4303"/>
    <w:rsid w:val="009D5994"/>
    <w:rsid w:val="009D6046"/>
    <w:rsid w:val="009D7AF4"/>
    <w:rsid w:val="009E59A9"/>
    <w:rsid w:val="009E616D"/>
    <w:rsid w:val="009E6E46"/>
    <w:rsid w:val="009E7BBE"/>
    <w:rsid w:val="009F3CB7"/>
    <w:rsid w:val="009F456E"/>
    <w:rsid w:val="009F4A6B"/>
    <w:rsid w:val="009F5D6E"/>
    <w:rsid w:val="00A00E6E"/>
    <w:rsid w:val="00A01328"/>
    <w:rsid w:val="00A054E8"/>
    <w:rsid w:val="00A06C7B"/>
    <w:rsid w:val="00A101C8"/>
    <w:rsid w:val="00A115B3"/>
    <w:rsid w:val="00A126FA"/>
    <w:rsid w:val="00A134EA"/>
    <w:rsid w:val="00A13AF5"/>
    <w:rsid w:val="00A14627"/>
    <w:rsid w:val="00A14803"/>
    <w:rsid w:val="00A16496"/>
    <w:rsid w:val="00A20E01"/>
    <w:rsid w:val="00A2127D"/>
    <w:rsid w:val="00A232B3"/>
    <w:rsid w:val="00A23F92"/>
    <w:rsid w:val="00A23FA2"/>
    <w:rsid w:val="00A249F8"/>
    <w:rsid w:val="00A26870"/>
    <w:rsid w:val="00A27AA9"/>
    <w:rsid w:val="00A30006"/>
    <w:rsid w:val="00A30D05"/>
    <w:rsid w:val="00A31B2E"/>
    <w:rsid w:val="00A36D90"/>
    <w:rsid w:val="00A37AE5"/>
    <w:rsid w:val="00A37C72"/>
    <w:rsid w:val="00A406E6"/>
    <w:rsid w:val="00A40CBF"/>
    <w:rsid w:val="00A44E63"/>
    <w:rsid w:val="00A46588"/>
    <w:rsid w:val="00A47369"/>
    <w:rsid w:val="00A50B1A"/>
    <w:rsid w:val="00A52554"/>
    <w:rsid w:val="00A54A33"/>
    <w:rsid w:val="00A557CA"/>
    <w:rsid w:val="00A55986"/>
    <w:rsid w:val="00A56FAE"/>
    <w:rsid w:val="00A578F7"/>
    <w:rsid w:val="00A600A9"/>
    <w:rsid w:val="00A601A0"/>
    <w:rsid w:val="00A642CF"/>
    <w:rsid w:val="00A64C4A"/>
    <w:rsid w:val="00A64ECD"/>
    <w:rsid w:val="00A65AE6"/>
    <w:rsid w:val="00A65F59"/>
    <w:rsid w:val="00A672C1"/>
    <w:rsid w:val="00A70A6C"/>
    <w:rsid w:val="00A71313"/>
    <w:rsid w:val="00A72D4E"/>
    <w:rsid w:val="00A744A8"/>
    <w:rsid w:val="00A75B68"/>
    <w:rsid w:val="00A75DA6"/>
    <w:rsid w:val="00A76113"/>
    <w:rsid w:val="00A76E92"/>
    <w:rsid w:val="00A82509"/>
    <w:rsid w:val="00A85159"/>
    <w:rsid w:val="00A85265"/>
    <w:rsid w:val="00A857B3"/>
    <w:rsid w:val="00A858FE"/>
    <w:rsid w:val="00A87064"/>
    <w:rsid w:val="00A92E4B"/>
    <w:rsid w:val="00A9406F"/>
    <w:rsid w:val="00A9487C"/>
    <w:rsid w:val="00A9488A"/>
    <w:rsid w:val="00A95E1D"/>
    <w:rsid w:val="00A97A92"/>
    <w:rsid w:val="00AA14C6"/>
    <w:rsid w:val="00AA204C"/>
    <w:rsid w:val="00AA3750"/>
    <w:rsid w:val="00AB1DE2"/>
    <w:rsid w:val="00AB35F8"/>
    <w:rsid w:val="00AB3885"/>
    <w:rsid w:val="00AB43D9"/>
    <w:rsid w:val="00AB4B90"/>
    <w:rsid w:val="00AB5515"/>
    <w:rsid w:val="00AB5DDC"/>
    <w:rsid w:val="00AB6154"/>
    <w:rsid w:val="00AB7EEF"/>
    <w:rsid w:val="00AC0645"/>
    <w:rsid w:val="00AC25F4"/>
    <w:rsid w:val="00AC4B30"/>
    <w:rsid w:val="00AC557A"/>
    <w:rsid w:val="00AC6283"/>
    <w:rsid w:val="00AC7F67"/>
    <w:rsid w:val="00AD4838"/>
    <w:rsid w:val="00AD5E32"/>
    <w:rsid w:val="00AD607B"/>
    <w:rsid w:val="00AE160A"/>
    <w:rsid w:val="00AE2762"/>
    <w:rsid w:val="00AE30C5"/>
    <w:rsid w:val="00AE34FA"/>
    <w:rsid w:val="00AE5307"/>
    <w:rsid w:val="00AF0A30"/>
    <w:rsid w:val="00AF190A"/>
    <w:rsid w:val="00AF1988"/>
    <w:rsid w:val="00AF27D1"/>
    <w:rsid w:val="00AF303E"/>
    <w:rsid w:val="00AF67C3"/>
    <w:rsid w:val="00B04D6F"/>
    <w:rsid w:val="00B060EA"/>
    <w:rsid w:val="00B0729F"/>
    <w:rsid w:val="00B07E23"/>
    <w:rsid w:val="00B15445"/>
    <w:rsid w:val="00B15923"/>
    <w:rsid w:val="00B22509"/>
    <w:rsid w:val="00B22B47"/>
    <w:rsid w:val="00B31E72"/>
    <w:rsid w:val="00B3510E"/>
    <w:rsid w:val="00B35EAE"/>
    <w:rsid w:val="00B36A9C"/>
    <w:rsid w:val="00B376FE"/>
    <w:rsid w:val="00B37B6A"/>
    <w:rsid w:val="00B41C7B"/>
    <w:rsid w:val="00B42B05"/>
    <w:rsid w:val="00B43A33"/>
    <w:rsid w:val="00B44DE7"/>
    <w:rsid w:val="00B473A8"/>
    <w:rsid w:val="00B5175C"/>
    <w:rsid w:val="00B52224"/>
    <w:rsid w:val="00B54B0C"/>
    <w:rsid w:val="00B54F72"/>
    <w:rsid w:val="00B56281"/>
    <w:rsid w:val="00B573C4"/>
    <w:rsid w:val="00B60993"/>
    <w:rsid w:val="00B6137D"/>
    <w:rsid w:val="00B62709"/>
    <w:rsid w:val="00B627D5"/>
    <w:rsid w:val="00B67FEE"/>
    <w:rsid w:val="00B71CAE"/>
    <w:rsid w:val="00B747E7"/>
    <w:rsid w:val="00B80726"/>
    <w:rsid w:val="00B80ACB"/>
    <w:rsid w:val="00B82444"/>
    <w:rsid w:val="00B8264A"/>
    <w:rsid w:val="00B8349A"/>
    <w:rsid w:val="00B90578"/>
    <w:rsid w:val="00B9111C"/>
    <w:rsid w:val="00B9298F"/>
    <w:rsid w:val="00B92A17"/>
    <w:rsid w:val="00B92CF8"/>
    <w:rsid w:val="00B9610C"/>
    <w:rsid w:val="00B97ECA"/>
    <w:rsid w:val="00BA053F"/>
    <w:rsid w:val="00BA074F"/>
    <w:rsid w:val="00BA50F7"/>
    <w:rsid w:val="00BA548B"/>
    <w:rsid w:val="00BA5EF4"/>
    <w:rsid w:val="00BB20AB"/>
    <w:rsid w:val="00BB2163"/>
    <w:rsid w:val="00BB2EBF"/>
    <w:rsid w:val="00BB4327"/>
    <w:rsid w:val="00BB5D95"/>
    <w:rsid w:val="00BB5E4F"/>
    <w:rsid w:val="00BB7055"/>
    <w:rsid w:val="00BC02B6"/>
    <w:rsid w:val="00BC31D3"/>
    <w:rsid w:val="00BC5503"/>
    <w:rsid w:val="00BC5761"/>
    <w:rsid w:val="00BC7A13"/>
    <w:rsid w:val="00BD1F8E"/>
    <w:rsid w:val="00BD4209"/>
    <w:rsid w:val="00BD57B9"/>
    <w:rsid w:val="00BD5E79"/>
    <w:rsid w:val="00BD6801"/>
    <w:rsid w:val="00BD7810"/>
    <w:rsid w:val="00BE00A0"/>
    <w:rsid w:val="00BE26E3"/>
    <w:rsid w:val="00BE2B32"/>
    <w:rsid w:val="00BE5B0B"/>
    <w:rsid w:val="00BE5DD6"/>
    <w:rsid w:val="00BE5EBF"/>
    <w:rsid w:val="00BE6236"/>
    <w:rsid w:val="00BE62FC"/>
    <w:rsid w:val="00BE6342"/>
    <w:rsid w:val="00BE6EEB"/>
    <w:rsid w:val="00BE7083"/>
    <w:rsid w:val="00BE79C1"/>
    <w:rsid w:val="00BF0184"/>
    <w:rsid w:val="00BF2945"/>
    <w:rsid w:val="00BF3992"/>
    <w:rsid w:val="00BF6303"/>
    <w:rsid w:val="00BF68F1"/>
    <w:rsid w:val="00BF7C37"/>
    <w:rsid w:val="00C008ED"/>
    <w:rsid w:val="00C00EC4"/>
    <w:rsid w:val="00C10BE4"/>
    <w:rsid w:val="00C13C4F"/>
    <w:rsid w:val="00C14312"/>
    <w:rsid w:val="00C17871"/>
    <w:rsid w:val="00C17BDD"/>
    <w:rsid w:val="00C17C23"/>
    <w:rsid w:val="00C231F5"/>
    <w:rsid w:val="00C247B4"/>
    <w:rsid w:val="00C24F19"/>
    <w:rsid w:val="00C25F9A"/>
    <w:rsid w:val="00C264A3"/>
    <w:rsid w:val="00C27E8A"/>
    <w:rsid w:val="00C302B9"/>
    <w:rsid w:val="00C30458"/>
    <w:rsid w:val="00C30B2D"/>
    <w:rsid w:val="00C32057"/>
    <w:rsid w:val="00C3231E"/>
    <w:rsid w:val="00C32611"/>
    <w:rsid w:val="00C35218"/>
    <w:rsid w:val="00C35BEE"/>
    <w:rsid w:val="00C40782"/>
    <w:rsid w:val="00C40CFF"/>
    <w:rsid w:val="00C413ED"/>
    <w:rsid w:val="00C44546"/>
    <w:rsid w:val="00C44667"/>
    <w:rsid w:val="00C50FBF"/>
    <w:rsid w:val="00C52592"/>
    <w:rsid w:val="00C53152"/>
    <w:rsid w:val="00C535C5"/>
    <w:rsid w:val="00C54676"/>
    <w:rsid w:val="00C54790"/>
    <w:rsid w:val="00C5493C"/>
    <w:rsid w:val="00C57090"/>
    <w:rsid w:val="00C57F39"/>
    <w:rsid w:val="00C63269"/>
    <w:rsid w:val="00C637D5"/>
    <w:rsid w:val="00C63BA7"/>
    <w:rsid w:val="00C6597D"/>
    <w:rsid w:val="00C66757"/>
    <w:rsid w:val="00C7036B"/>
    <w:rsid w:val="00C7084D"/>
    <w:rsid w:val="00C70F69"/>
    <w:rsid w:val="00C71D0B"/>
    <w:rsid w:val="00C73E5D"/>
    <w:rsid w:val="00C77962"/>
    <w:rsid w:val="00C80BF8"/>
    <w:rsid w:val="00C83705"/>
    <w:rsid w:val="00C846B9"/>
    <w:rsid w:val="00C8641C"/>
    <w:rsid w:val="00C92BF2"/>
    <w:rsid w:val="00C944CF"/>
    <w:rsid w:val="00C954F5"/>
    <w:rsid w:val="00C96A6F"/>
    <w:rsid w:val="00CA0DF4"/>
    <w:rsid w:val="00CA13F7"/>
    <w:rsid w:val="00CA1AD9"/>
    <w:rsid w:val="00CA39B0"/>
    <w:rsid w:val="00CA47E6"/>
    <w:rsid w:val="00CA5450"/>
    <w:rsid w:val="00CA63AB"/>
    <w:rsid w:val="00CA6F6F"/>
    <w:rsid w:val="00CA77B7"/>
    <w:rsid w:val="00CB1C09"/>
    <w:rsid w:val="00CB29C2"/>
    <w:rsid w:val="00CB2E56"/>
    <w:rsid w:val="00CB6686"/>
    <w:rsid w:val="00CB6700"/>
    <w:rsid w:val="00CB671E"/>
    <w:rsid w:val="00CB76B4"/>
    <w:rsid w:val="00CC37EE"/>
    <w:rsid w:val="00CC470C"/>
    <w:rsid w:val="00CC5C8D"/>
    <w:rsid w:val="00CC7137"/>
    <w:rsid w:val="00CD3494"/>
    <w:rsid w:val="00CD4947"/>
    <w:rsid w:val="00CD7FCA"/>
    <w:rsid w:val="00CE0147"/>
    <w:rsid w:val="00CE12F7"/>
    <w:rsid w:val="00CE1D0D"/>
    <w:rsid w:val="00CE2A0E"/>
    <w:rsid w:val="00CE5309"/>
    <w:rsid w:val="00CE659E"/>
    <w:rsid w:val="00CE75E3"/>
    <w:rsid w:val="00CF0524"/>
    <w:rsid w:val="00CF06B1"/>
    <w:rsid w:val="00CF1244"/>
    <w:rsid w:val="00CF1BBF"/>
    <w:rsid w:val="00CF2188"/>
    <w:rsid w:val="00CF4F77"/>
    <w:rsid w:val="00CF64CB"/>
    <w:rsid w:val="00CF7D4F"/>
    <w:rsid w:val="00D0333A"/>
    <w:rsid w:val="00D0498D"/>
    <w:rsid w:val="00D0652B"/>
    <w:rsid w:val="00D1292C"/>
    <w:rsid w:val="00D1435A"/>
    <w:rsid w:val="00D1516C"/>
    <w:rsid w:val="00D17E93"/>
    <w:rsid w:val="00D2021C"/>
    <w:rsid w:val="00D22EEB"/>
    <w:rsid w:val="00D22F3A"/>
    <w:rsid w:val="00D257AA"/>
    <w:rsid w:val="00D3030A"/>
    <w:rsid w:val="00D307D1"/>
    <w:rsid w:val="00D30EC5"/>
    <w:rsid w:val="00D33E79"/>
    <w:rsid w:val="00D34305"/>
    <w:rsid w:val="00D34C97"/>
    <w:rsid w:val="00D35782"/>
    <w:rsid w:val="00D4248B"/>
    <w:rsid w:val="00D43DB6"/>
    <w:rsid w:val="00D448CC"/>
    <w:rsid w:val="00D449B7"/>
    <w:rsid w:val="00D450F9"/>
    <w:rsid w:val="00D460BB"/>
    <w:rsid w:val="00D4712C"/>
    <w:rsid w:val="00D5077D"/>
    <w:rsid w:val="00D51159"/>
    <w:rsid w:val="00D51E6A"/>
    <w:rsid w:val="00D55061"/>
    <w:rsid w:val="00D5530C"/>
    <w:rsid w:val="00D55B6A"/>
    <w:rsid w:val="00D564E3"/>
    <w:rsid w:val="00D56703"/>
    <w:rsid w:val="00D5717B"/>
    <w:rsid w:val="00D6002D"/>
    <w:rsid w:val="00D6195A"/>
    <w:rsid w:val="00D63250"/>
    <w:rsid w:val="00D64E2A"/>
    <w:rsid w:val="00D65040"/>
    <w:rsid w:val="00D6652C"/>
    <w:rsid w:val="00D66690"/>
    <w:rsid w:val="00D756E7"/>
    <w:rsid w:val="00D75F0D"/>
    <w:rsid w:val="00D76889"/>
    <w:rsid w:val="00D76ED9"/>
    <w:rsid w:val="00D8136B"/>
    <w:rsid w:val="00D82837"/>
    <w:rsid w:val="00D83E49"/>
    <w:rsid w:val="00D91C1A"/>
    <w:rsid w:val="00D95BE7"/>
    <w:rsid w:val="00D97C80"/>
    <w:rsid w:val="00DA02AC"/>
    <w:rsid w:val="00DA127B"/>
    <w:rsid w:val="00DA2EC3"/>
    <w:rsid w:val="00DA390A"/>
    <w:rsid w:val="00DA413D"/>
    <w:rsid w:val="00DA6A85"/>
    <w:rsid w:val="00DB0719"/>
    <w:rsid w:val="00DB0ACD"/>
    <w:rsid w:val="00DB0CC1"/>
    <w:rsid w:val="00DB2598"/>
    <w:rsid w:val="00DB48AC"/>
    <w:rsid w:val="00DB7811"/>
    <w:rsid w:val="00DC10EA"/>
    <w:rsid w:val="00DC3112"/>
    <w:rsid w:val="00DC35B7"/>
    <w:rsid w:val="00DC39E5"/>
    <w:rsid w:val="00DC723F"/>
    <w:rsid w:val="00DC78D6"/>
    <w:rsid w:val="00DC7995"/>
    <w:rsid w:val="00DD0694"/>
    <w:rsid w:val="00DD0D96"/>
    <w:rsid w:val="00DD29C2"/>
    <w:rsid w:val="00DD32F9"/>
    <w:rsid w:val="00DD4121"/>
    <w:rsid w:val="00DD5563"/>
    <w:rsid w:val="00DD570A"/>
    <w:rsid w:val="00DD7D2F"/>
    <w:rsid w:val="00DE1E7C"/>
    <w:rsid w:val="00DE32DF"/>
    <w:rsid w:val="00DE6086"/>
    <w:rsid w:val="00DE6CE6"/>
    <w:rsid w:val="00DF03C8"/>
    <w:rsid w:val="00DF161E"/>
    <w:rsid w:val="00DF1B16"/>
    <w:rsid w:val="00DF5320"/>
    <w:rsid w:val="00DF7E2D"/>
    <w:rsid w:val="00E02EF6"/>
    <w:rsid w:val="00E0311E"/>
    <w:rsid w:val="00E04E1E"/>
    <w:rsid w:val="00E068C6"/>
    <w:rsid w:val="00E074E6"/>
    <w:rsid w:val="00E114B8"/>
    <w:rsid w:val="00E11ACA"/>
    <w:rsid w:val="00E11AF8"/>
    <w:rsid w:val="00E1247B"/>
    <w:rsid w:val="00E14D52"/>
    <w:rsid w:val="00E150BD"/>
    <w:rsid w:val="00E16883"/>
    <w:rsid w:val="00E24D19"/>
    <w:rsid w:val="00E278DE"/>
    <w:rsid w:val="00E33694"/>
    <w:rsid w:val="00E33DB6"/>
    <w:rsid w:val="00E3529B"/>
    <w:rsid w:val="00E40C9F"/>
    <w:rsid w:val="00E40FEC"/>
    <w:rsid w:val="00E4238A"/>
    <w:rsid w:val="00E504F7"/>
    <w:rsid w:val="00E51227"/>
    <w:rsid w:val="00E53FC0"/>
    <w:rsid w:val="00E54BAE"/>
    <w:rsid w:val="00E55067"/>
    <w:rsid w:val="00E556DF"/>
    <w:rsid w:val="00E5673A"/>
    <w:rsid w:val="00E56C04"/>
    <w:rsid w:val="00E57139"/>
    <w:rsid w:val="00E61501"/>
    <w:rsid w:val="00E61B05"/>
    <w:rsid w:val="00E62986"/>
    <w:rsid w:val="00E6561C"/>
    <w:rsid w:val="00E66537"/>
    <w:rsid w:val="00E66DC1"/>
    <w:rsid w:val="00E66F93"/>
    <w:rsid w:val="00E710D0"/>
    <w:rsid w:val="00E718ED"/>
    <w:rsid w:val="00E7243B"/>
    <w:rsid w:val="00E73254"/>
    <w:rsid w:val="00E73B44"/>
    <w:rsid w:val="00E74684"/>
    <w:rsid w:val="00E75B0E"/>
    <w:rsid w:val="00E76B76"/>
    <w:rsid w:val="00E76E92"/>
    <w:rsid w:val="00E82D0A"/>
    <w:rsid w:val="00E853D1"/>
    <w:rsid w:val="00E85699"/>
    <w:rsid w:val="00E861EA"/>
    <w:rsid w:val="00E8702C"/>
    <w:rsid w:val="00E9407E"/>
    <w:rsid w:val="00E95D02"/>
    <w:rsid w:val="00E95FB8"/>
    <w:rsid w:val="00E97AE2"/>
    <w:rsid w:val="00E97AFD"/>
    <w:rsid w:val="00EA2361"/>
    <w:rsid w:val="00EA4562"/>
    <w:rsid w:val="00EB319A"/>
    <w:rsid w:val="00EB3B45"/>
    <w:rsid w:val="00EB6737"/>
    <w:rsid w:val="00EC0E0D"/>
    <w:rsid w:val="00EC2F16"/>
    <w:rsid w:val="00EC3555"/>
    <w:rsid w:val="00EC35F9"/>
    <w:rsid w:val="00EC3739"/>
    <w:rsid w:val="00EC4969"/>
    <w:rsid w:val="00ED073D"/>
    <w:rsid w:val="00ED1281"/>
    <w:rsid w:val="00ED65E8"/>
    <w:rsid w:val="00EE06BE"/>
    <w:rsid w:val="00EE0A90"/>
    <w:rsid w:val="00EE1B6C"/>
    <w:rsid w:val="00EE367B"/>
    <w:rsid w:val="00EE4195"/>
    <w:rsid w:val="00EE60DF"/>
    <w:rsid w:val="00EE72B6"/>
    <w:rsid w:val="00EE7838"/>
    <w:rsid w:val="00EF1BBD"/>
    <w:rsid w:val="00EF284A"/>
    <w:rsid w:val="00EF3149"/>
    <w:rsid w:val="00EF3B84"/>
    <w:rsid w:val="00EF56FE"/>
    <w:rsid w:val="00EF5E5C"/>
    <w:rsid w:val="00EF68CE"/>
    <w:rsid w:val="00EF6DA9"/>
    <w:rsid w:val="00EF709F"/>
    <w:rsid w:val="00EF7121"/>
    <w:rsid w:val="00F0091F"/>
    <w:rsid w:val="00F00BC8"/>
    <w:rsid w:val="00F02A50"/>
    <w:rsid w:val="00F02B50"/>
    <w:rsid w:val="00F034AA"/>
    <w:rsid w:val="00F054EC"/>
    <w:rsid w:val="00F112AC"/>
    <w:rsid w:val="00F132B8"/>
    <w:rsid w:val="00F15DCD"/>
    <w:rsid w:val="00F16D1E"/>
    <w:rsid w:val="00F16DD3"/>
    <w:rsid w:val="00F22307"/>
    <w:rsid w:val="00F23755"/>
    <w:rsid w:val="00F24FD7"/>
    <w:rsid w:val="00F2568E"/>
    <w:rsid w:val="00F25924"/>
    <w:rsid w:val="00F270DA"/>
    <w:rsid w:val="00F27C0A"/>
    <w:rsid w:val="00F3111E"/>
    <w:rsid w:val="00F31A84"/>
    <w:rsid w:val="00F326B1"/>
    <w:rsid w:val="00F33CA0"/>
    <w:rsid w:val="00F346A8"/>
    <w:rsid w:val="00F36CB1"/>
    <w:rsid w:val="00F36E1A"/>
    <w:rsid w:val="00F44E98"/>
    <w:rsid w:val="00F44F2F"/>
    <w:rsid w:val="00F46CBB"/>
    <w:rsid w:val="00F51409"/>
    <w:rsid w:val="00F529E1"/>
    <w:rsid w:val="00F52DA3"/>
    <w:rsid w:val="00F55233"/>
    <w:rsid w:val="00F569C3"/>
    <w:rsid w:val="00F5707A"/>
    <w:rsid w:val="00F6013B"/>
    <w:rsid w:val="00F60B63"/>
    <w:rsid w:val="00F62B4D"/>
    <w:rsid w:val="00F657EB"/>
    <w:rsid w:val="00F66DF4"/>
    <w:rsid w:val="00F6706B"/>
    <w:rsid w:val="00F679B4"/>
    <w:rsid w:val="00F71681"/>
    <w:rsid w:val="00F7447C"/>
    <w:rsid w:val="00F75254"/>
    <w:rsid w:val="00F77812"/>
    <w:rsid w:val="00F80402"/>
    <w:rsid w:val="00F804EF"/>
    <w:rsid w:val="00F80922"/>
    <w:rsid w:val="00F8121D"/>
    <w:rsid w:val="00F876AA"/>
    <w:rsid w:val="00F90575"/>
    <w:rsid w:val="00F9117E"/>
    <w:rsid w:val="00F93D38"/>
    <w:rsid w:val="00F93E25"/>
    <w:rsid w:val="00F94529"/>
    <w:rsid w:val="00F97204"/>
    <w:rsid w:val="00F97C0F"/>
    <w:rsid w:val="00FA04B6"/>
    <w:rsid w:val="00FA2A5D"/>
    <w:rsid w:val="00FA40F3"/>
    <w:rsid w:val="00FA4454"/>
    <w:rsid w:val="00FA5ABF"/>
    <w:rsid w:val="00FA6738"/>
    <w:rsid w:val="00FB0173"/>
    <w:rsid w:val="00FB17DB"/>
    <w:rsid w:val="00FB2A2F"/>
    <w:rsid w:val="00FB3B8D"/>
    <w:rsid w:val="00FB50A9"/>
    <w:rsid w:val="00FB58AB"/>
    <w:rsid w:val="00FB60CB"/>
    <w:rsid w:val="00FB643C"/>
    <w:rsid w:val="00FC1958"/>
    <w:rsid w:val="00FC2215"/>
    <w:rsid w:val="00FC2E48"/>
    <w:rsid w:val="00FC2EDF"/>
    <w:rsid w:val="00FC3DC6"/>
    <w:rsid w:val="00FC4CFC"/>
    <w:rsid w:val="00FC5657"/>
    <w:rsid w:val="00FC5B91"/>
    <w:rsid w:val="00FD0CBF"/>
    <w:rsid w:val="00FD163E"/>
    <w:rsid w:val="00FD354E"/>
    <w:rsid w:val="00FD3BD3"/>
    <w:rsid w:val="00FD55FE"/>
    <w:rsid w:val="00FD7315"/>
    <w:rsid w:val="00FD73B5"/>
    <w:rsid w:val="00FE1BB1"/>
    <w:rsid w:val="00FE277B"/>
    <w:rsid w:val="00FE4F85"/>
    <w:rsid w:val="00FE568C"/>
    <w:rsid w:val="00FE6487"/>
    <w:rsid w:val="00FF036D"/>
    <w:rsid w:val="00FF173A"/>
    <w:rsid w:val="00FF3930"/>
    <w:rsid w:val="00FF5418"/>
    <w:rsid w:val="00FF55A4"/>
    <w:rsid w:val="00FF567D"/>
    <w:rsid w:val="00FF575A"/>
    <w:rsid w:val="00FF67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5:docId w15:val="{54CE6689-CA8D-4DDF-80E9-12511ABF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870"/>
  </w:style>
  <w:style w:type="paragraph" w:styleId="Balk1">
    <w:name w:val="heading 1"/>
    <w:basedOn w:val="Normal"/>
    <w:next w:val="Normal"/>
    <w:link w:val="Balk1Char"/>
    <w:uiPriority w:val="9"/>
    <w:qFormat/>
    <w:rsid w:val="00585A9D"/>
    <w:pPr>
      <w:keepNext/>
      <w:spacing w:after="0" w:line="240" w:lineRule="auto"/>
      <w:jc w:val="center"/>
      <w:outlineLvl w:val="0"/>
    </w:pPr>
    <w:rPr>
      <w:rFonts w:ascii="Times New Roman" w:eastAsia="Times New Roman" w:hAnsi="Times New Roman" w:cs="Times New Roman"/>
      <w:b/>
      <w:sz w:val="20"/>
      <w:szCs w:val="20"/>
    </w:rPr>
  </w:style>
  <w:style w:type="paragraph" w:styleId="Balk2">
    <w:name w:val="heading 2"/>
    <w:basedOn w:val="Normal"/>
    <w:next w:val="Normal"/>
    <w:link w:val="Balk2Char"/>
    <w:uiPriority w:val="9"/>
    <w:unhideWhenUsed/>
    <w:qFormat/>
    <w:rsid w:val="00D600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D600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84707E"/>
    <w:pPr>
      <w:spacing w:after="0" w:line="240" w:lineRule="auto"/>
    </w:pPr>
    <w:rPr>
      <w:sz w:val="20"/>
      <w:szCs w:val="20"/>
    </w:rPr>
  </w:style>
  <w:style w:type="character" w:customStyle="1" w:styleId="DipnotMetniChar">
    <w:name w:val="Dipnot Metni Char"/>
    <w:basedOn w:val="VarsaylanParagrafYazTipi"/>
    <w:link w:val="DipnotMetni"/>
    <w:uiPriority w:val="99"/>
    <w:rsid w:val="0084707E"/>
    <w:rPr>
      <w:sz w:val="20"/>
      <w:szCs w:val="20"/>
    </w:rPr>
  </w:style>
  <w:style w:type="paragraph" w:styleId="stbilgi">
    <w:name w:val="header"/>
    <w:basedOn w:val="Normal"/>
    <w:link w:val="stbilgiChar"/>
    <w:rsid w:val="00F529E1"/>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tbilgiChar">
    <w:name w:val="Üstbilgi Char"/>
    <w:basedOn w:val="VarsaylanParagrafYazTipi"/>
    <w:link w:val="stbilgi"/>
    <w:rsid w:val="00F529E1"/>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529E1"/>
    <w:pPr>
      <w:spacing w:after="0" w:line="240" w:lineRule="auto"/>
      <w:ind w:left="720"/>
      <w:contextualSpacing/>
    </w:pPr>
    <w:rPr>
      <w:rFonts w:ascii="Times New Roman" w:eastAsia="Times New Roman" w:hAnsi="Times New Roman" w:cs="Times New Roman"/>
      <w:sz w:val="24"/>
      <w:szCs w:val="24"/>
    </w:rPr>
  </w:style>
  <w:style w:type="paragraph" w:customStyle="1" w:styleId="CM1">
    <w:name w:val="CM1"/>
    <w:basedOn w:val="Normal"/>
    <w:next w:val="Normal"/>
    <w:uiPriority w:val="99"/>
    <w:rsid w:val="00965E6D"/>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965E6D"/>
    <w:pPr>
      <w:autoSpaceDE w:val="0"/>
      <w:autoSpaceDN w:val="0"/>
      <w:adjustRightInd w:val="0"/>
      <w:spacing w:after="0" w:line="240" w:lineRule="auto"/>
    </w:pPr>
    <w:rPr>
      <w:rFonts w:ascii="EUAlbertina" w:hAnsi="EUAlbertina"/>
      <w:sz w:val="24"/>
      <w:szCs w:val="24"/>
    </w:rPr>
  </w:style>
  <w:style w:type="paragraph" w:styleId="BalonMetni">
    <w:name w:val="Balloon Text"/>
    <w:basedOn w:val="Normal"/>
    <w:link w:val="BalonMetniChar"/>
    <w:uiPriority w:val="99"/>
    <w:semiHidden/>
    <w:unhideWhenUsed/>
    <w:rsid w:val="0070607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607B"/>
    <w:rPr>
      <w:rFonts w:ascii="Tahoma" w:hAnsi="Tahoma" w:cs="Tahoma"/>
      <w:sz w:val="16"/>
      <w:szCs w:val="16"/>
    </w:rPr>
  </w:style>
  <w:style w:type="paragraph" w:styleId="Altbilgi">
    <w:name w:val="footer"/>
    <w:basedOn w:val="Normal"/>
    <w:link w:val="AltbilgiChar"/>
    <w:uiPriority w:val="99"/>
    <w:unhideWhenUsed/>
    <w:rsid w:val="00064FB4"/>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064FB4"/>
  </w:style>
  <w:style w:type="paragraph" w:styleId="HTMLncedenBiimlendirilmi">
    <w:name w:val="HTML Preformatted"/>
    <w:basedOn w:val="Normal"/>
    <w:link w:val="HTMLncedenBiimlendirilmiChar"/>
    <w:uiPriority w:val="99"/>
    <w:unhideWhenUsed/>
    <w:rsid w:val="00024B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024B3A"/>
    <w:rPr>
      <w:rFonts w:ascii="Courier New" w:eastAsia="Times New Roman" w:hAnsi="Courier New" w:cs="Courier New"/>
      <w:sz w:val="20"/>
      <w:szCs w:val="20"/>
      <w:lang w:eastAsia="tr-TR"/>
    </w:rPr>
  </w:style>
  <w:style w:type="character" w:customStyle="1" w:styleId="tw4winMark">
    <w:name w:val="tw4winMark"/>
    <w:rsid w:val="00624F26"/>
    <w:rPr>
      <w:rFonts w:ascii="Courier New" w:hAnsi="Courier New" w:cs="Courier New"/>
      <w:b w:val="0"/>
      <w:i w:val="0"/>
      <w:dstrike w:val="0"/>
      <w:noProof/>
      <w:vanish/>
      <w:color w:val="800080"/>
      <w:sz w:val="22"/>
      <w:szCs w:val="24"/>
      <w:effect w:val="none"/>
      <w:vertAlign w:val="subscript"/>
      <w:lang w:val="en-GB"/>
    </w:rPr>
  </w:style>
  <w:style w:type="character" w:customStyle="1" w:styleId="hps">
    <w:name w:val="hps"/>
    <w:basedOn w:val="VarsaylanParagrafYazTipi"/>
    <w:rsid w:val="00624F26"/>
  </w:style>
  <w:style w:type="character" w:customStyle="1" w:styleId="atn">
    <w:name w:val="atn"/>
    <w:basedOn w:val="VarsaylanParagrafYazTipi"/>
    <w:rsid w:val="00624F26"/>
  </w:style>
  <w:style w:type="paragraph" w:customStyle="1" w:styleId="title-doc-first">
    <w:name w:val="title-doc-first"/>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1">
    <w:name w:val="hd-toc-1"/>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2">
    <w:name w:val="hd-toc-2"/>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3">
    <w:name w:val="hd-toc-3"/>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40175A"/>
    <w:rPr>
      <w:color w:val="0000FF"/>
      <w:u w:val="single"/>
    </w:rPr>
  </w:style>
  <w:style w:type="paragraph" w:customStyle="1" w:styleId="title-fam-member-star">
    <w:name w:val="title-fam-member-star"/>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1">
    <w:name w:val="toc-1"/>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2">
    <w:name w:val="toc-2"/>
    <w:basedOn w:val="Normal"/>
    <w:rsid w:val="004017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174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VarsaylanParagrafYazTipi"/>
    <w:rsid w:val="002174E4"/>
  </w:style>
  <w:style w:type="table" w:styleId="TabloKlavuzu">
    <w:name w:val="Table Grid"/>
    <w:basedOn w:val="NormalTablo"/>
    <w:uiPriority w:val="59"/>
    <w:rsid w:val="00C323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C63BA7"/>
    <w:rPr>
      <w:sz w:val="16"/>
      <w:szCs w:val="16"/>
    </w:rPr>
  </w:style>
  <w:style w:type="paragraph" w:styleId="AklamaMetni">
    <w:name w:val="annotation text"/>
    <w:basedOn w:val="Normal"/>
    <w:link w:val="AklamaMetniChar"/>
    <w:uiPriority w:val="99"/>
    <w:semiHidden/>
    <w:unhideWhenUsed/>
    <w:rsid w:val="00C63BA7"/>
    <w:pPr>
      <w:spacing w:line="240" w:lineRule="auto"/>
    </w:pPr>
    <w:rPr>
      <w:rFonts w:eastAsiaTheme="minorHAnsi"/>
      <w:sz w:val="20"/>
      <w:szCs w:val="20"/>
      <w:lang w:eastAsia="en-US"/>
    </w:rPr>
  </w:style>
  <w:style w:type="character" w:customStyle="1" w:styleId="AklamaMetniChar">
    <w:name w:val="Açıklama Metni Char"/>
    <w:basedOn w:val="VarsaylanParagrafYazTipi"/>
    <w:link w:val="AklamaMetni"/>
    <w:uiPriority w:val="99"/>
    <w:semiHidden/>
    <w:rsid w:val="00C63BA7"/>
    <w:rPr>
      <w:rFonts w:eastAsiaTheme="minorHAnsi"/>
      <w:sz w:val="20"/>
      <w:szCs w:val="20"/>
      <w:lang w:eastAsia="en-US"/>
    </w:rPr>
  </w:style>
  <w:style w:type="character" w:customStyle="1" w:styleId="Balk1Char">
    <w:name w:val="Başlık 1 Char"/>
    <w:basedOn w:val="VarsaylanParagrafYazTipi"/>
    <w:link w:val="Balk1"/>
    <w:uiPriority w:val="9"/>
    <w:rsid w:val="00585A9D"/>
    <w:rPr>
      <w:rFonts w:ascii="Times New Roman" w:eastAsia="Times New Roman" w:hAnsi="Times New Roman" w:cs="Times New Roman"/>
      <w:b/>
      <w:sz w:val="20"/>
      <w:szCs w:val="20"/>
    </w:rPr>
  </w:style>
  <w:style w:type="paragraph" w:styleId="AklamaKonusu">
    <w:name w:val="annotation subject"/>
    <w:basedOn w:val="AklamaMetni"/>
    <w:next w:val="AklamaMetni"/>
    <w:link w:val="AklamaKonusuChar"/>
    <w:uiPriority w:val="99"/>
    <w:semiHidden/>
    <w:unhideWhenUsed/>
    <w:rsid w:val="00585A9D"/>
    <w:rPr>
      <w:b/>
      <w:bCs/>
    </w:rPr>
  </w:style>
  <w:style w:type="character" w:customStyle="1" w:styleId="AklamaKonusuChar">
    <w:name w:val="Açıklama Konusu Char"/>
    <w:basedOn w:val="AklamaMetniChar"/>
    <w:link w:val="AklamaKonusu"/>
    <w:uiPriority w:val="99"/>
    <w:semiHidden/>
    <w:rsid w:val="00585A9D"/>
    <w:rPr>
      <w:rFonts w:eastAsiaTheme="minorHAnsi"/>
      <w:b/>
      <w:bCs/>
      <w:sz w:val="20"/>
      <w:szCs w:val="20"/>
      <w:lang w:eastAsia="en-US"/>
    </w:rPr>
  </w:style>
  <w:style w:type="character" w:styleId="DipnotBavurusu">
    <w:name w:val="footnote reference"/>
    <w:basedOn w:val="VarsaylanParagrafYazTipi"/>
    <w:uiPriority w:val="99"/>
    <w:unhideWhenUsed/>
    <w:rsid w:val="00585A9D"/>
    <w:rPr>
      <w:vertAlign w:val="superscript"/>
    </w:rPr>
  </w:style>
  <w:style w:type="paragraph" w:customStyle="1" w:styleId="dlist-definition">
    <w:name w:val="dlist-definition"/>
    <w:basedOn w:val="Normal"/>
    <w:rsid w:val="00585A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VarsaylanParagrafYazTipi"/>
    <w:rsid w:val="00585A9D"/>
  </w:style>
  <w:style w:type="paragraph" w:customStyle="1" w:styleId="title-gr-seq-level-1">
    <w:name w:val="title-gr-seq-level-1"/>
    <w:basedOn w:val="Normal"/>
    <w:rsid w:val="00585A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585A9D"/>
  </w:style>
  <w:style w:type="character" w:customStyle="1" w:styleId="expanded">
    <w:name w:val="expanded"/>
    <w:basedOn w:val="VarsaylanParagrafYazTipi"/>
    <w:rsid w:val="00585A9D"/>
  </w:style>
  <w:style w:type="paragraph" w:customStyle="1" w:styleId="Liste1">
    <w:name w:val="Liste1"/>
    <w:basedOn w:val="Normal"/>
    <w:rsid w:val="00585A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VarsaylanParagrafYazTipi"/>
    <w:rsid w:val="00585A9D"/>
  </w:style>
  <w:style w:type="paragraph" w:customStyle="1" w:styleId="container-center">
    <w:name w:val="container-center"/>
    <w:basedOn w:val="Normal"/>
    <w:rsid w:val="00C531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pt">
    <w:name w:val="subscript"/>
    <w:basedOn w:val="VarsaylanParagrafYazTipi"/>
    <w:rsid w:val="00C53152"/>
  </w:style>
  <w:style w:type="paragraph" w:customStyle="1" w:styleId="title-gr-seq-level-3">
    <w:name w:val="title-gr-seq-level-3"/>
    <w:basedOn w:val="Normal"/>
    <w:rsid w:val="008A0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4">
    <w:name w:val="title-gr-seq-level-4"/>
    <w:basedOn w:val="Normal"/>
    <w:rsid w:val="000E29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derline">
    <w:name w:val="underline"/>
    <w:basedOn w:val="VarsaylanParagrafYazTipi"/>
    <w:rsid w:val="00F569C3"/>
  </w:style>
  <w:style w:type="paragraph" w:styleId="NormalWeb">
    <w:name w:val="Normal (Web)"/>
    <w:basedOn w:val="Normal"/>
    <w:uiPriority w:val="99"/>
    <w:unhideWhenUsed/>
    <w:rsid w:val="00F569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D57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column">
    <w:name w:val="hd-column"/>
    <w:basedOn w:val="Normal"/>
    <w:rsid w:val="00244F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rsid w:val="00041B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2">
    <w:name w:val="title-annex-2"/>
    <w:basedOn w:val="Normal"/>
    <w:rsid w:val="00041B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854A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2769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eParagraf1">
    <w:name w:val="Liste Paragraf1"/>
    <w:basedOn w:val="Normal"/>
    <w:rsid w:val="00304E48"/>
    <w:pPr>
      <w:ind w:left="720"/>
    </w:pPr>
    <w:rPr>
      <w:rFonts w:ascii="Calibri" w:eastAsia="Times New Roman" w:hAnsi="Calibri" w:cs="Calibri"/>
      <w:lang w:eastAsia="en-US"/>
    </w:rPr>
  </w:style>
  <w:style w:type="paragraph" w:styleId="AralkYok">
    <w:name w:val="No Spacing"/>
    <w:uiPriority w:val="1"/>
    <w:qFormat/>
    <w:rsid w:val="00584C50"/>
    <w:pPr>
      <w:spacing w:after="0" w:line="240" w:lineRule="auto"/>
    </w:pPr>
  </w:style>
  <w:style w:type="character" w:styleId="YerTutucuMetni">
    <w:name w:val="Placeholder Text"/>
    <w:basedOn w:val="VarsaylanParagrafYazTipi"/>
    <w:uiPriority w:val="99"/>
    <w:semiHidden/>
    <w:rsid w:val="004014B7"/>
    <w:rPr>
      <w:color w:val="808080"/>
    </w:rPr>
  </w:style>
  <w:style w:type="paragraph" w:styleId="ResimYazs">
    <w:name w:val="caption"/>
    <w:basedOn w:val="Normal"/>
    <w:next w:val="Normal"/>
    <w:uiPriority w:val="35"/>
    <w:unhideWhenUsed/>
    <w:qFormat/>
    <w:rsid w:val="00810D63"/>
    <w:pPr>
      <w:spacing w:line="240" w:lineRule="auto"/>
    </w:pPr>
    <w:rPr>
      <w:i/>
      <w:iCs/>
      <w:color w:val="1F497D" w:themeColor="text2"/>
      <w:sz w:val="18"/>
      <w:szCs w:val="18"/>
    </w:rPr>
  </w:style>
  <w:style w:type="character" w:customStyle="1" w:styleId="Balk2Char">
    <w:name w:val="Başlık 2 Char"/>
    <w:basedOn w:val="VarsaylanParagrafYazTipi"/>
    <w:link w:val="Balk2"/>
    <w:uiPriority w:val="9"/>
    <w:rsid w:val="00D6002D"/>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D6002D"/>
    <w:rPr>
      <w:rFonts w:asciiTheme="majorHAnsi" w:eastAsiaTheme="majorEastAsia" w:hAnsiTheme="majorHAnsi" w:cstheme="majorBidi"/>
      <w:color w:val="243F60" w:themeColor="accent1" w:themeShade="7F"/>
      <w:sz w:val="24"/>
      <w:szCs w:val="24"/>
    </w:rPr>
  </w:style>
  <w:style w:type="paragraph" w:styleId="Alnt">
    <w:name w:val="Quote"/>
    <w:basedOn w:val="Normal"/>
    <w:next w:val="Normal"/>
    <w:link w:val="AlntChar"/>
    <w:uiPriority w:val="29"/>
    <w:qFormat/>
    <w:rsid w:val="00D6002D"/>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D6002D"/>
    <w:rPr>
      <w:i/>
      <w:iCs/>
      <w:color w:val="404040" w:themeColor="text1" w:themeTint="BF"/>
    </w:rPr>
  </w:style>
  <w:style w:type="paragraph" w:styleId="Dzeltme">
    <w:name w:val="Revision"/>
    <w:hidden/>
    <w:uiPriority w:val="99"/>
    <w:semiHidden/>
    <w:rsid w:val="00C35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498">
      <w:bodyDiv w:val="1"/>
      <w:marLeft w:val="0"/>
      <w:marRight w:val="0"/>
      <w:marTop w:val="0"/>
      <w:marBottom w:val="0"/>
      <w:divBdr>
        <w:top w:val="none" w:sz="0" w:space="0" w:color="auto"/>
        <w:left w:val="none" w:sz="0" w:space="0" w:color="auto"/>
        <w:bottom w:val="none" w:sz="0" w:space="0" w:color="auto"/>
        <w:right w:val="none" w:sz="0" w:space="0" w:color="auto"/>
      </w:divBdr>
    </w:div>
    <w:div w:id="12613000">
      <w:bodyDiv w:val="1"/>
      <w:marLeft w:val="0"/>
      <w:marRight w:val="0"/>
      <w:marTop w:val="0"/>
      <w:marBottom w:val="0"/>
      <w:divBdr>
        <w:top w:val="none" w:sz="0" w:space="0" w:color="auto"/>
        <w:left w:val="none" w:sz="0" w:space="0" w:color="auto"/>
        <w:bottom w:val="none" w:sz="0" w:space="0" w:color="auto"/>
        <w:right w:val="none" w:sz="0" w:space="0" w:color="auto"/>
      </w:divBdr>
    </w:div>
    <w:div w:id="21057506">
      <w:bodyDiv w:val="1"/>
      <w:marLeft w:val="0"/>
      <w:marRight w:val="0"/>
      <w:marTop w:val="0"/>
      <w:marBottom w:val="0"/>
      <w:divBdr>
        <w:top w:val="none" w:sz="0" w:space="0" w:color="auto"/>
        <w:left w:val="none" w:sz="0" w:space="0" w:color="auto"/>
        <w:bottom w:val="none" w:sz="0" w:space="0" w:color="auto"/>
        <w:right w:val="none" w:sz="0" w:space="0" w:color="auto"/>
      </w:divBdr>
      <w:divsChild>
        <w:div w:id="621302044">
          <w:marLeft w:val="240"/>
          <w:marRight w:val="0"/>
          <w:marTop w:val="0"/>
          <w:marBottom w:val="0"/>
          <w:divBdr>
            <w:top w:val="none" w:sz="0" w:space="0" w:color="auto"/>
            <w:left w:val="none" w:sz="0" w:space="0" w:color="auto"/>
            <w:bottom w:val="none" w:sz="0" w:space="0" w:color="auto"/>
            <w:right w:val="none" w:sz="0" w:space="0" w:color="auto"/>
          </w:divBdr>
        </w:div>
        <w:div w:id="1337462465">
          <w:marLeft w:val="240"/>
          <w:marRight w:val="0"/>
          <w:marTop w:val="0"/>
          <w:marBottom w:val="0"/>
          <w:divBdr>
            <w:top w:val="none" w:sz="0" w:space="0" w:color="auto"/>
            <w:left w:val="none" w:sz="0" w:space="0" w:color="auto"/>
            <w:bottom w:val="none" w:sz="0" w:space="0" w:color="auto"/>
            <w:right w:val="none" w:sz="0" w:space="0" w:color="auto"/>
          </w:divBdr>
        </w:div>
        <w:div w:id="1471943442">
          <w:marLeft w:val="240"/>
          <w:marRight w:val="0"/>
          <w:marTop w:val="0"/>
          <w:marBottom w:val="0"/>
          <w:divBdr>
            <w:top w:val="none" w:sz="0" w:space="0" w:color="auto"/>
            <w:left w:val="none" w:sz="0" w:space="0" w:color="auto"/>
            <w:bottom w:val="none" w:sz="0" w:space="0" w:color="auto"/>
            <w:right w:val="none" w:sz="0" w:space="0" w:color="auto"/>
          </w:divBdr>
        </w:div>
      </w:divsChild>
    </w:div>
    <w:div w:id="23943416">
      <w:bodyDiv w:val="1"/>
      <w:marLeft w:val="0"/>
      <w:marRight w:val="0"/>
      <w:marTop w:val="0"/>
      <w:marBottom w:val="0"/>
      <w:divBdr>
        <w:top w:val="none" w:sz="0" w:space="0" w:color="auto"/>
        <w:left w:val="none" w:sz="0" w:space="0" w:color="auto"/>
        <w:bottom w:val="none" w:sz="0" w:space="0" w:color="auto"/>
        <w:right w:val="none" w:sz="0" w:space="0" w:color="auto"/>
      </w:divBdr>
    </w:div>
    <w:div w:id="24603689">
      <w:bodyDiv w:val="1"/>
      <w:marLeft w:val="0"/>
      <w:marRight w:val="0"/>
      <w:marTop w:val="0"/>
      <w:marBottom w:val="0"/>
      <w:divBdr>
        <w:top w:val="none" w:sz="0" w:space="0" w:color="auto"/>
        <w:left w:val="none" w:sz="0" w:space="0" w:color="auto"/>
        <w:bottom w:val="none" w:sz="0" w:space="0" w:color="auto"/>
        <w:right w:val="none" w:sz="0" w:space="0" w:color="auto"/>
      </w:divBdr>
    </w:div>
    <w:div w:id="25493983">
      <w:bodyDiv w:val="1"/>
      <w:marLeft w:val="0"/>
      <w:marRight w:val="0"/>
      <w:marTop w:val="0"/>
      <w:marBottom w:val="0"/>
      <w:divBdr>
        <w:top w:val="none" w:sz="0" w:space="0" w:color="auto"/>
        <w:left w:val="none" w:sz="0" w:space="0" w:color="auto"/>
        <w:bottom w:val="none" w:sz="0" w:space="0" w:color="auto"/>
        <w:right w:val="none" w:sz="0" w:space="0" w:color="auto"/>
      </w:divBdr>
    </w:div>
    <w:div w:id="25756142">
      <w:bodyDiv w:val="1"/>
      <w:marLeft w:val="0"/>
      <w:marRight w:val="0"/>
      <w:marTop w:val="0"/>
      <w:marBottom w:val="0"/>
      <w:divBdr>
        <w:top w:val="none" w:sz="0" w:space="0" w:color="auto"/>
        <w:left w:val="none" w:sz="0" w:space="0" w:color="auto"/>
        <w:bottom w:val="none" w:sz="0" w:space="0" w:color="auto"/>
        <w:right w:val="none" w:sz="0" w:space="0" w:color="auto"/>
      </w:divBdr>
    </w:div>
    <w:div w:id="27880334">
      <w:bodyDiv w:val="1"/>
      <w:marLeft w:val="0"/>
      <w:marRight w:val="0"/>
      <w:marTop w:val="0"/>
      <w:marBottom w:val="0"/>
      <w:divBdr>
        <w:top w:val="none" w:sz="0" w:space="0" w:color="auto"/>
        <w:left w:val="none" w:sz="0" w:space="0" w:color="auto"/>
        <w:bottom w:val="none" w:sz="0" w:space="0" w:color="auto"/>
        <w:right w:val="none" w:sz="0" w:space="0" w:color="auto"/>
      </w:divBdr>
    </w:div>
    <w:div w:id="37439210">
      <w:bodyDiv w:val="1"/>
      <w:marLeft w:val="0"/>
      <w:marRight w:val="0"/>
      <w:marTop w:val="0"/>
      <w:marBottom w:val="0"/>
      <w:divBdr>
        <w:top w:val="none" w:sz="0" w:space="0" w:color="auto"/>
        <w:left w:val="none" w:sz="0" w:space="0" w:color="auto"/>
        <w:bottom w:val="none" w:sz="0" w:space="0" w:color="auto"/>
        <w:right w:val="none" w:sz="0" w:space="0" w:color="auto"/>
      </w:divBdr>
    </w:div>
    <w:div w:id="37973106">
      <w:bodyDiv w:val="1"/>
      <w:marLeft w:val="0"/>
      <w:marRight w:val="0"/>
      <w:marTop w:val="0"/>
      <w:marBottom w:val="0"/>
      <w:divBdr>
        <w:top w:val="none" w:sz="0" w:space="0" w:color="auto"/>
        <w:left w:val="none" w:sz="0" w:space="0" w:color="auto"/>
        <w:bottom w:val="none" w:sz="0" w:space="0" w:color="auto"/>
        <w:right w:val="none" w:sz="0" w:space="0" w:color="auto"/>
      </w:divBdr>
    </w:div>
    <w:div w:id="42141488">
      <w:bodyDiv w:val="1"/>
      <w:marLeft w:val="0"/>
      <w:marRight w:val="0"/>
      <w:marTop w:val="0"/>
      <w:marBottom w:val="0"/>
      <w:divBdr>
        <w:top w:val="none" w:sz="0" w:space="0" w:color="auto"/>
        <w:left w:val="none" w:sz="0" w:space="0" w:color="auto"/>
        <w:bottom w:val="none" w:sz="0" w:space="0" w:color="auto"/>
        <w:right w:val="none" w:sz="0" w:space="0" w:color="auto"/>
      </w:divBdr>
    </w:div>
    <w:div w:id="42482172">
      <w:bodyDiv w:val="1"/>
      <w:marLeft w:val="0"/>
      <w:marRight w:val="0"/>
      <w:marTop w:val="0"/>
      <w:marBottom w:val="0"/>
      <w:divBdr>
        <w:top w:val="none" w:sz="0" w:space="0" w:color="auto"/>
        <w:left w:val="none" w:sz="0" w:space="0" w:color="auto"/>
        <w:bottom w:val="none" w:sz="0" w:space="0" w:color="auto"/>
        <w:right w:val="none" w:sz="0" w:space="0" w:color="auto"/>
      </w:divBdr>
      <w:divsChild>
        <w:div w:id="119806435">
          <w:marLeft w:val="720"/>
          <w:marRight w:val="0"/>
          <w:marTop w:val="0"/>
          <w:marBottom w:val="0"/>
          <w:divBdr>
            <w:top w:val="none" w:sz="0" w:space="0" w:color="auto"/>
            <w:left w:val="none" w:sz="0" w:space="0" w:color="auto"/>
            <w:bottom w:val="none" w:sz="0" w:space="0" w:color="auto"/>
            <w:right w:val="none" w:sz="0" w:space="0" w:color="auto"/>
          </w:divBdr>
        </w:div>
        <w:div w:id="720985282">
          <w:marLeft w:val="720"/>
          <w:marRight w:val="0"/>
          <w:marTop w:val="0"/>
          <w:marBottom w:val="0"/>
          <w:divBdr>
            <w:top w:val="none" w:sz="0" w:space="0" w:color="auto"/>
            <w:left w:val="none" w:sz="0" w:space="0" w:color="auto"/>
            <w:bottom w:val="none" w:sz="0" w:space="0" w:color="auto"/>
            <w:right w:val="none" w:sz="0" w:space="0" w:color="auto"/>
          </w:divBdr>
        </w:div>
        <w:div w:id="890724595">
          <w:marLeft w:val="720"/>
          <w:marRight w:val="0"/>
          <w:marTop w:val="0"/>
          <w:marBottom w:val="0"/>
          <w:divBdr>
            <w:top w:val="none" w:sz="0" w:space="0" w:color="auto"/>
            <w:left w:val="none" w:sz="0" w:space="0" w:color="auto"/>
            <w:bottom w:val="none" w:sz="0" w:space="0" w:color="auto"/>
            <w:right w:val="none" w:sz="0" w:space="0" w:color="auto"/>
          </w:divBdr>
        </w:div>
        <w:div w:id="1767267782">
          <w:marLeft w:val="720"/>
          <w:marRight w:val="0"/>
          <w:marTop w:val="0"/>
          <w:marBottom w:val="0"/>
          <w:divBdr>
            <w:top w:val="none" w:sz="0" w:space="0" w:color="auto"/>
            <w:left w:val="none" w:sz="0" w:space="0" w:color="auto"/>
            <w:bottom w:val="none" w:sz="0" w:space="0" w:color="auto"/>
            <w:right w:val="none" w:sz="0" w:space="0" w:color="auto"/>
          </w:divBdr>
        </w:div>
        <w:div w:id="2041398704">
          <w:marLeft w:val="720"/>
          <w:marRight w:val="0"/>
          <w:marTop w:val="0"/>
          <w:marBottom w:val="0"/>
          <w:divBdr>
            <w:top w:val="none" w:sz="0" w:space="0" w:color="auto"/>
            <w:left w:val="none" w:sz="0" w:space="0" w:color="auto"/>
            <w:bottom w:val="none" w:sz="0" w:space="0" w:color="auto"/>
            <w:right w:val="none" w:sz="0" w:space="0" w:color="auto"/>
          </w:divBdr>
        </w:div>
      </w:divsChild>
    </w:div>
    <w:div w:id="48773293">
      <w:bodyDiv w:val="1"/>
      <w:marLeft w:val="0"/>
      <w:marRight w:val="0"/>
      <w:marTop w:val="0"/>
      <w:marBottom w:val="0"/>
      <w:divBdr>
        <w:top w:val="none" w:sz="0" w:space="0" w:color="auto"/>
        <w:left w:val="none" w:sz="0" w:space="0" w:color="auto"/>
        <w:bottom w:val="none" w:sz="0" w:space="0" w:color="auto"/>
        <w:right w:val="none" w:sz="0" w:space="0" w:color="auto"/>
      </w:divBdr>
    </w:div>
    <w:div w:id="58988994">
      <w:bodyDiv w:val="1"/>
      <w:marLeft w:val="0"/>
      <w:marRight w:val="0"/>
      <w:marTop w:val="0"/>
      <w:marBottom w:val="0"/>
      <w:divBdr>
        <w:top w:val="none" w:sz="0" w:space="0" w:color="auto"/>
        <w:left w:val="none" w:sz="0" w:space="0" w:color="auto"/>
        <w:bottom w:val="none" w:sz="0" w:space="0" w:color="auto"/>
        <w:right w:val="none" w:sz="0" w:space="0" w:color="auto"/>
      </w:divBdr>
      <w:divsChild>
        <w:div w:id="623074289">
          <w:marLeft w:val="240"/>
          <w:marRight w:val="0"/>
          <w:marTop w:val="0"/>
          <w:marBottom w:val="0"/>
          <w:divBdr>
            <w:top w:val="none" w:sz="0" w:space="0" w:color="auto"/>
            <w:left w:val="none" w:sz="0" w:space="0" w:color="auto"/>
            <w:bottom w:val="none" w:sz="0" w:space="0" w:color="auto"/>
            <w:right w:val="none" w:sz="0" w:space="0" w:color="auto"/>
          </w:divBdr>
        </w:div>
        <w:div w:id="929313062">
          <w:marLeft w:val="240"/>
          <w:marRight w:val="0"/>
          <w:marTop w:val="0"/>
          <w:marBottom w:val="0"/>
          <w:divBdr>
            <w:top w:val="none" w:sz="0" w:space="0" w:color="auto"/>
            <w:left w:val="none" w:sz="0" w:space="0" w:color="auto"/>
            <w:bottom w:val="none" w:sz="0" w:space="0" w:color="auto"/>
            <w:right w:val="none" w:sz="0" w:space="0" w:color="auto"/>
          </w:divBdr>
        </w:div>
        <w:div w:id="1553880245">
          <w:marLeft w:val="240"/>
          <w:marRight w:val="0"/>
          <w:marTop w:val="0"/>
          <w:marBottom w:val="0"/>
          <w:divBdr>
            <w:top w:val="none" w:sz="0" w:space="0" w:color="auto"/>
            <w:left w:val="none" w:sz="0" w:space="0" w:color="auto"/>
            <w:bottom w:val="none" w:sz="0" w:space="0" w:color="auto"/>
            <w:right w:val="none" w:sz="0" w:space="0" w:color="auto"/>
          </w:divBdr>
        </w:div>
        <w:div w:id="2098405439">
          <w:marLeft w:val="240"/>
          <w:marRight w:val="0"/>
          <w:marTop w:val="0"/>
          <w:marBottom w:val="0"/>
          <w:divBdr>
            <w:top w:val="none" w:sz="0" w:space="0" w:color="auto"/>
            <w:left w:val="none" w:sz="0" w:space="0" w:color="auto"/>
            <w:bottom w:val="none" w:sz="0" w:space="0" w:color="auto"/>
            <w:right w:val="none" w:sz="0" w:space="0" w:color="auto"/>
          </w:divBdr>
        </w:div>
      </w:divsChild>
    </w:div>
    <w:div w:id="59602141">
      <w:bodyDiv w:val="1"/>
      <w:marLeft w:val="0"/>
      <w:marRight w:val="0"/>
      <w:marTop w:val="0"/>
      <w:marBottom w:val="0"/>
      <w:divBdr>
        <w:top w:val="none" w:sz="0" w:space="0" w:color="auto"/>
        <w:left w:val="none" w:sz="0" w:space="0" w:color="auto"/>
        <w:bottom w:val="none" w:sz="0" w:space="0" w:color="auto"/>
        <w:right w:val="none" w:sz="0" w:space="0" w:color="auto"/>
      </w:divBdr>
    </w:div>
    <w:div w:id="61563554">
      <w:bodyDiv w:val="1"/>
      <w:marLeft w:val="0"/>
      <w:marRight w:val="0"/>
      <w:marTop w:val="0"/>
      <w:marBottom w:val="0"/>
      <w:divBdr>
        <w:top w:val="none" w:sz="0" w:space="0" w:color="auto"/>
        <w:left w:val="none" w:sz="0" w:space="0" w:color="auto"/>
        <w:bottom w:val="none" w:sz="0" w:space="0" w:color="auto"/>
        <w:right w:val="none" w:sz="0" w:space="0" w:color="auto"/>
      </w:divBdr>
    </w:div>
    <w:div w:id="66657010">
      <w:bodyDiv w:val="1"/>
      <w:marLeft w:val="0"/>
      <w:marRight w:val="0"/>
      <w:marTop w:val="0"/>
      <w:marBottom w:val="0"/>
      <w:divBdr>
        <w:top w:val="none" w:sz="0" w:space="0" w:color="auto"/>
        <w:left w:val="none" w:sz="0" w:space="0" w:color="auto"/>
        <w:bottom w:val="none" w:sz="0" w:space="0" w:color="auto"/>
        <w:right w:val="none" w:sz="0" w:space="0" w:color="auto"/>
      </w:divBdr>
    </w:div>
    <w:div w:id="67583858">
      <w:bodyDiv w:val="1"/>
      <w:marLeft w:val="0"/>
      <w:marRight w:val="0"/>
      <w:marTop w:val="0"/>
      <w:marBottom w:val="0"/>
      <w:divBdr>
        <w:top w:val="none" w:sz="0" w:space="0" w:color="auto"/>
        <w:left w:val="none" w:sz="0" w:space="0" w:color="auto"/>
        <w:bottom w:val="none" w:sz="0" w:space="0" w:color="auto"/>
        <w:right w:val="none" w:sz="0" w:space="0" w:color="auto"/>
      </w:divBdr>
    </w:div>
    <w:div w:id="77751629">
      <w:bodyDiv w:val="1"/>
      <w:marLeft w:val="0"/>
      <w:marRight w:val="0"/>
      <w:marTop w:val="0"/>
      <w:marBottom w:val="0"/>
      <w:divBdr>
        <w:top w:val="none" w:sz="0" w:space="0" w:color="auto"/>
        <w:left w:val="none" w:sz="0" w:space="0" w:color="auto"/>
        <w:bottom w:val="none" w:sz="0" w:space="0" w:color="auto"/>
        <w:right w:val="none" w:sz="0" w:space="0" w:color="auto"/>
      </w:divBdr>
    </w:div>
    <w:div w:id="88157115">
      <w:bodyDiv w:val="1"/>
      <w:marLeft w:val="0"/>
      <w:marRight w:val="0"/>
      <w:marTop w:val="0"/>
      <w:marBottom w:val="0"/>
      <w:divBdr>
        <w:top w:val="none" w:sz="0" w:space="0" w:color="auto"/>
        <w:left w:val="none" w:sz="0" w:space="0" w:color="auto"/>
        <w:bottom w:val="none" w:sz="0" w:space="0" w:color="auto"/>
        <w:right w:val="none" w:sz="0" w:space="0" w:color="auto"/>
      </w:divBdr>
    </w:div>
    <w:div w:id="91973685">
      <w:bodyDiv w:val="1"/>
      <w:marLeft w:val="0"/>
      <w:marRight w:val="0"/>
      <w:marTop w:val="0"/>
      <w:marBottom w:val="0"/>
      <w:divBdr>
        <w:top w:val="none" w:sz="0" w:space="0" w:color="auto"/>
        <w:left w:val="none" w:sz="0" w:space="0" w:color="auto"/>
        <w:bottom w:val="none" w:sz="0" w:space="0" w:color="auto"/>
        <w:right w:val="none" w:sz="0" w:space="0" w:color="auto"/>
      </w:divBdr>
    </w:div>
    <w:div w:id="92746118">
      <w:bodyDiv w:val="1"/>
      <w:marLeft w:val="0"/>
      <w:marRight w:val="0"/>
      <w:marTop w:val="0"/>
      <w:marBottom w:val="0"/>
      <w:divBdr>
        <w:top w:val="none" w:sz="0" w:space="0" w:color="auto"/>
        <w:left w:val="none" w:sz="0" w:space="0" w:color="auto"/>
        <w:bottom w:val="none" w:sz="0" w:space="0" w:color="auto"/>
        <w:right w:val="none" w:sz="0" w:space="0" w:color="auto"/>
      </w:divBdr>
    </w:div>
    <w:div w:id="94516413">
      <w:bodyDiv w:val="1"/>
      <w:marLeft w:val="0"/>
      <w:marRight w:val="0"/>
      <w:marTop w:val="0"/>
      <w:marBottom w:val="0"/>
      <w:divBdr>
        <w:top w:val="none" w:sz="0" w:space="0" w:color="auto"/>
        <w:left w:val="none" w:sz="0" w:space="0" w:color="auto"/>
        <w:bottom w:val="none" w:sz="0" w:space="0" w:color="auto"/>
        <w:right w:val="none" w:sz="0" w:space="0" w:color="auto"/>
      </w:divBdr>
    </w:div>
    <w:div w:id="96290889">
      <w:bodyDiv w:val="1"/>
      <w:marLeft w:val="0"/>
      <w:marRight w:val="0"/>
      <w:marTop w:val="0"/>
      <w:marBottom w:val="0"/>
      <w:divBdr>
        <w:top w:val="none" w:sz="0" w:space="0" w:color="auto"/>
        <w:left w:val="none" w:sz="0" w:space="0" w:color="auto"/>
        <w:bottom w:val="none" w:sz="0" w:space="0" w:color="auto"/>
        <w:right w:val="none" w:sz="0" w:space="0" w:color="auto"/>
      </w:divBdr>
    </w:div>
    <w:div w:id="96803168">
      <w:bodyDiv w:val="1"/>
      <w:marLeft w:val="0"/>
      <w:marRight w:val="0"/>
      <w:marTop w:val="0"/>
      <w:marBottom w:val="0"/>
      <w:divBdr>
        <w:top w:val="none" w:sz="0" w:space="0" w:color="auto"/>
        <w:left w:val="none" w:sz="0" w:space="0" w:color="auto"/>
        <w:bottom w:val="none" w:sz="0" w:space="0" w:color="auto"/>
        <w:right w:val="none" w:sz="0" w:space="0" w:color="auto"/>
      </w:divBdr>
    </w:div>
    <w:div w:id="96827734">
      <w:bodyDiv w:val="1"/>
      <w:marLeft w:val="0"/>
      <w:marRight w:val="0"/>
      <w:marTop w:val="0"/>
      <w:marBottom w:val="0"/>
      <w:divBdr>
        <w:top w:val="none" w:sz="0" w:space="0" w:color="auto"/>
        <w:left w:val="none" w:sz="0" w:space="0" w:color="auto"/>
        <w:bottom w:val="none" w:sz="0" w:space="0" w:color="auto"/>
        <w:right w:val="none" w:sz="0" w:space="0" w:color="auto"/>
      </w:divBdr>
    </w:div>
    <w:div w:id="107746622">
      <w:bodyDiv w:val="1"/>
      <w:marLeft w:val="0"/>
      <w:marRight w:val="0"/>
      <w:marTop w:val="0"/>
      <w:marBottom w:val="0"/>
      <w:divBdr>
        <w:top w:val="none" w:sz="0" w:space="0" w:color="auto"/>
        <w:left w:val="none" w:sz="0" w:space="0" w:color="auto"/>
        <w:bottom w:val="none" w:sz="0" w:space="0" w:color="auto"/>
        <w:right w:val="none" w:sz="0" w:space="0" w:color="auto"/>
      </w:divBdr>
    </w:div>
    <w:div w:id="113183117">
      <w:bodyDiv w:val="1"/>
      <w:marLeft w:val="0"/>
      <w:marRight w:val="0"/>
      <w:marTop w:val="0"/>
      <w:marBottom w:val="0"/>
      <w:divBdr>
        <w:top w:val="none" w:sz="0" w:space="0" w:color="auto"/>
        <w:left w:val="none" w:sz="0" w:space="0" w:color="auto"/>
        <w:bottom w:val="none" w:sz="0" w:space="0" w:color="auto"/>
        <w:right w:val="none" w:sz="0" w:space="0" w:color="auto"/>
      </w:divBdr>
    </w:div>
    <w:div w:id="116140492">
      <w:bodyDiv w:val="1"/>
      <w:marLeft w:val="0"/>
      <w:marRight w:val="0"/>
      <w:marTop w:val="0"/>
      <w:marBottom w:val="0"/>
      <w:divBdr>
        <w:top w:val="none" w:sz="0" w:space="0" w:color="auto"/>
        <w:left w:val="none" w:sz="0" w:space="0" w:color="auto"/>
        <w:bottom w:val="none" w:sz="0" w:space="0" w:color="auto"/>
        <w:right w:val="none" w:sz="0" w:space="0" w:color="auto"/>
      </w:divBdr>
    </w:div>
    <w:div w:id="119811795">
      <w:bodyDiv w:val="1"/>
      <w:marLeft w:val="0"/>
      <w:marRight w:val="0"/>
      <w:marTop w:val="0"/>
      <w:marBottom w:val="0"/>
      <w:divBdr>
        <w:top w:val="none" w:sz="0" w:space="0" w:color="auto"/>
        <w:left w:val="none" w:sz="0" w:space="0" w:color="auto"/>
        <w:bottom w:val="none" w:sz="0" w:space="0" w:color="auto"/>
        <w:right w:val="none" w:sz="0" w:space="0" w:color="auto"/>
      </w:divBdr>
    </w:div>
    <w:div w:id="129441668">
      <w:bodyDiv w:val="1"/>
      <w:marLeft w:val="0"/>
      <w:marRight w:val="0"/>
      <w:marTop w:val="0"/>
      <w:marBottom w:val="0"/>
      <w:divBdr>
        <w:top w:val="none" w:sz="0" w:space="0" w:color="auto"/>
        <w:left w:val="none" w:sz="0" w:space="0" w:color="auto"/>
        <w:bottom w:val="none" w:sz="0" w:space="0" w:color="auto"/>
        <w:right w:val="none" w:sz="0" w:space="0" w:color="auto"/>
      </w:divBdr>
    </w:div>
    <w:div w:id="135728661">
      <w:bodyDiv w:val="1"/>
      <w:marLeft w:val="0"/>
      <w:marRight w:val="0"/>
      <w:marTop w:val="0"/>
      <w:marBottom w:val="0"/>
      <w:divBdr>
        <w:top w:val="none" w:sz="0" w:space="0" w:color="auto"/>
        <w:left w:val="none" w:sz="0" w:space="0" w:color="auto"/>
        <w:bottom w:val="none" w:sz="0" w:space="0" w:color="auto"/>
        <w:right w:val="none" w:sz="0" w:space="0" w:color="auto"/>
      </w:divBdr>
    </w:div>
    <w:div w:id="140006404">
      <w:bodyDiv w:val="1"/>
      <w:marLeft w:val="0"/>
      <w:marRight w:val="0"/>
      <w:marTop w:val="0"/>
      <w:marBottom w:val="0"/>
      <w:divBdr>
        <w:top w:val="none" w:sz="0" w:space="0" w:color="auto"/>
        <w:left w:val="none" w:sz="0" w:space="0" w:color="auto"/>
        <w:bottom w:val="none" w:sz="0" w:space="0" w:color="auto"/>
        <w:right w:val="none" w:sz="0" w:space="0" w:color="auto"/>
      </w:divBdr>
      <w:divsChild>
        <w:div w:id="1788150">
          <w:marLeft w:val="1080"/>
          <w:marRight w:val="0"/>
          <w:marTop w:val="0"/>
          <w:marBottom w:val="0"/>
          <w:divBdr>
            <w:top w:val="none" w:sz="0" w:space="0" w:color="auto"/>
            <w:left w:val="none" w:sz="0" w:space="0" w:color="auto"/>
            <w:bottom w:val="none" w:sz="0" w:space="0" w:color="auto"/>
            <w:right w:val="none" w:sz="0" w:space="0" w:color="auto"/>
          </w:divBdr>
        </w:div>
        <w:div w:id="23944627">
          <w:marLeft w:val="1080"/>
          <w:marRight w:val="0"/>
          <w:marTop w:val="0"/>
          <w:marBottom w:val="0"/>
          <w:divBdr>
            <w:top w:val="none" w:sz="0" w:space="0" w:color="auto"/>
            <w:left w:val="none" w:sz="0" w:space="0" w:color="auto"/>
            <w:bottom w:val="none" w:sz="0" w:space="0" w:color="auto"/>
            <w:right w:val="none" w:sz="0" w:space="0" w:color="auto"/>
          </w:divBdr>
          <w:divsChild>
            <w:div w:id="93795168">
              <w:marLeft w:val="240"/>
              <w:marRight w:val="0"/>
              <w:marTop w:val="0"/>
              <w:marBottom w:val="0"/>
              <w:divBdr>
                <w:top w:val="none" w:sz="0" w:space="0" w:color="auto"/>
                <w:left w:val="none" w:sz="0" w:space="0" w:color="auto"/>
                <w:bottom w:val="none" w:sz="0" w:space="0" w:color="auto"/>
                <w:right w:val="none" w:sz="0" w:space="0" w:color="auto"/>
              </w:divBdr>
            </w:div>
          </w:divsChild>
        </w:div>
        <w:div w:id="79185387">
          <w:marLeft w:val="1080"/>
          <w:marRight w:val="0"/>
          <w:marTop w:val="0"/>
          <w:marBottom w:val="0"/>
          <w:divBdr>
            <w:top w:val="none" w:sz="0" w:space="0" w:color="auto"/>
            <w:left w:val="none" w:sz="0" w:space="0" w:color="auto"/>
            <w:bottom w:val="none" w:sz="0" w:space="0" w:color="auto"/>
            <w:right w:val="none" w:sz="0" w:space="0" w:color="auto"/>
          </w:divBdr>
          <w:divsChild>
            <w:div w:id="14892980">
              <w:marLeft w:val="240"/>
              <w:marRight w:val="0"/>
              <w:marTop w:val="0"/>
              <w:marBottom w:val="0"/>
              <w:divBdr>
                <w:top w:val="none" w:sz="0" w:space="0" w:color="auto"/>
                <w:left w:val="none" w:sz="0" w:space="0" w:color="auto"/>
                <w:bottom w:val="none" w:sz="0" w:space="0" w:color="auto"/>
                <w:right w:val="none" w:sz="0" w:space="0" w:color="auto"/>
              </w:divBdr>
            </w:div>
          </w:divsChild>
        </w:div>
        <w:div w:id="115563873">
          <w:marLeft w:val="1080"/>
          <w:marRight w:val="0"/>
          <w:marTop w:val="0"/>
          <w:marBottom w:val="0"/>
          <w:divBdr>
            <w:top w:val="none" w:sz="0" w:space="0" w:color="auto"/>
            <w:left w:val="none" w:sz="0" w:space="0" w:color="auto"/>
            <w:bottom w:val="none" w:sz="0" w:space="0" w:color="auto"/>
            <w:right w:val="none" w:sz="0" w:space="0" w:color="auto"/>
          </w:divBdr>
        </w:div>
        <w:div w:id="127556085">
          <w:marLeft w:val="1080"/>
          <w:marRight w:val="0"/>
          <w:marTop w:val="0"/>
          <w:marBottom w:val="0"/>
          <w:divBdr>
            <w:top w:val="none" w:sz="0" w:space="0" w:color="auto"/>
            <w:left w:val="none" w:sz="0" w:space="0" w:color="auto"/>
            <w:bottom w:val="none" w:sz="0" w:space="0" w:color="auto"/>
            <w:right w:val="none" w:sz="0" w:space="0" w:color="auto"/>
          </w:divBdr>
          <w:divsChild>
            <w:div w:id="1027684026">
              <w:marLeft w:val="240"/>
              <w:marRight w:val="0"/>
              <w:marTop w:val="0"/>
              <w:marBottom w:val="0"/>
              <w:divBdr>
                <w:top w:val="none" w:sz="0" w:space="0" w:color="auto"/>
                <w:left w:val="none" w:sz="0" w:space="0" w:color="auto"/>
                <w:bottom w:val="none" w:sz="0" w:space="0" w:color="auto"/>
                <w:right w:val="none" w:sz="0" w:space="0" w:color="auto"/>
              </w:divBdr>
            </w:div>
          </w:divsChild>
        </w:div>
        <w:div w:id="146439954">
          <w:marLeft w:val="1080"/>
          <w:marRight w:val="0"/>
          <w:marTop w:val="0"/>
          <w:marBottom w:val="0"/>
          <w:divBdr>
            <w:top w:val="none" w:sz="0" w:space="0" w:color="auto"/>
            <w:left w:val="none" w:sz="0" w:space="0" w:color="auto"/>
            <w:bottom w:val="none" w:sz="0" w:space="0" w:color="auto"/>
            <w:right w:val="none" w:sz="0" w:space="0" w:color="auto"/>
          </w:divBdr>
        </w:div>
        <w:div w:id="208491553">
          <w:marLeft w:val="1080"/>
          <w:marRight w:val="0"/>
          <w:marTop w:val="0"/>
          <w:marBottom w:val="0"/>
          <w:divBdr>
            <w:top w:val="none" w:sz="0" w:space="0" w:color="auto"/>
            <w:left w:val="none" w:sz="0" w:space="0" w:color="auto"/>
            <w:bottom w:val="none" w:sz="0" w:space="0" w:color="auto"/>
            <w:right w:val="none" w:sz="0" w:space="0" w:color="auto"/>
          </w:divBdr>
        </w:div>
        <w:div w:id="316766767">
          <w:marLeft w:val="1080"/>
          <w:marRight w:val="0"/>
          <w:marTop w:val="0"/>
          <w:marBottom w:val="0"/>
          <w:divBdr>
            <w:top w:val="none" w:sz="0" w:space="0" w:color="auto"/>
            <w:left w:val="none" w:sz="0" w:space="0" w:color="auto"/>
            <w:bottom w:val="none" w:sz="0" w:space="0" w:color="auto"/>
            <w:right w:val="none" w:sz="0" w:space="0" w:color="auto"/>
          </w:divBdr>
        </w:div>
        <w:div w:id="550000446">
          <w:marLeft w:val="1080"/>
          <w:marRight w:val="0"/>
          <w:marTop w:val="0"/>
          <w:marBottom w:val="0"/>
          <w:divBdr>
            <w:top w:val="none" w:sz="0" w:space="0" w:color="auto"/>
            <w:left w:val="none" w:sz="0" w:space="0" w:color="auto"/>
            <w:bottom w:val="none" w:sz="0" w:space="0" w:color="auto"/>
            <w:right w:val="none" w:sz="0" w:space="0" w:color="auto"/>
          </w:divBdr>
        </w:div>
        <w:div w:id="701633827">
          <w:marLeft w:val="1080"/>
          <w:marRight w:val="0"/>
          <w:marTop w:val="0"/>
          <w:marBottom w:val="0"/>
          <w:divBdr>
            <w:top w:val="none" w:sz="0" w:space="0" w:color="auto"/>
            <w:left w:val="none" w:sz="0" w:space="0" w:color="auto"/>
            <w:bottom w:val="none" w:sz="0" w:space="0" w:color="auto"/>
            <w:right w:val="none" w:sz="0" w:space="0" w:color="auto"/>
          </w:divBdr>
        </w:div>
        <w:div w:id="954362841">
          <w:marLeft w:val="720"/>
          <w:marRight w:val="0"/>
          <w:marTop w:val="0"/>
          <w:marBottom w:val="0"/>
          <w:divBdr>
            <w:top w:val="none" w:sz="0" w:space="0" w:color="auto"/>
            <w:left w:val="none" w:sz="0" w:space="0" w:color="auto"/>
            <w:bottom w:val="none" w:sz="0" w:space="0" w:color="auto"/>
            <w:right w:val="none" w:sz="0" w:space="0" w:color="auto"/>
          </w:divBdr>
        </w:div>
        <w:div w:id="1089737757">
          <w:marLeft w:val="1080"/>
          <w:marRight w:val="0"/>
          <w:marTop w:val="0"/>
          <w:marBottom w:val="0"/>
          <w:divBdr>
            <w:top w:val="none" w:sz="0" w:space="0" w:color="auto"/>
            <w:left w:val="none" w:sz="0" w:space="0" w:color="auto"/>
            <w:bottom w:val="none" w:sz="0" w:space="0" w:color="auto"/>
            <w:right w:val="none" w:sz="0" w:space="0" w:color="auto"/>
          </w:divBdr>
        </w:div>
        <w:div w:id="1429153965">
          <w:marLeft w:val="1080"/>
          <w:marRight w:val="0"/>
          <w:marTop w:val="0"/>
          <w:marBottom w:val="0"/>
          <w:divBdr>
            <w:top w:val="none" w:sz="0" w:space="0" w:color="auto"/>
            <w:left w:val="none" w:sz="0" w:space="0" w:color="auto"/>
            <w:bottom w:val="none" w:sz="0" w:space="0" w:color="auto"/>
            <w:right w:val="none" w:sz="0" w:space="0" w:color="auto"/>
          </w:divBdr>
        </w:div>
        <w:div w:id="1539781855">
          <w:marLeft w:val="1080"/>
          <w:marRight w:val="0"/>
          <w:marTop w:val="0"/>
          <w:marBottom w:val="0"/>
          <w:divBdr>
            <w:top w:val="none" w:sz="0" w:space="0" w:color="auto"/>
            <w:left w:val="none" w:sz="0" w:space="0" w:color="auto"/>
            <w:bottom w:val="none" w:sz="0" w:space="0" w:color="auto"/>
            <w:right w:val="none" w:sz="0" w:space="0" w:color="auto"/>
          </w:divBdr>
        </w:div>
        <w:div w:id="1825656445">
          <w:marLeft w:val="720"/>
          <w:marRight w:val="0"/>
          <w:marTop w:val="0"/>
          <w:marBottom w:val="0"/>
          <w:divBdr>
            <w:top w:val="none" w:sz="0" w:space="0" w:color="auto"/>
            <w:left w:val="none" w:sz="0" w:space="0" w:color="auto"/>
            <w:bottom w:val="none" w:sz="0" w:space="0" w:color="auto"/>
            <w:right w:val="none" w:sz="0" w:space="0" w:color="auto"/>
          </w:divBdr>
        </w:div>
        <w:div w:id="1921405558">
          <w:marLeft w:val="1080"/>
          <w:marRight w:val="0"/>
          <w:marTop w:val="0"/>
          <w:marBottom w:val="0"/>
          <w:divBdr>
            <w:top w:val="none" w:sz="0" w:space="0" w:color="auto"/>
            <w:left w:val="none" w:sz="0" w:space="0" w:color="auto"/>
            <w:bottom w:val="none" w:sz="0" w:space="0" w:color="auto"/>
            <w:right w:val="none" w:sz="0" w:space="0" w:color="auto"/>
          </w:divBdr>
        </w:div>
        <w:div w:id="2005161889">
          <w:marLeft w:val="720"/>
          <w:marRight w:val="0"/>
          <w:marTop w:val="0"/>
          <w:marBottom w:val="0"/>
          <w:divBdr>
            <w:top w:val="none" w:sz="0" w:space="0" w:color="auto"/>
            <w:left w:val="none" w:sz="0" w:space="0" w:color="auto"/>
            <w:bottom w:val="none" w:sz="0" w:space="0" w:color="auto"/>
            <w:right w:val="none" w:sz="0" w:space="0" w:color="auto"/>
          </w:divBdr>
        </w:div>
        <w:div w:id="2077437157">
          <w:marLeft w:val="1080"/>
          <w:marRight w:val="0"/>
          <w:marTop w:val="0"/>
          <w:marBottom w:val="0"/>
          <w:divBdr>
            <w:top w:val="none" w:sz="0" w:space="0" w:color="auto"/>
            <w:left w:val="none" w:sz="0" w:space="0" w:color="auto"/>
            <w:bottom w:val="none" w:sz="0" w:space="0" w:color="auto"/>
            <w:right w:val="none" w:sz="0" w:space="0" w:color="auto"/>
          </w:divBdr>
        </w:div>
      </w:divsChild>
    </w:div>
    <w:div w:id="145165424">
      <w:bodyDiv w:val="1"/>
      <w:marLeft w:val="0"/>
      <w:marRight w:val="0"/>
      <w:marTop w:val="0"/>
      <w:marBottom w:val="0"/>
      <w:divBdr>
        <w:top w:val="none" w:sz="0" w:space="0" w:color="auto"/>
        <w:left w:val="none" w:sz="0" w:space="0" w:color="auto"/>
        <w:bottom w:val="none" w:sz="0" w:space="0" w:color="auto"/>
        <w:right w:val="none" w:sz="0" w:space="0" w:color="auto"/>
      </w:divBdr>
    </w:div>
    <w:div w:id="161509990">
      <w:bodyDiv w:val="1"/>
      <w:marLeft w:val="0"/>
      <w:marRight w:val="0"/>
      <w:marTop w:val="0"/>
      <w:marBottom w:val="0"/>
      <w:divBdr>
        <w:top w:val="none" w:sz="0" w:space="0" w:color="auto"/>
        <w:left w:val="none" w:sz="0" w:space="0" w:color="auto"/>
        <w:bottom w:val="none" w:sz="0" w:space="0" w:color="auto"/>
        <w:right w:val="none" w:sz="0" w:space="0" w:color="auto"/>
      </w:divBdr>
    </w:div>
    <w:div w:id="163015201">
      <w:bodyDiv w:val="1"/>
      <w:marLeft w:val="0"/>
      <w:marRight w:val="0"/>
      <w:marTop w:val="0"/>
      <w:marBottom w:val="0"/>
      <w:divBdr>
        <w:top w:val="none" w:sz="0" w:space="0" w:color="auto"/>
        <w:left w:val="none" w:sz="0" w:space="0" w:color="auto"/>
        <w:bottom w:val="none" w:sz="0" w:space="0" w:color="auto"/>
        <w:right w:val="none" w:sz="0" w:space="0" w:color="auto"/>
      </w:divBdr>
    </w:div>
    <w:div w:id="170025147">
      <w:bodyDiv w:val="1"/>
      <w:marLeft w:val="0"/>
      <w:marRight w:val="0"/>
      <w:marTop w:val="0"/>
      <w:marBottom w:val="0"/>
      <w:divBdr>
        <w:top w:val="none" w:sz="0" w:space="0" w:color="auto"/>
        <w:left w:val="none" w:sz="0" w:space="0" w:color="auto"/>
        <w:bottom w:val="none" w:sz="0" w:space="0" w:color="auto"/>
        <w:right w:val="none" w:sz="0" w:space="0" w:color="auto"/>
      </w:divBdr>
    </w:div>
    <w:div w:id="170336799">
      <w:bodyDiv w:val="1"/>
      <w:marLeft w:val="0"/>
      <w:marRight w:val="0"/>
      <w:marTop w:val="0"/>
      <w:marBottom w:val="0"/>
      <w:divBdr>
        <w:top w:val="none" w:sz="0" w:space="0" w:color="auto"/>
        <w:left w:val="none" w:sz="0" w:space="0" w:color="auto"/>
        <w:bottom w:val="none" w:sz="0" w:space="0" w:color="auto"/>
        <w:right w:val="none" w:sz="0" w:space="0" w:color="auto"/>
      </w:divBdr>
      <w:divsChild>
        <w:div w:id="1050692879">
          <w:marLeft w:val="720"/>
          <w:marRight w:val="0"/>
          <w:marTop w:val="0"/>
          <w:marBottom w:val="0"/>
          <w:divBdr>
            <w:top w:val="none" w:sz="0" w:space="0" w:color="auto"/>
            <w:left w:val="none" w:sz="0" w:space="0" w:color="auto"/>
            <w:bottom w:val="none" w:sz="0" w:space="0" w:color="auto"/>
            <w:right w:val="none" w:sz="0" w:space="0" w:color="auto"/>
          </w:divBdr>
        </w:div>
        <w:div w:id="1289245017">
          <w:marLeft w:val="720"/>
          <w:marRight w:val="0"/>
          <w:marTop w:val="0"/>
          <w:marBottom w:val="0"/>
          <w:divBdr>
            <w:top w:val="none" w:sz="0" w:space="0" w:color="auto"/>
            <w:left w:val="none" w:sz="0" w:space="0" w:color="auto"/>
            <w:bottom w:val="none" w:sz="0" w:space="0" w:color="auto"/>
            <w:right w:val="none" w:sz="0" w:space="0" w:color="auto"/>
          </w:divBdr>
        </w:div>
        <w:div w:id="1447231808">
          <w:marLeft w:val="720"/>
          <w:marRight w:val="0"/>
          <w:marTop w:val="0"/>
          <w:marBottom w:val="0"/>
          <w:divBdr>
            <w:top w:val="none" w:sz="0" w:space="0" w:color="auto"/>
            <w:left w:val="none" w:sz="0" w:space="0" w:color="auto"/>
            <w:bottom w:val="none" w:sz="0" w:space="0" w:color="auto"/>
            <w:right w:val="none" w:sz="0" w:space="0" w:color="auto"/>
          </w:divBdr>
        </w:div>
        <w:div w:id="1482771897">
          <w:marLeft w:val="720"/>
          <w:marRight w:val="0"/>
          <w:marTop w:val="0"/>
          <w:marBottom w:val="0"/>
          <w:divBdr>
            <w:top w:val="none" w:sz="0" w:space="0" w:color="auto"/>
            <w:left w:val="none" w:sz="0" w:space="0" w:color="auto"/>
            <w:bottom w:val="none" w:sz="0" w:space="0" w:color="auto"/>
            <w:right w:val="none" w:sz="0" w:space="0" w:color="auto"/>
          </w:divBdr>
        </w:div>
      </w:divsChild>
    </w:div>
    <w:div w:id="175928505">
      <w:bodyDiv w:val="1"/>
      <w:marLeft w:val="0"/>
      <w:marRight w:val="0"/>
      <w:marTop w:val="0"/>
      <w:marBottom w:val="0"/>
      <w:divBdr>
        <w:top w:val="none" w:sz="0" w:space="0" w:color="auto"/>
        <w:left w:val="none" w:sz="0" w:space="0" w:color="auto"/>
        <w:bottom w:val="none" w:sz="0" w:space="0" w:color="auto"/>
        <w:right w:val="none" w:sz="0" w:space="0" w:color="auto"/>
      </w:divBdr>
    </w:div>
    <w:div w:id="177041270">
      <w:bodyDiv w:val="1"/>
      <w:marLeft w:val="0"/>
      <w:marRight w:val="0"/>
      <w:marTop w:val="0"/>
      <w:marBottom w:val="0"/>
      <w:divBdr>
        <w:top w:val="none" w:sz="0" w:space="0" w:color="auto"/>
        <w:left w:val="none" w:sz="0" w:space="0" w:color="auto"/>
        <w:bottom w:val="none" w:sz="0" w:space="0" w:color="auto"/>
        <w:right w:val="none" w:sz="0" w:space="0" w:color="auto"/>
      </w:divBdr>
    </w:div>
    <w:div w:id="183179496">
      <w:bodyDiv w:val="1"/>
      <w:marLeft w:val="0"/>
      <w:marRight w:val="0"/>
      <w:marTop w:val="0"/>
      <w:marBottom w:val="0"/>
      <w:divBdr>
        <w:top w:val="none" w:sz="0" w:space="0" w:color="auto"/>
        <w:left w:val="none" w:sz="0" w:space="0" w:color="auto"/>
        <w:bottom w:val="none" w:sz="0" w:space="0" w:color="auto"/>
        <w:right w:val="none" w:sz="0" w:space="0" w:color="auto"/>
      </w:divBdr>
    </w:div>
    <w:div w:id="185599023">
      <w:bodyDiv w:val="1"/>
      <w:marLeft w:val="0"/>
      <w:marRight w:val="0"/>
      <w:marTop w:val="0"/>
      <w:marBottom w:val="0"/>
      <w:divBdr>
        <w:top w:val="none" w:sz="0" w:space="0" w:color="auto"/>
        <w:left w:val="none" w:sz="0" w:space="0" w:color="auto"/>
        <w:bottom w:val="none" w:sz="0" w:space="0" w:color="auto"/>
        <w:right w:val="none" w:sz="0" w:space="0" w:color="auto"/>
      </w:divBdr>
    </w:div>
    <w:div w:id="187447511">
      <w:bodyDiv w:val="1"/>
      <w:marLeft w:val="0"/>
      <w:marRight w:val="0"/>
      <w:marTop w:val="0"/>
      <w:marBottom w:val="0"/>
      <w:divBdr>
        <w:top w:val="none" w:sz="0" w:space="0" w:color="auto"/>
        <w:left w:val="none" w:sz="0" w:space="0" w:color="auto"/>
        <w:bottom w:val="none" w:sz="0" w:space="0" w:color="auto"/>
        <w:right w:val="none" w:sz="0" w:space="0" w:color="auto"/>
      </w:divBdr>
    </w:div>
    <w:div w:id="188642922">
      <w:bodyDiv w:val="1"/>
      <w:marLeft w:val="0"/>
      <w:marRight w:val="0"/>
      <w:marTop w:val="0"/>
      <w:marBottom w:val="0"/>
      <w:divBdr>
        <w:top w:val="none" w:sz="0" w:space="0" w:color="auto"/>
        <w:left w:val="none" w:sz="0" w:space="0" w:color="auto"/>
        <w:bottom w:val="none" w:sz="0" w:space="0" w:color="auto"/>
        <w:right w:val="none" w:sz="0" w:space="0" w:color="auto"/>
      </w:divBdr>
    </w:div>
    <w:div w:id="195504395">
      <w:bodyDiv w:val="1"/>
      <w:marLeft w:val="0"/>
      <w:marRight w:val="0"/>
      <w:marTop w:val="0"/>
      <w:marBottom w:val="0"/>
      <w:divBdr>
        <w:top w:val="none" w:sz="0" w:space="0" w:color="auto"/>
        <w:left w:val="none" w:sz="0" w:space="0" w:color="auto"/>
        <w:bottom w:val="none" w:sz="0" w:space="0" w:color="auto"/>
        <w:right w:val="none" w:sz="0" w:space="0" w:color="auto"/>
      </w:divBdr>
    </w:div>
    <w:div w:id="197474979">
      <w:bodyDiv w:val="1"/>
      <w:marLeft w:val="0"/>
      <w:marRight w:val="0"/>
      <w:marTop w:val="0"/>
      <w:marBottom w:val="0"/>
      <w:divBdr>
        <w:top w:val="none" w:sz="0" w:space="0" w:color="auto"/>
        <w:left w:val="none" w:sz="0" w:space="0" w:color="auto"/>
        <w:bottom w:val="none" w:sz="0" w:space="0" w:color="auto"/>
        <w:right w:val="none" w:sz="0" w:space="0" w:color="auto"/>
      </w:divBdr>
    </w:div>
    <w:div w:id="198516147">
      <w:bodyDiv w:val="1"/>
      <w:marLeft w:val="0"/>
      <w:marRight w:val="0"/>
      <w:marTop w:val="0"/>
      <w:marBottom w:val="0"/>
      <w:divBdr>
        <w:top w:val="none" w:sz="0" w:space="0" w:color="auto"/>
        <w:left w:val="none" w:sz="0" w:space="0" w:color="auto"/>
        <w:bottom w:val="none" w:sz="0" w:space="0" w:color="auto"/>
        <w:right w:val="none" w:sz="0" w:space="0" w:color="auto"/>
      </w:divBdr>
    </w:div>
    <w:div w:id="200753249">
      <w:bodyDiv w:val="1"/>
      <w:marLeft w:val="0"/>
      <w:marRight w:val="0"/>
      <w:marTop w:val="0"/>
      <w:marBottom w:val="0"/>
      <w:divBdr>
        <w:top w:val="none" w:sz="0" w:space="0" w:color="auto"/>
        <w:left w:val="none" w:sz="0" w:space="0" w:color="auto"/>
        <w:bottom w:val="none" w:sz="0" w:space="0" w:color="auto"/>
        <w:right w:val="none" w:sz="0" w:space="0" w:color="auto"/>
      </w:divBdr>
    </w:div>
    <w:div w:id="201022868">
      <w:bodyDiv w:val="1"/>
      <w:marLeft w:val="0"/>
      <w:marRight w:val="0"/>
      <w:marTop w:val="0"/>
      <w:marBottom w:val="0"/>
      <w:divBdr>
        <w:top w:val="none" w:sz="0" w:space="0" w:color="auto"/>
        <w:left w:val="none" w:sz="0" w:space="0" w:color="auto"/>
        <w:bottom w:val="none" w:sz="0" w:space="0" w:color="auto"/>
        <w:right w:val="none" w:sz="0" w:space="0" w:color="auto"/>
      </w:divBdr>
    </w:div>
    <w:div w:id="204946349">
      <w:bodyDiv w:val="1"/>
      <w:marLeft w:val="0"/>
      <w:marRight w:val="0"/>
      <w:marTop w:val="0"/>
      <w:marBottom w:val="0"/>
      <w:divBdr>
        <w:top w:val="none" w:sz="0" w:space="0" w:color="auto"/>
        <w:left w:val="none" w:sz="0" w:space="0" w:color="auto"/>
        <w:bottom w:val="none" w:sz="0" w:space="0" w:color="auto"/>
        <w:right w:val="none" w:sz="0" w:space="0" w:color="auto"/>
      </w:divBdr>
    </w:div>
    <w:div w:id="212084949">
      <w:bodyDiv w:val="1"/>
      <w:marLeft w:val="0"/>
      <w:marRight w:val="0"/>
      <w:marTop w:val="0"/>
      <w:marBottom w:val="0"/>
      <w:divBdr>
        <w:top w:val="none" w:sz="0" w:space="0" w:color="auto"/>
        <w:left w:val="none" w:sz="0" w:space="0" w:color="auto"/>
        <w:bottom w:val="none" w:sz="0" w:space="0" w:color="auto"/>
        <w:right w:val="none" w:sz="0" w:space="0" w:color="auto"/>
      </w:divBdr>
    </w:div>
    <w:div w:id="217130985">
      <w:bodyDiv w:val="1"/>
      <w:marLeft w:val="0"/>
      <w:marRight w:val="0"/>
      <w:marTop w:val="0"/>
      <w:marBottom w:val="0"/>
      <w:divBdr>
        <w:top w:val="none" w:sz="0" w:space="0" w:color="auto"/>
        <w:left w:val="none" w:sz="0" w:space="0" w:color="auto"/>
        <w:bottom w:val="none" w:sz="0" w:space="0" w:color="auto"/>
        <w:right w:val="none" w:sz="0" w:space="0" w:color="auto"/>
      </w:divBdr>
    </w:div>
    <w:div w:id="217934664">
      <w:bodyDiv w:val="1"/>
      <w:marLeft w:val="0"/>
      <w:marRight w:val="0"/>
      <w:marTop w:val="0"/>
      <w:marBottom w:val="0"/>
      <w:divBdr>
        <w:top w:val="none" w:sz="0" w:space="0" w:color="auto"/>
        <w:left w:val="none" w:sz="0" w:space="0" w:color="auto"/>
        <w:bottom w:val="none" w:sz="0" w:space="0" w:color="auto"/>
        <w:right w:val="none" w:sz="0" w:space="0" w:color="auto"/>
      </w:divBdr>
    </w:div>
    <w:div w:id="221134370">
      <w:bodyDiv w:val="1"/>
      <w:marLeft w:val="0"/>
      <w:marRight w:val="0"/>
      <w:marTop w:val="0"/>
      <w:marBottom w:val="0"/>
      <w:divBdr>
        <w:top w:val="none" w:sz="0" w:space="0" w:color="auto"/>
        <w:left w:val="none" w:sz="0" w:space="0" w:color="auto"/>
        <w:bottom w:val="none" w:sz="0" w:space="0" w:color="auto"/>
        <w:right w:val="none" w:sz="0" w:space="0" w:color="auto"/>
      </w:divBdr>
    </w:div>
    <w:div w:id="222566194">
      <w:bodyDiv w:val="1"/>
      <w:marLeft w:val="0"/>
      <w:marRight w:val="0"/>
      <w:marTop w:val="0"/>
      <w:marBottom w:val="0"/>
      <w:divBdr>
        <w:top w:val="none" w:sz="0" w:space="0" w:color="auto"/>
        <w:left w:val="none" w:sz="0" w:space="0" w:color="auto"/>
        <w:bottom w:val="none" w:sz="0" w:space="0" w:color="auto"/>
        <w:right w:val="none" w:sz="0" w:space="0" w:color="auto"/>
      </w:divBdr>
    </w:div>
    <w:div w:id="227495963">
      <w:bodyDiv w:val="1"/>
      <w:marLeft w:val="0"/>
      <w:marRight w:val="0"/>
      <w:marTop w:val="0"/>
      <w:marBottom w:val="0"/>
      <w:divBdr>
        <w:top w:val="none" w:sz="0" w:space="0" w:color="auto"/>
        <w:left w:val="none" w:sz="0" w:space="0" w:color="auto"/>
        <w:bottom w:val="none" w:sz="0" w:space="0" w:color="auto"/>
        <w:right w:val="none" w:sz="0" w:space="0" w:color="auto"/>
      </w:divBdr>
    </w:div>
    <w:div w:id="243876435">
      <w:bodyDiv w:val="1"/>
      <w:marLeft w:val="0"/>
      <w:marRight w:val="0"/>
      <w:marTop w:val="0"/>
      <w:marBottom w:val="0"/>
      <w:divBdr>
        <w:top w:val="none" w:sz="0" w:space="0" w:color="auto"/>
        <w:left w:val="none" w:sz="0" w:space="0" w:color="auto"/>
        <w:bottom w:val="none" w:sz="0" w:space="0" w:color="auto"/>
        <w:right w:val="none" w:sz="0" w:space="0" w:color="auto"/>
      </w:divBdr>
    </w:div>
    <w:div w:id="258636213">
      <w:bodyDiv w:val="1"/>
      <w:marLeft w:val="0"/>
      <w:marRight w:val="0"/>
      <w:marTop w:val="0"/>
      <w:marBottom w:val="0"/>
      <w:divBdr>
        <w:top w:val="none" w:sz="0" w:space="0" w:color="auto"/>
        <w:left w:val="none" w:sz="0" w:space="0" w:color="auto"/>
        <w:bottom w:val="none" w:sz="0" w:space="0" w:color="auto"/>
        <w:right w:val="none" w:sz="0" w:space="0" w:color="auto"/>
      </w:divBdr>
    </w:div>
    <w:div w:id="261425831">
      <w:bodyDiv w:val="1"/>
      <w:marLeft w:val="0"/>
      <w:marRight w:val="0"/>
      <w:marTop w:val="0"/>
      <w:marBottom w:val="0"/>
      <w:divBdr>
        <w:top w:val="none" w:sz="0" w:space="0" w:color="auto"/>
        <w:left w:val="none" w:sz="0" w:space="0" w:color="auto"/>
        <w:bottom w:val="none" w:sz="0" w:space="0" w:color="auto"/>
        <w:right w:val="none" w:sz="0" w:space="0" w:color="auto"/>
      </w:divBdr>
    </w:div>
    <w:div w:id="264505598">
      <w:bodyDiv w:val="1"/>
      <w:marLeft w:val="0"/>
      <w:marRight w:val="0"/>
      <w:marTop w:val="0"/>
      <w:marBottom w:val="0"/>
      <w:divBdr>
        <w:top w:val="none" w:sz="0" w:space="0" w:color="auto"/>
        <w:left w:val="none" w:sz="0" w:space="0" w:color="auto"/>
        <w:bottom w:val="none" w:sz="0" w:space="0" w:color="auto"/>
        <w:right w:val="none" w:sz="0" w:space="0" w:color="auto"/>
      </w:divBdr>
      <w:divsChild>
        <w:div w:id="163517229">
          <w:marLeft w:val="240"/>
          <w:marRight w:val="0"/>
          <w:marTop w:val="0"/>
          <w:marBottom w:val="0"/>
          <w:divBdr>
            <w:top w:val="none" w:sz="0" w:space="0" w:color="auto"/>
            <w:left w:val="none" w:sz="0" w:space="0" w:color="auto"/>
            <w:bottom w:val="none" w:sz="0" w:space="0" w:color="auto"/>
            <w:right w:val="none" w:sz="0" w:space="0" w:color="auto"/>
          </w:divBdr>
        </w:div>
        <w:div w:id="309335304">
          <w:marLeft w:val="240"/>
          <w:marRight w:val="0"/>
          <w:marTop w:val="0"/>
          <w:marBottom w:val="0"/>
          <w:divBdr>
            <w:top w:val="none" w:sz="0" w:space="0" w:color="auto"/>
            <w:left w:val="none" w:sz="0" w:space="0" w:color="auto"/>
            <w:bottom w:val="none" w:sz="0" w:space="0" w:color="auto"/>
            <w:right w:val="none" w:sz="0" w:space="0" w:color="auto"/>
          </w:divBdr>
        </w:div>
        <w:div w:id="411436433">
          <w:marLeft w:val="240"/>
          <w:marRight w:val="0"/>
          <w:marTop w:val="0"/>
          <w:marBottom w:val="0"/>
          <w:divBdr>
            <w:top w:val="none" w:sz="0" w:space="0" w:color="auto"/>
            <w:left w:val="none" w:sz="0" w:space="0" w:color="auto"/>
            <w:bottom w:val="none" w:sz="0" w:space="0" w:color="auto"/>
            <w:right w:val="none" w:sz="0" w:space="0" w:color="auto"/>
          </w:divBdr>
        </w:div>
        <w:div w:id="603614418">
          <w:marLeft w:val="240"/>
          <w:marRight w:val="0"/>
          <w:marTop w:val="0"/>
          <w:marBottom w:val="0"/>
          <w:divBdr>
            <w:top w:val="none" w:sz="0" w:space="0" w:color="auto"/>
            <w:left w:val="none" w:sz="0" w:space="0" w:color="auto"/>
            <w:bottom w:val="none" w:sz="0" w:space="0" w:color="auto"/>
            <w:right w:val="none" w:sz="0" w:space="0" w:color="auto"/>
          </w:divBdr>
        </w:div>
        <w:div w:id="858468176">
          <w:marLeft w:val="240"/>
          <w:marRight w:val="0"/>
          <w:marTop w:val="0"/>
          <w:marBottom w:val="0"/>
          <w:divBdr>
            <w:top w:val="none" w:sz="0" w:space="0" w:color="auto"/>
            <w:left w:val="none" w:sz="0" w:space="0" w:color="auto"/>
            <w:bottom w:val="none" w:sz="0" w:space="0" w:color="auto"/>
            <w:right w:val="none" w:sz="0" w:space="0" w:color="auto"/>
          </w:divBdr>
        </w:div>
        <w:div w:id="861475885">
          <w:marLeft w:val="240"/>
          <w:marRight w:val="0"/>
          <w:marTop w:val="0"/>
          <w:marBottom w:val="0"/>
          <w:divBdr>
            <w:top w:val="none" w:sz="0" w:space="0" w:color="auto"/>
            <w:left w:val="none" w:sz="0" w:space="0" w:color="auto"/>
            <w:bottom w:val="none" w:sz="0" w:space="0" w:color="auto"/>
            <w:right w:val="none" w:sz="0" w:space="0" w:color="auto"/>
          </w:divBdr>
        </w:div>
        <w:div w:id="894003475">
          <w:marLeft w:val="240"/>
          <w:marRight w:val="0"/>
          <w:marTop w:val="0"/>
          <w:marBottom w:val="0"/>
          <w:divBdr>
            <w:top w:val="none" w:sz="0" w:space="0" w:color="auto"/>
            <w:left w:val="none" w:sz="0" w:space="0" w:color="auto"/>
            <w:bottom w:val="none" w:sz="0" w:space="0" w:color="auto"/>
            <w:right w:val="none" w:sz="0" w:space="0" w:color="auto"/>
          </w:divBdr>
        </w:div>
        <w:div w:id="1531987746">
          <w:marLeft w:val="240"/>
          <w:marRight w:val="0"/>
          <w:marTop w:val="0"/>
          <w:marBottom w:val="0"/>
          <w:divBdr>
            <w:top w:val="none" w:sz="0" w:space="0" w:color="auto"/>
            <w:left w:val="none" w:sz="0" w:space="0" w:color="auto"/>
            <w:bottom w:val="none" w:sz="0" w:space="0" w:color="auto"/>
            <w:right w:val="none" w:sz="0" w:space="0" w:color="auto"/>
          </w:divBdr>
        </w:div>
        <w:div w:id="1628589301">
          <w:marLeft w:val="240"/>
          <w:marRight w:val="0"/>
          <w:marTop w:val="0"/>
          <w:marBottom w:val="0"/>
          <w:divBdr>
            <w:top w:val="none" w:sz="0" w:space="0" w:color="auto"/>
            <w:left w:val="none" w:sz="0" w:space="0" w:color="auto"/>
            <w:bottom w:val="none" w:sz="0" w:space="0" w:color="auto"/>
            <w:right w:val="none" w:sz="0" w:space="0" w:color="auto"/>
          </w:divBdr>
        </w:div>
        <w:div w:id="1980960513">
          <w:marLeft w:val="240"/>
          <w:marRight w:val="0"/>
          <w:marTop w:val="0"/>
          <w:marBottom w:val="0"/>
          <w:divBdr>
            <w:top w:val="none" w:sz="0" w:space="0" w:color="auto"/>
            <w:left w:val="none" w:sz="0" w:space="0" w:color="auto"/>
            <w:bottom w:val="none" w:sz="0" w:space="0" w:color="auto"/>
            <w:right w:val="none" w:sz="0" w:space="0" w:color="auto"/>
          </w:divBdr>
        </w:div>
      </w:divsChild>
    </w:div>
    <w:div w:id="266232657">
      <w:bodyDiv w:val="1"/>
      <w:marLeft w:val="0"/>
      <w:marRight w:val="0"/>
      <w:marTop w:val="0"/>
      <w:marBottom w:val="0"/>
      <w:divBdr>
        <w:top w:val="none" w:sz="0" w:space="0" w:color="auto"/>
        <w:left w:val="none" w:sz="0" w:space="0" w:color="auto"/>
        <w:bottom w:val="none" w:sz="0" w:space="0" w:color="auto"/>
        <w:right w:val="none" w:sz="0" w:space="0" w:color="auto"/>
      </w:divBdr>
    </w:div>
    <w:div w:id="266742261">
      <w:bodyDiv w:val="1"/>
      <w:marLeft w:val="0"/>
      <w:marRight w:val="0"/>
      <w:marTop w:val="0"/>
      <w:marBottom w:val="0"/>
      <w:divBdr>
        <w:top w:val="none" w:sz="0" w:space="0" w:color="auto"/>
        <w:left w:val="none" w:sz="0" w:space="0" w:color="auto"/>
        <w:bottom w:val="none" w:sz="0" w:space="0" w:color="auto"/>
        <w:right w:val="none" w:sz="0" w:space="0" w:color="auto"/>
      </w:divBdr>
    </w:div>
    <w:div w:id="276302959">
      <w:bodyDiv w:val="1"/>
      <w:marLeft w:val="0"/>
      <w:marRight w:val="0"/>
      <w:marTop w:val="0"/>
      <w:marBottom w:val="0"/>
      <w:divBdr>
        <w:top w:val="none" w:sz="0" w:space="0" w:color="auto"/>
        <w:left w:val="none" w:sz="0" w:space="0" w:color="auto"/>
        <w:bottom w:val="none" w:sz="0" w:space="0" w:color="auto"/>
        <w:right w:val="none" w:sz="0" w:space="0" w:color="auto"/>
      </w:divBdr>
    </w:div>
    <w:div w:id="279193322">
      <w:bodyDiv w:val="1"/>
      <w:marLeft w:val="0"/>
      <w:marRight w:val="0"/>
      <w:marTop w:val="0"/>
      <w:marBottom w:val="0"/>
      <w:divBdr>
        <w:top w:val="none" w:sz="0" w:space="0" w:color="auto"/>
        <w:left w:val="none" w:sz="0" w:space="0" w:color="auto"/>
        <w:bottom w:val="none" w:sz="0" w:space="0" w:color="auto"/>
        <w:right w:val="none" w:sz="0" w:space="0" w:color="auto"/>
      </w:divBdr>
    </w:div>
    <w:div w:id="279730974">
      <w:bodyDiv w:val="1"/>
      <w:marLeft w:val="0"/>
      <w:marRight w:val="0"/>
      <w:marTop w:val="0"/>
      <w:marBottom w:val="0"/>
      <w:divBdr>
        <w:top w:val="none" w:sz="0" w:space="0" w:color="auto"/>
        <w:left w:val="none" w:sz="0" w:space="0" w:color="auto"/>
        <w:bottom w:val="none" w:sz="0" w:space="0" w:color="auto"/>
        <w:right w:val="none" w:sz="0" w:space="0" w:color="auto"/>
      </w:divBdr>
    </w:div>
    <w:div w:id="286473976">
      <w:bodyDiv w:val="1"/>
      <w:marLeft w:val="0"/>
      <w:marRight w:val="0"/>
      <w:marTop w:val="0"/>
      <w:marBottom w:val="0"/>
      <w:divBdr>
        <w:top w:val="none" w:sz="0" w:space="0" w:color="auto"/>
        <w:left w:val="none" w:sz="0" w:space="0" w:color="auto"/>
        <w:bottom w:val="none" w:sz="0" w:space="0" w:color="auto"/>
        <w:right w:val="none" w:sz="0" w:space="0" w:color="auto"/>
      </w:divBdr>
    </w:div>
    <w:div w:id="288055724">
      <w:bodyDiv w:val="1"/>
      <w:marLeft w:val="0"/>
      <w:marRight w:val="0"/>
      <w:marTop w:val="0"/>
      <w:marBottom w:val="0"/>
      <w:divBdr>
        <w:top w:val="none" w:sz="0" w:space="0" w:color="auto"/>
        <w:left w:val="none" w:sz="0" w:space="0" w:color="auto"/>
        <w:bottom w:val="none" w:sz="0" w:space="0" w:color="auto"/>
        <w:right w:val="none" w:sz="0" w:space="0" w:color="auto"/>
      </w:divBdr>
    </w:div>
    <w:div w:id="289284321">
      <w:bodyDiv w:val="1"/>
      <w:marLeft w:val="0"/>
      <w:marRight w:val="0"/>
      <w:marTop w:val="0"/>
      <w:marBottom w:val="0"/>
      <w:divBdr>
        <w:top w:val="none" w:sz="0" w:space="0" w:color="auto"/>
        <w:left w:val="none" w:sz="0" w:space="0" w:color="auto"/>
        <w:bottom w:val="none" w:sz="0" w:space="0" w:color="auto"/>
        <w:right w:val="none" w:sz="0" w:space="0" w:color="auto"/>
      </w:divBdr>
    </w:div>
    <w:div w:id="289671602">
      <w:bodyDiv w:val="1"/>
      <w:marLeft w:val="0"/>
      <w:marRight w:val="0"/>
      <w:marTop w:val="0"/>
      <w:marBottom w:val="0"/>
      <w:divBdr>
        <w:top w:val="none" w:sz="0" w:space="0" w:color="auto"/>
        <w:left w:val="none" w:sz="0" w:space="0" w:color="auto"/>
        <w:bottom w:val="none" w:sz="0" w:space="0" w:color="auto"/>
        <w:right w:val="none" w:sz="0" w:space="0" w:color="auto"/>
      </w:divBdr>
    </w:div>
    <w:div w:id="297102925">
      <w:bodyDiv w:val="1"/>
      <w:marLeft w:val="0"/>
      <w:marRight w:val="0"/>
      <w:marTop w:val="0"/>
      <w:marBottom w:val="0"/>
      <w:divBdr>
        <w:top w:val="none" w:sz="0" w:space="0" w:color="auto"/>
        <w:left w:val="none" w:sz="0" w:space="0" w:color="auto"/>
        <w:bottom w:val="none" w:sz="0" w:space="0" w:color="auto"/>
        <w:right w:val="none" w:sz="0" w:space="0" w:color="auto"/>
      </w:divBdr>
    </w:div>
    <w:div w:id="298075798">
      <w:bodyDiv w:val="1"/>
      <w:marLeft w:val="0"/>
      <w:marRight w:val="0"/>
      <w:marTop w:val="0"/>
      <w:marBottom w:val="0"/>
      <w:divBdr>
        <w:top w:val="none" w:sz="0" w:space="0" w:color="auto"/>
        <w:left w:val="none" w:sz="0" w:space="0" w:color="auto"/>
        <w:bottom w:val="none" w:sz="0" w:space="0" w:color="auto"/>
        <w:right w:val="none" w:sz="0" w:space="0" w:color="auto"/>
      </w:divBdr>
    </w:div>
    <w:div w:id="300155256">
      <w:bodyDiv w:val="1"/>
      <w:marLeft w:val="0"/>
      <w:marRight w:val="0"/>
      <w:marTop w:val="0"/>
      <w:marBottom w:val="0"/>
      <w:divBdr>
        <w:top w:val="none" w:sz="0" w:space="0" w:color="auto"/>
        <w:left w:val="none" w:sz="0" w:space="0" w:color="auto"/>
        <w:bottom w:val="none" w:sz="0" w:space="0" w:color="auto"/>
        <w:right w:val="none" w:sz="0" w:space="0" w:color="auto"/>
      </w:divBdr>
    </w:div>
    <w:div w:id="304745877">
      <w:bodyDiv w:val="1"/>
      <w:marLeft w:val="0"/>
      <w:marRight w:val="0"/>
      <w:marTop w:val="0"/>
      <w:marBottom w:val="0"/>
      <w:divBdr>
        <w:top w:val="none" w:sz="0" w:space="0" w:color="auto"/>
        <w:left w:val="none" w:sz="0" w:space="0" w:color="auto"/>
        <w:bottom w:val="none" w:sz="0" w:space="0" w:color="auto"/>
        <w:right w:val="none" w:sz="0" w:space="0" w:color="auto"/>
      </w:divBdr>
    </w:div>
    <w:div w:id="306931673">
      <w:bodyDiv w:val="1"/>
      <w:marLeft w:val="0"/>
      <w:marRight w:val="0"/>
      <w:marTop w:val="0"/>
      <w:marBottom w:val="0"/>
      <w:divBdr>
        <w:top w:val="none" w:sz="0" w:space="0" w:color="auto"/>
        <w:left w:val="none" w:sz="0" w:space="0" w:color="auto"/>
        <w:bottom w:val="none" w:sz="0" w:space="0" w:color="auto"/>
        <w:right w:val="none" w:sz="0" w:space="0" w:color="auto"/>
      </w:divBdr>
    </w:div>
    <w:div w:id="311568080">
      <w:bodyDiv w:val="1"/>
      <w:marLeft w:val="0"/>
      <w:marRight w:val="0"/>
      <w:marTop w:val="0"/>
      <w:marBottom w:val="0"/>
      <w:divBdr>
        <w:top w:val="none" w:sz="0" w:space="0" w:color="auto"/>
        <w:left w:val="none" w:sz="0" w:space="0" w:color="auto"/>
        <w:bottom w:val="none" w:sz="0" w:space="0" w:color="auto"/>
        <w:right w:val="none" w:sz="0" w:space="0" w:color="auto"/>
      </w:divBdr>
    </w:div>
    <w:div w:id="313996422">
      <w:bodyDiv w:val="1"/>
      <w:marLeft w:val="0"/>
      <w:marRight w:val="0"/>
      <w:marTop w:val="0"/>
      <w:marBottom w:val="0"/>
      <w:divBdr>
        <w:top w:val="none" w:sz="0" w:space="0" w:color="auto"/>
        <w:left w:val="none" w:sz="0" w:space="0" w:color="auto"/>
        <w:bottom w:val="none" w:sz="0" w:space="0" w:color="auto"/>
        <w:right w:val="none" w:sz="0" w:space="0" w:color="auto"/>
      </w:divBdr>
    </w:div>
    <w:div w:id="314801568">
      <w:bodyDiv w:val="1"/>
      <w:marLeft w:val="0"/>
      <w:marRight w:val="0"/>
      <w:marTop w:val="0"/>
      <w:marBottom w:val="0"/>
      <w:divBdr>
        <w:top w:val="none" w:sz="0" w:space="0" w:color="auto"/>
        <w:left w:val="none" w:sz="0" w:space="0" w:color="auto"/>
        <w:bottom w:val="none" w:sz="0" w:space="0" w:color="auto"/>
        <w:right w:val="none" w:sz="0" w:space="0" w:color="auto"/>
      </w:divBdr>
      <w:divsChild>
        <w:div w:id="1726097498">
          <w:marLeft w:val="720"/>
          <w:marRight w:val="0"/>
          <w:marTop w:val="0"/>
          <w:marBottom w:val="0"/>
          <w:divBdr>
            <w:top w:val="none" w:sz="0" w:space="0" w:color="auto"/>
            <w:left w:val="none" w:sz="0" w:space="0" w:color="auto"/>
            <w:bottom w:val="none" w:sz="0" w:space="0" w:color="auto"/>
            <w:right w:val="none" w:sz="0" w:space="0" w:color="auto"/>
          </w:divBdr>
        </w:div>
      </w:divsChild>
    </w:div>
    <w:div w:id="319428199">
      <w:bodyDiv w:val="1"/>
      <w:marLeft w:val="0"/>
      <w:marRight w:val="0"/>
      <w:marTop w:val="0"/>
      <w:marBottom w:val="0"/>
      <w:divBdr>
        <w:top w:val="none" w:sz="0" w:space="0" w:color="auto"/>
        <w:left w:val="none" w:sz="0" w:space="0" w:color="auto"/>
        <w:bottom w:val="none" w:sz="0" w:space="0" w:color="auto"/>
        <w:right w:val="none" w:sz="0" w:space="0" w:color="auto"/>
      </w:divBdr>
    </w:div>
    <w:div w:id="323705112">
      <w:bodyDiv w:val="1"/>
      <w:marLeft w:val="0"/>
      <w:marRight w:val="0"/>
      <w:marTop w:val="0"/>
      <w:marBottom w:val="0"/>
      <w:divBdr>
        <w:top w:val="none" w:sz="0" w:space="0" w:color="auto"/>
        <w:left w:val="none" w:sz="0" w:space="0" w:color="auto"/>
        <w:bottom w:val="none" w:sz="0" w:space="0" w:color="auto"/>
        <w:right w:val="none" w:sz="0" w:space="0" w:color="auto"/>
      </w:divBdr>
    </w:div>
    <w:div w:id="325402526">
      <w:bodyDiv w:val="1"/>
      <w:marLeft w:val="0"/>
      <w:marRight w:val="0"/>
      <w:marTop w:val="0"/>
      <w:marBottom w:val="0"/>
      <w:divBdr>
        <w:top w:val="none" w:sz="0" w:space="0" w:color="auto"/>
        <w:left w:val="none" w:sz="0" w:space="0" w:color="auto"/>
        <w:bottom w:val="none" w:sz="0" w:space="0" w:color="auto"/>
        <w:right w:val="none" w:sz="0" w:space="0" w:color="auto"/>
      </w:divBdr>
    </w:div>
    <w:div w:id="326711399">
      <w:bodyDiv w:val="1"/>
      <w:marLeft w:val="0"/>
      <w:marRight w:val="0"/>
      <w:marTop w:val="0"/>
      <w:marBottom w:val="0"/>
      <w:divBdr>
        <w:top w:val="none" w:sz="0" w:space="0" w:color="auto"/>
        <w:left w:val="none" w:sz="0" w:space="0" w:color="auto"/>
        <w:bottom w:val="none" w:sz="0" w:space="0" w:color="auto"/>
        <w:right w:val="none" w:sz="0" w:space="0" w:color="auto"/>
      </w:divBdr>
    </w:div>
    <w:div w:id="328557385">
      <w:bodyDiv w:val="1"/>
      <w:marLeft w:val="0"/>
      <w:marRight w:val="0"/>
      <w:marTop w:val="0"/>
      <w:marBottom w:val="0"/>
      <w:divBdr>
        <w:top w:val="none" w:sz="0" w:space="0" w:color="auto"/>
        <w:left w:val="none" w:sz="0" w:space="0" w:color="auto"/>
        <w:bottom w:val="none" w:sz="0" w:space="0" w:color="auto"/>
        <w:right w:val="none" w:sz="0" w:space="0" w:color="auto"/>
      </w:divBdr>
    </w:div>
    <w:div w:id="340083785">
      <w:bodyDiv w:val="1"/>
      <w:marLeft w:val="0"/>
      <w:marRight w:val="0"/>
      <w:marTop w:val="0"/>
      <w:marBottom w:val="0"/>
      <w:divBdr>
        <w:top w:val="none" w:sz="0" w:space="0" w:color="auto"/>
        <w:left w:val="none" w:sz="0" w:space="0" w:color="auto"/>
        <w:bottom w:val="none" w:sz="0" w:space="0" w:color="auto"/>
        <w:right w:val="none" w:sz="0" w:space="0" w:color="auto"/>
      </w:divBdr>
    </w:div>
    <w:div w:id="346642807">
      <w:bodyDiv w:val="1"/>
      <w:marLeft w:val="0"/>
      <w:marRight w:val="0"/>
      <w:marTop w:val="0"/>
      <w:marBottom w:val="0"/>
      <w:divBdr>
        <w:top w:val="none" w:sz="0" w:space="0" w:color="auto"/>
        <w:left w:val="none" w:sz="0" w:space="0" w:color="auto"/>
        <w:bottom w:val="none" w:sz="0" w:space="0" w:color="auto"/>
        <w:right w:val="none" w:sz="0" w:space="0" w:color="auto"/>
      </w:divBdr>
    </w:div>
    <w:div w:id="349918033">
      <w:bodyDiv w:val="1"/>
      <w:marLeft w:val="0"/>
      <w:marRight w:val="0"/>
      <w:marTop w:val="0"/>
      <w:marBottom w:val="0"/>
      <w:divBdr>
        <w:top w:val="none" w:sz="0" w:space="0" w:color="auto"/>
        <w:left w:val="none" w:sz="0" w:space="0" w:color="auto"/>
        <w:bottom w:val="none" w:sz="0" w:space="0" w:color="auto"/>
        <w:right w:val="none" w:sz="0" w:space="0" w:color="auto"/>
      </w:divBdr>
      <w:divsChild>
        <w:div w:id="1044141028">
          <w:marLeft w:val="240"/>
          <w:marRight w:val="0"/>
          <w:marTop w:val="0"/>
          <w:marBottom w:val="0"/>
          <w:divBdr>
            <w:top w:val="none" w:sz="0" w:space="0" w:color="auto"/>
            <w:left w:val="none" w:sz="0" w:space="0" w:color="auto"/>
            <w:bottom w:val="none" w:sz="0" w:space="0" w:color="auto"/>
            <w:right w:val="none" w:sz="0" w:space="0" w:color="auto"/>
          </w:divBdr>
        </w:div>
        <w:div w:id="1426149897">
          <w:marLeft w:val="240"/>
          <w:marRight w:val="0"/>
          <w:marTop w:val="0"/>
          <w:marBottom w:val="0"/>
          <w:divBdr>
            <w:top w:val="none" w:sz="0" w:space="0" w:color="auto"/>
            <w:left w:val="none" w:sz="0" w:space="0" w:color="auto"/>
            <w:bottom w:val="none" w:sz="0" w:space="0" w:color="auto"/>
            <w:right w:val="none" w:sz="0" w:space="0" w:color="auto"/>
          </w:divBdr>
        </w:div>
        <w:div w:id="1545603452">
          <w:marLeft w:val="240"/>
          <w:marRight w:val="0"/>
          <w:marTop w:val="0"/>
          <w:marBottom w:val="0"/>
          <w:divBdr>
            <w:top w:val="none" w:sz="0" w:space="0" w:color="auto"/>
            <w:left w:val="none" w:sz="0" w:space="0" w:color="auto"/>
            <w:bottom w:val="none" w:sz="0" w:space="0" w:color="auto"/>
            <w:right w:val="none" w:sz="0" w:space="0" w:color="auto"/>
          </w:divBdr>
        </w:div>
        <w:div w:id="1632513414">
          <w:marLeft w:val="240"/>
          <w:marRight w:val="0"/>
          <w:marTop w:val="0"/>
          <w:marBottom w:val="0"/>
          <w:divBdr>
            <w:top w:val="none" w:sz="0" w:space="0" w:color="auto"/>
            <w:left w:val="none" w:sz="0" w:space="0" w:color="auto"/>
            <w:bottom w:val="none" w:sz="0" w:space="0" w:color="auto"/>
            <w:right w:val="none" w:sz="0" w:space="0" w:color="auto"/>
          </w:divBdr>
        </w:div>
      </w:divsChild>
    </w:div>
    <w:div w:id="358050895">
      <w:bodyDiv w:val="1"/>
      <w:marLeft w:val="0"/>
      <w:marRight w:val="0"/>
      <w:marTop w:val="0"/>
      <w:marBottom w:val="0"/>
      <w:divBdr>
        <w:top w:val="none" w:sz="0" w:space="0" w:color="auto"/>
        <w:left w:val="none" w:sz="0" w:space="0" w:color="auto"/>
        <w:bottom w:val="none" w:sz="0" w:space="0" w:color="auto"/>
        <w:right w:val="none" w:sz="0" w:space="0" w:color="auto"/>
      </w:divBdr>
    </w:div>
    <w:div w:id="358773385">
      <w:bodyDiv w:val="1"/>
      <w:marLeft w:val="0"/>
      <w:marRight w:val="0"/>
      <w:marTop w:val="0"/>
      <w:marBottom w:val="0"/>
      <w:divBdr>
        <w:top w:val="none" w:sz="0" w:space="0" w:color="auto"/>
        <w:left w:val="none" w:sz="0" w:space="0" w:color="auto"/>
        <w:bottom w:val="none" w:sz="0" w:space="0" w:color="auto"/>
        <w:right w:val="none" w:sz="0" w:space="0" w:color="auto"/>
      </w:divBdr>
    </w:div>
    <w:div w:id="360321452">
      <w:bodyDiv w:val="1"/>
      <w:marLeft w:val="0"/>
      <w:marRight w:val="0"/>
      <w:marTop w:val="0"/>
      <w:marBottom w:val="0"/>
      <w:divBdr>
        <w:top w:val="none" w:sz="0" w:space="0" w:color="auto"/>
        <w:left w:val="none" w:sz="0" w:space="0" w:color="auto"/>
        <w:bottom w:val="none" w:sz="0" w:space="0" w:color="auto"/>
        <w:right w:val="none" w:sz="0" w:space="0" w:color="auto"/>
      </w:divBdr>
    </w:div>
    <w:div w:id="366218264">
      <w:bodyDiv w:val="1"/>
      <w:marLeft w:val="0"/>
      <w:marRight w:val="0"/>
      <w:marTop w:val="0"/>
      <w:marBottom w:val="0"/>
      <w:divBdr>
        <w:top w:val="none" w:sz="0" w:space="0" w:color="auto"/>
        <w:left w:val="none" w:sz="0" w:space="0" w:color="auto"/>
        <w:bottom w:val="none" w:sz="0" w:space="0" w:color="auto"/>
        <w:right w:val="none" w:sz="0" w:space="0" w:color="auto"/>
      </w:divBdr>
    </w:div>
    <w:div w:id="372196273">
      <w:bodyDiv w:val="1"/>
      <w:marLeft w:val="0"/>
      <w:marRight w:val="0"/>
      <w:marTop w:val="0"/>
      <w:marBottom w:val="0"/>
      <w:divBdr>
        <w:top w:val="none" w:sz="0" w:space="0" w:color="auto"/>
        <w:left w:val="none" w:sz="0" w:space="0" w:color="auto"/>
        <w:bottom w:val="none" w:sz="0" w:space="0" w:color="auto"/>
        <w:right w:val="none" w:sz="0" w:space="0" w:color="auto"/>
      </w:divBdr>
    </w:div>
    <w:div w:id="373311496">
      <w:bodyDiv w:val="1"/>
      <w:marLeft w:val="0"/>
      <w:marRight w:val="0"/>
      <w:marTop w:val="0"/>
      <w:marBottom w:val="0"/>
      <w:divBdr>
        <w:top w:val="none" w:sz="0" w:space="0" w:color="auto"/>
        <w:left w:val="none" w:sz="0" w:space="0" w:color="auto"/>
        <w:bottom w:val="none" w:sz="0" w:space="0" w:color="auto"/>
        <w:right w:val="none" w:sz="0" w:space="0" w:color="auto"/>
      </w:divBdr>
    </w:div>
    <w:div w:id="381366806">
      <w:bodyDiv w:val="1"/>
      <w:marLeft w:val="0"/>
      <w:marRight w:val="0"/>
      <w:marTop w:val="0"/>
      <w:marBottom w:val="0"/>
      <w:divBdr>
        <w:top w:val="none" w:sz="0" w:space="0" w:color="auto"/>
        <w:left w:val="none" w:sz="0" w:space="0" w:color="auto"/>
        <w:bottom w:val="none" w:sz="0" w:space="0" w:color="auto"/>
        <w:right w:val="none" w:sz="0" w:space="0" w:color="auto"/>
      </w:divBdr>
    </w:div>
    <w:div w:id="384184261">
      <w:bodyDiv w:val="1"/>
      <w:marLeft w:val="0"/>
      <w:marRight w:val="0"/>
      <w:marTop w:val="0"/>
      <w:marBottom w:val="0"/>
      <w:divBdr>
        <w:top w:val="none" w:sz="0" w:space="0" w:color="auto"/>
        <w:left w:val="none" w:sz="0" w:space="0" w:color="auto"/>
        <w:bottom w:val="none" w:sz="0" w:space="0" w:color="auto"/>
        <w:right w:val="none" w:sz="0" w:space="0" w:color="auto"/>
      </w:divBdr>
    </w:div>
    <w:div w:id="388462469">
      <w:bodyDiv w:val="1"/>
      <w:marLeft w:val="0"/>
      <w:marRight w:val="0"/>
      <w:marTop w:val="0"/>
      <w:marBottom w:val="0"/>
      <w:divBdr>
        <w:top w:val="none" w:sz="0" w:space="0" w:color="auto"/>
        <w:left w:val="none" w:sz="0" w:space="0" w:color="auto"/>
        <w:bottom w:val="none" w:sz="0" w:space="0" w:color="auto"/>
        <w:right w:val="none" w:sz="0" w:space="0" w:color="auto"/>
      </w:divBdr>
    </w:div>
    <w:div w:id="392705599">
      <w:bodyDiv w:val="1"/>
      <w:marLeft w:val="0"/>
      <w:marRight w:val="0"/>
      <w:marTop w:val="0"/>
      <w:marBottom w:val="0"/>
      <w:divBdr>
        <w:top w:val="none" w:sz="0" w:space="0" w:color="auto"/>
        <w:left w:val="none" w:sz="0" w:space="0" w:color="auto"/>
        <w:bottom w:val="none" w:sz="0" w:space="0" w:color="auto"/>
        <w:right w:val="none" w:sz="0" w:space="0" w:color="auto"/>
      </w:divBdr>
    </w:div>
    <w:div w:id="394165660">
      <w:bodyDiv w:val="1"/>
      <w:marLeft w:val="0"/>
      <w:marRight w:val="0"/>
      <w:marTop w:val="0"/>
      <w:marBottom w:val="0"/>
      <w:divBdr>
        <w:top w:val="none" w:sz="0" w:space="0" w:color="auto"/>
        <w:left w:val="none" w:sz="0" w:space="0" w:color="auto"/>
        <w:bottom w:val="none" w:sz="0" w:space="0" w:color="auto"/>
        <w:right w:val="none" w:sz="0" w:space="0" w:color="auto"/>
      </w:divBdr>
    </w:div>
    <w:div w:id="399711701">
      <w:bodyDiv w:val="1"/>
      <w:marLeft w:val="0"/>
      <w:marRight w:val="0"/>
      <w:marTop w:val="0"/>
      <w:marBottom w:val="0"/>
      <w:divBdr>
        <w:top w:val="none" w:sz="0" w:space="0" w:color="auto"/>
        <w:left w:val="none" w:sz="0" w:space="0" w:color="auto"/>
        <w:bottom w:val="none" w:sz="0" w:space="0" w:color="auto"/>
        <w:right w:val="none" w:sz="0" w:space="0" w:color="auto"/>
      </w:divBdr>
    </w:div>
    <w:div w:id="402262339">
      <w:bodyDiv w:val="1"/>
      <w:marLeft w:val="0"/>
      <w:marRight w:val="0"/>
      <w:marTop w:val="0"/>
      <w:marBottom w:val="0"/>
      <w:divBdr>
        <w:top w:val="none" w:sz="0" w:space="0" w:color="auto"/>
        <w:left w:val="none" w:sz="0" w:space="0" w:color="auto"/>
        <w:bottom w:val="none" w:sz="0" w:space="0" w:color="auto"/>
        <w:right w:val="none" w:sz="0" w:space="0" w:color="auto"/>
      </w:divBdr>
    </w:div>
    <w:div w:id="403575244">
      <w:bodyDiv w:val="1"/>
      <w:marLeft w:val="0"/>
      <w:marRight w:val="0"/>
      <w:marTop w:val="0"/>
      <w:marBottom w:val="0"/>
      <w:divBdr>
        <w:top w:val="none" w:sz="0" w:space="0" w:color="auto"/>
        <w:left w:val="none" w:sz="0" w:space="0" w:color="auto"/>
        <w:bottom w:val="none" w:sz="0" w:space="0" w:color="auto"/>
        <w:right w:val="none" w:sz="0" w:space="0" w:color="auto"/>
      </w:divBdr>
    </w:div>
    <w:div w:id="407651893">
      <w:bodyDiv w:val="1"/>
      <w:marLeft w:val="0"/>
      <w:marRight w:val="0"/>
      <w:marTop w:val="0"/>
      <w:marBottom w:val="0"/>
      <w:divBdr>
        <w:top w:val="none" w:sz="0" w:space="0" w:color="auto"/>
        <w:left w:val="none" w:sz="0" w:space="0" w:color="auto"/>
        <w:bottom w:val="none" w:sz="0" w:space="0" w:color="auto"/>
        <w:right w:val="none" w:sz="0" w:space="0" w:color="auto"/>
      </w:divBdr>
      <w:divsChild>
        <w:div w:id="643657846">
          <w:marLeft w:val="240"/>
          <w:marRight w:val="0"/>
          <w:marTop w:val="0"/>
          <w:marBottom w:val="0"/>
          <w:divBdr>
            <w:top w:val="none" w:sz="0" w:space="0" w:color="auto"/>
            <w:left w:val="none" w:sz="0" w:space="0" w:color="auto"/>
            <w:bottom w:val="none" w:sz="0" w:space="0" w:color="auto"/>
            <w:right w:val="none" w:sz="0" w:space="0" w:color="auto"/>
          </w:divBdr>
        </w:div>
        <w:div w:id="2074889599">
          <w:marLeft w:val="240"/>
          <w:marRight w:val="0"/>
          <w:marTop w:val="0"/>
          <w:marBottom w:val="0"/>
          <w:divBdr>
            <w:top w:val="none" w:sz="0" w:space="0" w:color="auto"/>
            <w:left w:val="none" w:sz="0" w:space="0" w:color="auto"/>
            <w:bottom w:val="none" w:sz="0" w:space="0" w:color="auto"/>
            <w:right w:val="none" w:sz="0" w:space="0" w:color="auto"/>
          </w:divBdr>
        </w:div>
      </w:divsChild>
    </w:div>
    <w:div w:id="413670434">
      <w:bodyDiv w:val="1"/>
      <w:marLeft w:val="0"/>
      <w:marRight w:val="0"/>
      <w:marTop w:val="0"/>
      <w:marBottom w:val="0"/>
      <w:divBdr>
        <w:top w:val="none" w:sz="0" w:space="0" w:color="auto"/>
        <w:left w:val="none" w:sz="0" w:space="0" w:color="auto"/>
        <w:bottom w:val="none" w:sz="0" w:space="0" w:color="auto"/>
        <w:right w:val="none" w:sz="0" w:space="0" w:color="auto"/>
      </w:divBdr>
    </w:div>
    <w:div w:id="416752376">
      <w:bodyDiv w:val="1"/>
      <w:marLeft w:val="0"/>
      <w:marRight w:val="0"/>
      <w:marTop w:val="0"/>
      <w:marBottom w:val="0"/>
      <w:divBdr>
        <w:top w:val="none" w:sz="0" w:space="0" w:color="auto"/>
        <w:left w:val="none" w:sz="0" w:space="0" w:color="auto"/>
        <w:bottom w:val="none" w:sz="0" w:space="0" w:color="auto"/>
        <w:right w:val="none" w:sz="0" w:space="0" w:color="auto"/>
      </w:divBdr>
    </w:div>
    <w:div w:id="417599739">
      <w:bodyDiv w:val="1"/>
      <w:marLeft w:val="0"/>
      <w:marRight w:val="0"/>
      <w:marTop w:val="0"/>
      <w:marBottom w:val="0"/>
      <w:divBdr>
        <w:top w:val="none" w:sz="0" w:space="0" w:color="auto"/>
        <w:left w:val="none" w:sz="0" w:space="0" w:color="auto"/>
        <w:bottom w:val="none" w:sz="0" w:space="0" w:color="auto"/>
        <w:right w:val="none" w:sz="0" w:space="0" w:color="auto"/>
      </w:divBdr>
    </w:div>
    <w:div w:id="423039747">
      <w:bodyDiv w:val="1"/>
      <w:marLeft w:val="0"/>
      <w:marRight w:val="0"/>
      <w:marTop w:val="0"/>
      <w:marBottom w:val="0"/>
      <w:divBdr>
        <w:top w:val="none" w:sz="0" w:space="0" w:color="auto"/>
        <w:left w:val="none" w:sz="0" w:space="0" w:color="auto"/>
        <w:bottom w:val="none" w:sz="0" w:space="0" w:color="auto"/>
        <w:right w:val="none" w:sz="0" w:space="0" w:color="auto"/>
      </w:divBdr>
      <w:divsChild>
        <w:div w:id="311955906">
          <w:marLeft w:val="240"/>
          <w:marRight w:val="0"/>
          <w:marTop w:val="0"/>
          <w:marBottom w:val="0"/>
          <w:divBdr>
            <w:top w:val="none" w:sz="0" w:space="0" w:color="auto"/>
            <w:left w:val="none" w:sz="0" w:space="0" w:color="auto"/>
            <w:bottom w:val="none" w:sz="0" w:space="0" w:color="auto"/>
            <w:right w:val="none" w:sz="0" w:space="0" w:color="auto"/>
          </w:divBdr>
        </w:div>
        <w:div w:id="1555502482">
          <w:marLeft w:val="240"/>
          <w:marRight w:val="0"/>
          <w:marTop w:val="0"/>
          <w:marBottom w:val="0"/>
          <w:divBdr>
            <w:top w:val="none" w:sz="0" w:space="0" w:color="auto"/>
            <w:left w:val="none" w:sz="0" w:space="0" w:color="auto"/>
            <w:bottom w:val="none" w:sz="0" w:space="0" w:color="auto"/>
            <w:right w:val="none" w:sz="0" w:space="0" w:color="auto"/>
          </w:divBdr>
        </w:div>
      </w:divsChild>
    </w:div>
    <w:div w:id="428696027">
      <w:bodyDiv w:val="1"/>
      <w:marLeft w:val="0"/>
      <w:marRight w:val="0"/>
      <w:marTop w:val="0"/>
      <w:marBottom w:val="0"/>
      <w:divBdr>
        <w:top w:val="none" w:sz="0" w:space="0" w:color="auto"/>
        <w:left w:val="none" w:sz="0" w:space="0" w:color="auto"/>
        <w:bottom w:val="none" w:sz="0" w:space="0" w:color="auto"/>
        <w:right w:val="none" w:sz="0" w:space="0" w:color="auto"/>
      </w:divBdr>
    </w:div>
    <w:div w:id="430978863">
      <w:bodyDiv w:val="1"/>
      <w:marLeft w:val="0"/>
      <w:marRight w:val="0"/>
      <w:marTop w:val="0"/>
      <w:marBottom w:val="0"/>
      <w:divBdr>
        <w:top w:val="none" w:sz="0" w:space="0" w:color="auto"/>
        <w:left w:val="none" w:sz="0" w:space="0" w:color="auto"/>
        <w:bottom w:val="none" w:sz="0" w:space="0" w:color="auto"/>
        <w:right w:val="none" w:sz="0" w:space="0" w:color="auto"/>
      </w:divBdr>
    </w:div>
    <w:div w:id="435904406">
      <w:bodyDiv w:val="1"/>
      <w:marLeft w:val="0"/>
      <w:marRight w:val="0"/>
      <w:marTop w:val="0"/>
      <w:marBottom w:val="0"/>
      <w:divBdr>
        <w:top w:val="none" w:sz="0" w:space="0" w:color="auto"/>
        <w:left w:val="none" w:sz="0" w:space="0" w:color="auto"/>
        <w:bottom w:val="none" w:sz="0" w:space="0" w:color="auto"/>
        <w:right w:val="none" w:sz="0" w:space="0" w:color="auto"/>
      </w:divBdr>
    </w:div>
    <w:div w:id="440103314">
      <w:bodyDiv w:val="1"/>
      <w:marLeft w:val="0"/>
      <w:marRight w:val="0"/>
      <w:marTop w:val="0"/>
      <w:marBottom w:val="0"/>
      <w:divBdr>
        <w:top w:val="none" w:sz="0" w:space="0" w:color="auto"/>
        <w:left w:val="none" w:sz="0" w:space="0" w:color="auto"/>
        <w:bottom w:val="none" w:sz="0" w:space="0" w:color="auto"/>
        <w:right w:val="none" w:sz="0" w:space="0" w:color="auto"/>
      </w:divBdr>
    </w:div>
    <w:div w:id="442307934">
      <w:bodyDiv w:val="1"/>
      <w:marLeft w:val="0"/>
      <w:marRight w:val="0"/>
      <w:marTop w:val="0"/>
      <w:marBottom w:val="0"/>
      <w:divBdr>
        <w:top w:val="none" w:sz="0" w:space="0" w:color="auto"/>
        <w:left w:val="none" w:sz="0" w:space="0" w:color="auto"/>
        <w:bottom w:val="none" w:sz="0" w:space="0" w:color="auto"/>
        <w:right w:val="none" w:sz="0" w:space="0" w:color="auto"/>
      </w:divBdr>
    </w:div>
    <w:div w:id="449664345">
      <w:bodyDiv w:val="1"/>
      <w:marLeft w:val="0"/>
      <w:marRight w:val="0"/>
      <w:marTop w:val="0"/>
      <w:marBottom w:val="0"/>
      <w:divBdr>
        <w:top w:val="none" w:sz="0" w:space="0" w:color="auto"/>
        <w:left w:val="none" w:sz="0" w:space="0" w:color="auto"/>
        <w:bottom w:val="none" w:sz="0" w:space="0" w:color="auto"/>
        <w:right w:val="none" w:sz="0" w:space="0" w:color="auto"/>
      </w:divBdr>
    </w:div>
    <w:div w:id="450788891">
      <w:bodyDiv w:val="1"/>
      <w:marLeft w:val="0"/>
      <w:marRight w:val="0"/>
      <w:marTop w:val="0"/>
      <w:marBottom w:val="0"/>
      <w:divBdr>
        <w:top w:val="none" w:sz="0" w:space="0" w:color="auto"/>
        <w:left w:val="none" w:sz="0" w:space="0" w:color="auto"/>
        <w:bottom w:val="none" w:sz="0" w:space="0" w:color="auto"/>
        <w:right w:val="none" w:sz="0" w:space="0" w:color="auto"/>
      </w:divBdr>
    </w:div>
    <w:div w:id="468985274">
      <w:bodyDiv w:val="1"/>
      <w:marLeft w:val="0"/>
      <w:marRight w:val="0"/>
      <w:marTop w:val="0"/>
      <w:marBottom w:val="0"/>
      <w:divBdr>
        <w:top w:val="none" w:sz="0" w:space="0" w:color="auto"/>
        <w:left w:val="none" w:sz="0" w:space="0" w:color="auto"/>
        <w:bottom w:val="none" w:sz="0" w:space="0" w:color="auto"/>
        <w:right w:val="none" w:sz="0" w:space="0" w:color="auto"/>
      </w:divBdr>
    </w:div>
    <w:div w:id="470638590">
      <w:bodyDiv w:val="1"/>
      <w:marLeft w:val="0"/>
      <w:marRight w:val="0"/>
      <w:marTop w:val="0"/>
      <w:marBottom w:val="0"/>
      <w:divBdr>
        <w:top w:val="none" w:sz="0" w:space="0" w:color="auto"/>
        <w:left w:val="none" w:sz="0" w:space="0" w:color="auto"/>
        <w:bottom w:val="none" w:sz="0" w:space="0" w:color="auto"/>
        <w:right w:val="none" w:sz="0" w:space="0" w:color="auto"/>
      </w:divBdr>
    </w:div>
    <w:div w:id="472333233">
      <w:bodyDiv w:val="1"/>
      <w:marLeft w:val="0"/>
      <w:marRight w:val="0"/>
      <w:marTop w:val="0"/>
      <w:marBottom w:val="0"/>
      <w:divBdr>
        <w:top w:val="none" w:sz="0" w:space="0" w:color="auto"/>
        <w:left w:val="none" w:sz="0" w:space="0" w:color="auto"/>
        <w:bottom w:val="none" w:sz="0" w:space="0" w:color="auto"/>
        <w:right w:val="none" w:sz="0" w:space="0" w:color="auto"/>
      </w:divBdr>
    </w:div>
    <w:div w:id="482626438">
      <w:bodyDiv w:val="1"/>
      <w:marLeft w:val="0"/>
      <w:marRight w:val="0"/>
      <w:marTop w:val="0"/>
      <w:marBottom w:val="0"/>
      <w:divBdr>
        <w:top w:val="none" w:sz="0" w:space="0" w:color="auto"/>
        <w:left w:val="none" w:sz="0" w:space="0" w:color="auto"/>
        <w:bottom w:val="none" w:sz="0" w:space="0" w:color="auto"/>
        <w:right w:val="none" w:sz="0" w:space="0" w:color="auto"/>
      </w:divBdr>
    </w:div>
    <w:div w:id="489760960">
      <w:bodyDiv w:val="1"/>
      <w:marLeft w:val="0"/>
      <w:marRight w:val="0"/>
      <w:marTop w:val="0"/>
      <w:marBottom w:val="0"/>
      <w:divBdr>
        <w:top w:val="none" w:sz="0" w:space="0" w:color="auto"/>
        <w:left w:val="none" w:sz="0" w:space="0" w:color="auto"/>
        <w:bottom w:val="none" w:sz="0" w:space="0" w:color="auto"/>
        <w:right w:val="none" w:sz="0" w:space="0" w:color="auto"/>
      </w:divBdr>
      <w:divsChild>
        <w:div w:id="362561444">
          <w:marLeft w:val="720"/>
          <w:marRight w:val="0"/>
          <w:marTop w:val="0"/>
          <w:marBottom w:val="0"/>
          <w:divBdr>
            <w:top w:val="none" w:sz="0" w:space="0" w:color="auto"/>
            <w:left w:val="none" w:sz="0" w:space="0" w:color="auto"/>
            <w:bottom w:val="none" w:sz="0" w:space="0" w:color="auto"/>
            <w:right w:val="none" w:sz="0" w:space="0" w:color="auto"/>
          </w:divBdr>
        </w:div>
        <w:div w:id="958335244">
          <w:marLeft w:val="720"/>
          <w:marRight w:val="0"/>
          <w:marTop w:val="0"/>
          <w:marBottom w:val="0"/>
          <w:divBdr>
            <w:top w:val="none" w:sz="0" w:space="0" w:color="auto"/>
            <w:left w:val="none" w:sz="0" w:space="0" w:color="auto"/>
            <w:bottom w:val="none" w:sz="0" w:space="0" w:color="auto"/>
            <w:right w:val="none" w:sz="0" w:space="0" w:color="auto"/>
          </w:divBdr>
        </w:div>
        <w:div w:id="1390111840">
          <w:marLeft w:val="720"/>
          <w:marRight w:val="0"/>
          <w:marTop w:val="0"/>
          <w:marBottom w:val="0"/>
          <w:divBdr>
            <w:top w:val="none" w:sz="0" w:space="0" w:color="auto"/>
            <w:left w:val="none" w:sz="0" w:space="0" w:color="auto"/>
            <w:bottom w:val="none" w:sz="0" w:space="0" w:color="auto"/>
            <w:right w:val="none" w:sz="0" w:space="0" w:color="auto"/>
          </w:divBdr>
        </w:div>
      </w:divsChild>
    </w:div>
    <w:div w:id="494878846">
      <w:bodyDiv w:val="1"/>
      <w:marLeft w:val="0"/>
      <w:marRight w:val="0"/>
      <w:marTop w:val="0"/>
      <w:marBottom w:val="0"/>
      <w:divBdr>
        <w:top w:val="none" w:sz="0" w:space="0" w:color="auto"/>
        <w:left w:val="none" w:sz="0" w:space="0" w:color="auto"/>
        <w:bottom w:val="none" w:sz="0" w:space="0" w:color="auto"/>
        <w:right w:val="none" w:sz="0" w:space="0" w:color="auto"/>
      </w:divBdr>
    </w:div>
    <w:div w:id="501358824">
      <w:bodyDiv w:val="1"/>
      <w:marLeft w:val="0"/>
      <w:marRight w:val="0"/>
      <w:marTop w:val="0"/>
      <w:marBottom w:val="0"/>
      <w:divBdr>
        <w:top w:val="none" w:sz="0" w:space="0" w:color="auto"/>
        <w:left w:val="none" w:sz="0" w:space="0" w:color="auto"/>
        <w:bottom w:val="none" w:sz="0" w:space="0" w:color="auto"/>
        <w:right w:val="none" w:sz="0" w:space="0" w:color="auto"/>
      </w:divBdr>
    </w:div>
    <w:div w:id="505095480">
      <w:bodyDiv w:val="1"/>
      <w:marLeft w:val="0"/>
      <w:marRight w:val="0"/>
      <w:marTop w:val="0"/>
      <w:marBottom w:val="0"/>
      <w:divBdr>
        <w:top w:val="none" w:sz="0" w:space="0" w:color="auto"/>
        <w:left w:val="none" w:sz="0" w:space="0" w:color="auto"/>
        <w:bottom w:val="none" w:sz="0" w:space="0" w:color="auto"/>
        <w:right w:val="none" w:sz="0" w:space="0" w:color="auto"/>
      </w:divBdr>
    </w:div>
    <w:div w:id="507407625">
      <w:bodyDiv w:val="1"/>
      <w:marLeft w:val="0"/>
      <w:marRight w:val="0"/>
      <w:marTop w:val="0"/>
      <w:marBottom w:val="0"/>
      <w:divBdr>
        <w:top w:val="none" w:sz="0" w:space="0" w:color="auto"/>
        <w:left w:val="none" w:sz="0" w:space="0" w:color="auto"/>
        <w:bottom w:val="none" w:sz="0" w:space="0" w:color="auto"/>
        <w:right w:val="none" w:sz="0" w:space="0" w:color="auto"/>
      </w:divBdr>
    </w:div>
    <w:div w:id="508984579">
      <w:bodyDiv w:val="1"/>
      <w:marLeft w:val="0"/>
      <w:marRight w:val="0"/>
      <w:marTop w:val="0"/>
      <w:marBottom w:val="0"/>
      <w:divBdr>
        <w:top w:val="none" w:sz="0" w:space="0" w:color="auto"/>
        <w:left w:val="none" w:sz="0" w:space="0" w:color="auto"/>
        <w:bottom w:val="none" w:sz="0" w:space="0" w:color="auto"/>
        <w:right w:val="none" w:sz="0" w:space="0" w:color="auto"/>
      </w:divBdr>
    </w:div>
    <w:div w:id="510071750">
      <w:bodyDiv w:val="1"/>
      <w:marLeft w:val="0"/>
      <w:marRight w:val="0"/>
      <w:marTop w:val="0"/>
      <w:marBottom w:val="0"/>
      <w:divBdr>
        <w:top w:val="none" w:sz="0" w:space="0" w:color="auto"/>
        <w:left w:val="none" w:sz="0" w:space="0" w:color="auto"/>
        <w:bottom w:val="none" w:sz="0" w:space="0" w:color="auto"/>
        <w:right w:val="none" w:sz="0" w:space="0" w:color="auto"/>
      </w:divBdr>
    </w:div>
    <w:div w:id="514999112">
      <w:bodyDiv w:val="1"/>
      <w:marLeft w:val="0"/>
      <w:marRight w:val="0"/>
      <w:marTop w:val="0"/>
      <w:marBottom w:val="0"/>
      <w:divBdr>
        <w:top w:val="none" w:sz="0" w:space="0" w:color="auto"/>
        <w:left w:val="none" w:sz="0" w:space="0" w:color="auto"/>
        <w:bottom w:val="none" w:sz="0" w:space="0" w:color="auto"/>
        <w:right w:val="none" w:sz="0" w:space="0" w:color="auto"/>
      </w:divBdr>
    </w:div>
    <w:div w:id="517740534">
      <w:bodyDiv w:val="1"/>
      <w:marLeft w:val="0"/>
      <w:marRight w:val="0"/>
      <w:marTop w:val="0"/>
      <w:marBottom w:val="0"/>
      <w:divBdr>
        <w:top w:val="none" w:sz="0" w:space="0" w:color="auto"/>
        <w:left w:val="none" w:sz="0" w:space="0" w:color="auto"/>
        <w:bottom w:val="none" w:sz="0" w:space="0" w:color="auto"/>
        <w:right w:val="none" w:sz="0" w:space="0" w:color="auto"/>
      </w:divBdr>
    </w:div>
    <w:div w:id="519514884">
      <w:bodyDiv w:val="1"/>
      <w:marLeft w:val="0"/>
      <w:marRight w:val="0"/>
      <w:marTop w:val="0"/>
      <w:marBottom w:val="0"/>
      <w:divBdr>
        <w:top w:val="none" w:sz="0" w:space="0" w:color="auto"/>
        <w:left w:val="none" w:sz="0" w:space="0" w:color="auto"/>
        <w:bottom w:val="none" w:sz="0" w:space="0" w:color="auto"/>
        <w:right w:val="none" w:sz="0" w:space="0" w:color="auto"/>
      </w:divBdr>
    </w:div>
    <w:div w:id="522742918">
      <w:bodyDiv w:val="1"/>
      <w:marLeft w:val="0"/>
      <w:marRight w:val="0"/>
      <w:marTop w:val="0"/>
      <w:marBottom w:val="0"/>
      <w:divBdr>
        <w:top w:val="none" w:sz="0" w:space="0" w:color="auto"/>
        <w:left w:val="none" w:sz="0" w:space="0" w:color="auto"/>
        <w:bottom w:val="none" w:sz="0" w:space="0" w:color="auto"/>
        <w:right w:val="none" w:sz="0" w:space="0" w:color="auto"/>
      </w:divBdr>
    </w:div>
    <w:div w:id="533270364">
      <w:bodyDiv w:val="1"/>
      <w:marLeft w:val="0"/>
      <w:marRight w:val="0"/>
      <w:marTop w:val="0"/>
      <w:marBottom w:val="0"/>
      <w:divBdr>
        <w:top w:val="none" w:sz="0" w:space="0" w:color="auto"/>
        <w:left w:val="none" w:sz="0" w:space="0" w:color="auto"/>
        <w:bottom w:val="none" w:sz="0" w:space="0" w:color="auto"/>
        <w:right w:val="none" w:sz="0" w:space="0" w:color="auto"/>
      </w:divBdr>
    </w:div>
    <w:div w:id="534078326">
      <w:bodyDiv w:val="1"/>
      <w:marLeft w:val="0"/>
      <w:marRight w:val="0"/>
      <w:marTop w:val="0"/>
      <w:marBottom w:val="0"/>
      <w:divBdr>
        <w:top w:val="none" w:sz="0" w:space="0" w:color="auto"/>
        <w:left w:val="none" w:sz="0" w:space="0" w:color="auto"/>
        <w:bottom w:val="none" w:sz="0" w:space="0" w:color="auto"/>
        <w:right w:val="none" w:sz="0" w:space="0" w:color="auto"/>
      </w:divBdr>
    </w:div>
    <w:div w:id="541214041">
      <w:bodyDiv w:val="1"/>
      <w:marLeft w:val="0"/>
      <w:marRight w:val="0"/>
      <w:marTop w:val="0"/>
      <w:marBottom w:val="0"/>
      <w:divBdr>
        <w:top w:val="none" w:sz="0" w:space="0" w:color="auto"/>
        <w:left w:val="none" w:sz="0" w:space="0" w:color="auto"/>
        <w:bottom w:val="none" w:sz="0" w:space="0" w:color="auto"/>
        <w:right w:val="none" w:sz="0" w:space="0" w:color="auto"/>
      </w:divBdr>
    </w:div>
    <w:div w:id="541940412">
      <w:bodyDiv w:val="1"/>
      <w:marLeft w:val="0"/>
      <w:marRight w:val="0"/>
      <w:marTop w:val="0"/>
      <w:marBottom w:val="0"/>
      <w:divBdr>
        <w:top w:val="none" w:sz="0" w:space="0" w:color="auto"/>
        <w:left w:val="none" w:sz="0" w:space="0" w:color="auto"/>
        <w:bottom w:val="none" w:sz="0" w:space="0" w:color="auto"/>
        <w:right w:val="none" w:sz="0" w:space="0" w:color="auto"/>
      </w:divBdr>
    </w:div>
    <w:div w:id="547107905">
      <w:bodyDiv w:val="1"/>
      <w:marLeft w:val="0"/>
      <w:marRight w:val="0"/>
      <w:marTop w:val="0"/>
      <w:marBottom w:val="0"/>
      <w:divBdr>
        <w:top w:val="none" w:sz="0" w:space="0" w:color="auto"/>
        <w:left w:val="none" w:sz="0" w:space="0" w:color="auto"/>
        <w:bottom w:val="none" w:sz="0" w:space="0" w:color="auto"/>
        <w:right w:val="none" w:sz="0" w:space="0" w:color="auto"/>
      </w:divBdr>
    </w:div>
    <w:div w:id="555506867">
      <w:bodyDiv w:val="1"/>
      <w:marLeft w:val="0"/>
      <w:marRight w:val="0"/>
      <w:marTop w:val="0"/>
      <w:marBottom w:val="0"/>
      <w:divBdr>
        <w:top w:val="none" w:sz="0" w:space="0" w:color="auto"/>
        <w:left w:val="none" w:sz="0" w:space="0" w:color="auto"/>
        <w:bottom w:val="none" w:sz="0" w:space="0" w:color="auto"/>
        <w:right w:val="none" w:sz="0" w:space="0" w:color="auto"/>
      </w:divBdr>
    </w:div>
    <w:div w:id="561670761">
      <w:bodyDiv w:val="1"/>
      <w:marLeft w:val="0"/>
      <w:marRight w:val="0"/>
      <w:marTop w:val="0"/>
      <w:marBottom w:val="0"/>
      <w:divBdr>
        <w:top w:val="none" w:sz="0" w:space="0" w:color="auto"/>
        <w:left w:val="none" w:sz="0" w:space="0" w:color="auto"/>
        <w:bottom w:val="none" w:sz="0" w:space="0" w:color="auto"/>
        <w:right w:val="none" w:sz="0" w:space="0" w:color="auto"/>
      </w:divBdr>
    </w:div>
    <w:div w:id="565838939">
      <w:bodyDiv w:val="1"/>
      <w:marLeft w:val="0"/>
      <w:marRight w:val="0"/>
      <w:marTop w:val="0"/>
      <w:marBottom w:val="0"/>
      <w:divBdr>
        <w:top w:val="none" w:sz="0" w:space="0" w:color="auto"/>
        <w:left w:val="none" w:sz="0" w:space="0" w:color="auto"/>
        <w:bottom w:val="none" w:sz="0" w:space="0" w:color="auto"/>
        <w:right w:val="none" w:sz="0" w:space="0" w:color="auto"/>
      </w:divBdr>
    </w:div>
    <w:div w:id="576406930">
      <w:bodyDiv w:val="1"/>
      <w:marLeft w:val="0"/>
      <w:marRight w:val="0"/>
      <w:marTop w:val="0"/>
      <w:marBottom w:val="0"/>
      <w:divBdr>
        <w:top w:val="none" w:sz="0" w:space="0" w:color="auto"/>
        <w:left w:val="none" w:sz="0" w:space="0" w:color="auto"/>
        <w:bottom w:val="none" w:sz="0" w:space="0" w:color="auto"/>
        <w:right w:val="none" w:sz="0" w:space="0" w:color="auto"/>
      </w:divBdr>
    </w:div>
    <w:div w:id="578252130">
      <w:bodyDiv w:val="1"/>
      <w:marLeft w:val="0"/>
      <w:marRight w:val="0"/>
      <w:marTop w:val="0"/>
      <w:marBottom w:val="0"/>
      <w:divBdr>
        <w:top w:val="none" w:sz="0" w:space="0" w:color="auto"/>
        <w:left w:val="none" w:sz="0" w:space="0" w:color="auto"/>
        <w:bottom w:val="none" w:sz="0" w:space="0" w:color="auto"/>
        <w:right w:val="none" w:sz="0" w:space="0" w:color="auto"/>
      </w:divBdr>
    </w:div>
    <w:div w:id="579340029">
      <w:bodyDiv w:val="1"/>
      <w:marLeft w:val="0"/>
      <w:marRight w:val="0"/>
      <w:marTop w:val="0"/>
      <w:marBottom w:val="0"/>
      <w:divBdr>
        <w:top w:val="none" w:sz="0" w:space="0" w:color="auto"/>
        <w:left w:val="none" w:sz="0" w:space="0" w:color="auto"/>
        <w:bottom w:val="none" w:sz="0" w:space="0" w:color="auto"/>
        <w:right w:val="none" w:sz="0" w:space="0" w:color="auto"/>
      </w:divBdr>
    </w:div>
    <w:div w:id="582179973">
      <w:bodyDiv w:val="1"/>
      <w:marLeft w:val="0"/>
      <w:marRight w:val="0"/>
      <w:marTop w:val="0"/>
      <w:marBottom w:val="0"/>
      <w:divBdr>
        <w:top w:val="none" w:sz="0" w:space="0" w:color="auto"/>
        <w:left w:val="none" w:sz="0" w:space="0" w:color="auto"/>
        <w:bottom w:val="none" w:sz="0" w:space="0" w:color="auto"/>
        <w:right w:val="none" w:sz="0" w:space="0" w:color="auto"/>
      </w:divBdr>
    </w:div>
    <w:div w:id="584076126">
      <w:bodyDiv w:val="1"/>
      <w:marLeft w:val="0"/>
      <w:marRight w:val="0"/>
      <w:marTop w:val="0"/>
      <w:marBottom w:val="0"/>
      <w:divBdr>
        <w:top w:val="none" w:sz="0" w:space="0" w:color="auto"/>
        <w:left w:val="none" w:sz="0" w:space="0" w:color="auto"/>
        <w:bottom w:val="none" w:sz="0" w:space="0" w:color="auto"/>
        <w:right w:val="none" w:sz="0" w:space="0" w:color="auto"/>
      </w:divBdr>
      <w:divsChild>
        <w:div w:id="568882570">
          <w:marLeft w:val="720"/>
          <w:marRight w:val="0"/>
          <w:marTop w:val="0"/>
          <w:marBottom w:val="0"/>
          <w:divBdr>
            <w:top w:val="none" w:sz="0" w:space="0" w:color="auto"/>
            <w:left w:val="none" w:sz="0" w:space="0" w:color="auto"/>
            <w:bottom w:val="none" w:sz="0" w:space="0" w:color="auto"/>
            <w:right w:val="none" w:sz="0" w:space="0" w:color="auto"/>
          </w:divBdr>
        </w:div>
        <w:div w:id="1322660024">
          <w:marLeft w:val="720"/>
          <w:marRight w:val="0"/>
          <w:marTop w:val="0"/>
          <w:marBottom w:val="0"/>
          <w:divBdr>
            <w:top w:val="none" w:sz="0" w:space="0" w:color="auto"/>
            <w:left w:val="none" w:sz="0" w:space="0" w:color="auto"/>
            <w:bottom w:val="none" w:sz="0" w:space="0" w:color="auto"/>
            <w:right w:val="none" w:sz="0" w:space="0" w:color="auto"/>
          </w:divBdr>
        </w:div>
        <w:div w:id="1453940585">
          <w:marLeft w:val="720"/>
          <w:marRight w:val="0"/>
          <w:marTop w:val="0"/>
          <w:marBottom w:val="0"/>
          <w:divBdr>
            <w:top w:val="none" w:sz="0" w:space="0" w:color="auto"/>
            <w:left w:val="none" w:sz="0" w:space="0" w:color="auto"/>
            <w:bottom w:val="none" w:sz="0" w:space="0" w:color="auto"/>
            <w:right w:val="none" w:sz="0" w:space="0" w:color="auto"/>
          </w:divBdr>
        </w:div>
        <w:div w:id="1577980824">
          <w:marLeft w:val="720"/>
          <w:marRight w:val="0"/>
          <w:marTop w:val="0"/>
          <w:marBottom w:val="0"/>
          <w:divBdr>
            <w:top w:val="none" w:sz="0" w:space="0" w:color="auto"/>
            <w:left w:val="none" w:sz="0" w:space="0" w:color="auto"/>
            <w:bottom w:val="none" w:sz="0" w:space="0" w:color="auto"/>
            <w:right w:val="none" w:sz="0" w:space="0" w:color="auto"/>
          </w:divBdr>
        </w:div>
        <w:div w:id="1990161422">
          <w:marLeft w:val="720"/>
          <w:marRight w:val="0"/>
          <w:marTop w:val="0"/>
          <w:marBottom w:val="0"/>
          <w:divBdr>
            <w:top w:val="none" w:sz="0" w:space="0" w:color="auto"/>
            <w:left w:val="none" w:sz="0" w:space="0" w:color="auto"/>
            <w:bottom w:val="none" w:sz="0" w:space="0" w:color="auto"/>
            <w:right w:val="none" w:sz="0" w:space="0" w:color="auto"/>
          </w:divBdr>
        </w:div>
      </w:divsChild>
    </w:div>
    <w:div w:id="591360029">
      <w:bodyDiv w:val="1"/>
      <w:marLeft w:val="0"/>
      <w:marRight w:val="0"/>
      <w:marTop w:val="0"/>
      <w:marBottom w:val="0"/>
      <w:divBdr>
        <w:top w:val="none" w:sz="0" w:space="0" w:color="auto"/>
        <w:left w:val="none" w:sz="0" w:space="0" w:color="auto"/>
        <w:bottom w:val="none" w:sz="0" w:space="0" w:color="auto"/>
        <w:right w:val="none" w:sz="0" w:space="0" w:color="auto"/>
      </w:divBdr>
    </w:div>
    <w:div w:id="600332891">
      <w:bodyDiv w:val="1"/>
      <w:marLeft w:val="0"/>
      <w:marRight w:val="0"/>
      <w:marTop w:val="0"/>
      <w:marBottom w:val="0"/>
      <w:divBdr>
        <w:top w:val="none" w:sz="0" w:space="0" w:color="auto"/>
        <w:left w:val="none" w:sz="0" w:space="0" w:color="auto"/>
        <w:bottom w:val="none" w:sz="0" w:space="0" w:color="auto"/>
        <w:right w:val="none" w:sz="0" w:space="0" w:color="auto"/>
      </w:divBdr>
    </w:div>
    <w:div w:id="605234722">
      <w:bodyDiv w:val="1"/>
      <w:marLeft w:val="0"/>
      <w:marRight w:val="0"/>
      <w:marTop w:val="0"/>
      <w:marBottom w:val="0"/>
      <w:divBdr>
        <w:top w:val="none" w:sz="0" w:space="0" w:color="auto"/>
        <w:left w:val="none" w:sz="0" w:space="0" w:color="auto"/>
        <w:bottom w:val="none" w:sz="0" w:space="0" w:color="auto"/>
        <w:right w:val="none" w:sz="0" w:space="0" w:color="auto"/>
      </w:divBdr>
    </w:div>
    <w:div w:id="605573885">
      <w:bodyDiv w:val="1"/>
      <w:marLeft w:val="0"/>
      <w:marRight w:val="0"/>
      <w:marTop w:val="0"/>
      <w:marBottom w:val="0"/>
      <w:divBdr>
        <w:top w:val="none" w:sz="0" w:space="0" w:color="auto"/>
        <w:left w:val="none" w:sz="0" w:space="0" w:color="auto"/>
        <w:bottom w:val="none" w:sz="0" w:space="0" w:color="auto"/>
        <w:right w:val="none" w:sz="0" w:space="0" w:color="auto"/>
      </w:divBdr>
    </w:div>
    <w:div w:id="607591301">
      <w:bodyDiv w:val="1"/>
      <w:marLeft w:val="0"/>
      <w:marRight w:val="0"/>
      <w:marTop w:val="0"/>
      <w:marBottom w:val="0"/>
      <w:divBdr>
        <w:top w:val="none" w:sz="0" w:space="0" w:color="auto"/>
        <w:left w:val="none" w:sz="0" w:space="0" w:color="auto"/>
        <w:bottom w:val="none" w:sz="0" w:space="0" w:color="auto"/>
        <w:right w:val="none" w:sz="0" w:space="0" w:color="auto"/>
      </w:divBdr>
      <w:divsChild>
        <w:div w:id="1571384468">
          <w:marLeft w:val="600"/>
          <w:marRight w:val="0"/>
          <w:marTop w:val="0"/>
          <w:marBottom w:val="0"/>
          <w:divBdr>
            <w:top w:val="none" w:sz="0" w:space="0" w:color="auto"/>
            <w:left w:val="none" w:sz="0" w:space="0" w:color="auto"/>
            <w:bottom w:val="none" w:sz="0" w:space="0" w:color="auto"/>
            <w:right w:val="none" w:sz="0" w:space="0" w:color="auto"/>
          </w:divBdr>
        </w:div>
      </w:divsChild>
    </w:div>
    <w:div w:id="616840996">
      <w:bodyDiv w:val="1"/>
      <w:marLeft w:val="0"/>
      <w:marRight w:val="0"/>
      <w:marTop w:val="0"/>
      <w:marBottom w:val="0"/>
      <w:divBdr>
        <w:top w:val="none" w:sz="0" w:space="0" w:color="auto"/>
        <w:left w:val="none" w:sz="0" w:space="0" w:color="auto"/>
        <w:bottom w:val="none" w:sz="0" w:space="0" w:color="auto"/>
        <w:right w:val="none" w:sz="0" w:space="0" w:color="auto"/>
      </w:divBdr>
      <w:divsChild>
        <w:div w:id="270665899">
          <w:marLeft w:val="720"/>
          <w:marRight w:val="0"/>
          <w:marTop w:val="0"/>
          <w:marBottom w:val="0"/>
          <w:divBdr>
            <w:top w:val="none" w:sz="0" w:space="0" w:color="auto"/>
            <w:left w:val="none" w:sz="0" w:space="0" w:color="auto"/>
            <w:bottom w:val="none" w:sz="0" w:space="0" w:color="auto"/>
            <w:right w:val="none" w:sz="0" w:space="0" w:color="auto"/>
          </w:divBdr>
        </w:div>
        <w:div w:id="1155074551">
          <w:marLeft w:val="720"/>
          <w:marRight w:val="0"/>
          <w:marTop w:val="0"/>
          <w:marBottom w:val="0"/>
          <w:divBdr>
            <w:top w:val="none" w:sz="0" w:space="0" w:color="auto"/>
            <w:left w:val="none" w:sz="0" w:space="0" w:color="auto"/>
            <w:bottom w:val="none" w:sz="0" w:space="0" w:color="auto"/>
            <w:right w:val="none" w:sz="0" w:space="0" w:color="auto"/>
          </w:divBdr>
        </w:div>
        <w:div w:id="1545098897">
          <w:marLeft w:val="720"/>
          <w:marRight w:val="0"/>
          <w:marTop w:val="0"/>
          <w:marBottom w:val="0"/>
          <w:divBdr>
            <w:top w:val="none" w:sz="0" w:space="0" w:color="auto"/>
            <w:left w:val="none" w:sz="0" w:space="0" w:color="auto"/>
            <w:bottom w:val="none" w:sz="0" w:space="0" w:color="auto"/>
            <w:right w:val="none" w:sz="0" w:space="0" w:color="auto"/>
          </w:divBdr>
        </w:div>
      </w:divsChild>
    </w:div>
    <w:div w:id="623652937">
      <w:bodyDiv w:val="1"/>
      <w:marLeft w:val="0"/>
      <w:marRight w:val="0"/>
      <w:marTop w:val="0"/>
      <w:marBottom w:val="0"/>
      <w:divBdr>
        <w:top w:val="none" w:sz="0" w:space="0" w:color="auto"/>
        <w:left w:val="none" w:sz="0" w:space="0" w:color="auto"/>
        <w:bottom w:val="none" w:sz="0" w:space="0" w:color="auto"/>
        <w:right w:val="none" w:sz="0" w:space="0" w:color="auto"/>
      </w:divBdr>
      <w:divsChild>
        <w:div w:id="249705006">
          <w:marLeft w:val="240"/>
          <w:marRight w:val="0"/>
          <w:marTop w:val="0"/>
          <w:marBottom w:val="0"/>
          <w:divBdr>
            <w:top w:val="none" w:sz="0" w:space="0" w:color="auto"/>
            <w:left w:val="none" w:sz="0" w:space="0" w:color="auto"/>
            <w:bottom w:val="none" w:sz="0" w:space="0" w:color="auto"/>
            <w:right w:val="none" w:sz="0" w:space="0" w:color="auto"/>
          </w:divBdr>
        </w:div>
      </w:divsChild>
    </w:div>
    <w:div w:id="630670713">
      <w:bodyDiv w:val="1"/>
      <w:marLeft w:val="0"/>
      <w:marRight w:val="0"/>
      <w:marTop w:val="0"/>
      <w:marBottom w:val="0"/>
      <w:divBdr>
        <w:top w:val="none" w:sz="0" w:space="0" w:color="auto"/>
        <w:left w:val="none" w:sz="0" w:space="0" w:color="auto"/>
        <w:bottom w:val="none" w:sz="0" w:space="0" w:color="auto"/>
        <w:right w:val="none" w:sz="0" w:space="0" w:color="auto"/>
      </w:divBdr>
    </w:div>
    <w:div w:id="632758255">
      <w:bodyDiv w:val="1"/>
      <w:marLeft w:val="0"/>
      <w:marRight w:val="0"/>
      <w:marTop w:val="0"/>
      <w:marBottom w:val="0"/>
      <w:divBdr>
        <w:top w:val="none" w:sz="0" w:space="0" w:color="auto"/>
        <w:left w:val="none" w:sz="0" w:space="0" w:color="auto"/>
        <w:bottom w:val="none" w:sz="0" w:space="0" w:color="auto"/>
        <w:right w:val="none" w:sz="0" w:space="0" w:color="auto"/>
      </w:divBdr>
      <w:divsChild>
        <w:div w:id="202524132">
          <w:marLeft w:val="720"/>
          <w:marRight w:val="0"/>
          <w:marTop w:val="0"/>
          <w:marBottom w:val="0"/>
          <w:divBdr>
            <w:top w:val="none" w:sz="0" w:space="0" w:color="auto"/>
            <w:left w:val="none" w:sz="0" w:space="0" w:color="auto"/>
            <w:bottom w:val="none" w:sz="0" w:space="0" w:color="auto"/>
            <w:right w:val="none" w:sz="0" w:space="0" w:color="auto"/>
          </w:divBdr>
        </w:div>
        <w:div w:id="356270142">
          <w:marLeft w:val="720"/>
          <w:marRight w:val="0"/>
          <w:marTop w:val="0"/>
          <w:marBottom w:val="0"/>
          <w:divBdr>
            <w:top w:val="none" w:sz="0" w:space="0" w:color="auto"/>
            <w:left w:val="none" w:sz="0" w:space="0" w:color="auto"/>
            <w:bottom w:val="none" w:sz="0" w:space="0" w:color="auto"/>
            <w:right w:val="none" w:sz="0" w:space="0" w:color="auto"/>
          </w:divBdr>
        </w:div>
        <w:div w:id="1400637731">
          <w:marLeft w:val="720"/>
          <w:marRight w:val="0"/>
          <w:marTop w:val="0"/>
          <w:marBottom w:val="0"/>
          <w:divBdr>
            <w:top w:val="none" w:sz="0" w:space="0" w:color="auto"/>
            <w:left w:val="none" w:sz="0" w:space="0" w:color="auto"/>
            <w:bottom w:val="none" w:sz="0" w:space="0" w:color="auto"/>
            <w:right w:val="none" w:sz="0" w:space="0" w:color="auto"/>
          </w:divBdr>
        </w:div>
      </w:divsChild>
    </w:div>
    <w:div w:id="633675452">
      <w:bodyDiv w:val="1"/>
      <w:marLeft w:val="0"/>
      <w:marRight w:val="0"/>
      <w:marTop w:val="0"/>
      <w:marBottom w:val="0"/>
      <w:divBdr>
        <w:top w:val="none" w:sz="0" w:space="0" w:color="auto"/>
        <w:left w:val="none" w:sz="0" w:space="0" w:color="auto"/>
        <w:bottom w:val="none" w:sz="0" w:space="0" w:color="auto"/>
        <w:right w:val="none" w:sz="0" w:space="0" w:color="auto"/>
      </w:divBdr>
    </w:div>
    <w:div w:id="642737330">
      <w:bodyDiv w:val="1"/>
      <w:marLeft w:val="0"/>
      <w:marRight w:val="0"/>
      <w:marTop w:val="0"/>
      <w:marBottom w:val="0"/>
      <w:divBdr>
        <w:top w:val="none" w:sz="0" w:space="0" w:color="auto"/>
        <w:left w:val="none" w:sz="0" w:space="0" w:color="auto"/>
        <w:bottom w:val="none" w:sz="0" w:space="0" w:color="auto"/>
        <w:right w:val="none" w:sz="0" w:space="0" w:color="auto"/>
      </w:divBdr>
    </w:div>
    <w:div w:id="645740155">
      <w:bodyDiv w:val="1"/>
      <w:marLeft w:val="0"/>
      <w:marRight w:val="0"/>
      <w:marTop w:val="0"/>
      <w:marBottom w:val="0"/>
      <w:divBdr>
        <w:top w:val="none" w:sz="0" w:space="0" w:color="auto"/>
        <w:left w:val="none" w:sz="0" w:space="0" w:color="auto"/>
        <w:bottom w:val="none" w:sz="0" w:space="0" w:color="auto"/>
        <w:right w:val="none" w:sz="0" w:space="0" w:color="auto"/>
      </w:divBdr>
    </w:div>
    <w:div w:id="646207887">
      <w:bodyDiv w:val="1"/>
      <w:marLeft w:val="0"/>
      <w:marRight w:val="0"/>
      <w:marTop w:val="0"/>
      <w:marBottom w:val="0"/>
      <w:divBdr>
        <w:top w:val="none" w:sz="0" w:space="0" w:color="auto"/>
        <w:left w:val="none" w:sz="0" w:space="0" w:color="auto"/>
        <w:bottom w:val="none" w:sz="0" w:space="0" w:color="auto"/>
        <w:right w:val="none" w:sz="0" w:space="0" w:color="auto"/>
      </w:divBdr>
    </w:div>
    <w:div w:id="653072059">
      <w:bodyDiv w:val="1"/>
      <w:marLeft w:val="0"/>
      <w:marRight w:val="0"/>
      <w:marTop w:val="0"/>
      <w:marBottom w:val="0"/>
      <w:divBdr>
        <w:top w:val="none" w:sz="0" w:space="0" w:color="auto"/>
        <w:left w:val="none" w:sz="0" w:space="0" w:color="auto"/>
        <w:bottom w:val="none" w:sz="0" w:space="0" w:color="auto"/>
        <w:right w:val="none" w:sz="0" w:space="0" w:color="auto"/>
      </w:divBdr>
    </w:div>
    <w:div w:id="659382677">
      <w:bodyDiv w:val="1"/>
      <w:marLeft w:val="0"/>
      <w:marRight w:val="0"/>
      <w:marTop w:val="0"/>
      <w:marBottom w:val="0"/>
      <w:divBdr>
        <w:top w:val="none" w:sz="0" w:space="0" w:color="auto"/>
        <w:left w:val="none" w:sz="0" w:space="0" w:color="auto"/>
        <w:bottom w:val="none" w:sz="0" w:space="0" w:color="auto"/>
        <w:right w:val="none" w:sz="0" w:space="0" w:color="auto"/>
      </w:divBdr>
    </w:div>
    <w:div w:id="661546548">
      <w:bodyDiv w:val="1"/>
      <w:marLeft w:val="0"/>
      <w:marRight w:val="0"/>
      <w:marTop w:val="0"/>
      <w:marBottom w:val="0"/>
      <w:divBdr>
        <w:top w:val="none" w:sz="0" w:space="0" w:color="auto"/>
        <w:left w:val="none" w:sz="0" w:space="0" w:color="auto"/>
        <w:bottom w:val="none" w:sz="0" w:space="0" w:color="auto"/>
        <w:right w:val="none" w:sz="0" w:space="0" w:color="auto"/>
      </w:divBdr>
    </w:div>
    <w:div w:id="666052703">
      <w:bodyDiv w:val="1"/>
      <w:marLeft w:val="0"/>
      <w:marRight w:val="0"/>
      <w:marTop w:val="0"/>
      <w:marBottom w:val="0"/>
      <w:divBdr>
        <w:top w:val="none" w:sz="0" w:space="0" w:color="auto"/>
        <w:left w:val="none" w:sz="0" w:space="0" w:color="auto"/>
        <w:bottom w:val="none" w:sz="0" w:space="0" w:color="auto"/>
        <w:right w:val="none" w:sz="0" w:space="0" w:color="auto"/>
      </w:divBdr>
    </w:div>
    <w:div w:id="666247694">
      <w:bodyDiv w:val="1"/>
      <w:marLeft w:val="0"/>
      <w:marRight w:val="0"/>
      <w:marTop w:val="0"/>
      <w:marBottom w:val="0"/>
      <w:divBdr>
        <w:top w:val="none" w:sz="0" w:space="0" w:color="auto"/>
        <w:left w:val="none" w:sz="0" w:space="0" w:color="auto"/>
        <w:bottom w:val="none" w:sz="0" w:space="0" w:color="auto"/>
        <w:right w:val="none" w:sz="0" w:space="0" w:color="auto"/>
      </w:divBdr>
    </w:div>
    <w:div w:id="672495656">
      <w:bodyDiv w:val="1"/>
      <w:marLeft w:val="0"/>
      <w:marRight w:val="0"/>
      <w:marTop w:val="0"/>
      <w:marBottom w:val="0"/>
      <w:divBdr>
        <w:top w:val="none" w:sz="0" w:space="0" w:color="auto"/>
        <w:left w:val="none" w:sz="0" w:space="0" w:color="auto"/>
        <w:bottom w:val="none" w:sz="0" w:space="0" w:color="auto"/>
        <w:right w:val="none" w:sz="0" w:space="0" w:color="auto"/>
      </w:divBdr>
    </w:div>
    <w:div w:id="672999419">
      <w:bodyDiv w:val="1"/>
      <w:marLeft w:val="0"/>
      <w:marRight w:val="0"/>
      <w:marTop w:val="0"/>
      <w:marBottom w:val="0"/>
      <w:divBdr>
        <w:top w:val="none" w:sz="0" w:space="0" w:color="auto"/>
        <w:left w:val="none" w:sz="0" w:space="0" w:color="auto"/>
        <w:bottom w:val="none" w:sz="0" w:space="0" w:color="auto"/>
        <w:right w:val="none" w:sz="0" w:space="0" w:color="auto"/>
      </w:divBdr>
      <w:divsChild>
        <w:div w:id="677850616">
          <w:marLeft w:val="600"/>
          <w:marRight w:val="0"/>
          <w:marTop w:val="0"/>
          <w:marBottom w:val="0"/>
          <w:divBdr>
            <w:top w:val="none" w:sz="0" w:space="0" w:color="auto"/>
            <w:left w:val="none" w:sz="0" w:space="0" w:color="auto"/>
            <w:bottom w:val="none" w:sz="0" w:space="0" w:color="auto"/>
            <w:right w:val="none" w:sz="0" w:space="0" w:color="auto"/>
          </w:divBdr>
        </w:div>
        <w:div w:id="1093670352">
          <w:marLeft w:val="600"/>
          <w:marRight w:val="0"/>
          <w:marTop w:val="0"/>
          <w:marBottom w:val="0"/>
          <w:divBdr>
            <w:top w:val="none" w:sz="0" w:space="0" w:color="auto"/>
            <w:left w:val="none" w:sz="0" w:space="0" w:color="auto"/>
            <w:bottom w:val="none" w:sz="0" w:space="0" w:color="auto"/>
            <w:right w:val="none" w:sz="0" w:space="0" w:color="auto"/>
          </w:divBdr>
        </w:div>
        <w:div w:id="1271552207">
          <w:marLeft w:val="600"/>
          <w:marRight w:val="0"/>
          <w:marTop w:val="0"/>
          <w:marBottom w:val="0"/>
          <w:divBdr>
            <w:top w:val="none" w:sz="0" w:space="0" w:color="auto"/>
            <w:left w:val="none" w:sz="0" w:space="0" w:color="auto"/>
            <w:bottom w:val="none" w:sz="0" w:space="0" w:color="auto"/>
            <w:right w:val="none" w:sz="0" w:space="0" w:color="auto"/>
          </w:divBdr>
        </w:div>
      </w:divsChild>
    </w:div>
    <w:div w:id="677850725">
      <w:bodyDiv w:val="1"/>
      <w:marLeft w:val="0"/>
      <w:marRight w:val="0"/>
      <w:marTop w:val="0"/>
      <w:marBottom w:val="0"/>
      <w:divBdr>
        <w:top w:val="none" w:sz="0" w:space="0" w:color="auto"/>
        <w:left w:val="none" w:sz="0" w:space="0" w:color="auto"/>
        <w:bottom w:val="none" w:sz="0" w:space="0" w:color="auto"/>
        <w:right w:val="none" w:sz="0" w:space="0" w:color="auto"/>
      </w:divBdr>
    </w:div>
    <w:div w:id="683367229">
      <w:bodyDiv w:val="1"/>
      <w:marLeft w:val="0"/>
      <w:marRight w:val="0"/>
      <w:marTop w:val="0"/>
      <w:marBottom w:val="0"/>
      <w:divBdr>
        <w:top w:val="none" w:sz="0" w:space="0" w:color="auto"/>
        <w:left w:val="none" w:sz="0" w:space="0" w:color="auto"/>
        <w:bottom w:val="none" w:sz="0" w:space="0" w:color="auto"/>
        <w:right w:val="none" w:sz="0" w:space="0" w:color="auto"/>
      </w:divBdr>
    </w:div>
    <w:div w:id="685324908">
      <w:bodyDiv w:val="1"/>
      <w:marLeft w:val="0"/>
      <w:marRight w:val="0"/>
      <w:marTop w:val="0"/>
      <w:marBottom w:val="0"/>
      <w:divBdr>
        <w:top w:val="none" w:sz="0" w:space="0" w:color="auto"/>
        <w:left w:val="none" w:sz="0" w:space="0" w:color="auto"/>
        <w:bottom w:val="none" w:sz="0" w:space="0" w:color="auto"/>
        <w:right w:val="none" w:sz="0" w:space="0" w:color="auto"/>
      </w:divBdr>
    </w:div>
    <w:div w:id="688680467">
      <w:bodyDiv w:val="1"/>
      <w:marLeft w:val="0"/>
      <w:marRight w:val="0"/>
      <w:marTop w:val="0"/>
      <w:marBottom w:val="0"/>
      <w:divBdr>
        <w:top w:val="none" w:sz="0" w:space="0" w:color="auto"/>
        <w:left w:val="none" w:sz="0" w:space="0" w:color="auto"/>
        <w:bottom w:val="none" w:sz="0" w:space="0" w:color="auto"/>
        <w:right w:val="none" w:sz="0" w:space="0" w:color="auto"/>
      </w:divBdr>
    </w:div>
    <w:div w:id="693578196">
      <w:bodyDiv w:val="1"/>
      <w:marLeft w:val="0"/>
      <w:marRight w:val="0"/>
      <w:marTop w:val="0"/>
      <w:marBottom w:val="0"/>
      <w:divBdr>
        <w:top w:val="none" w:sz="0" w:space="0" w:color="auto"/>
        <w:left w:val="none" w:sz="0" w:space="0" w:color="auto"/>
        <w:bottom w:val="none" w:sz="0" w:space="0" w:color="auto"/>
        <w:right w:val="none" w:sz="0" w:space="0" w:color="auto"/>
      </w:divBdr>
    </w:div>
    <w:div w:id="698354306">
      <w:bodyDiv w:val="1"/>
      <w:marLeft w:val="0"/>
      <w:marRight w:val="0"/>
      <w:marTop w:val="0"/>
      <w:marBottom w:val="0"/>
      <w:divBdr>
        <w:top w:val="none" w:sz="0" w:space="0" w:color="auto"/>
        <w:left w:val="none" w:sz="0" w:space="0" w:color="auto"/>
        <w:bottom w:val="none" w:sz="0" w:space="0" w:color="auto"/>
        <w:right w:val="none" w:sz="0" w:space="0" w:color="auto"/>
      </w:divBdr>
      <w:divsChild>
        <w:div w:id="147400844">
          <w:marLeft w:val="720"/>
          <w:marRight w:val="0"/>
          <w:marTop w:val="0"/>
          <w:marBottom w:val="0"/>
          <w:divBdr>
            <w:top w:val="none" w:sz="0" w:space="0" w:color="auto"/>
            <w:left w:val="none" w:sz="0" w:space="0" w:color="auto"/>
            <w:bottom w:val="none" w:sz="0" w:space="0" w:color="auto"/>
            <w:right w:val="none" w:sz="0" w:space="0" w:color="auto"/>
          </w:divBdr>
        </w:div>
        <w:div w:id="227956987">
          <w:marLeft w:val="720"/>
          <w:marRight w:val="0"/>
          <w:marTop w:val="0"/>
          <w:marBottom w:val="0"/>
          <w:divBdr>
            <w:top w:val="none" w:sz="0" w:space="0" w:color="auto"/>
            <w:left w:val="none" w:sz="0" w:space="0" w:color="auto"/>
            <w:bottom w:val="none" w:sz="0" w:space="0" w:color="auto"/>
            <w:right w:val="none" w:sz="0" w:space="0" w:color="auto"/>
          </w:divBdr>
        </w:div>
        <w:div w:id="1361931001">
          <w:marLeft w:val="720"/>
          <w:marRight w:val="0"/>
          <w:marTop w:val="0"/>
          <w:marBottom w:val="0"/>
          <w:divBdr>
            <w:top w:val="none" w:sz="0" w:space="0" w:color="auto"/>
            <w:left w:val="none" w:sz="0" w:space="0" w:color="auto"/>
            <w:bottom w:val="none" w:sz="0" w:space="0" w:color="auto"/>
            <w:right w:val="none" w:sz="0" w:space="0" w:color="auto"/>
          </w:divBdr>
        </w:div>
        <w:div w:id="2097819792">
          <w:marLeft w:val="720"/>
          <w:marRight w:val="0"/>
          <w:marTop w:val="0"/>
          <w:marBottom w:val="0"/>
          <w:divBdr>
            <w:top w:val="none" w:sz="0" w:space="0" w:color="auto"/>
            <w:left w:val="none" w:sz="0" w:space="0" w:color="auto"/>
            <w:bottom w:val="none" w:sz="0" w:space="0" w:color="auto"/>
            <w:right w:val="none" w:sz="0" w:space="0" w:color="auto"/>
          </w:divBdr>
        </w:div>
      </w:divsChild>
    </w:div>
    <w:div w:id="712928283">
      <w:bodyDiv w:val="1"/>
      <w:marLeft w:val="0"/>
      <w:marRight w:val="0"/>
      <w:marTop w:val="0"/>
      <w:marBottom w:val="0"/>
      <w:divBdr>
        <w:top w:val="none" w:sz="0" w:space="0" w:color="auto"/>
        <w:left w:val="none" w:sz="0" w:space="0" w:color="auto"/>
        <w:bottom w:val="none" w:sz="0" w:space="0" w:color="auto"/>
        <w:right w:val="none" w:sz="0" w:space="0" w:color="auto"/>
      </w:divBdr>
    </w:div>
    <w:div w:id="714740403">
      <w:bodyDiv w:val="1"/>
      <w:marLeft w:val="0"/>
      <w:marRight w:val="0"/>
      <w:marTop w:val="0"/>
      <w:marBottom w:val="0"/>
      <w:divBdr>
        <w:top w:val="none" w:sz="0" w:space="0" w:color="auto"/>
        <w:left w:val="none" w:sz="0" w:space="0" w:color="auto"/>
        <w:bottom w:val="none" w:sz="0" w:space="0" w:color="auto"/>
        <w:right w:val="none" w:sz="0" w:space="0" w:color="auto"/>
      </w:divBdr>
    </w:div>
    <w:div w:id="742751090">
      <w:bodyDiv w:val="1"/>
      <w:marLeft w:val="0"/>
      <w:marRight w:val="0"/>
      <w:marTop w:val="0"/>
      <w:marBottom w:val="0"/>
      <w:divBdr>
        <w:top w:val="none" w:sz="0" w:space="0" w:color="auto"/>
        <w:left w:val="none" w:sz="0" w:space="0" w:color="auto"/>
        <w:bottom w:val="none" w:sz="0" w:space="0" w:color="auto"/>
        <w:right w:val="none" w:sz="0" w:space="0" w:color="auto"/>
      </w:divBdr>
    </w:div>
    <w:div w:id="745037700">
      <w:bodyDiv w:val="1"/>
      <w:marLeft w:val="0"/>
      <w:marRight w:val="0"/>
      <w:marTop w:val="0"/>
      <w:marBottom w:val="0"/>
      <w:divBdr>
        <w:top w:val="none" w:sz="0" w:space="0" w:color="auto"/>
        <w:left w:val="none" w:sz="0" w:space="0" w:color="auto"/>
        <w:bottom w:val="none" w:sz="0" w:space="0" w:color="auto"/>
        <w:right w:val="none" w:sz="0" w:space="0" w:color="auto"/>
      </w:divBdr>
    </w:div>
    <w:div w:id="753938100">
      <w:bodyDiv w:val="1"/>
      <w:marLeft w:val="0"/>
      <w:marRight w:val="0"/>
      <w:marTop w:val="0"/>
      <w:marBottom w:val="0"/>
      <w:divBdr>
        <w:top w:val="none" w:sz="0" w:space="0" w:color="auto"/>
        <w:left w:val="none" w:sz="0" w:space="0" w:color="auto"/>
        <w:bottom w:val="none" w:sz="0" w:space="0" w:color="auto"/>
        <w:right w:val="none" w:sz="0" w:space="0" w:color="auto"/>
      </w:divBdr>
    </w:div>
    <w:div w:id="761294189">
      <w:bodyDiv w:val="1"/>
      <w:marLeft w:val="0"/>
      <w:marRight w:val="0"/>
      <w:marTop w:val="0"/>
      <w:marBottom w:val="0"/>
      <w:divBdr>
        <w:top w:val="none" w:sz="0" w:space="0" w:color="auto"/>
        <w:left w:val="none" w:sz="0" w:space="0" w:color="auto"/>
        <w:bottom w:val="none" w:sz="0" w:space="0" w:color="auto"/>
        <w:right w:val="none" w:sz="0" w:space="0" w:color="auto"/>
      </w:divBdr>
    </w:div>
    <w:div w:id="763107855">
      <w:bodyDiv w:val="1"/>
      <w:marLeft w:val="0"/>
      <w:marRight w:val="0"/>
      <w:marTop w:val="0"/>
      <w:marBottom w:val="0"/>
      <w:divBdr>
        <w:top w:val="none" w:sz="0" w:space="0" w:color="auto"/>
        <w:left w:val="none" w:sz="0" w:space="0" w:color="auto"/>
        <w:bottom w:val="none" w:sz="0" w:space="0" w:color="auto"/>
        <w:right w:val="none" w:sz="0" w:space="0" w:color="auto"/>
      </w:divBdr>
    </w:div>
    <w:div w:id="767778750">
      <w:bodyDiv w:val="1"/>
      <w:marLeft w:val="0"/>
      <w:marRight w:val="0"/>
      <w:marTop w:val="0"/>
      <w:marBottom w:val="0"/>
      <w:divBdr>
        <w:top w:val="none" w:sz="0" w:space="0" w:color="auto"/>
        <w:left w:val="none" w:sz="0" w:space="0" w:color="auto"/>
        <w:bottom w:val="none" w:sz="0" w:space="0" w:color="auto"/>
        <w:right w:val="none" w:sz="0" w:space="0" w:color="auto"/>
      </w:divBdr>
    </w:div>
    <w:div w:id="774208727">
      <w:bodyDiv w:val="1"/>
      <w:marLeft w:val="0"/>
      <w:marRight w:val="0"/>
      <w:marTop w:val="0"/>
      <w:marBottom w:val="0"/>
      <w:divBdr>
        <w:top w:val="none" w:sz="0" w:space="0" w:color="auto"/>
        <w:left w:val="none" w:sz="0" w:space="0" w:color="auto"/>
        <w:bottom w:val="none" w:sz="0" w:space="0" w:color="auto"/>
        <w:right w:val="none" w:sz="0" w:space="0" w:color="auto"/>
      </w:divBdr>
    </w:div>
    <w:div w:id="780148159">
      <w:bodyDiv w:val="1"/>
      <w:marLeft w:val="0"/>
      <w:marRight w:val="0"/>
      <w:marTop w:val="0"/>
      <w:marBottom w:val="0"/>
      <w:divBdr>
        <w:top w:val="none" w:sz="0" w:space="0" w:color="auto"/>
        <w:left w:val="none" w:sz="0" w:space="0" w:color="auto"/>
        <w:bottom w:val="none" w:sz="0" w:space="0" w:color="auto"/>
        <w:right w:val="none" w:sz="0" w:space="0" w:color="auto"/>
      </w:divBdr>
    </w:div>
    <w:div w:id="782387695">
      <w:bodyDiv w:val="1"/>
      <w:marLeft w:val="0"/>
      <w:marRight w:val="0"/>
      <w:marTop w:val="0"/>
      <w:marBottom w:val="0"/>
      <w:divBdr>
        <w:top w:val="none" w:sz="0" w:space="0" w:color="auto"/>
        <w:left w:val="none" w:sz="0" w:space="0" w:color="auto"/>
        <w:bottom w:val="none" w:sz="0" w:space="0" w:color="auto"/>
        <w:right w:val="none" w:sz="0" w:space="0" w:color="auto"/>
      </w:divBdr>
    </w:div>
    <w:div w:id="785005262">
      <w:bodyDiv w:val="1"/>
      <w:marLeft w:val="0"/>
      <w:marRight w:val="0"/>
      <w:marTop w:val="0"/>
      <w:marBottom w:val="0"/>
      <w:divBdr>
        <w:top w:val="none" w:sz="0" w:space="0" w:color="auto"/>
        <w:left w:val="none" w:sz="0" w:space="0" w:color="auto"/>
        <w:bottom w:val="none" w:sz="0" w:space="0" w:color="auto"/>
        <w:right w:val="none" w:sz="0" w:space="0" w:color="auto"/>
      </w:divBdr>
    </w:div>
    <w:div w:id="789327166">
      <w:bodyDiv w:val="1"/>
      <w:marLeft w:val="0"/>
      <w:marRight w:val="0"/>
      <w:marTop w:val="0"/>
      <w:marBottom w:val="0"/>
      <w:divBdr>
        <w:top w:val="none" w:sz="0" w:space="0" w:color="auto"/>
        <w:left w:val="none" w:sz="0" w:space="0" w:color="auto"/>
        <w:bottom w:val="none" w:sz="0" w:space="0" w:color="auto"/>
        <w:right w:val="none" w:sz="0" w:space="0" w:color="auto"/>
      </w:divBdr>
    </w:div>
    <w:div w:id="792211149">
      <w:bodyDiv w:val="1"/>
      <w:marLeft w:val="0"/>
      <w:marRight w:val="0"/>
      <w:marTop w:val="0"/>
      <w:marBottom w:val="0"/>
      <w:divBdr>
        <w:top w:val="none" w:sz="0" w:space="0" w:color="auto"/>
        <w:left w:val="none" w:sz="0" w:space="0" w:color="auto"/>
        <w:bottom w:val="none" w:sz="0" w:space="0" w:color="auto"/>
        <w:right w:val="none" w:sz="0" w:space="0" w:color="auto"/>
      </w:divBdr>
      <w:divsChild>
        <w:div w:id="139544955">
          <w:marLeft w:val="240"/>
          <w:marRight w:val="0"/>
          <w:marTop w:val="0"/>
          <w:marBottom w:val="0"/>
          <w:divBdr>
            <w:top w:val="none" w:sz="0" w:space="0" w:color="auto"/>
            <w:left w:val="none" w:sz="0" w:space="0" w:color="auto"/>
            <w:bottom w:val="none" w:sz="0" w:space="0" w:color="auto"/>
            <w:right w:val="none" w:sz="0" w:space="0" w:color="auto"/>
          </w:divBdr>
        </w:div>
        <w:div w:id="178473976">
          <w:marLeft w:val="240"/>
          <w:marRight w:val="0"/>
          <w:marTop w:val="0"/>
          <w:marBottom w:val="0"/>
          <w:divBdr>
            <w:top w:val="none" w:sz="0" w:space="0" w:color="auto"/>
            <w:left w:val="none" w:sz="0" w:space="0" w:color="auto"/>
            <w:bottom w:val="none" w:sz="0" w:space="0" w:color="auto"/>
            <w:right w:val="none" w:sz="0" w:space="0" w:color="auto"/>
          </w:divBdr>
        </w:div>
        <w:div w:id="359821271">
          <w:marLeft w:val="240"/>
          <w:marRight w:val="0"/>
          <w:marTop w:val="0"/>
          <w:marBottom w:val="0"/>
          <w:divBdr>
            <w:top w:val="none" w:sz="0" w:space="0" w:color="auto"/>
            <w:left w:val="none" w:sz="0" w:space="0" w:color="auto"/>
            <w:bottom w:val="none" w:sz="0" w:space="0" w:color="auto"/>
            <w:right w:val="none" w:sz="0" w:space="0" w:color="auto"/>
          </w:divBdr>
        </w:div>
        <w:div w:id="1861117562">
          <w:marLeft w:val="240"/>
          <w:marRight w:val="0"/>
          <w:marTop w:val="0"/>
          <w:marBottom w:val="0"/>
          <w:divBdr>
            <w:top w:val="none" w:sz="0" w:space="0" w:color="auto"/>
            <w:left w:val="none" w:sz="0" w:space="0" w:color="auto"/>
            <w:bottom w:val="none" w:sz="0" w:space="0" w:color="auto"/>
            <w:right w:val="none" w:sz="0" w:space="0" w:color="auto"/>
          </w:divBdr>
        </w:div>
      </w:divsChild>
    </w:div>
    <w:div w:id="806314185">
      <w:bodyDiv w:val="1"/>
      <w:marLeft w:val="0"/>
      <w:marRight w:val="0"/>
      <w:marTop w:val="0"/>
      <w:marBottom w:val="0"/>
      <w:divBdr>
        <w:top w:val="none" w:sz="0" w:space="0" w:color="auto"/>
        <w:left w:val="none" w:sz="0" w:space="0" w:color="auto"/>
        <w:bottom w:val="none" w:sz="0" w:space="0" w:color="auto"/>
        <w:right w:val="none" w:sz="0" w:space="0" w:color="auto"/>
      </w:divBdr>
    </w:div>
    <w:div w:id="807866432">
      <w:bodyDiv w:val="1"/>
      <w:marLeft w:val="0"/>
      <w:marRight w:val="0"/>
      <w:marTop w:val="0"/>
      <w:marBottom w:val="0"/>
      <w:divBdr>
        <w:top w:val="none" w:sz="0" w:space="0" w:color="auto"/>
        <w:left w:val="none" w:sz="0" w:space="0" w:color="auto"/>
        <w:bottom w:val="none" w:sz="0" w:space="0" w:color="auto"/>
        <w:right w:val="none" w:sz="0" w:space="0" w:color="auto"/>
      </w:divBdr>
    </w:div>
    <w:div w:id="809977148">
      <w:bodyDiv w:val="1"/>
      <w:marLeft w:val="0"/>
      <w:marRight w:val="0"/>
      <w:marTop w:val="0"/>
      <w:marBottom w:val="0"/>
      <w:divBdr>
        <w:top w:val="none" w:sz="0" w:space="0" w:color="auto"/>
        <w:left w:val="none" w:sz="0" w:space="0" w:color="auto"/>
        <w:bottom w:val="none" w:sz="0" w:space="0" w:color="auto"/>
        <w:right w:val="none" w:sz="0" w:space="0" w:color="auto"/>
      </w:divBdr>
    </w:div>
    <w:div w:id="817767699">
      <w:bodyDiv w:val="1"/>
      <w:marLeft w:val="0"/>
      <w:marRight w:val="0"/>
      <w:marTop w:val="0"/>
      <w:marBottom w:val="0"/>
      <w:divBdr>
        <w:top w:val="none" w:sz="0" w:space="0" w:color="auto"/>
        <w:left w:val="none" w:sz="0" w:space="0" w:color="auto"/>
        <w:bottom w:val="none" w:sz="0" w:space="0" w:color="auto"/>
        <w:right w:val="none" w:sz="0" w:space="0" w:color="auto"/>
      </w:divBdr>
    </w:div>
    <w:div w:id="817847799">
      <w:bodyDiv w:val="1"/>
      <w:marLeft w:val="0"/>
      <w:marRight w:val="0"/>
      <w:marTop w:val="0"/>
      <w:marBottom w:val="0"/>
      <w:divBdr>
        <w:top w:val="none" w:sz="0" w:space="0" w:color="auto"/>
        <w:left w:val="none" w:sz="0" w:space="0" w:color="auto"/>
        <w:bottom w:val="none" w:sz="0" w:space="0" w:color="auto"/>
        <w:right w:val="none" w:sz="0" w:space="0" w:color="auto"/>
      </w:divBdr>
    </w:div>
    <w:div w:id="824391265">
      <w:bodyDiv w:val="1"/>
      <w:marLeft w:val="0"/>
      <w:marRight w:val="0"/>
      <w:marTop w:val="0"/>
      <w:marBottom w:val="0"/>
      <w:divBdr>
        <w:top w:val="none" w:sz="0" w:space="0" w:color="auto"/>
        <w:left w:val="none" w:sz="0" w:space="0" w:color="auto"/>
        <w:bottom w:val="none" w:sz="0" w:space="0" w:color="auto"/>
        <w:right w:val="none" w:sz="0" w:space="0" w:color="auto"/>
      </w:divBdr>
      <w:divsChild>
        <w:div w:id="1754933744">
          <w:marLeft w:val="240"/>
          <w:marRight w:val="0"/>
          <w:marTop w:val="0"/>
          <w:marBottom w:val="0"/>
          <w:divBdr>
            <w:top w:val="none" w:sz="0" w:space="0" w:color="auto"/>
            <w:left w:val="none" w:sz="0" w:space="0" w:color="auto"/>
            <w:bottom w:val="none" w:sz="0" w:space="0" w:color="auto"/>
            <w:right w:val="none" w:sz="0" w:space="0" w:color="auto"/>
          </w:divBdr>
        </w:div>
        <w:div w:id="2006739990">
          <w:marLeft w:val="240"/>
          <w:marRight w:val="0"/>
          <w:marTop w:val="0"/>
          <w:marBottom w:val="0"/>
          <w:divBdr>
            <w:top w:val="none" w:sz="0" w:space="0" w:color="auto"/>
            <w:left w:val="none" w:sz="0" w:space="0" w:color="auto"/>
            <w:bottom w:val="none" w:sz="0" w:space="0" w:color="auto"/>
            <w:right w:val="none" w:sz="0" w:space="0" w:color="auto"/>
          </w:divBdr>
        </w:div>
      </w:divsChild>
    </w:div>
    <w:div w:id="827474897">
      <w:bodyDiv w:val="1"/>
      <w:marLeft w:val="0"/>
      <w:marRight w:val="0"/>
      <w:marTop w:val="0"/>
      <w:marBottom w:val="0"/>
      <w:divBdr>
        <w:top w:val="none" w:sz="0" w:space="0" w:color="auto"/>
        <w:left w:val="none" w:sz="0" w:space="0" w:color="auto"/>
        <w:bottom w:val="none" w:sz="0" w:space="0" w:color="auto"/>
        <w:right w:val="none" w:sz="0" w:space="0" w:color="auto"/>
      </w:divBdr>
    </w:div>
    <w:div w:id="833647282">
      <w:bodyDiv w:val="1"/>
      <w:marLeft w:val="0"/>
      <w:marRight w:val="0"/>
      <w:marTop w:val="0"/>
      <w:marBottom w:val="0"/>
      <w:divBdr>
        <w:top w:val="none" w:sz="0" w:space="0" w:color="auto"/>
        <w:left w:val="none" w:sz="0" w:space="0" w:color="auto"/>
        <w:bottom w:val="none" w:sz="0" w:space="0" w:color="auto"/>
        <w:right w:val="none" w:sz="0" w:space="0" w:color="auto"/>
      </w:divBdr>
    </w:div>
    <w:div w:id="838810305">
      <w:bodyDiv w:val="1"/>
      <w:marLeft w:val="0"/>
      <w:marRight w:val="0"/>
      <w:marTop w:val="0"/>
      <w:marBottom w:val="0"/>
      <w:divBdr>
        <w:top w:val="none" w:sz="0" w:space="0" w:color="auto"/>
        <w:left w:val="none" w:sz="0" w:space="0" w:color="auto"/>
        <w:bottom w:val="none" w:sz="0" w:space="0" w:color="auto"/>
        <w:right w:val="none" w:sz="0" w:space="0" w:color="auto"/>
      </w:divBdr>
    </w:div>
    <w:div w:id="843126988">
      <w:bodyDiv w:val="1"/>
      <w:marLeft w:val="0"/>
      <w:marRight w:val="0"/>
      <w:marTop w:val="0"/>
      <w:marBottom w:val="0"/>
      <w:divBdr>
        <w:top w:val="none" w:sz="0" w:space="0" w:color="auto"/>
        <w:left w:val="none" w:sz="0" w:space="0" w:color="auto"/>
        <w:bottom w:val="none" w:sz="0" w:space="0" w:color="auto"/>
        <w:right w:val="none" w:sz="0" w:space="0" w:color="auto"/>
      </w:divBdr>
    </w:div>
    <w:div w:id="845170531">
      <w:bodyDiv w:val="1"/>
      <w:marLeft w:val="0"/>
      <w:marRight w:val="0"/>
      <w:marTop w:val="0"/>
      <w:marBottom w:val="0"/>
      <w:divBdr>
        <w:top w:val="none" w:sz="0" w:space="0" w:color="auto"/>
        <w:left w:val="none" w:sz="0" w:space="0" w:color="auto"/>
        <w:bottom w:val="none" w:sz="0" w:space="0" w:color="auto"/>
        <w:right w:val="none" w:sz="0" w:space="0" w:color="auto"/>
      </w:divBdr>
      <w:divsChild>
        <w:div w:id="7872038">
          <w:marLeft w:val="1080"/>
          <w:marRight w:val="0"/>
          <w:marTop w:val="0"/>
          <w:marBottom w:val="0"/>
          <w:divBdr>
            <w:top w:val="none" w:sz="0" w:space="0" w:color="auto"/>
            <w:left w:val="none" w:sz="0" w:space="0" w:color="auto"/>
            <w:bottom w:val="none" w:sz="0" w:space="0" w:color="auto"/>
            <w:right w:val="none" w:sz="0" w:space="0" w:color="auto"/>
          </w:divBdr>
        </w:div>
        <w:div w:id="10037873">
          <w:marLeft w:val="1080"/>
          <w:marRight w:val="0"/>
          <w:marTop w:val="0"/>
          <w:marBottom w:val="0"/>
          <w:divBdr>
            <w:top w:val="none" w:sz="0" w:space="0" w:color="auto"/>
            <w:left w:val="none" w:sz="0" w:space="0" w:color="auto"/>
            <w:bottom w:val="none" w:sz="0" w:space="0" w:color="auto"/>
            <w:right w:val="none" w:sz="0" w:space="0" w:color="auto"/>
          </w:divBdr>
        </w:div>
        <w:div w:id="314722784">
          <w:marLeft w:val="1080"/>
          <w:marRight w:val="0"/>
          <w:marTop w:val="0"/>
          <w:marBottom w:val="0"/>
          <w:divBdr>
            <w:top w:val="none" w:sz="0" w:space="0" w:color="auto"/>
            <w:left w:val="none" w:sz="0" w:space="0" w:color="auto"/>
            <w:bottom w:val="none" w:sz="0" w:space="0" w:color="auto"/>
            <w:right w:val="none" w:sz="0" w:space="0" w:color="auto"/>
          </w:divBdr>
        </w:div>
        <w:div w:id="619268041">
          <w:marLeft w:val="1080"/>
          <w:marRight w:val="0"/>
          <w:marTop w:val="0"/>
          <w:marBottom w:val="0"/>
          <w:divBdr>
            <w:top w:val="none" w:sz="0" w:space="0" w:color="auto"/>
            <w:left w:val="none" w:sz="0" w:space="0" w:color="auto"/>
            <w:bottom w:val="none" w:sz="0" w:space="0" w:color="auto"/>
            <w:right w:val="none" w:sz="0" w:space="0" w:color="auto"/>
          </w:divBdr>
        </w:div>
        <w:div w:id="773941002">
          <w:marLeft w:val="1080"/>
          <w:marRight w:val="0"/>
          <w:marTop w:val="0"/>
          <w:marBottom w:val="0"/>
          <w:divBdr>
            <w:top w:val="none" w:sz="0" w:space="0" w:color="auto"/>
            <w:left w:val="none" w:sz="0" w:space="0" w:color="auto"/>
            <w:bottom w:val="none" w:sz="0" w:space="0" w:color="auto"/>
            <w:right w:val="none" w:sz="0" w:space="0" w:color="auto"/>
          </w:divBdr>
        </w:div>
        <w:div w:id="971256376">
          <w:marLeft w:val="1080"/>
          <w:marRight w:val="0"/>
          <w:marTop w:val="0"/>
          <w:marBottom w:val="0"/>
          <w:divBdr>
            <w:top w:val="none" w:sz="0" w:space="0" w:color="auto"/>
            <w:left w:val="none" w:sz="0" w:space="0" w:color="auto"/>
            <w:bottom w:val="none" w:sz="0" w:space="0" w:color="auto"/>
            <w:right w:val="none" w:sz="0" w:space="0" w:color="auto"/>
          </w:divBdr>
        </w:div>
        <w:div w:id="1596354438">
          <w:marLeft w:val="1080"/>
          <w:marRight w:val="0"/>
          <w:marTop w:val="0"/>
          <w:marBottom w:val="0"/>
          <w:divBdr>
            <w:top w:val="none" w:sz="0" w:space="0" w:color="auto"/>
            <w:left w:val="none" w:sz="0" w:space="0" w:color="auto"/>
            <w:bottom w:val="none" w:sz="0" w:space="0" w:color="auto"/>
            <w:right w:val="none" w:sz="0" w:space="0" w:color="auto"/>
          </w:divBdr>
        </w:div>
        <w:div w:id="2036689129">
          <w:marLeft w:val="1080"/>
          <w:marRight w:val="0"/>
          <w:marTop w:val="0"/>
          <w:marBottom w:val="0"/>
          <w:divBdr>
            <w:top w:val="none" w:sz="0" w:space="0" w:color="auto"/>
            <w:left w:val="none" w:sz="0" w:space="0" w:color="auto"/>
            <w:bottom w:val="none" w:sz="0" w:space="0" w:color="auto"/>
            <w:right w:val="none" w:sz="0" w:space="0" w:color="auto"/>
          </w:divBdr>
        </w:div>
      </w:divsChild>
    </w:div>
    <w:div w:id="847989861">
      <w:bodyDiv w:val="1"/>
      <w:marLeft w:val="0"/>
      <w:marRight w:val="0"/>
      <w:marTop w:val="0"/>
      <w:marBottom w:val="0"/>
      <w:divBdr>
        <w:top w:val="none" w:sz="0" w:space="0" w:color="auto"/>
        <w:left w:val="none" w:sz="0" w:space="0" w:color="auto"/>
        <w:bottom w:val="none" w:sz="0" w:space="0" w:color="auto"/>
        <w:right w:val="none" w:sz="0" w:space="0" w:color="auto"/>
      </w:divBdr>
    </w:div>
    <w:div w:id="848643901">
      <w:bodyDiv w:val="1"/>
      <w:marLeft w:val="0"/>
      <w:marRight w:val="0"/>
      <w:marTop w:val="0"/>
      <w:marBottom w:val="0"/>
      <w:divBdr>
        <w:top w:val="none" w:sz="0" w:space="0" w:color="auto"/>
        <w:left w:val="none" w:sz="0" w:space="0" w:color="auto"/>
        <w:bottom w:val="none" w:sz="0" w:space="0" w:color="auto"/>
        <w:right w:val="none" w:sz="0" w:space="0" w:color="auto"/>
      </w:divBdr>
    </w:div>
    <w:div w:id="853954050">
      <w:bodyDiv w:val="1"/>
      <w:marLeft w:val="0"/>
      <w:marRight w:val="0"/>
      <w:marTop w:val="0"/>
      <w:marBottom w:val="0"/>
      <w:divBdr>
        <w:top w:val="none" w:sz="0" w:space="0" w:color="auto"/>
        <w:left w:val="none" w:sz="0" w:space="0" w:color="auto"/>
        <w:bottom w:val="none" w:sz="0" w:space="0" w:color="auto"/>
        <w:right w:val="none" w:sz="0" w:space="0" w:color="auto"/>
      </w:divBdr>
    </w:div>
    <w:div w:id="855115007">
      <w:bodyDiv w:val="1"/>
      <w:marLeft w:val="0"/>
      <w:marRight w:val="0"/>
      <w:marTop w:val="0"/>
      <w:marBottom w:val="0"/>
      <w:divBdr>
        <w:top w:val="none" w:sz="0" w:space="0" w:color="auto"/>
        <w:left w:val="none" w:sz="0" w:space="0" w:color="auto"/>
        <w:bottom w:val="none" w:sz="0" w:space="0" w:color="auto"/>
        <w:right w:val="none" w:sz="0" w:space="0" w:color="auto"/>
      </w:divBdr>
    </w:div>
    <w:div w:id="859587300">
      <w:bodyDiv w:val="1"/>
      <w:marLeft w:val="0"/>
      <w:marRight w:val="0"/>
      <w:marTop w:val="0"/>
      <w:marBottom w:val="0"/>
      <w:divBdr>
        <w:top w:val="none" w:sz="0" w:space="0" w:color="auto"/>
        <w:left w:val="none" w:sz="0" w:space="0" w:color="auto"/>
        <w:bottom w:val="none" w:sz="0" w:space="0" w:color="auto"/>
        <w:right w:val="none" w:sz="0" w:space="0" w:color="auto"/>
      </w:divBdr>
    </w:div>
    <w:div w:id="864099001">
      <w:bodyDiv w:val="1"/>
      <w:marLeft w:val="0"/>
      <w:marRight w:val="0"/>
      <w:marTop w:val="0"/>
      <w:marBottom w:val="0"/>
      <w:divBdr>
        <w:top w:val="none" w:sz="0" w:space="0" w:color="auto"/>
        <w:left w:val="none" w:sz="0" w:space="0" w:color="auto"/>
        <w:bottom w:val="none" w:sz="0" w:space="0" w:color="auto"/>
        <w:right w:val="none" w:sz="0" w:space="0" w:color="auto"/>
      </w:divBdr>
      <w:divsChild>
        <w:div w:id="1510870495">
          <w:marLeft w:val="240"/>
          <w:marRight w:val="0"/>
          <w:marTop w:val="0"/>
          <w:marBottom w:val="0"/>
          <w:divBdr>
            <w:top w:val="none" w:sz="0" w:space="0" w:color="auto"/>
            <w:left w:val="none" w:sz="0" w:space="0" w:color="auto"/>
            <w:bottom w:val="none" w:sz="0" w:space="0" w:color="auto"/>
            <w:right w:val="none" w:sz="0" w:space="0" w:color="auto"/>
          </w:divBdr>
        </w:div>
        <w:div w:id="1697927726">
          <w:marLeft w:val="240"/>
          <w:marRight w:val="0"/>
          <w:marTop w:val="0"/>
          <w:marBottom w:val="0"/>
          <w:divBdr>
            <w:top w:val="none" w:sz="0" w:space="0" w:color="auto"/>
            <w:left w:val="none" w:sz="0" w:space="0" w:color="auto"/>
            <w:bottom w:val="none" w:sz="0" w:space="0" w:color="auto"/>
            <w:right w:val="none" w:sz="0" w:space="0" w:color="auto"/>
          </w:divBdr>
        </w:div>
        <w:div w:id="1772629588">
          <w:marLeft w:val="240"/>
          <w:marRight w:val="0"/>
          <w:marTop w:val="0"/>
          <w:marBottom w:val="0"/>
          <w:divBdr>
            <w:top w:val="none" w:sz="0" w:space="0" w:color="auto"/>
            <w:left w:val="none" w:sz="0" w:space="0" w:color="auto"/>
            <w:bottom w:val="none" w:sz="0" w:space="0" w:color="auto"/>
            <w:right w:val="none" w:sz="0" w:space="0" w:color="auto"/>
          </w:divBdr>
        </w:div>
      </w:divsChild>
    </w:div>
    <w:div w:id="873149777">
      <w:bodyDiv w:val="1"/>
      <w:marLeft w:val="0"/>
      <w:marRight w:val="0"/>
      <w:marTop w:val="0"/>
      <w:marBottom w:val="0"/>
      <w:divBdr>
        <w:top w:val="none" w:sz="0" w:space="0" w:color="auto"/>
        <w:left w:val="none" w:sz="0" w:space="0" w:color="auto"/>
        <w:bottom w:val="none" w:sz="0" w:space="0" w:color="auto"/>
        <w:right w:val="none" w:sz="0" w:space="0" w:color="auto"/>
      </w:divBdr>
    </w:div>
    <w:div w:id="877081534">
      <w:bodyDiv w:val="1"/>
      <w:marLeft w:val="0"/>
      <w:marRight w:val="0"/>
      <w:marTop w:val="0"/>
      <w:marBottom w:val="0"/>
      <w:divBdr>
        <w:top w:val="none" w:sz="0" w:space="0" w:color="auto"/>
        <w:left w:val="none" w:sz="0" w:space="0" w:color="auto"/>
        <w:bottom w:val="none" w:sz="0" w:space="0" w:color="auto"/>
        <w:right w:val="none" w:sz="0" w:space="0" w:color="auto"/>
      </w:divBdr>
    </w:div>
    <w:div w:id="893658284">
      <w:bodyDiv w:val="1"/>
      <w:marLeft w:val="0"/>
      <w:marRight w:val="0"/>
      <w:marTop w:val="0"/>
      <w:marBottom w:val="0"/>
      <w:divBdr>
        <w:top w:val="none" w:sz="0" w:space="0" w:color="auto"/>
        <w:left w:val="none" w:sz="0" w:space="0" w:color="auto"/>
        <w:bottom w:val="none" w:sz="0" w:space="0" w:color="auto"/>
        <w:right w:val="none" w:sz="0" w:space="0" w:color="auto"/>
      </w:divBdr>
    </w:div>
    <w:div w:id="902981224">
      <w:bodyDiv w:val="1"/>
      <w:marLeft w:val="0"/>
      <w:marRight w:val="0"/>
      <w:marTop w:val="0"/>
      <w:marBottom w:val="0"/>
      <w:divBdr>
        <w:top w:val="none" w:sz="0" w:space="0" w:color="auto"/>
        <w:left w:val="none" w:sz="0" w:space="0" w:color="auto"/>
        <w:bottom w:val="none" w:sz="0" w:space="0" w:color="auto"/>
        <w:right w:val="none" w:sz="0" w:space="0" w:color="auto"/>
      </w:divBdr>
    </w:div>
    <w:div w:id="906233349">
      <w:bodyDiv w:val="1"/>
      <w:marLeft w:val="0"/>
      <w:marRight w:val="0"/>
      <w:marTop w:val="0"/>
      <w:marBottom w:val="0"/>
      <w:divBdr>
        <w:top w:val="none" w:sz="0" w:space="0" w:color="auto"/>
        <w:left w:val="none" w:sz="0" w:space="0" w:color="auto"/>
        <w:bottom w:val="none" w:sz="0" w:space="0" w:color="auto"/>
        <w:right w:val="none" w:sz="0" w:space="0" w:color="auto"/>
      </w:divBdr>
    </w:div>
    <w:div w:id="909922264">
      <w:bodyDiv w:val="1"/>
      <w:marLeft w:val="0"/>
      <w:marRight w:val="0"/>
      <w:marTop w:val="0"/>
      <w:marBottom w:val="0"/>
      <w:divBdr>
        <w:top w:val="none" w:sz="0" w:space="0" w:color="auto"/>
        <w:left w:val="none" w:sz="0" w:space="0" w:color="auto"/>
        <w:bottom w:val="none" w:sz="0" w:space="0" w:color="auto"/>
        <w:right w:val="none" w:sz="0" w:space="0" w:color="auto"/>
      </w:divBdr>
    </w:div>
    <w:div w:id="927538459">
      <w:bodyDiv w:val="1"/>
      <w:marLeft w:val="0"/>
      <w:marRight w:val="0"/>
      <w:marTop w:val="0"/>
      <w:marBottom w:val="0"/>
      <w:divBdr>
        <w:top w:val="none" w:sz="0" w:space="0" w:color="auto"/>
        <w:left w:val="none" w:sz="0" w:space="0" w:color="auto"/>
        <w:bottom w:val="none" w:sz="0" w:space="0" w:color="auto"/>
        <w:right w:val="none" w:sz="0" w:space="0" w:color="auto"/>
      </w:divBdr>
    </w:div>
    <w:div w:id="929772310">
      <w:bodyDiv w:val="1"/>
      <w:marLeft w:val="0"/>
      <w:marRight w:val="0"/>
      <w:marTop w:val="0"/>
      <w:marBottom w:val="0"/>
      <w:divBdr>
        <w:top w:val="none" w:sz="0" w:space="0" w:color="auto"/>
        <w:left w:val="none" w:sz="0" w:space="0" w:color="auto"/>
        <w:bottom w:val="none" w:sz="0" w:space="0" w:color="auto"/>
        <w:right w:val="none" w:sz="0" w:space="0" w:color="auto"/>
      </w:divBdr>
    </w:div>
    <w:div w:id="935214636">
      <w:bodyDiv w:val="1"/>
      <w:marLeft w:val="0"/>
      <w:marRight w:val="0"/>
      <w:marTop w:val="0"/>
      <w:marBottom w:val="0"/>
      <w:divBdr>
        <w:top w:val="none" w:sz="0" w:space="0" w:color="auto"/>
        <w:left w:val="none" w:sz="0" w:space="0" w:color="auto"/>
        <w:bottom w:val="none" w:sz="0" w:space="0" w:color="auto"/>
        <w:right w:val="none" w:sz="0" w:space="0" w:color="auto"/>
      </w:divBdr>
      <w:divsChild>
        <w:div w:id="2056272318">
          <w:marLeft w:val="240"/>
          <w:marRight w:val="0"/>
          <w:marTop w:val="0"/>
          <w:marBottom w:val="0"/>
          <w:divBdr>
            <w:top w:val="none" w:sz="0" w:space="0" w:color="auto"/>
            <w:left w:val="none" w:sz="0" w:space="0" w:color="auto"/>
            <w:bottom w:val="none" w:sz="0" w:space="0" w:color="auto"/>
            <w:right w:val="none" w:sz="0" w:space="0" w:color="auto"/>
          </w:divBdr>
        </w:div>
      </w:divsChild>
    </w:div>
    <w:div w:id="942495829">
      <w:bodyDiv w:val="1"/>
      <w:marLeft w:val="0"/>
      <w:marRight w:val="0"/>
      <w:marTop w:val="0"/>
      <w:marBottom w:val="0"/>
      <w:divBdr>
        <w:top w:val="none" w:sz="0" w:space="0" w:color="auto"/>
        <w:left w:val="none" w:sz="0" w:space="0" w:color="auto"/>
        <w:bottom w:val="none" w:sz="0" w:space="0" w:color="auto"/>
        <w:right w:val="none" w:sz="0" w:space="0" w:color="auto"/>
      </w:divBdr>
    </w:div>
    <w:div w:id="944575365">
      <w:bodyDiv w:val="1"/>
      <w:marLeft w:val="0"/>
      <w:marRight w:val="0"/>
      <w:marTop w:val="0"/>
      <w:marBottom w:val="0"/>
      <w:divBdr>
        <w:top w:val="none" w:sz="0" w:space="0" w:color="auto"/>
        <w:left w:val="none" w:sz="0" w:space="0" w:color="auto"/>
        <w:bottom w:val="none" w:sz="0" w:space="0" w:color="auto"/>
        <w:right w:val="none" w:sz="0" w:space="0" w:color="auto"/>
      </w:divBdr>
    </w:div>
    <w:div w:id="951546192">
      <w:bodyDiv w:val="1"/>
      <w:marLeft w:val="0"/>
      <w:marRight w:val="0"/>
      <w:marTop w:val="0"/>
      <w:marBottom w:val="0"/>
      <w:divBdr>
        <w:top w:val="none" w:sz="0" w:space="0" w:color="auto"/>
        <w:left w:val="none" w:sz="0" w:space="0" w:color="auto"/>
        <w:bottom w:val="none" w:sz="0" w:space="0" w:color="auto"/>
        <w:right w:val="none" w:sz="0" w:space="0" w:color="auto"/>
      </w:divBdr>
    </w:div>
    <w:div w:id="958611821">
      <w:bodyDiv w:val="1"/>
      <w:marLeft w:val="0"/>
      <w:marRight w:val="0"/>
      <w:marTop w:val="0"/>
      <w:marBottom w:val="0"/>
      <w:divBdr>
        <w:top w:val="none" w:sz="0" w:space="0" w:color="auto"/>
        <w:left w:val="none" w:sz="0" w:space="0" w:color="auto"/>
        <w:bottom w:val="none" w:sz="0" w:space="0" w:color="auto"/>
        <w:right w:val="none" w:sz="0" w:space="0" w:color="auto"/>
      </w:divBdr>
    </w:div>
    <w:div w:id="967932034">
      <w:bodyDiv w:val="1"/>
      <w:marLeft w:val="0"/>
      <w:marRight w:val="0"/>
      <w:marTop w:val="0"/>
      <w:marBottom w:val="0"/>
      <w:divBdr>
        <w:top w:val="none" w:sz="0" w:space="0" w:color="auto"/>
        <w:left w:val="none" w:sz="0" w:space="0" w:color="auto"/>
        <w:bottom w:val="none" w:sz="0" w:space="0" w:color="auto"/>
        <w:right w:val="none" w:sz="0" w:space="0" w:color="auto"/>
      </w:divBdr>
      <w:divsChild>
        <w:div w:id="611085811">
          <w:marLeft w:val="600"/>
          <w:marRight w:val="0"/>
          <w:marTop w:val="0"/>
          <w:marBottom w:val="0"/>
          <w:divBdr>
            <w:top w:val="none" w:sz="0" w:space="0" w:color="auto"/>
            <w:left w:val="none" w:sz="0" w:space="0" w:color="auto"/>
            <w:bottom w:val="none" w:sz="0" w:space="0" w:color="auto"/>
            <w:right w:val="none" w:sz="0" w:space="0" w:color="auto"/>
          </w:divBdr>
        </w:div>
      </w:divsChild>
    </w:div>
    <w:div w:id="974062516">
      <w:bodyDiv w:val="1"/>
      <w:marLeft w:val="0"/>
      <w:marRight w:val="0"/>
      <w:marTop w:val="0"/>
      <w:marBottom w:val="0"/>
      <w:divBdr>
        <w:top w:val="none" w:sz="0" w:space="0" w:color="auto"/>
        <w:left w:val="none" w:sz="0" w:space="0" w:color="auto"/>
        <w:bottom w:val="none" w:sz="0" w:space="0" w:color="auto"/>
        <w:right w:val="none" w:sz="0" w:space="0" w:color="auto"/>
      </w:divBdr>
    </w:div>
    <w:div w:id="976683226">
      <w:bodyDiv w:val="1"/>
      <w:marLeft w:val="0"/>
      <w:marRight w:val="0"/>
      <w:marTop w:val="0"/>
      <w:marBottom w:val="0"/>
      <w:divBdr>
        <w:top w:val="none" w:sz="0" w:space="0" w:color="auto"/>
        <w:left w:val="none" w:sz="0" w:space="0" w:color="auto"/>
        <w:bottom w:val="none" w:sz="0" w:space="0" w:color="auto"/>
        <w:right w:val="none" w:sz="0" w:space="0" w:color="auto"/>
      </w:divBdr>
    </w:div>
    <w:div w:id="980042390">
      <w:bodyDiv w:val="1"/>
      <w:marLeft w:val="0"/>
      <w:marRight w:val="0"/>
      <w:marTop w:val="0"/>
      <w:marBottom w:val="0"/>
      <w:divBdr>
        <w:top w:val="none" w:sz="0" w:space="0" w:color="auto"/>
        <w:left w:val="none" w:sz="0" w:space="0" w:color="auto"/>
        <w:bottom w:val="none" w:sz="0" w:space="0" w:color="auto"/>
        <w:right w:val="none" w:sz="0" w:space="0" w:color="auto"/>
      </w:divBdr>
    </w:div>
    <w:div w:id="980110683">
      <w:bodyDiv w:val="1"/>
      <w:marLeft w:val="0"/>
      <w:marRight w:val="0"/>
      <w:marTop w:val="0"/>
      <w:marBottom w:val="0"/>
      <w:divBdr>
        <w:top w:val="none" w:sz="0" w:space="0" w:color="auto"/>
        <w:left w:val="none" w:sz="0" w:space="0" w:color="auto"/>
        <w:bottom w:val="none" w:sz="0" w:space="0" w:color="auto"/>
        <w:right w:val="none" w:sz="0" w:space="0" w:color="auto"/>
      </w:divBdr>
    </w:div>
    <w:div w:id="981469633">
      <w:bodyDiv w:val="1"/>
      <w:marLeft w:val="0"/>
      <w:marRight w:val="0"/>
      <w:marTop w:val="0"/>
      <w:marBottom w:val="0"/>
      <w:divBdr>
        <w:top w:val="none" w:sz="0" w:space="0" w:color="auto"/>
        <w:left w:val="none" w:sz="0" w:space="0" w:color="auto"/>
        <w:bottom w:val="none" w:sz="0" w:space="0" w:color="auto"/>
        <w:right w:val="none" w:sz="0" w:space="0" w:color="auto"/>
      </w:divBdr>
    </w:div>
    <w:div w:id="982464162">
      <w:bodyDiv w:val="1"/>
      <w:marLeft w:val="0"/>
      <w:marRight w:val="0"/>
      <w:marTop w:val="0"/>
      <w:marBottom w:val="0"/>
      <w:divBdr>
        <w:top w:val="none" w:sz="0" w:space="0" w:color="auto"/>
        <w:left w:val="none" w:sz="0" w:space="0" w:color="auto"/>
        <w:bottom w:val="none" w:sz="0" w:space="0" w:color="auto"/>
        <w:right w:val="none" w:sz="0" w:space="0" w:color="auto"/>
      </w:divBdr>
    </w:div>
    <w:div w:id="983582410">
      <w:bodyDiv w:val="1"/>
      <w:marLeft w:val="0"/>
      <w:marRight w:val="0"/>
      <w:marTop w:val="0"/>
      <w:marBottom w:val="0"/>
      <w:divBdr>
        <w:top w:val="none" w:sz="0" w:space="0" w:color="auto"/>
        <w:left w:val="none" w:sz="0" w:space="0" w:color="auto"/>
        <w:bottom w:val="none" w:sz="0" w:space="0" w:color="auto"/>
        <w:right w:val="none" w:sz="0" w:space="0" w:color="auto"/>
      </w:divBdr>
    </w:div>
    <w:div w:id="993530294">
      <w:bodyDiv w:val="1"/>
      <w:marLeft w:val="0"/>
      <w:marRight w:val="0"/>
      <w:marTop w:val="0"/>
      <w:marBottom w:val="0"/>
      <w:divBdr>
        <w:top w:val="none" w:sz="0" w:space="0" w:color="auto"/>
        <w:left w:val="none" w:sz="0" w:space="0" w:color="auto"/>
        <w:bottom w:val="none" w:sz="0" w:space="0" w:color="auto"/>
        <w:right w:val="none" w:sz="0" w:space="0" w:color="auto"/>
      </w:divBdr>
    </w:div>
    <w:div w:id="1002317524">
      <w:bodyDiv w:val="1"/>
      <w:marLeft w:val="0"/>
      <w:marRight w:val="0"/>
      <w:marTop w:val="0"/>
      <w:marBottom w:val="0"/>
      <w:divBdr>
        <w:top w:val="none" w:sz="0" w:space="0" w:color="auto"/>
        <w:left w:val="none" w:sz="0" w:space="0" w:color="auto"/>
        <w:bottom w:val="none" w:sz="0" w:space="0" w:color="auto"/>
        <w:right w:val="none" w:sz="0" w:space="0" w:color="auto"/>
      </w:divBdr>
    </w:div>
    <w:div w:id="1007055119">
      <w:bodyDiv w:val="1"/>
      <w:marLeft w:val="0"/>
      <w:marRight w:val="0"/>
      <w:marTop w:val="0"/>
      <w:marBottom w:val="0"/>
      <w:divBdr>
        <w:top w:val="none" w:sz="0" w:space="0" w:color="auto"/>
        <w:left w:val="none" w:sz="0" w:space="0" w:color="auto"/>
        <w:bottom w:val="none" w:sz="0" w:space="0" w:color="auto"/>
        <w:right w:val="none" w:sz="0" w:space="0" w:color="auto"/>
      </w:divBdr>
    </w:div>
    <w:div w:id="1014770392">
      <w:bodyDiv w:val="1"/>
      <w:marLeft w:val="0"/>
      <w:marRight w:val="0"/>
      <w:marTop w:val="0"/>
      <w:marBottom w:val="0"/>
      <w:divBdr>
        <w:top w:val="none" w:sz="0" w:space="0" w:color="auto"/>
        <w:left w:val="none" w:sz="0" w:space="0" w:color="auto"/>
        <w:bottom w:val="none" w:sz="0" w:space="0" w:color="auto"/>
        <w:right w:val="none" w:sz="0" w:space="0" w:color="auto"/>
      </w:divBdr>
    </w:div>
    <w:div w:id="1021128773">
      <w:bodyDiv w:val="1"/>
      <w:marLeft w:val="0"/>
      <w:marRight w:val="0"/>
      <w:marTop w:val="0"/>
      <w:marBottom w:val="0"/>
      <w:divBdr>
        <w:top w:val="none" w:sz="0" w:space="0" w:color="auto"/>
        <w:left w:val="none" w:sz="0" w:space="0" w:color="auto"/>
        <w:bottom w:val="none" w:sz="0" w:space="0" w:color="auto"/>
        <w:right w:val="none" w:sz="0" w:space="0" w:color="auto"/>
      </w:divBdr>
    </w:div>
    <w:div w:id="1024672161">
      <w:bodyDiv w:val="1"/>
      <w:marLeft w:val="0"/>
      <w:marRight w:val="0"/>
      <w:marTop w:val="0"/>
      <w:marBottom w:val="0"/>
      <w:divBdr>
        <w:top w:val="none" w:sz="0" w:space="0" w:color="auto"/>
        <w:left w:val="none" w:sz="0" w:space="0" w:color="auto"/>
        <w:bottom w:val="none" w:sz="0" w:space="0" w:color="auto"/>
        <w:right w:val="none" w:sz="0" w:space="0" w:color="auto"/>
      </w:divBdr>
    </w:div>
    <w:div w:id="1028526295">
      <w:bodyDiv w:val="1"/>
      <w:marLeft w:val="0"/>
      <w:marRight w:val="0"/>
      <w:marTop w:val="0"/>
      <w:marBottom w:val="0"/>
      <w:divBdr>
        <w:top w:val="none" w:sz="0" w:space="0" w:color="auto"/>
        <w:left w:val="none" w:sz="0" w:space="0" w:color="auto"/>
        <w:bottom w:val="none" w:sz="0" w:space="0" w:color="auto"/>
        <w:right w:val="none" w:sz="0" w:space="0" w:color="auto"/>
      </w:divBdr>
    </w:div>
    <w:div w:id="1030839344">
      <w:bodyDiv w:val="1"/>
      <w:marLeft w:val="0"/>
      <w:marRight w:val="0"/>
      <w:marTop w:val="0"/>
      <w:marBottom w:val="0"/>
      <w:divBdr>
        <w:top w:val="none" w:sz="0" w:space="0" w:color="auto"/>
        <w:left w:val="none" w:sz="0" w:space="0" w:color="auto"/>
        <w:bottom w:val="none" w:sz="0" w:space="0" w:color="auto"/>
        <w:right w:val="none" w:sz="0" w:space="0" w:color="auto"/>
      </w:divBdr>
    </w:div>
    <w:div w:id="1045980644">
      <w:bodyDiv w:val="1"/>
      <w:marLeft w:val="0"/>
      <w:marRight w:val="0"/>
      <w:marTop w:val="0"/>
      <w:marBottom w:val="0"/>
      <w:divBdr>
        <w:top w:val="none" w:sz="0" w:space="0" w:color="auto"/>
        <w:left w:val="none" w:sz="0" w:space="0" w:color="auto"/>
        <w:bottom w:val="none" w:sz="0" w:space="0" w:color="auto"/>
        <w:right w:val="none" w:sz="0" w:space="0" w:color="auto"/>
      </w:divBdr>
    </w:div>
    <w:div w:id="1048601446">
      <w:bodyDiv w:val="1"/>
      <w:marLeft w:val="0"/>
      <w:marRight w:val="0"/>
      <w:marTop w:val="0"/>
      <w:marBottom w:val="0"/>
      <w:divBdr>
        <w:top w:val="none" w:sz="0" w:space="0" w:color="auto"/>
        <w:left w:val="none" w:sz="0" w:space="0" w:color="auto"/>
        <w:bottom w:val="none" w:sz="0" w:space="0" w:color="auto"/>
        <w:right w:val="none" w:sz="0" w:space="0" w:color="auto"/>
      </w:divBdr>
    </w:div>
    <w:div w:id="1052734435">
      <w:bodyDiv w:val="1"/>
      <w:marLeft w:val="0"/>
      <w:marRight w:val="0"/>
      <w:marTop w:val="0"/>
      <w:marBottom w:val="0"/>
      <w:divBdr>
        <w:top w:val="none" w:sz="0" w:space="0" w:color="auto"/>
        <w:left w:val="none" w:sz="0" w:space="0" w:color="auto"/>
        <w:bottom w:val="none" w:sz="0" w:space="0" w:color="auto"/>
        <w:right w:val="none" w:sz="0" w:space="0" w:color="auto"/>
      </w:divBdr>
    </w:div>
    <w:div w:id="1064448704">
      <w:bodyDiv w:val="1"/>
      <w:marLeft w:val="0"/>
      <w:marRight w:val="0"/>
      <w:marTop w:val="0"/>
      <w:marBottom w:val="0"/>
      <w:divBdr>
        <w:top w:val="none" w:sz="0" w:space="0" w:color="auto"/>
        <w:left w:val="none" w:sz="0" w:space="0" w:color="auto"/>
        <w:bottom w:val="none" w:sz="0" w:space="0" w:color="auto"/>
        <w:right w:val="none" w:sz="0" w:space="0" w:color="auto"/>
      </w:divBdr>
    </w:div>
    <w:div w:id="1066613195">
      <w:bodyDiv w:val="1"/>
      <w:marLeft w:val="0"/>
      <w:marRight w:val="0"/>
      <w:marTop w:val="0"/>
      <w:marBottom w:val="0"/>
      <w:divBdr>
        <w:top w:val="none" w:sz="0" w:space="0" w:color="auto"/>
        <w:left w:val="none" w:sz="0" w:space="0" w:color="auto"/>
        <w:bottom w:val="none" w:sz="0" w:space="0" w:color="auto"/>
        <w:right w:val="none" w:sz="0" w:space="0" w:color="auto"/>
      </w:divBdr>
      <w:divsChild>
        <w:div w:id="609364356">
          <w:marLeft w:val="0"/>
          <w:marRight w:val="0"/>
          <w:marTop w:val="0"/>
          <w:marBottom w:val="0"/>
          <w:divBdr>
            <w:top w:val="none" w:sz="0" w:space="0" w:color="auto"/>
            <w:left w:val="none" w:sz="0" w:space="0" w:color="auto"/>
            <w:bottom w:val="none" w:sz="0" w:space="0" w:color="auto"/>
            <w:right w:val="none" w:sz="0" w:space="0" w:color="auto"/>
          </w:divBdr>
          <w:divsChild>
            <w:div w:id="134184082">
              <w:marLeft w:val="0"/>
              <w:marRight w:val="0"/>
              <w:marTop w:val="0"/>
              <w:marBottom w:val="0"/>
              <w:divBdr>
                <w:top w:val="none" w:sz="0" w:space="0" w:color="auto"/>
                <w:left w:val="none" w:sz="0" w:space="0" w:color="auto"/>
                <w:bottom w:val="none" w:sz="0" w:space="0" w:color="auto"/>
                <w:right w:val="none" w:sz="0" w:space="0" w:color="auto"/>
              </w:divBdr>
              <w:divsChild>
                <w:div w:id="1598055381">
                  <w:marLeft w:val="0"/>
                  <w:marRight w:val="0"/>
                  <w:marTop w:val="0"/>
                  <w:marBottom w:val="0"/>
                  <w:divBdr>
                    <w:top w:val="none" w:sz="0" w:space="0" w:color="auto"/>
                    <w:left w:val="none" w:sz="0" w:space="0" w:color="auto"/>
                    <w:bottom w:val="none" w:sz="0" w:space="0" w:color="auto"/>
                    <w:right w:val="none" w:sz="0" w:space="0" w:color="auto"/>
                  </w:divBdr>
                  <w:divsChild>
                    <w:div w:id="783112901">
                      <w:marLeft w:val="1"/>
                      <w:marRight w:val="1"/>
                      <w:marTop w:val="0"/>
                      <w:marBottom w:val="0"/>
                      <w:divBdr>
                        <w:top w:val="none" w:sz="0" w:space="0" w:color="auto"/>
                        <w:left w:val="none" w:sz="0" w:space="0" w:color="auto"/>
                        <w:bottom w:val="none" w:sz="0" w:space="0" w:color="auto"/>
                        <w:right w:val="none" w:sz="0" w:space="0" w:color="auto"/>
                      </w:divBdr>
                      <w:divsChild>
                        <w:div w:id="2127264754">
                          <w:marLeft w:val="0"/>
                          <w:marRight w:val="0"/>
                          <w:marTop w:val="0"/>
                          <w:marBottom w:val="0"/>
                          <w:divBdr>
                            <w:top w:val="none" w:sz="0" w:space="0" w:color="auto"/>
                            <w:left w:val="none" w:sz="0" w:space="0" w:color="auto"/>
                            <w:bottom w:val="none" w:sz="0" w:space="0" w:color="auto"/>
                            <w:right w:val="none" w:sz="0" w:space="0" w:color="auto"/>
                          </w:divBdr>
                          <w:divsChild>
                            <w:div w:id="119885436">
                              <w:marLeft w:val="0"/>
                              <w:marRight w:val="0"/>
                              <w:marTop w:val="0"/>
                              <w:marBottom w:val="360"/>
                              <w:divBdr>
                                <w:top w:val="none" w:sz="0" w:space="0" w:color="auto"/>
                                <w:left w:val="none" w:sz="0" w:space="0" w:color="auto"/>
                                <w:bottom w:val="none" w:sz="0" w:space="0" w:color="auto"/>
                                <w:right w:val="none" w:sz="0" w:space="0" w:color="auto"/>
                              </w:divBdr>
                              <w:divsChild>
                                <w:div w:id="1093748818">
                                  <w:marLeft w:val="0"/>
                                  <w:marRight w:val="0"/>
                                  <w:marTop w:val="0"/>
                                  <w:marBottom w:val="360"/>
                                  <w:divBdr>
                                    <w:top w:val="none" w:sz="0" w:space="0" w:color="auto"/>
                                    <w:left w:val="none" w:sz="0" w:space="0" w:color="auto"/>
                                    <w:bottom w:val="none" w:sz="0" w:space="0" w:color="auto"/>
                                    <w:right w:val="none" w:sz="0" w:space="0" w:color="auto"/>
                                  </w:divBdr>
                                  <w:divsChild>
                                    <w:div w:id="841353342">
                                      <w:marLeft w:val="0"/>
                                      <w:marRight w:val="0"/>
                                      <w:marTop w:val="0"/>
                                      <w:marBottom w:val="0"/>
                                      <w:divBdr>
                                        <w:top w:val="none" w:sz="0" w:space="0" w:color="auto"/>
                                        <w:left w:val="none" w:sz="0" w:space="0" w:color="auto"/>
                                        <w:bottom w:val="none" w:sz="0" w:space="0" w:color="auto"/>
                                        <w:right w:val="none" w:sz="0" w:space="0" w:color="auto"/>
                                      </w:divBdr>
                                      <w:divsChild>
                                        <w:div w:id="2082871596">
                                          <w:marLeft w:val="0"/>
                                          <w:marRight w:val="0"/>
                                          <w:marTop w:val="0"/>
                                          <w:marBottom w:val="0"/>
                                          <w:divBdr>
                                            <w:top w:val="none" w:sz="0" w:space="0" w:color="auto"/>
                                            <w:left w:val="none" w:sz="0" w:space="0" w:color="auto"/>
                                            <w:bottom w:val="none" w:sz="0" w:space="0" w:color="auto"/>
                                            <w:right w:val="none" w:sz="0" w:space="0" w:color="auto"/>
                                          </w:divBdr>
                                          <w:divsChild>
                                            <w:div w:id="225527940">
                                              <w:marLeft w:val="0"/>
                                              <w:marRight w:val="0"/>
                                              <w:marTop w:val="0"/>
                                              <w:marBottom w:val="0"/>
                                              <w:divBdr>
                                                <w:top w:val="none" w:sz="0" w:space="0" w:color="auto"/>
                                                <w:left w:val="none" w:sz="0" w:space="0" w:color="auto"/>
                                                <w:bottom w:val="none" w:sz="0" w:space="0" w:color="auto"/>
                                                <w:right w:val="none" w:sz="0" w:space="0" w:color="auto"/>
                                              </w:divBdr>
                                              <w:divsChild>
                                                <w:div w:id="19248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6559991">
      <w:bodyDiv w:val="1"/>
      <w:marLeft w:val="0"/>
      <w:marRight w:val="0"/>
      <w:marTop w:val="0"/>
      <w:marBottom w:val="0"/>
      <w:divBdr>
        <w:top w:val="none" w:sz="0" w:space="0" w:color="auto"/>
        <w:left w:val="none" w:sz="0" w:space="0" w:color="auto"/>
        <w:bottom w:val="none" w:sz="0" w:space="0" w:color="auto"/>
        <w:right w:val="none" w:sz="0" w:space="0" w:color="auto"/>
      </w:divBdr>
      <w:divsChild>
        <w:div w:id="242305427">
          <w:marLeft w:val="960"/>
          <w:marRight w:val="0"/>
          <w:marTop w:val="0"/>
          <w:marBottom w:val="0"/>
          <w:divBdr>
            <w:top w:val="none" w:sz="0" w:space="0" w:color="auto"/>
            <w:left w:val="none" w:sz="0" w:space="0" w:color="auto"/>
            <w:bottom w:val="none" w:sz="0" w:space="0" w:color="auto"/>
            <w:right w:val="none" w:sz="0" w:space="0" w:color="auto"/>
          </w:divBdr>
        </w:div>
        <w:div w:id="480267761">
          <w:marLeft w:val="960"/>
          <w:marRight w:val="0"/>
          <w:marTop w:val="0"/>
          <w:marBottom w:val="0"/>
          <w:divBdr>
            <w:top w:val="none" w:sz="0" w:space="0" w:color="auto"/>
            <w:left w:val="none" w:sz="0" w:space="0" w:color="auto"/>
            <w:bottom w:val="none" w:sz="0" w:space="0" w:color="auto"/>
            <w:right w:val="none" w:sz="0" w:space="0" w:color="auto"/>
          </w:divBdr>
        </w:div>
        <w:div w:id="669715366">
          <w:marLeft w:val="960"/>
          <w:marRight w:val="0"/>
          <w:marTop w:val="0"/>
          <w:marBottom w:val="0"/>
          <w:divBdr>
            <w:top w:val="none" w:sz="0" w:space="0" w:color="auto"/>
            <w:left w:val="none" w:sz="0" w:space="0" w:color="auto"/>
            <w:bottom w:val="none" w:sz="0" w:space="0" w:color="auto"/>
            <w:right w:val="none" w:sz="0" w:space="0" w:color="auto"/>
          </w:divBdr>
        </w:div>
        <w:div w:id="719675305">
          <w:marLeft w:val="960"/>
          <w:marRight w:val="0"/>
          <w:marTop w:val="0"/>
          <w:marBottom w:val="0"/>
          <w:divBdr>
            <w:top w:val="none" w:sz="0" w:space="0" w:color="auto"/>
            <w:left w:val="none" w:sz="0" w:space="0" w:color="auto"/>
            <w:bottom w:val="none" w:sz="0" w:space="0" w:color="auto"/>
            <w:right w:val="none" w:sz="0" w:space="0" w:color="auto"/>
          </w:divBdr>
        </w:div>
        <w:div w:id="1266502469">
          <w:marLeft w:val="960"/>
          <w:marRight w:val="0"/>
          <w:marTop w:val="0"/>
          <w:marBottom w:val="0"/>
          <w:divBdr>
            <w:top w:val="none" w:sz="0" w:space="0" w:color="auto"/>
            <w:left w:val="none" w:sz="0" w:space="0" w:color="auto"/>
            <w:bottom w:val="none" w:sz="0" w:space="0" w:color="auto"/>
            <w:right w:val="none" w:sz="0" w:space="0" w:color="auto"/>
          </w:divBdr>
        </w:div>
        <w:div w:id="1869415198">
          <w:marLeft w:val="960"/>
          <w:marRight w:val="0"/>
          <w:marTop w:val="0"/>
          <w:marBottom w:val="0"/>
          <w:divBdr>
            <w:top w:val="none" w:sz="0" w:space="0" w:color="auto"/>
            <w:left w:val="none" w:sz="0" w:space="0" w:color="auto"/>
            <w:bottom w:val="none" w:sz="0" w:space="0" w:color="auto"/>
            <w:right w:val="none" w:sz="0" w:space="0" w:color="auto"/>
          </w:divBdr>
        </w:div>
        <w:div w:id="1899971466">
          <w:marLeft w:val="960"/>
          <w:marRight w:val="0"/>
          <w:marTop w:val="0"/>
          <w:marBottom w:val="0"/>
          <w:divBdr>
            <w:top w:val="none" w:sz="0" w:space="0" w:color="auto"/>
            <w:left w:val="none" w:sz="0" w:space="0" w:color="auto"/>
            <w:bottom w:val="none" w:sz="0" w:space="0" w:color="auto"/>
            <w:right w:val="none" w:sz="0" w:space="0" w:color="auto"/>
          </w:divBdr>
        </w:div>
        <w:div w:id="2020571567">
          <w:marLeft w:val="960"/>
          <w:marRight w:val="0"/>
          <w:marTop w:val="0"/>
          <w:marBottom w:val="0"/>
          <w:divBdr>
            <w:top w:val="none" w:sz="0" w:space="0" w:color="auto"/>
            <w:left w:val="none" w:sz="0" w:space="0" w:color="auto"/>
            <w:bottom w:val="none" w:sz="0" w:space="0" w:color="auto"/>
            <w:right w:val="none" w:sz="0" w:space="0" w:color="auto"/>
          </w:divBdr>
        </w:div>
      </w:divsChild>
    </w:div>
    <w:div w:id="1081563971">
      <w:bodyDiv w:val="1"/>
      <w:marLeft w:val="0"/>
      <w:marRight w:val="0"/>
      <w:marTop w:val="0"/>
      <w:marBottom w:val="0"/>
      <w:divBdr>
        <w:top w:val="none" w:sz="0" w:space="0" w:color="auto"/>
        <w:left w:val="none" w:sz="0" w:space="0" w:color="auto"/>
        <w:bottom w:val="none" w:sz="0" w:space="0" w:color="auto"/>
        <w:right w:val="none" w:sz="0" w:space="0" w:color="auto"/>
      </w:divBdr>
    </w:div>
    <w:div w:id="1082483324">
      <w:bodyDiv w:val="1"/>
      <w:marLeft w:val="0"/>
      <w:marRight w:val="0"/>
      <w:marTop w:val="0"/>
      <w:marBottom w:val="0"/>
      <w:divBdr>
        <w:top w:val="none" w:sz="0" w:space="0" w:color="auto"/>
        <w:left w:val="none" w:sz="0" w:space="0" w:color="auto"/>
        <w:bottom w:val="none" w:sz="0" w:space="0" w:color="auto"/>
        <w:right w:val="none" w:sz="0" w:space="0" w:color="auto"/>
      </w:divBdr>
    </w:div>
    <w:div w:id="1083406519">
      <w:bodyDiv w:val="1"/>
      <w:marLeft w:val="0"/>
      <w:marRight w:val="0"/>
      <w:marTop w:val="0"/>
      <w:marBottom w:val="0"/>
      <w:divBdr>
        <w:top w:val="none" w:sz="0" w:space="0" w:color="auto"/>
        <w:left w:val="none" w:sz="0" w:space="0" w:color="auto"/>
        <w:bottom w:val="none" w:sz="0" w:space="0" w:color="auto"/>
        <w:right w:val="none" w:sz="0" w:space="0" w:color="auto"/>
      </w:divBdr>
    </w:div>
    <w:div w:id="1098450744">
      <w:bodyDiv w:val="1"/>
      <w:marLeft w:val="0"/>
      <w:marRight w:val="0"/>
      <w:marTop w:val="0"/>
      <w:marBottom w:val="0"/>
      <w:divBdr>
        <w:top w:val="none" w:sz="0" w:space="0" w:color="auto"/>
        <w:left w:val="none" w:sz="0" w:space="0" w:color="auto"/>
        <w:bottom w:val="none" w:sz="0" w:space="0" w:color="auto"/>
        <w:right w:val="none" w:sz="0" w:space="0" w:color="auto"/>
      </w:divBdr>
    </w:div>
    <w:div w:id="1101948247">
      <w:bodyDiv w:val="1"/>
      <w:marLeft w:val="0"/>
      <w:marRight w:val="0"/>
      <w:marTop w:val="0"/>
      <w:marBottom w:val="0"/>
      <w:divBdr>
        <w:top w:val="none" w:sz="0" w:space="0" w:color="auto"/>
        <w:left w:val="none" w:sz="0" w:space="0" w:color="auto"/>
        <w:bottom w:val="none" w:sz="0" w:space="0" w:color="auto"/>
        <w:right w:val="none" w:sz="0" w:space="0" w:color="auto"/>
      </w:divBdr>
    </w:div>
    <w:div w:id="1102068397">
      <w:bodyDiv w:val="1"/>
      <w:marLeft w:val="0"/>
      <w:marRight w:val="0"/>
      <w:marTop w:val="0"/>
      <w:marBottom w:val="0"/>
      <w:divBdr>
        <w:top w:val="none" w:sz="0" w:space="0" w:color="auto"/>
        <w:left w:val="none" w:sz="0" w:space="0" w:color="auto"/>
        <w:bottom w:val="none" w:sz="0" w:space="0" w:color="auto"/>
        <w:right w:val="none" w:sz="0" w:space="0" w:color="auto"/>
      </w:divBdr>
    </w:div>
    <w:div w:id="1110857267">
      <w:bodyDiv w:val="1"/>
      <w:marLeft w:val="0"/>
      <w:marRight w:val="0"/>
      <w:marTop w:val="0"/>
      <w:marBottom w:val="0"/>
      <w:divBdr>
        <w:top w:val="none" w:sz="0" w:space="0" w:color="auto"/>
        <w:left w:val="none" w:sz="0" w:space="0" w:color="auto"/>
        <w:bottom w:val="none" w:sz="0" w:space="0" w:color="auto"/>
        <w:right w:val="none" w:sz="0" w:space="0" w:color="auto"/>
      </w:divBdr>
      <w:divsChild>
        <w:div w:id="198519880">
          <w:marLeft w:val="240"/>
          <w:marRight w:val="0"/>
          <w:marTop w:val="0"/>
          <w:marBottom w:val="0"/>
          <w:divBdr>
            <w:top w:val="none" w:sz="0" w:space="0" w:color="auto"/>
            <w:left w:val="none" w:sz="0" w:space="0" w:color="auto"/>
            <w:bottom w:val="none" w:sz="0" w:space="0" w:color="auto"/>
            <w:right w:val="none" w:sz="0" w:space="0" w:color="auto"/>
          </w:divBdr>
        </w:div>
        <w:div w:id="1649937861">
          <w:marLeft w:val="240"/>
          <w:marRight w:val="0"/>
          <w:marTop w:val="0"/>
          <w:marBottom w:val="0"/>
          <w:divBdr>
            <w:top w:val="none" w:sz="0" w:space="0" w:color="auto"/>
            <w:left w:val="none" w:sz="0" w:space="0" w:color="auto"/>
            <w:bottom w:val="none" w:sz="0" w:space="0" w:color="auto"/>
            <w:right w:val="none" w:sz="0" w:space="0" w:color="auto"/>
          </w:divBdr>
        </w:div>
      </w:divsChild>
    </w:div>
    <w:div w:id="1111440740">
      <w:bodyDiv w:val="1"/>
      <w:marLeft w:val="0"/>
      <w:marRight w:val="0"/>
      <w:marTop w:val="0"/>
      <w:marBottom w:val="0"/>
      <w:divBdr>
        <w:top w:val="none" w:sz="0" w:space="0" w:color="auto"/>
        <w:left w:val="none" w:sz="0" w:space="0" w:color="auto"/>
        <w:bottom w:val="none" w:sz="0" w:space="0" w:color="auto"/>
        <w:right w:val="none" w:sz="0" w:space="0" w:color="auto"/>
      </w:divBdr>
    </w:div>
    <w:div w:id="1115557661">
      <w:bodyDiv w:val="1"/>
      <w:marLeft w:val="0"/>
      <w:marRight w:val="0"/>
      <w:marTop w:val="0"/>
      <w:marBottom w:val="0"/>
      <w:divBdr>
        <w:top w:val="none" w:sz="0" w:space="0" w:color="auto"/>
        <w:left w:val="none" w:sz="0" w:space="0" w:color="auto"/>
        <w:bottom w:val="none" w:sz="0" w:space="0" w:color="auto"/>
        <w:right w:val="none" w:sz="0" w:space="0" w:color="auto"/>
      </w:divBdr>
    </w:div>
    <w:div w:id="1119766273">
      <w:bodyDiv w:val="1"/>
      <w:marLeft w:val="0"/>
      <w:marRight w:val="0"/>
      <w:marTop w:val="0"/>
      <w:marBottom w:val="0"/>
      <w:divBdr>
        <w:top w:val="none" w:sz="0" w:space="0" w:color="auto"/>
        <w:left w:val="none" w:sz="0" w:space="0" w:color="auto"/>
        <w:bottom w:val="none" w:sz="0" w:space="0" w:color="auto"/>
        <w:right w:val="none" w:sz="0" w:space="0" w:color="auto"/>
      </w:divBdr>
    </w:div>
    <w:div w:id="1124084290">
      <w:bodyDiv w:val="1"/>
      <w:marLeft w:val="0"/>
      <w:marRight w:val="0"/>
      <w:marTop w:val="0"/>
      <w:marBottom w:val="0"/>
      <w:divBdr>
        <w:top w:val="none" w:sz="0" w:space="0" w:color="auto"/>
        <w:left w:val="none" w:sz="0" w:space="0" w:color="auto"/>
        <w:bottom w:val="none" w:sz="0" w:space="0" w:color="auto"/>
        <w:right w:val="none" w:sz="0" w:space="0" w:color="auto"/>
      </w:divBdr>
    </w:div>
    <w:div w:id="1126849297">
      <w:bodyDiv w:val="1"/>
      <w:marLeft w:val="0"/>
      <w:marRight w:val="0"/>
      <w:marTop w:val="0"/>
      <w:marBottom w:val="0"/>
      <w:divBdr>
        <w:top w:val="none" w:sz="0" w:space="0" w:color="auto"/>
        <w:left w:val="none" w:sz="0" w:space="0" w:color="auto"/>
        <w:bottom w:val="none" w:sz="0" w:space="0" w:color="auto"/>
        <w:right w:val="none" w:sz="0" w:space="0" w:color="auto"/>
      </w:divBdr>
    </w:div>
    <w:div w:id="1128746725">
      <w:bodyDiv w:val="1"/>
      <w:marLeft w:val="0"/>
      <w:marRight w:val="0"/>
      <w:marTop w:val="0"/>
      <w:marBottom w:val="0"/>
      <w:divBdr>
        <w:top w:val="none" w:sz="0" w:space="0" w:color="auto"/>
        <w:left w:val="none" w:sz="0" w:space="0" w:color="auto"/>
        <w:bottom w:val="none" w:sz="0" w:space="0" w:color="auto"/>
        <w:right w:val="none" w:sz="0" w:space="0" w:color="auto"/>
      </w:divBdr>
    </w:div>
    <w:div w:id="1129057141">
      <w:bodyDiv w:val="1"/>
      <w:marLeft w:val="0"/>
      <w:marRight w:val="0"/>
      <w:marTop w:val="0"/>
      <w:marBottom w:val="0"/>
      <w:divBdr>
        <w:top w:val="none" w:sz="0" w:space="0" w:color="auto"/>
        <w:left w:val="none" w:sz="0" w:space="0" w:color="auto"/>
        <w:bottom w:val="none" w:sz="0" w:space="0" w:color="auto"/>
        <w:right w:val="none" w:sz="0" w:space="0" w:color="auto"/>
      </w:divBdr>
    </w:div>
    <w:div w:id="1132790903">
      <w:bodyDiv w:val="1"/>
      <w:marLeft w:val="0"/>
      <w:marRight w:val="0"/>
      <w:marTop w:val="0"/>
      <w:marBottom w:val="0"/>
      <w:divBdr>
        <w:top w:val="none" w:sz="0" w:space="0" w:color="auto"/>
        <w:left w:val="none" w:sz="0" w:space="0" w:color="auto"/>
        <w:bottom w:val="none" w:sz="0" w:space="0" w:color="auto"/>
        <w:right w:val="none" w:sz="0" w:space="0" w:color="auto"/>
      </w:divBdr>
    </w:div>
    <w:div w:id="1135104665">
      <w:bodyDiv w:val="1"/>
      <w:marLeft w:val="0"/>
      <w:marRight w:val="0"/>
      <w:marTop w:val="0"/>
      <w:marBottom w:val="0"/>
      <w:divBdr>
        <w:top w:val="none" w:sz="0" w:space="0" w:color="auto"/>
        <w:left w:val="none" w:sz="0" w:space="0" w:color="auto"/>
        <w:bottom w:val="none" w:sz="0" w:space="0" w:color="auto"/>
        <w:right w:val="none" w:sz="0" w:space="0" w:color="auto"/>
      </w:divBdr>
    </w:div>
    <w:div w:id="1136026387">
      <w:bodyDiv w:val="1"/>
      <w:marLeft w:val="0"/>
      <w:marRight w:val="0"/>
      <w:marTop w:val="0"/>
      <w:marBottom w:val="0"/>
      <w:divBdr>
        <w:top w:val="none" w:sz="0" w:space="0" w:color="auto"/>
        <w:left w:val="none" w:sz="0" w:space="0" w:color="auto"/>
        <w:bottom w:val="none" w:sz="0" w:space="0" w:color="auto"/>
        <w:right w:val="none" w:sz="0" w:space="0" w:color="auto"/>
      </w:divBdr>
    </w:div>
    <w:div w:id="1141800296">
      <w:bodyDiv w:val="1"/>
      <w:marLeft w:val="0"/>
      <w:marRight w:val="0"/>
      <w:marTop w:val="0"/>
      <w:marBottom w:val="0"/>
      <w:divBdr>
        <w:top w:val="none" w:sz="0" w:space="0" w:color="auto"/>
        <w:left w:val="none" w:sz="0" w:space="0" w:color="auto"/>
        <w:bottom w:val="none" w:sz="0" w:space="0" w:color="auto"/>
        <w:right w:val="none" w:sz="0" w:space="0" w:color="auto"/>
      </w:divBdr>
    </w:div>
    <w:div w:id="1143347715">
      <w:bodyDiv w:val="1"/>
      <w:marLeft w:val="0"/>
      <w:marRight w:val="0"/>
      <w:marTop w:val="0"/>
      <w:marBottom w:val="0"/>
      <w:divBdr>
        <w:top w:val="none" w:sz="0" w:space="0" w:color="auto"/>
        <w:left w:val="none" w:sz="0" w:space="0" w:color="auto"/>
        <w:bottom w:val="none" w:sz="0" w:space="0" w:color="auto"/>
        <w:right w:val="none" w:sz="0" w:space="0" w:color="auto"/>
      </w:divBdr>
    </w:div>
    <w:div w:id="1146319960">
      <w:bodyDiv w:val="1"/>
      <w:marLeft w:val="0"/>
      <w:marRight w:val="0"/>
      <w:marTop w:val="0"/>
      <w:marBottom w:val="0"/>
      <w:divBdr>
        <w:top w:val="none" w:sz="0" w:space="0" w:color="auto"/>
        <w:left w:val="none" w:sz="0" w:space="0" w:color="auto"/>
        <w:bottom w:val="none" w:sz="0" w:space="0" w:color="auto"/>
        <w:right w:val="none" w:sz="0" w:space="0" w:color="auto"/>
      </w:divBdr>
    </w:div>
    <w:div w:id="1146512444">
      <w:bodyDiv w:val="1"/>
      <w:marLeft w:val="0"/>
      <w:marRight w:val="0"/>
      <w:marTop w:val="0"/>
      <w:marBottom w:val="0"/>
      <w:divBdr>
        <w:top w:val="none" w:sz="0" w:space="0" w:color="auto"/>
        <w:left w:val="none" w:sz="0" w:space="0" w:color="auto"/>
        <w:bottom w:val="none" w:sz="0" w:space="0" w:color="auto"/>
        <w:right w:val="none" w:sz="0" w:space="0" w:color="auto"/>
      </w:divBdr>
      <w:divsChild>
        <w:div w:id="536089812">
          <w:marLeft w:val="240"/>
          <w:marRight w:val="0"/>
          <w:marTop w:val="0"/>
          <w:marBottom w:val="0"/>
          <w:divBdr>
            <w:top w:val="none" w:sz="0" w:space="0" w:color="auto"/>
            <w:left w:val="none" w:sz="0" w:space="0" w:color="auto"/>
            <w:bottom w:val="none" w:sz="0" w:space="0" w:color="auto"/>
            <w:right w:val="none" w:sz="0" w:space="0" w:color="auto"/>
          </w:divBdr>
        </w:div>
        <w:div w:id="1410468382">
          <w:marLeft w:val="240"/>
          <w:marRight w:val="0"/>
          <w:marTop w:val="0"/>
          <w:marBottom w:val="0"/>
          <w:divBdr>
            <w:top w:val="none" w:sz="0" w:space="0" w:color="auto"/>
            <w:left w:val="none" w:sz="0" w:space="0" w:color="auto"/>
            <w:bottom w:val="none" w:sz="0" w:space="0" w:color="auto"/>
            <w:right w:val="none" w:sz="0" w:space="0" w:color="auto"/>
          </w:divBdr>
        </w:div>
      </w:divsChild>
    </w:div>
    <w:div w:id="1149638866">
      <w:bodyDiv w:val="1"/>
      <w:marLeft w:val="0"/>
      <w:marRight w:val="0"/>
      <w:marTop w:val="0"/>
      <w:marBottom w:val="0"/>
      <w:divBdr>
        <w:top w:val="none" w:sz="0" w:space="0" w:color="auto"/>
        <w:left w:val="none" w:sz="0" w:space="0" w:color="auto"/>
        <w:bottom w:val="none" w:sz="0" w:space="0" w:color="auto"/>
        <w:right w:val="none" w:sz="0" w:space="0" w:color="auto"/>
      </w:divBdr>
    </w:div>
    <w:div w:id="1151023845">
      <w:bodyDiv w:val="1"/>
      <w:marLeft w:val="0"/>
      <w:marRight w:val="0"/>
      <w:marTop w:val="0"/>
      <w:marBottom w:val="0"/>
      <w:divBdr>
        <w:top w:val="none" w:sz="0" w:space="0" w:color="auto"/>
        <w:left w:val="none" w:sz="0" w:space="0" w:color="auto"/>
        <w:bottom w:val="none" w:sz="0" w:space="0" w:color="auto"/>
        <w:right w:val="none" w:sz="0" w:space="0" w:color="auto"/>
      </w:divBdr>
    </w:div>
    <w:div w:id="1151827856">
      <w:bodyDiv w:val="1"/>
      <w:marLeft w:val="0"/>
      <w:marRight w:val="0"/>
      <w:marTop w:val="0"/>
      <w:marBottom w:val="0"/>
      <w:divBdr>
        <w:top w:val="none" w:sz="0" w:space="0" w:color="auto"/>
        <w:left w:val="none" w:sz="0" w:space="0" w:color="auto"/>
        <w:bottom w:val="none" w:sz="0" w:space="0" w:color="auto"/>
        <w:right w:val="none" w:sz="0" w:space="0" w:color="auto"/>
      </w:divBdr>
    </w:div>
    <w:div w:id="1151948423">
      <w:bodyDiv w:val="1"/>
      <w:marLeft w:val="0"/>
      <w:marRight w:val="0"/>
      <w:marTop w:val="0"/>
      <w:marBottom w:val="0"/>
      <w:divBdr>
        <w:top w:val="none" w:sz="0" w:space="0" w:color="auto"/>
        <w:left w:val="none" w:sz="0" w:space="0" w:color="auto"/>
        <w:bottom w:val="none" w:sz="0" w:space="0" w:color="auto"/>
        <w:right w:val="none" w:sz="0" w:space="0" w:color="auto"/>
      </w:divBdr>
    </w:div>
    <w:div w:id="1173570382">
      <w:bodyDiv w:val="1"/>
      <w:marLeft w:val="0"/>
      <w:marRight w:val="0"/>
      <w:marTop w:val="0"/>
      <w:marBottom w:val="0"/>
      <w:divBdr>
        <w:top w:val="none" w:sz="0" w:space="0" w:color="auto"/>
        <w:left w:val="none" w:sz="0" w:space="0" w:color="auto"/>
        <w:bottom w:val="none" w:sz="0" w:space="0" w:color="auto"/>
        <w:right w:val="none" w:sz="0" w:space="0" w:color="auto"/>
      </w:divBdr>
    </w:div>
    <w:div w:id="1185752060">
      <w:bodyDiv w:val="1"/>
      <w:marLeft w:val="0"/>
      <w:marRight w:val="0"/>
      <w:marTop w:val="0"/>
      <w:marBottom w:val="0"/>
      <w:divBdr>
        <w:top w:val="none" w:sz="0" w:space="0" w:color="auto"/>
        <w:left w:val="none" w:sz="0" w:space="0" w:color="auto"/>
        <w:bottom w:val="none" w:sz="0" w:space="0" w:color="auto"/>
        <w:right w:val="none" w:sz="0" w:space="0" w:color="auto"/>
      </w:divBdr>
    </w:div>
    <w:div w:id="1194925739">
      <w:bodyDiv w:val="1"/>
      <w:marLeft w:val="0"/>
      <w:marRight w:val="0"/>
      <w:marTop w:val="0"/>
      <w:marBottom w:val="0"/>
      <w:divBdr>
        <w:top w:val="none" w:sz="0" w:space="0" w:color="auto"/>
        <w:left w:val="none" w:sz="0" w:space="0" w:color="auto"/>
        <w:bottom w:val="none" w:sz="0" w:space="0" w:color="auto"/>
        <w:right w:val="none" w:sz="0" w:space="0" w:color="auto"/>
      </w:divBdr>
    </w:div>
    <w:div w:id="1211455984">
      <w:bodyDiv w:val="1"/>
      <w:marLeft w:val="0"/>
      <w:marRight w:val="0"/>
      <w:marTop w:val="0"/>
      <w:marBottom w:val="0"/>
      <w:divBdr>
        <w:top w:val="none" w:sz="0" w:space="0" w:color="auto"/>
        <w:left w:val="none" w:sz="0" w:space="0" w:color="auto"/>
        <w:bottom w:val="none" w:sz="0" w:space="0" w:color="auto"/>
        <w:right w:val="none" w:sz="0" w:space="0" w:color="auto"/>
      </w:divBdr>
    </w:div>
    <w:div w:id="1217549100">
      <w:bodyDiv w:val="1"/>
      <w:marLeft w:val="0"/>
      <w:marRight w:val="0"/>
      <w:marTop w:val="0"/>
      <w:marBottom w:val="0"/>
      <w:divBdr>
        <w:top w:val="none" w:sz="0" w:space="0" w:color="auto"/>
        <w:left w:val="none" w:sz="0" w:space="0" w:color="auto"/>
        <w:bottom w:val="none" w:sz="0" w:space="0" w:color="auto"/>
        <w:right w:val="none" w:sz="0" w:space="0" w:color="auto"/>
      </w:divBdr>
    </w:div>
    <w:div w:id="1218860715">
      <w:bodyDiv w:val="1"/>
      <w:marLeft w:val="0"/>
      <w:marRight w:val="0"/>
      <w:marTop w:val="0"/>
      <w:marBottom w:val="0"/>
      <w:divBdr>
        <w:top w:val="none" w:sz="0" w:space="0" w:color="auto"/>
        <w:left w:val="none" w:sz="0" w:space="0" w:color="auto"/>
        <w:bottom w:val="none" w:sz="0" w:space="0" w:color="auto"/>
        <w:right w:val="none" w:sz="0" w:space="0" w:color="auto"/>
      </w:divBdr>
    </w:div>
    <w:div w:id="1222135058">
      <w:bodyDiv w:val="1"/>
      <w:marLeft w:val="0"/>
      <w:marRight w:val="0"/>
      <w:marTop w:val="0"/>
      <w:marBottom w:val="0"/>
      <w:divBdr>
        <w:top w:val="none" w:sz="0" w:space="0" w:color="auto"/>
        <w:left w:val="none" w:sz="0" w:space="0" w:color="auto"/>
        <w:bottom w:val="none" w:sz="0" w:space="0" w:color="auto"/>
        <w:right w:val="none" w:sz="0" w:space="0" w:color="auto"/>
      </w:divBdr>
    </w:div>
    <w:div w:id="1223129397">
      <w:bodyDiv w:val="1"/>
      <w:marLeft w:val="0"/>
      <w:marRight w:val="0"/>
      <w:marTop w:val="0"/>
      <w:marBottom w:val="0"/>
      <w:divBdr>
        <w:top w:val="none" w:sz="0" w:space="0" w:color="auto"/>
        <w:left w:val="none" w:sz="0" w:space="0" w:color="auto"/>
        <w:bottom w:val="none" w:sz="0" w:space="0" w:color="auto"/>
        <w:right w:val="none" w:sz="0" w:space="0" w:color="auto"/>
      </w:divBdr>
    </w:div>
    <w:div w:id="1226530145">
      <w:bodyDiv w:val="1"/>
      <w:marLeft w:val="0"/>
      <w:marRight w:val="0"/>
      <w:marTop w:val="0"/>
      <w:marBottom w:val="0"/>
      <w:divBdr>
        <w:top w:val="none" w:sz="0" w:space="0" w:color="auto"/>
        <w:left w:val="none" w:sz="0" w:space="0" w:color="auto"/>
        <w:bottom w:val="none" w:sz="0" w:space="0" w:color="auto"/>
        <w:right w:val="none" w:sz="0" w:space="0" w:color="auto"/>
      </w:divBdr>
    </w:div>
    <w:div w:id="1233344913">
      <w:bodyDiv w:val="1"/>
      <w:marLeft w:val="0"/>
      <w:marRight w:val="0"/>
      <w:marTop w:val="0"/>
      <w:marBottom w:val="0"/>
      <w:divBdr>
        <w:top w:val="none" w:sz="0" w:space="0" w:color="auto"/>
        <w:left w:val="none" w:sz="0" w:space="0" w:color="auto"/>
        <w:bottom w:val="none" w:sz="0" w:space="0" w:color="auto"/>
        <w:right w:val="none" w:sz="0" w:space="0" w:color="auto"/>
      </w:divBdr>
    </w:div>
    <w:div w:id="1237592414">
      <w:bodyDiv w:val="1"/>
      <w:marLeft w:val="0"/>
      <w:marRight w:val="0"/>
      <w:marTop w:val="0"/>
      <w:marBottom w:val="0"/>
      <w:divBdr>
        <w:top w:val="none" w:sz="0" w:space="0" w:color="auto"/>
        <w:left w:val="none" w:sz="0" w:space="0" w:color="auto"/>
        <w:bottom w:val="none" w:sz="0" w:space="0" w:color="auto"/>
        <w:right w:val="none" w:sz="0" w:space="0" w:color="auto"/>
      </w:divBdr>
    </w:div>
    <w:div w:id="1244991698">
      <w:bodyDiv w:val="1"/>
      <w:marLeft w:val="0"/>
      <w:marRight w:val="0"/>
      <w:marTop w:val="0"/>
      <w:marBottom w:val="0"/>
      <w:divBdr>
        <w:top w:val="none" w:sz="0" w:space="0" w:color="auto"/>
        <w:left w:val="none" w:sz="0" w:space="0" w:color="auto"/>
        <w:bottom w:val="none" w:sz="0" w:space="0" w:color="auto"/>
        <w:right w:val="none" w:sz="0" w:space="0" w:color="auto"/>
      </w:divBdr>
    </w:div>
    <w:div w:id="1257635926">
      <w:bodyDiv w:val="1"/>
      <w:marLeft w:val="0"/>
      <w:marRight w:val="0"/>
      <w:marTop w:val="0"/>
      <w:marBottom w:val="0"/>
      <w:divBdr>
        <w:top w:val="none" w:sz="0" w:space="0" w:color="auto"/>
        <w:left w:val="none" w:sz="0" w:space="0" w:color="auto"/>
        <w:bottom w:val="none" w:sz="0" w:space="0" w:color="auto"/>
        <w:right w:val="none" w:sz="0" w:space="0" w:color="auto"/>
      </w:divBdr>
    </w:div>
    <w:div w:id="1263226059">
      <w:bodyDiv w:val="1"/>
      <w:marLeft w:val="0"/>
      <w:marRight w:val="0"/>
      <w:marTop w:val="0"/>
      <w:marBottom w:val="0"/>
      <w:divBdr>
        <w:top w:val="none" w:sz="0" w:space="0" w:color="auto"/>
        <w:left w:val="none" w:sz="0" w:space="0" w:color="auto"/>
        <w:bottom w:val="none" w:sz="0" w:space="0" w:color="auto"/>
        <w:right w:val="none" w:sz="0" w:space="0" w:color="auto"/>
      </w:divBdr>
    </w:div>
    <w:div w:id="1264538470">
      <w:bodyDiv w:val="1"/>
      <w:marLeft w:val="0"/>
      <w:marRight w:val="0"/>
      <w:marTop w:val="0"/>
      <w:marBottom w:val="0"/>
      <w:divBdr>
        <w:top w:val="none" w:sz="0" w:space="0" w:color="auto"/>
        <w:left w:val="none" w:sz="0" w:space="0" w:color="auto"/>
        <w:bottom w:val="none" w:sz="0" w:space="0" w:color="auto"/>
        <w:right w:val="none" w:sz="0" w:space="0" w:color="auto"/>
      </w:divBdr>
    </w:div>
    <w:div w:id="1265112113">
      <w:bodyDiv w:val="1"/>
      <w:marLeft w:val="0"/>
      <w:marRight w:val="0"/>
      <w:marTop w:val="0"/>
      <w:marBottom w:val="0"/>
      <w:divBdr>
        <w:top w:val="none" w:sz="0" w:space="0" w:color="auto"/>
        <w:left w:val="none" w:sz="0" w:space="0" w:color="auto"/>
        <w:bottom w:val="none" w:sz="0" w:space="0" w:color="auto"/>
        <w:right w:val="none" w:sz="0" w:space="0" w:color="auto"/>
      </w:divBdr>
    </w:div>
    <w:div w:id="1265503577">
      <w:bodyDiv w:val="1"/>
      <w:marLeft w:val="0"/>
      <w:marRight w:val="0"/>
      <w:marTop w:val="0"/>
      <w:marBottom w:val="0"/>
      <w:divBdr>
        <w:top w:val="none" w:sz="0" w:space="0" w:color="auto"/>
        <w:left w:val="none" w:sz="0" w:space="0" w:color="auto"/>
        <w:bottom w:val="none" w:sz="0" w:space="0" w:color="auto"/>
        <w:right w:val="none" w:sz="0" w:space="0" w:color="auto"/>
      </w:divBdr>
    </w:div>
    <w:div w:id="1273782906">
      <w:bodyDiv w:val="1"/>
      <w:marLeft w:val="0"/>
      <w:marRight w:val="0"/>
      <w:marTop w:val="0"/>
      <w:marBottom w:val="0"/>
      <w:divBdr>
        <w:top w:val="none" w:sz="0" w:space="0" w:color="auto"/>
        <w:left w:val="none" w:sz="0" w:space="0" w:color="auto"/>
        <w:bottom w:val="none" w:sz="0" w:space="0" w:color="auto"/>
        <w:right w:val="none" w:sz="0" w:space="0" w:color="auto"/>
      </w:divBdr>
    </w:div>
    <w:div w:id="1276256636">
      <w:bodyDiv w:val="1"/>
      <w:marLeft w:val="0"/>
      <w:marRight w:val="0"/>
      <w:marTop w:val="0"/>
      <w:marBottom w:val="0"/>
      <w:divBdr>
        <w:top w:val="none" w:sz="0" w:space="0" w:color="auto"/>
        <w:left w:val="none" w:sz="0" w:space="0" w:color="auto"/>
        <w:bottom w:val="none" w:sz="0" w:space="0" w:color="auto"/>
        <w:right w:val="none" w:sz="0" w:space="0" w:color="auto"/>
      </w:divBdr>
    </w:div>
    <w:div w:id="1279334094">
      <w:bodyDiv w:val="1"/>
      <w:marLeft w:val="0"/>
      <w:marRight w:val="0"/>
      <w:marTop w:val="0"/>
      <w:marBottom w:val="0"/>
      <w:divBdr>
        <w:top w:val="none" w:sz="0" w:space="0" w:color="auto"/>
        <w:left w:val="none" w:sz="0" w:space="0" w:color="auto"/>
        <w:bottom w:val="none" w:sz="0" w:space="0" w:color="auto"/>
        <w:right w:val="none" w:sz="0" w:space="0" w:color="auto"/>
      </w:divBdr>
    </w:div>
    <w:div w:id="1282297335">
      <w:bodyDiv w:val="1"/>
      <w:marLeft w:val="0"/>
      <w:marRight w:val="0"/>
      <w:marTop w:val="0"/>
      <w:marBottom w:val="0"/>
      <w:divBdr>
        <w:top w:val="none" w:sz="0" w:space="0" w:color="auto"/>
        <w:left w:val="none" w:sz="0" w:space="0" w:color="auto"/>
        <w:bottom w:val="none" w:sz="0" w:space="0" w:color="auto"/>
        <w:right w:val="none" w:sz="0" w:space="0" w:color="auto"/>
      </w:divBdr>
    </w:div>
    <w:div w:id="1282416426">
      <w:bodyDiv w:val="1"/>
      <w:marLeft w:val="0"/>
      <w:marRight w:val="0"/>
      <w:marTop w:val="0"/>
      <w:marBottom w:val="0"/>
      <w:divBdr>
        <w:top w:val="none" w:sz="0" w:space="0" w:color="auto"/>
        <w:left w:val="none" w:sz="0" w:space="0" w:color="auto"/>
        <w:bottom w:val="none" w:sz="0" w:space="0" w:color="auto"/>
        <w:right w:val="none" w:sz="0" w:space="0" w:color="auto"/>
      </w:divBdr>
    </w:div>
    <w:div w:id="1282807167">
      <w:bodyDiv w:val="1"/>
      <w:marLeft w:val="0"/>
      <w:marRight w:val="0"/>
      <w:marTop w:val="0"/>
      <w:marBottom w:val="0"/>
      <w:divBdr>
        <w:top w:val="none" w:sz="0" w:space="0" w:color="auto"/>
        <w:left w:val="none" w:sz="0" w:space="0" w:color="auto"/>
        <w:bottom w:val="none" w:sz="0" w:space="0" w:color="auto"/>
        <w:right w:val="none" w:sz="0" w:space="0" w:color="auto"/>
      </w:divBdr>
    </w:div>
    <w:div w:id="1288393268">
      <w:bodyDiv w:val="1"/>
      <w:marLeft w:val="0"/>
      <w:marRight w:val="0"/>
      <w:marTop w:val="0"/>
      <w:marBottom w:val="0"/>
      <w:divBdr>
        <w:top w:val="none" w:sz="0" w:space="0" w:color="auto"/>
        <w:left w:val="none" w:sz="0" w:space="0" w:color="auto"/>
        <w:bottom w:val="none" w:sz="0" w:space="0" w:color="auto"/>
        <w:right w:val="none" w:sz="0" w:space="0" w:color="auto"/>
      </w:divBdr>
    </w:div>
    <w:div w:id="1292009110">
      <w:bodyDiv w:val="1"/>
      <w:marLeft w:val="0"/>
      <w:marRight w:val="0"/>
      <w:marTop w:val="0"/>
      <w:marBottom w:val="0"/>
      <w:divBdr>
        <w:top w:val="none" w:sz="0" w:space="0" w:color="auto"/>
        <w:left w:val="none" w:sz="0" w:space="0" w:color="auto"/>
        <w:bottom w:val="none" w:sz="0" w:space="0" w:color="auto"/>
        <w:right w:val="none" w:sz="0" w:space="0" w:color="auto"/>
      </w:divBdr>
    </w:div>
    <w:div w:id="1313169746">
      <w:bodyDiv w:val="1"/>
      <w:marLeft w:val="0"/>
      <w:marRight w:val="0"/>
      <w:marTop w:val="0"/>
      <w:marBottom w:val="0"/>
      <w:divBdr>
        <w:top w:val="none" w:sz="0" w:space="0" w:color="auto"/>
        <w:left w:val="none" w:sz="0" w:space="0" w:color="auto"/>
        <w:bottom w:val="none" w:sz="0" w:space="0" w:color="auto"/>
        <w:right w:val="none" w:sz="0" w:space="0" w:color="auto"/>
      </w:divBdr>
    </w:div>
    <w:div w:id="1319109647">
      <w:bodyDiv w:val="1"/>
      <w:marLeft w:val="0"/>
      <w:marRight w:val="0"/>
      <w:marTop w:val="0"/>
      <w:marBottom w:val="0"/>
      <w:divBdr>
        <w:top w:val="none" w:sz="0" w:space="0" w:color="auto"/>
        <w:left w:val="none" w:sz="0" w:space="0" w:color="auto"/>
        <w:bottom w:val="none" w:sz="0" w:space="0" w:color="auto"/>
        <w:right w:val="none" w:sz="0" w:space="0" w:color="auto"/>
      </w:divBdr>
    </w:div>
    <w:div w:id="1319461508">
      <w:bodyDiv w:val="1"/>
      <w:marLeft w:val="0"/>
      <w:marRight w:val="0"/>
      <w:marTop w:val="0"/>
      <w:marBottom w:val="0"/>
      <w:divBdr>
        <w:top w:val="none" w:sz="0" w:space="0" w:color="auto"/>
        <w:left w:val="none" w:sz="0" w:space="0" w:color="auto"/>
        <w:bottom w:val="none" w:sz="0" w:space="0" w:color="auto"/>
        <w:right w:val="none" w:sz="0" w:space="0" w:color="auto"/>
      </w:divBdr>
    </w:div>
    <w:div w:id="1322924415">
      <w:bodyDiv w:val="1"/>
      <w:marLeft w:val="0"/>
      <w:marRight w:val="0"/>
      <w:marTop w:val="0"/>
      <w:marBottom w:val="0"/>
      <w:divBdr>
        <w:top w:val="none" w:sz="0" w:space="0" w:color="auto"/>
        <w:left w:val="none" w:sz="0" w:space="0" w:color="auto"/>
        <w:bottom w:val="none" w:sz="0" w:space="0" w:color="auto"/>
        <w:right w:val="none" w:sz="0" w:space="0" w:color="auto"/>
      </w:divBdr>
    </w:div>
    <w:div w:id="1324622134">
      <w:bodyDiv w:val="1"/>
      <w:marLeft w:val="0"/>
      <w:marRight w:val="0"/>
      <w:marTop w:val="0"/>
      <w:marBottom w:val="0"/>
      <w:divBdr>
        <w:top w:val="none" w:sz="0" w:space="0" w:color="auto"/>
        <w:left w:val="none" w:sz="0" w:space="0" w:color="auto"/>
        <w:bottom w:val="none" w:sz="0" w:space="0" w:color="auto"/>
        <w:right w:val="none" w:sz="0" w:space="0" w:color="auto"/>
      </w:divBdr>
      <w:divsChild>
        <w:div w:id="815876763">
          <w:marLeft w:val="720"/>
          <w:marRight w:val="0"/>
          <w:marTop w:val="0"/>
          <w:marBottom w:val="0"/>
          <w:divBdr>
            <w:top w:val="none" w:sz="0" w:space="0" w:color="auto"/>
            <w:left w:val="none" w:sz="0" w:space="0" w:color="auto"/>
            <w:bottom w:val="none" w:sz="0" w:space="0" w:color="auto"/>
            <w:right w:val="none" w:sz="0" w:space="0" w:color="auto"/>
          </w:divBdr>
        </w:div>
        <w:div w:id="958687141">
          <w:marLeft w:val="720"/>
          <w:marRight w:val="0"/>
          <w:marTop w:val="0"/>
          <w:marBottom w:val="0"/>
          <w:divBdr>
            <w:top w:val="none" w:sz="0" w:space="0" w:color="auto"/>
            <w:left w:val="none" w:sz="0" w:space="0" w:color="auto"/>
            <w:bottom w:val="none" w:sz="0" w:space="0" w:color="auto"/>
            <w:right w:val="none" w:sz="0" w:space="0" w:color="auto"/>
          </w:divBdr>
        </w:div>
        <w:div w:id="1096906042">
          <w:marLeft w:val="720"/>
          <w:marRight w:val="0"/>
          <w:marTop w:val="0"/>
          <w:marBottom w:val="0"/>
          <w:divBdr>
            <w:top w:val="none" w:sz="0" w:space="0" w:color="auto"/>
            <w:left w:val="none" w:sz="0" w:space="0" w:color="auto"/>
            <w:bottom w:val="none" w:sz="0" w:space="0" w:color="auto"/>
            <w:right w:val="none" w:sz="0" w:space="0" w:color="auto"/>
          </w:divBdr>
        </w:div>
      </w:divsChild>
    </w:div>
    <w:div w:id="1324897691">
      <w:bodyDiv w:val="1"/>
      <w:marLeft w:val="0"/>
      <w:marRight w:val="0"/>
      <w:marTop w:val="0"/>
      <w:marBottom w:val="0"/>
      <w:divBdr>
        <w:top w:val="none" w:sz="0" w:space="0" w:color="auto"/>
        <w:left w:val="none" w:sz="0" w:space="0" w:color="auto"/>
        <w:bottom w:val="none" w:sz="0" w:space="0" w:color="auto"/>
        <w:right w:val="none" w:sz="0" w:space="0" w:color="auto"/>
      </w:divBdr>
    </w:div>
    <w:div w:id="1329485391">
      <w:bodyDiv w:val="1"/>
      <w:marLeft w:val="0"/>
      <w:marRight w:val="0"/>
      <w:marTop w:val="0"/>
      <w:marBottom w:val="0"/>
      <w:divBdr>
        <w:top w:val="none" w:sz="0" w:space="0" w:color="auto"/>
        <w:left w:val="none" w:sz="0" w:space="0" w:color="auto"/>
        <w:bottom w:val="none" w:sz="0" w:space="0" w:color="auto"/>
        <w:right w:val="none" w:sz="0" w:space="0" w:color="auto"/>
      </w:divBdr>
      <w:divsChild>
        <w:div w:id="741416487">
          <w:marLeft w:val="600"/>
          <w:marRight w:val="0"/>
          <w:marTop w:val="0"/>
          <w:marBottom w:val="0"/>
          <w:divBdr>
            <w:top w:val="none" w:sz="0" w:space="0" w:color="auto"/>
            <w:left w:val="none" w:sz="0" w:space="0" w:color="auto"/>
            <w:bottom w:val="none" w:sz="0" w:space="0" w:color="auto"/>
            <w:right w:val="none" w:sz="0" w:space="0" w:color="auto"/>
          </w:divBdr>
        </w:div>
        <w:div w:id="922179731">
          <w:marLeft w:val="600"/>
          <w:marRight w:val="0"/>
          <w:marTop w:val="0"/>
          <w:marBottom w:val="0"/>
          <w:divBdr>
            <w:top w:val="none" w:sz="0" w:space="0" w:color="auto"/>
            <w:left w:val="none" w:sz="0" w:space="0" w:color="auto"/>
            <w:bottom w:val="none" w:sz="0" w:space="0" w:color="auto"/>
            <w:right w:val="none" w:sz="0" w:space="0" w:color="auto"/>
          </w:divBdr>
        </w:div>
        <w:div w:id="1873224264">
          <w:marLeft w:val="600"/>
          <w:marRight w:val="0"/>
          <w:marTop w:val="0"/>
          <w:marBottom w:val="0"/>
          <w:divBdr>
            <w:top w:val="none" w:sz="0" w:space="0" w:color="auto"/>
            <w:left w:val="none" w:sz="0" w:space="0" w:color="auto"/>
            <w:bottom w:val="none" w:sz="0" w:space="0" w:color="auto"/>
            <w:right w:val="none" w:sz="0" w:space="0" w:color="auto"/>
          </w:divBdr>
        </w:div>
      </w:divsChild>
    </w:div>
    <w:div w:id="1329750934">
      <w:bodyDiv w:val="1"/>
      <w:marLeft w:val="0"/>
      <w:marRight w:val="0"/>
      <w:marTop w:val="0"/>
      <w:marBottom w:val="0"/>
      <w:divBdr>
        <w:top w:val="none" w:sz="0" w:space="0" w:color="auto"/>
        <w:left w:val="none" w:sz="0" w:space="0" w:color="auto"/>
        <w:bottom w:val="none" w:sz="0" w:space="0" w:color="auto"/>
        <w:right w:val="none" w:sz="0" w:space="0" w:color="auto"/>
      </w:divBdr>
    </w:div>
    <w:div w:id="1330407344">
      <w:bodyDiv w:val="1"/>
      <w:marLeft w:val="0"/>
      <w:marRight w:val="0"/>
      <w:marTop w:val="0"/>
      <w:marBottom w:val="0"/>
      <w:divBdr>
        <w:top w:val="none" w:sz="0" w:space="0" w:color="auto"/>
        <w:left w:val="none" w:sz="0" w:space="0" w:color="auto"/>
        <w:bottom w:val="none" w:sz="0" w:space="0" w:color="auto"/>
        <w:right w:val="none" w:sz="0" w:space="0" w:color="auto"/>
      </w:divBdr>
    </w:div>
    <w:div w:id="1343585091">
      <w:bodyDiv w:val="1"/>
      <w:marLeft w:val="0"/>
      <w:marRight w:val="0"/>
      <w:marTop w:val="0"/>
      <w:marBottom w:val="0"/>
      <w:divBdr>
        <w:top w:val="none" w:sz="0" w:space="0" w:color="auto"/>
        <w:left w:val="none" w:sz="0" w:space="0" w:color="auto"/>
        <w:bottom w:val="none" w:sz="0" w:space="0" w:color="auto"/>
        <w:right w:val="none" w:sz="0" w:space="0" w:color="auto"/>
      </w:divBdr>
    </w:div>
    <w:div w:id="1356537664">
      <w:bodyDiv w:val="1"/>
      <w:marLeft w:val="0"/>
      <w:marRight w:val="0"/>
      <w:marTop w:val="0"/>
      <w:marBottom w:val="0"/>
      <w:divBdr>
        <w:top w:val="none" w:sz="0" w:space="0" w:color="auto"/>
        <w:left w:val="none" w:sz="0" w:space="0" w:color="auto"/>
        <w:bottom w:val="none" w:sz="0" w:space="0" w:color="auto"/>
        <w:right w:val="none" w:sz="0" w:space="0" w:color="auto"/>
      </w:divBdr>
    </w:div>
    <w:div w:id="1356728730">
      <w:bodyDiv w:val="1"/>
      <w:marLeft w:val="0"/>
      <w:marRight w:val="0"/>
      <w:marTop w:val="0"/>
      <w:marBottom w:val="0"/>
      <w:divBdr>
        <w:top w:val="none" w:sz="0" w:space="0" w:color="auto"/>
        <w:left w:val="none" w:sz="0" w:space="0" w:color="auto"/>
        <w:bottom w:val="none" w:sz="0" w:space="0" w:color="auto"/>
        <w:right w:val="none" w:sz="0" w:space="0" w:color="auto"/>
      </w:divBdr>
    </w:div>
    <w:div w:id="1358890171">
      <w:bodyDiv w:val="1"/>
      <w:marLeft w:val="0"/>
      <w:marRight w:val="0"/>
      <w:marTop w:val="0"/>
      <w:marBottom w:val="0"/>
      <w:divBdr>
        <w:top w:val="none" w:sz="0" w:space="0" w:color="auto"/>
        <w:left w:val="none" w:sz="0" w:space="0" w:color="auto"/>
        <w:bottom w:val="none" w:sz="0" w:space="0" w:color="auto"/>
        <w:right w:val="none" w:sz="0" w:space="0" w:color="auto"/>
      </w:divBdr>
    </w:div>
    <w:div w:id="1360814605">
      <w:bodyDiv w:val="1"/>
      <w:marLeft w:val="0"/>
      <w:marRight w:val="0"/>
      <w:marTop w:val="0"/>
      <w:marBottom w:val="0"/>
      <w:divBdr>
        <w:top w:val="none" w:sz="0" w:space="0" w:color="auto"/>
        <w:left w:val="none" w:sz="0" w:space="0" w:color="auto"/>
        <w:bottom w:val="none" w:sz="0" w:space="0" w:color="auto"/>
        <w:right w:val="none" w:sz="0" w:space="0" w:color="auto"/>
      </w:divBdr>
    </w:div>
    <w:div w:id="1364401319">
      <w:bodyDiv w:val="1"/>
      <w:marLeft w:val="0"/>
      <w:marRight w:val="0"/>
      <w:marTop w:val="0"/>
      <w:marBottom w:val="0"/>
      <w:divBdr>
        <w:top w:val="none" w:sz="0" w:space="0" w:color="auto"/>
        <w:left w:val="none" w:sz="0" w:space="0" w:color="auto"/>
        <w:bottom w:val="none" w:sz="0" w:space="0" w:color="auto"/>
        <w:right w:val="none" w:sz="0" w:space="0" w:color="auto"/>
      </w:divBdr>
    </w:div>
    <w:div w:id="1370030939">
      <w:bodyDiv w:val="1"/>
      <w:marLeft w:val="0"/>
      <w:marRight w:val="0"/>
      <w:marTop w:val="0"/>
      <w:marBottom w:val="0"/>
      <w:divBdr>
        <w:top w:val="none" w:sz="0" w:space="0" w:color="auto"/>
        <w:left w:val="none" w:sz="0" w:space="0" w:color="auto"/>
        <w:bottom w:val="none" w:sz="0" w:space="0" w:color="auto"/>
        <w:right w:val="none" w:sz="0" w:space="0" w:color="auto"/>
      </w:divBdr>
    </w:div>
    <w:div w:id="1370566057">
      <w:bodyDiv w:val="1"/>
      <w:marLeft w:val="0"/>
      <w:marRight w:val="0"/>
      <w:marTop w:val="0"/>
      <w:marBottom w:val="0"/>
      <w:divBdr>
        <w:top w:val="none" w:sz="0" w:space="0" w:color="auto"/>
        <w:left w:val="none" w:sz="0" w:space="0" w:color="auto"/>
        <w:bottom w:val="none" w:sz="0" w:space="0" w:color="auto"/>
        <w:right w:val="none" w:sz="0" w:space="0" w:color="auto"/>
      </w:divBdr>
    </w:div>
    <w:div w:id="1373194390">
      <w:bodyDiv w:val="1"/>
      <w:marLeft w:val="0"/>
      <w:marRight w:val="0"/>
      <w:marTop w:val="0"/>
      <w:marBottom w:val="0"/>
      <w:divBdr>
        <w:top w:val="none" w:sz="0" w:space="0" w:color="auto"/>
        <w:left w:val="none" w:sz="0" w:space="0" w:color="auto"/>
        <w:bottom w:val="none" w:sz="0" w:space="0" w:color="auto"/>
        <w:right w:val="none" w:sz="0" w:space="0" w:color="auto"/>
      </w:divBdr>
    </w:div>
    <w:div w:id="1374306943">
      <w:bodyDiv w:val="1"/>
      <w:marLeft w:val="0"/>
      <w:marRight w:val="0"/>
      <w:marTop w:val="0"/>
      <w:marBottom w:val="0"/>
      <w:divBdr>
        <w:top w:val="none" w:sz="0" w:space="0" w:color="auto"/>
        <w:left w:val="none" w:sz="0" w:space="0" w:color="auto"/>
        <w:bottom w:val="none" w:sz="0" w:space="0" w:color="auto"/>
        <w:right w:val="none" w:sz="0" w:space="0" w:color="auto"/>
      </w:divBdr>
    </w:div>
    <w:div w:id="1383094104">
      <w:bodyDiv w:val="1"/>
      <w:marLeft w:val="0"/>
      <w:marRight w:val="0"/>
      <w:marTop w:val="0"/>
      <w:marBottom w:val="0"/>
      <w:divBdr>
        <w:top w:val="none" w:sz="0" w:space="0" w:color="auto"/>
        <w:left w:val="none" w:sz="0" w:space="0" w:color="auto"/>
        <w:bottom w:val="none" w:sz="0" w:space="0" w:color="auto"/>
        <w:right w:val="none" w:sz="0" w:space="0" w:color="auto"/>
      </w:divBdr>
    </w:div>
    <w:div w:id="1384984368">
      <w:bodyDiv w:val="1"/>
      <w:marLeft w:val="0"/>
      <w:marRight w:val="0"/>
      <w:marTop w:val="0"/>
      <w:marBottom w:val="0"/>
      <w:divBdr>
        <w:top w:val="none" w:sz="0" w:space="0" w:color="auto"/>
        <w:left w:val="none" w:sz="0" w:space="0" w:color="auto"/>
        <w:bottom w:val="none" w:sz="0" w:space="0" w:color="auto"/>
        <w:right w:val="none" w:sz="0" w:space="0" w:color="auto"/>
      </w:divBdr>
    </w:div>
    <w:div w:id="1388186851">
      <w:bodyDiv w:val="1"/>
      <w:marLeft w:val="0"/>
      <w:marRight w:val="0"/>
      <w:marTop w:val="0"/>
      <w:marBottom w:val="0"/>
      <w:divBdr>
        <w:top w:val="none" w:sz="0" w:space="0" w:color="auto"/>
        <w:left w:val="none" w:sz="0" w:space="0" w:color="auto"/>
        <w:bottom w:val="none" w:sz="0" w:space="0" w:color="auto"/>
        <w:right w:val="none" w:sz="0" w:space="0" w:color="auto"/>
      </w:divBdr>
      <w:divsChild>
        <w:div w:id="645739384">
          <w:marLeft w:val="240"/>
          <w:marRight w:val="0"/>
          <w:marTop w:val="0"/>
          <w:marBottom w:val="0"/>
          <w:divBdr>
            <w:top w:val="none" w:sz="0" w:space="0" w:color="auto"/>
            <w:left w:val="none" w:sz="0" w:space="0" w:color="auto"/>
            <w:bottom w:val="none" w:sz="0" w:space="0" w:color="auto"/>
            <w:right w:val="none" w:sz="0" w:space="0" w:color="auto"/>
          </w:divBdr>
        </w:div>
        <w:div w:id="681971851">
          <w:marLeft w:val="240"/>
          <w:marRight w:val="0"/>
          <w:marTop w:val="0"/>
          <w:marBottom w:val="0"/>
          <w:divBdr>
            <w:top w:val="none" w:sz="0" w:space="0" w:color="auto"/>
            <w:left w:val="none" w:sz="0" w:space="0" w:color="auto"/>
            <w:bottom w:val="none" w:sz="0" w:space="0" w:color="auto"/>
            <w:right w:val="none" w:sz="0" w:space="0" w:color="auto"/>
          </w:divBdr>
        </w:div>
        <w:div w:id="1076244081">
          <w:marLeft w:val="240"/>
          <w:marRight w:val="0"/>
          <w:marTop w:val="0"/>
          <w:marBottom w:val="0"/>
          <w:divBdr>
            <w:top w:val="none" w:sz="0" w:space="0" w:color="auto"/>
            <w:left w:val="none" w:sz="0" w:space="0" w:color="auto"/>
            <w:bottom w:val="none" w:sz="0" w:space="0" w:color="auto"/>
            <w:right w:val="none" w:sz="0" w:space="0" w:color="auto"/>
          </w:divBdr>
        </w:div>
        <w:div w:id="1187062635">
          <w:marLeft w:val="240"/>
          <w:marRight w:val="0"/>
          <w:marTop w:val="0"/>
          <w:marBottom w:val="0"/>
          <w:divBdr>
            <w:top w:val="none" w:sz="0" w:space="0" w:color="auto"/>
            <w:left w:val="none" w:sz="0" w:space="0" w:color="auto"/>
            <w:bottom w:val="none" w:sz="0" w:space="0" w:color="auto"/>
            <w:right w:val="none" w:sz="0" w:space="0" w:color="auto"/>
          </w:divBdr>
        </w:div>
      </w:divsChild>
    </w:div>
    <w:div w:id="1388576936">
      <w:bodyDiv w:val="1"/>
      <w:marLeft w:val="0"/>
      <w:marRight w:val="0"/>
      <w:marTop w:val="0"/>
      <w:marBottom w:val="0"/>
      <w:divBdr>
        <w:top w:val="none" w:sz="0" w:space="0" w:color="auto"/>
        <w:left w:val="none" w:sz="0" w:space="0" w:color="auto"/>
        <w:bottom w:val="none" w:sz="0" w:space="0" w:color="auto"/>
        <w:right w:val="none" w:sz="0" w:space="0" w:color="auto"/>
      </w:divBdr>
    </w:div>
    <w:div w:id="1391030444">
      <w:bodyDiv w:val="1"/>
      <w:marLeft w:val="0"/>
      <w:marRight w:val="0"/>
      <w:marTop w:val="0"/>
      <w:marBottom w:val="0"/>
      <w:divBdr>
        <w:top w:val="none" w:sz="0" w:space="0" w:color="auto"/>
        <w:left w:val="none" w:sz="0" w:space="0" w:color="auto"/>
        <w:bottom w:val="none" w:sz="0" w:space="0" w:color="auto"/>
        <w:right w:val="none" w:sz="0" w:space="0" w:color="auto"/>
      </w:divBdr>
      <w:divsChild>
        <w:div w:id="1135488846">
          <w:marLeft w:val="240"/>
          <w:marRight w:val="0"/>
          <w:marTop w:val="0"/>
          <w:marBottom w:val="0"/>
          <w:divBdr>
            <w:top w:val="none" w:sz="0" w:space="0" w:color="auto"/>
            <w:left w:val="none" w:sz="0" w:space="0" w:color="auto"/>
            <w:bottom w:val="none" w:sz="0" w:space="0" w:color="auto"/>
            <w:right w:val="none" w:sz="0" w:space="0" w:color="auto"/>
          </w:divBdr>
        </w:div>
        <w:div w:id="1346518639">
          <w:marLeft w:val="240"/>
          <w:marRight w:val="0"/>
          <w:marTop w:val="0"/>
          <w:marBottom w:val="0"/>
          <w:divBdr>
            <w:top w:val="none" w:sz="0" w:space="0" w:color="auto"/>
            <w:left w:val="none" w:sz="0" w:space="0" w:color="auto"/>
            <w:bottom w:val="none" w:sz="0" w:space="0" w:color="auto"/>
            <w:right w:val="none" w:sz="0" w:space="0" w:color="auto"/>
          </w:divBdr>
        </w:div>
        <w:div w:id="1376932194">
          <w:marLeft w:val="240"/>
          <w:marRight w:val="0"/>
          <w:marTop w:val="0"/>
          <w:marBottom w:val="0"/>
          <w:divBdr>
            <w:top w:val="none" w:sz="0" w:space="0" w:color="auto"/>
            <w:left w:val="none" w:sz="0" w:space="0" w:color="auto"/>
            <w:bottom w:val="none" w:sz="0" w:space="0" w:color="auto"/>
            <w:right w:val="none" w:sz="0" w:space="0" w:color="auto"/>
          </w:divBdr>
        </w:div>
      </w:divsChild>
    </w:div>
    <w:div w:id="1401974835">
      <w:bodyDiv w:val="1"/>
      <w:marLeft w:val="0"/>
      <w:marRight w:val="0"/>
      <w:marTop w:val="0"/>
      <w:marBottom w:val="0"/>
      <w:divBdr>
        <w:top w:val="none" w:sz="0" w:space="0" w:color="auto"/>
        <w:left w:val="none" w:sz="0" w:space="0" w:color="auto"/>
        <w:bottom w:val="none" w:sz="0" w:space="0" w:color="auto"/>
        <w:right w:val="none" w:sz="0" w:space="0" w:color="auto"/>
      </w:divBdr>
    </w:div>
    <w:div w:id="1405757899">
      <w:bodyDiv w:val="1"/>
      <w:marLeft w:val="0"/>
      <w:marRight w:val="0"/>
      <w:marTop w:val="0"/>
      <w:marBottom w:val="0"/>
      <w:divBdr>
        <w:top w:val="none" w:sz="0" w:space="0" w:color="auto"/>
        <w:left w:val="none" w:sz="0" w:space="0" w:color="auto"/>
        <w:bottom w:val="none" w:sz="0" w:space="0" w:color="auto"/>
        <w:right w:val="none" w:sz="0" w:space="0" w:color="auto"/>
      </w:divBdr>
    </w:div>
    <w:div w:id="1411082810">
      <w:bodyDiv w:val="1"/>
      <w:marLeft w:val="0"/>
      <w:marRight w:val="0"/>
      <w:marTop w:val="0"/>
      <w:marBottom w:val="0"/>
      <w:divBdr>
        <w:top w:val="none" w:sz="0" w:space="0" w:color="auto"/>
        <w:left w:val="none" w:sz="0" w:space="0" w:color="auto"/>
        <w:bottom w:val="none" w:sz="0" w:space="0" w:color="auto"/>
        <w:right w:val="none" w:sz="0" w:space="0" w:color="auto"/>
      </w:divBdr>
    </w:div>
    <w:div w:id="1412003897">
      <w:bodyDiv w:val="1"/>
      <w:marLeft w:val="0"/>
      <w:marRight w:val="0"/>
      <w:marTop w:val="0"/>
      <w:marBottom w:val="0"/>
      <w:divBdr>
        <w:top w:val="none" w:sz="0" w:space="0" w:color="auto"/>
        <w:left w:val="none" w:sz="0" w:space="0" w:color="auto"/>
        <w:bottom w:val="none" w:sz="0" w:space="0" w:color="auto"/>
        <w:right w:val="none" w:sz="0" w:space="0" w:color="auto"/>
      </w:divBdr>
      <w:divsChild>
        <w:div w:id="911890417">
          <w:marLeft w:val="960"/>
          <w:marRight w:val="0"/>
          <w:marTop w:val="0"/>
          <w:marBottom w:val="0"/>
          <w:divBdr>
            <w:top w:val="none" w:sz="0" w:space="0" w:color="auto"/>
            <w:left w:val="none" w:sz="0" w:space="0" w:color="auto"/>
            <w:bottom w:val="none" w:sz="0" w:space="0" w:color="auto"/>
            <w:right w:val="none" w:sz="0" w:space="0" w:color="auto"/>
          </w:divBdr>
        </w:div>
        <w:div w:id="1257904826">
          <w:marLeft w:val="960"/>
          <w:marRight w:val="0"/>
          <w:marTop w:val="0"/>
          <w:marBottom w:val="0"/>
          <w:divBdr>
            <w:top w:val="none" w:sz="0" w:space="0" w:color="auto"/>
            <w:left w:val="none" w:sz="0" w:space="0" w:color="auto"/>
            <w:bottom w:val="none" w:sz="0" w:space="0" w:color="auto"/>
            <w:right w:val="none" w:sz="0" w:space="0" w:color="auto"/>
          </w:divBdr>
        </w:div>
      </w:divsChild>
    </w:div>
    <w:div w:id="1416128501">
      <w:bodyDiv w:val="1"/>
      <w:marLeft w:val="0"/>
      <w:marRight w:val="0"/>
      <w:marTop w:val="0"/>
      <w:marBottom w:val="0"/>
      <w:divBdr>
        <w:top w:val="none" w:sz="0" w:space="0" w:color="auto"/>
        <w:left w:val="none" w:sz="0" w:space="0" w:color="auto"/>
        <w:bottom w:val="none" w:sz="0" w:space="0" w:color="auto"/>
        <w:right w:val="none" w:sz="0" w:space="0" w:color="auto"/>
      </w:divBdr>
    </w:div>
    <w:div w:id="1417092039">
      <w:bodyDiv w:val="1"/>
      <w:marLeft w:val="0"/>
      <w:marRight w:val="0"/>
      <w:marTop w:val="0"/>
      <w:marBottom w:val="0"/>
      <w:divBdr>
        <w:top w:val="none" w:sz="0" w:space="0" w:color="auto"/>
        <w:left w:val="none" w:sz="0" w:space="0" w:color="auto"/>
        <w:bottom w:val="none" w:sz="0" w:space="0" w:color="auto"/>
        <w:right w:val="none" w:sz="0" w:space="0" w:color="auto"/>
      </w:divBdr>
    </w:div>
    <w:div w:id="1418362363">
      <w:bodyDiv w:val="1"/>
      <w:marLeft w:val="0"/>
      <w:marRight w:val="0"/>
      <w:marTop w:val="0"/>
      <w:marBottom w:val="0"/>
      <w:divBdr>
        <w:top w:val="none" w:sz="0" w:space="0" w:color="auto"/>
        <w:left w:val="none" w:sz="0" w:space="0" w:color="auto"/>
        <w:bottom w:val="none" w:sz="0" w:space="0" w:color="auto"/>
        <w:right w:val="none" w:sz="0" w:space="0" w:color="auto"/>
      </w:divBdr>
    </w:div>
    <w:div w:id="1420517827">
      <w:bodyDiv w:val="1"/>
      <w:marLeft w:val="0"/>
      <w:marRight w:val="0"/>
      <w:marTop w:val="0"/>
      <w:marBottom w:val="0"/>
      <w:divBdr>
        <w:top w:val="none" w:sz="0" w:space="0" w:color="auto"/>
        <w:left w:val="none" w:sz="0" w:space="0" w:color="auto"/>
        <w:bottom w:val="none" w:sz="0" w:space="0" w:color="auto"/>
        <w:right w:val="none" w:sz="0" w:space="0" w:color="auto"/>
      </w:divBdr>
    </w:div>
    <w:div w:id="1420561344">
      <w:bodyDiv w:val="1"/>
      <w:marLeft w:val="0"/>
      <w:marRight w:val="0"/>
      <w:marTop w:val="0"/>
      <w:marBottom w:val="0"/>
      <w:divBdr>
        <w:top w:val="none" w:sz="0" w:space="0" w:color="auto"/>
        <w:left w:val="none" w:sz="0" w:space="0" w:color="auto"/>
        <w:bottom w:val="none" w:sz="0" w:space="0" w:color="auto"/>
        <w:right w:val="none" w:sz="0" w:space="0" w:color="auto"/>
      </w:divBdr>
    </w:div>
    <w:div w:id="1424572716">
      <w:bodyDiv w:val="1"/>
      <w:marLeft w:val="0"/>
      <w:marRight w:val="0"/>
      <w:marTop w:val="0"/>
      <w:marBottom w:val="0"/>
      <w:divBdr>
        <w:top w:val="none" w:sz="0" w:space="0" w:color="auto"/>
        <w:left w:val="none" w:sz="0" w:space="0" w:color="auto"/>
        <w:bottom w:val="none" w:sz="0" w:space="0" w:color="auto"/>
        <w:right w:val="none" w:sz="0" w:space="0" w:color="auto"/>
      </w:divBdr>
    </w:div>
    <w:div w:id="1433354278">
      <w:bodyDiv w:val="1"/>
      <w:marLeft w:val="0"/>
      <w:marRight w:val="0"/>
      <w:marTop w:val="0"/>
      <w:marBottom w:val="0"/>
      <w:divBdr>
        <w:top w:val="none" w:sz="0" w:space="0" w:color="auto"/>
        <w:left w:val="none" w:sz="0" w:space="0" w:color="auto"/>
        <w:bottom w:val="none" w:sz="0" w:space="0" w:color="auto"/>
        <w:right w:val="none" w:sz="0" w:space="0" w:color="auto"/>
      </w:divBdr>
    </w:div>
    <w:div w:id="1435130190">
      <w:bodyDiv w:val="1"/>
      <w:marLeft w:val="0"/>
      <w:marRight w:val="0"/>
      <w:marTop w:val="0"/>
      <w:marBottom w:val="0"/>
      <w:divBdr>
        <w:top w:val="none" w:sz="0" w:space="0" w:color="auto"/>
        <w:left w:val="none" w:sz="0" w:space="0" w:color="auto"/>
        <w:bottom w:val="none" w:sz="0" w:space="0" w:color="auto"/>
        <w:right w:val="none" w:sz="0" w:space="0" w:color="auto"/>
      </w:divBdr>
    </w:div>
    <w:div w:id="1438061197">
      <w:bodyDiv w:val="1"/>
      <w:marLeft w:val="0"/>
      <w:marRight w:val="0"/>
      <w:marTop w:val="0"/>
      <w:marBottom w:val="0"/>
      <w:divBdr>
        <w:top w:val="none" w:sz="0" w:space="0" w:color="auto"/>
        <w:left w:val="none" w:sz="0" w:space="0" w:color="auto"/>
        <w:bottom w:val="none" w:sz="0" w:space="0" w:color="auto"/>
        <w:right w:val="none" w:sz="0" w:space="0" w:color="auto"/>
      </w:divBdr>
    </w:div>
    <w:div w:id="1442992011">
      <w:bodyDiv w:val="1"/>
      <w:marLeft w:val="0"/>
      <w:marRight w:val="0"/>
      <w:marTop w:val="0"/>
      <w:marBottom w:val="0"/>
      <w:divBdr>
        <w:top w:val="none" w:sz="0" w:space="0" w:color="auto"/>
        <w:left w:val="none" w:sz="0" w:space="0" w:color="auto"/>
        <w:bottom w:val="none" w:sz="0" w:space="0" w:color="auto"/>
        <w:right w:val="none" w:sz="0" w:space="0" w:color="auto"/>
      </w:divBdr>
    </w:div>
    <w:div w:id="1449087821">
      <w:bodyDiv w:val="1"/>
      <w:marLeft w:val="0"/>
      <w:marRight w:val="0"/>
      <w:marTop w:val="0"/>
      <w:marBottom w:val="0"/>
      <w:divBdr>
        <w:top w:val="none" w:sz="0" w:space="0" w:color="auto"/>
        <w:left w:val="none" w:sz="0" w:space="0" w:color="auto"/>
        <w:bottom w:val="none" w:sz="0" w:space="0" w:color="auto"/>
        <w:right w:val="none" w:sz="0" w:space="0" w:color="auto"/>
      </w:divBdr>
    </w:div>
    <w:div w:id="1457141713">
      <w:bodyDiv w:val="1"/>
      <w:marLeft w:val="0"/>
      <w:marRight w:val="0"/>
      <w:marTop w:val="0"/>
      <w:marBottom w:val="0"/>
      <w:divBdr>
        <w:top w:val="none" w:sz="0" w:space="0" w:color="auto"/>
        <w:left w:val="none" w:sz="0" w:space="0" w:color="auto"/>
        <w:bottom w:val="none" w:sz="0" w:space="0" w:color="auto"/>
        <w:right w:val="none" w:sz="0" w:space="0" w:color="auto"/>
      </w:divBdr>
    </w:div>
    <w:div w:id="1457724779">
      <w:bodyDiv w:val="1"/>
      <w:marLeft w:val="0"/>
      <w:marRight w:val="0"/>
      <w:marTop w:val="0"/>
      <w:marBottom w:val="0"/>
      <w:divBdr>
        <w:top w:val="none" w:sz="0" w:space="0" w:color="auto"/>
        <w:left w:val="none" w:sz="0" w:space="0" w:color="auto"/>
        <w:bottom w:val="none" w:sz="0" w:space="0" w:color="auto"/>
        <w:right w:val="none" w:sz="0" w:space="0" w:color="auto"/>
      </w:divBdr>
    </w:div>
    <w:div w:id="1458452140">
      <w:bodyDiv w:val="1"/>
      <w:marLeft w:val="0"/>
      <w:marRight w:val="0"/>
      <w:marTop w:val="0"/>
      <w:marBottom w:val="0"/>
      <w:divBdr>
        <w:top w:val="none" w:sz="0" w:space="0" w:color="auto"/>
        <w:left w:val="none" w:sz="0" w:space="0" w:color="auto"/>
        <w:bottom w:val="none" w:sz="0" w:space="0" w:color="auto"/>
        <w:right w:val="none" w:sz="0" w:space="0" w:color="auto"/>
      </w:divBdr>
    </w:div>
    <w:div w:id="1463385138">
      <w:bodyDiv w:val="1"/>
      <w:marLeft w:val="0"/>
      <w:marRight w:val="0"/>
      <w:marTop w:val="0"/>
      <w:marBottom w:val="0"/>
      <w:divBdr>
        <w:top w:val="none" w:sz="0" w:space="0" w:color="auto"/>
        <w:left w:val="none" w:sz="0" w:space="0" w:color="auto"/>
        <w:bottom w:val="none" w:sz="0" w:space="0" w:color="auto"/>
        <w:right w:val="none" w:sz="0" w:space="0" w:color="auto"/>
      </w:divBdr>
    </w:div>
    <w:div w:id="1469201049">
      <w:bodyDiv w:val="1"/>
      <w:marLeft w:val="0"/>
      <w:marRight w:val="0"/>
      <w:marTop w:val="0"/>
      <w:marBottom w:val="0"/>
      <w:divBdr>
        <w:top w:val="none" w:sz="0" w:space="0" w:color="auto"/>
        <w:left w:val="none" w:sz="0" w:space="0" w:color="auto"/>
        <w:bottom w:val="none" w:sz="0" w:space="0" w:color="auto"/>
        <w:right w:val="none" w:sz="0" w:space="0" w:color="auto"/>
      </w:divBdr>
    </w:div>
    <w:div w:id="1471358010">
      <w:bodyDiv w:val="1"/>
      <w:marLeft w:val="0"/>
      <w:marRight w:val="0"/>
      <w:marTop w:val="0"/>
      <w:marBottom w:val="0"/>
      <w:divBdr>
        <w:top w:val="none" w:sz="0" w:space="0" w:color="auto"/>
        <w:left w:val="none" w:sz="0" w:space="0" w:color="auto"/>
        <w:bottom w:val="none" w:sz="0" w:space="0" w:color="auto"/>
        <w:right w:val="none" w:sz="0" w:space="0" w:color="auto"/>
      </w:divBdr>
    </w:div>
    <w:div w:id="1474371489">
      <w:bodyDiv w:val="1"/>
      <w:marLeft w:val="0"/>
      <w:marRight w:val="0"/>
      <w:marTop w:val="0"/>
      <w:marBottom w:val="0"/>
      <w:divBdr>
        <w:top w:val="none" w:sz="0" w:space="0" w:color="auto"/>
        <w:left w:val="none" w:sz="0" w:space="0" w:color="auto"/>
        <w:bottom w:val="none" w:sz="0" w:space="0" w:color="auto"/>
        <w:right w:val="none" w:sz="0" w:space="0" w:color="auto"/>
      </w:divBdr>
    </w:div>
    <w:div w:id="1487017487">
      <w:bodyDiv w:val="1"/>
      <w:marLeft w:val="0"/>
      <w:marRight w:val="0"/>
      <w:marTop w:val="0"/>
      <w:marBottom w:val="0"/>
      <w:divBdr>
        <w:top w:val="none" w:sz="0" w:space="0" w:color="auto"/>
        <w:left w:val="none" w:sz="0" w:space="0" w:color="auto"/>
        <w:bottom w:val="none" w:sz="0" w:space="0" w:color="auto"/>
        <w:right w:val="none" w:sz="0" w:space="0" w:color="auto"/>
      </w:divBdr>
    </w:div>
    <w:div w:id="1489907627">
      <w:bodyDiv w:val="1"/>
      <w:marLeft w:val="0"/>
      <w:marRight w:val="0"/>
      <w:marTop w:val="0"/>
      <w:marBottom w:val="0"/>
      <w:divBdr>
        <w:top w:val="none" w:sz="0" w:space="0" w:color="auto"/>
        <w:left w:val="none" w:sz="0" w:space="0" w:color="auto"/>
        <w:bottom w:val="none" w:sz="0" w:space="0" w:color="auto"/>
        <w:right w:val="none" w:sz="0" w:space="0" w:color="auto"/>
      </w:divBdr>
    </w:div>
    <w:div w:id="1490050603">
      <w:bodyDiv w:val="1"/>
      <w:marLeft w:val="0"/>
      <w:marRight w:val="0"/>
      <w:marTop w:val="0"/>
      <w:marBottom w:val="0"/>
      <w:divBdr>
        <w:top w:val="none" w:sz="0" w:space="0" w:color="auto"/>
        <w:left w:val="none" w:sz="0" w:space="0" w:color="auto"/>
        <w:bottom w:val="none" w:sz="0" w:space="0" w:color="auto"/>
        <w:right w:val="none" w:sz="0" w:space="0" w:color="auto"/>
      </w:divBdr>
    </w:div>
    <w:div w:id="1497068889">
      <w:bodyDiv w:val="1"/>
      <w:marLeft w:val="0"/>
      <w:marRight w:val="0"/>
      <w:marTop w:val="0"/>
      <w:marBottom w:val="0"/>
      <w:divBdr>
        <w:top w:val="none" w:sz="0" w:space="0" w:color="auto"/>
        <w:left w:val="none" w:sz="0" w:space="0" w:color="auto"/>
        <w:bottom w:val="none" w:sz="0" w:space="0" w:color="auto"/>
        <w:right w:val="none" w:sz="0" w:space="0" w:color="auto"/>
      </w:divBdr>
    </w:div>
    <w:div w:id="1505901158">
      <w:bodyDiv w:val="1"/>
      <w:marLeft w:val="0"/>
      <w:marRight w:val="0"/>
      <w:marTop w:val="0"/>
      <w:marBottom w:val="0"/>
      <w:divBdr>
        <w:top w:val="none" w:sz="0" w:space="0" w:color="auto"/>
        <w:left w:val="none" w:sz="0" w:space="0" w:color="auto"/>
        <w:bottom w:val="none" w:sz="0" w:space="0" w:color="auto"/>
        <w:right w:val="none" w:sz="0" w:space="0" w:color="auto"/>
      </w:divBdr>
    </w:div>
    <w:div w:id="1507550571">
      <w:bodyDiv w:val="1"/>
      <w:marLeft w:val="0"/>
      <w:marRight w:val="0"/>
      <w:marTop w:val="0"/>
      <w:marBottom w:val="0"/>
      <w:divBdr>
        <w:top w:val="none" w:sz="0" w:space="0" w:color="auto"/>
        <w:left w:val="none" w:sz="0" w:space="0" w:color="auto"/>
        <w:bottom w:val="none" w:sz="0" w:space="0" w:color="auto"/>
        <w:right w:val="none" w:sz="0" w:space="0" w:color="auto"/>
      </w:divBdr>
    </w:div>
    <w:div w:id="1512182669">
      <w:bodyDiv w:val="1"/>
      <w:marLeft w:val="0"/>
      <w:marRight w:val="0"/>
      <w:marTop w:val="0"/>
      <w:marBottom w:val="0"/>
      <w:divBdr>
        <w:top w:val="none" w:sz="0" w:space="0" w:color="auto"/>
        <w:left w:val="none" w:sz="0" w:space="0" w:color="auto"/>
        <w:bottom w:val="none" w:sz="0" w:space="0" w:color="auto"/>
        <w:right w:val="none" w:sz="0" w:space="0" w:color="auto"/>
      </w:divBdr>
    </w:div>
    <w:div w:id="1523320230">
      <w:bodyDiv w:val="1"/>
      <w:marLeft w:val="0"/>
      <w:marRight w:val="0"/>
      <w:marTop w:val="0"/>
      <w:marBottom w:val="0"/>
      <w:divBdr>
        <w:top w:val="none" w:sz="0" w:space="0" w:color="auto"/>
        <w:left w:val="none" w:sz="0" w:space="0" w:color="auto"/>
        <w:bottom w:val="none" w:sz="0" w:space="0" w:color="auto"/>
        <w:right w:val="none" w:sz="0" w:space="0" w:color="auto"/>
      </w:divBdr>
      <w:divsChild>
        <w:div w:id="193006280">
          <w:marLeft w:val="240"/>
          <w:marRight w:val="0"/>
          <w:marTop w:val="0"/>
          <w:marBottom w:val="0"/>
          <w:divBdr>
            <w:top w:val="none" w:sz="0" w:space="0" w:color="auto"/>
            <w:left w:val="none" w:sz="0" w:space="0" w:color="auto"/>
            <w:bottom w:val="none" w:sz="0" w:space="0" w:color="auto"/>
            <w:right w:val="none" w:sz="0" w:space="0" w:color="auto"/>
          </w:divBdr>
        </w:div>
        <w:div w:id="345988362">
          <w:marLeft w:val="240"/>
          <w:marRight w:val="0"/>
          <w:marTop w:val="0"/>
          <w:marBottom w:val="0"/>
          <w:divBdr>
            <w:top w:val="none" w:sz="0" w:space="0" w:color="auto"/>
            <w:left w:val="none" w:sz="0" w:space="0" w:color="auto"/>
            <w:bottom w:val="none" w:sz="0" w:space="0" w:color="auto"/>
            <w:right w:val="none" w:sz="0" w:space="0" w:color="auto"/>
          </w:divBdr>
        </w:div>
        <w:div w:id="1536196063">
          <w:marLeft w:val="240"/>
          <w:marRight w:val="0"/>
          <w:marTop w:val="0"/>
          <w:marBottom w:val="0"/>
          <w:divBdr>
            <w:top w:val="none" w:sz="0" w:space="0" w:color="auto"/>
            <w:left w:val="none" w:sz="0" w:space="0" w:color="auto"/>
            <w:bottom w:val="none" w:sz="0" w:space="0" w:color="auto"/>
            <w:right w:val="none" w:sz="0" w:space="0" w:color="auto"/>
          </w:divBdr>
        </w:div>
      </w:divsChild>
    </w:div>
    <w:div w:id="1525709456">
      <w:bodyDiv w:val="1"/>
      <w:marLeft w:val="0"/>
      <w:marRight w:val="0"/>
      <w:marTop w:val="0"/>
      <w:marBottom w:val="0"/>
      <w:divBdr>
        <w:top w:val="none" w:sz="0" w:space="0" w:color="auto"/>
        <w:left w:val="none" w:sz="0" w:space="0" w:color="auto"/>
        <w:bottom w:val="none" w:sz="0" w:space="0" w:color="auto"/>
        <w:right w:val="none" w:sz="0" w:space="0" w:color="auto"/>
      </w:divBdr>
    </w:div>
    <w:div w:id="1542086677">
      <w:bodyDiv w:val="1"/>
      <w:marLeft w:val="0"/>
      <w:marRight w:val="0"/>
      <w:marTop w:val="0"/>
      <w:marBottom w:val="0"/>
      <w:divBdr>
        <w:top w:val="none" w:sz="0" w:space="0" w:color="auto"/>
        <w:left w:val="none" w:sz="0" w:space="0" w:color="auto"/>
        <w:bottom w:val="none" w:sz="0" w:space="0" w:color="auto"/>
        <w:right w:val="none" w:sz="0" w:space="0" w:color="auto"/>
      </w:divBdr>
      <w:divsChild>
        <w:div w:id="246116526">
          <w:marLeft w:val="720"/>
          <w:marRight w:val="0"/>
          <w:marTop w:val="0"/>
          <w:marBottom w:val="0"/>
          <w:divBdr>
            <w:top w:val="none" w:sz="0" w:space="0" w:color="auto"/>
            <w:left w:val="none" w:sz="0" w:space="0" w:color="auto"/>
            <w:bottom w:val="none" w:sz="0" w:space="0" w:color="auto"/>
            <w:right w:val="none" w:sz="0" w:space="0" w:color="auto"/>
          </w:divBdr>
        </w:div>
        <w:div w:id="2117559607">
          <w:marLeft w:val="720"/>
          <w:marRight w:val="0"/>
          <w:marTop w:val="0"/>
          <w:marBottom w:val="0"/>
          <w:divBdr>
            <w:top w:val="none" w:sz="0" w:space="0" w:color="auto"/>
            <w:left w:val="none" w:sz="0" w:space="0" w:color="auto"/>
            <w:bottom w:val="none" w:sz="0" w:space="0" w:color="auto"/>
            <w:right w:val="none" w:sz="0" w:space="0" w:color="auto"/>
          </w:divBdr>
        </w:div>
      </w:divsChild>
    </w:div>
    <w:div w:id="1545941004">
      <w:bodyDiv w:val="1"/>
      <w:marLeft w:val="0"/>
      <w:marRight w:val="0"/>
      <w:marTop w:val="0"/>
      <w:marBottom w:val="0"/>
      <w:divBdr>
        <w:top w:val="none" w:sz="0" w:space="0" w:color="auto"/>
        <w:left w:val="none" w:sz="0" w:space="0" w:color="auto"/>
        <w:bottom w:val="none" w:sz="0" w:space="0" w:color="auto"/>
        <w:right w:val="none" w:sz="0" w:space="0" w:color="auto"/>
      </w:divBdr>
    </w:div>
    <w:div w:id="1556238140">
      <w:bodyDiv w:val="1"/>
      <w:marLeft w:val="0"/>
      <w:marRight w:val="0"/>
      <w:marTop w:val="0"/>
      <w:marBottom w:val="0"/>
      <w:divBdr>
        <w:top w:val="none" w:sz="0" w:space="0" w:color="auto"/>
        <w:left w:val="none" w:sz="0" w:space="0" w:color="auto"/>
        <w:bottom w:val="none" w:sz="0" w:space="0" w:color="auto"/>
        <w:right w:val="none" w:sz="0" w:space="0" w:color="auto"/>
      </w:divBdr>
    </w:div>
    <w:div w:id="1558933406">
      <w:bodyDiv w:val="1"/>
      <w:marLeft w:val="0"/>
      <w:marRight w:val="0"/>
      <w:marTop w:val="0"/>
      <w:marBottom w:val="0"/>
      <w:divBdr>
        <w:top w:val="none" w:sz="0" w:space="0" w:color="auto"/>
        <w:left w:val="none" w:sz="0" w:space="0" w:color="auto"/>
        <w:bottom w:val="none" w:sz="0" w:space="0" w:color="auto"/>
        <w:right w:val="none" w:sz="0" w:space="0" w:color="auto"/>
      </w:divBdr>
    </w:div>
    <w:div w:id="1561136038">
      <w:bodyDiv w:val="1"/>
      <w:marLeft w:val="0"/>
      <w:marRight w:val="0"/>
      <w:marTop w:val="0"/>
      <w:marBottom w:val="0"/>
      <w:divBdr>
        <w:top w:val="none" w:sz="0" w:space="0" w:color="auto"/>
        <w:left w:val="none" w:sz="0" w:space="0" w:color="auto"/>
        <w:bottom w:val="none" w:sz="0" w:space="0" w:color="auto"/>
        <w:right w:val="none" w:sz="0" w:space="0" w:color="auto"/>
      </w:divBdr>
    </w:div>
    <w:div w:id="1565066410">
      <w:bodyDiv w:val="1"/>
      <w:marLeft w:val="0"/>
      <w:marRight w:val="0"/>
      <w:marTop w:val="0"/>
      <w:marBottom w:val="0"/>
      <w:divBdr>
        <w:top w:val="none" w:sz="0" w:space="0" w:color="auto"/>
        <w:left w:val="none" w:sz="0" w:space="0" w:color="auto"/>
        <w:bottom w:val="none" w:sz="0" w:space="0" w:color="auto"/>
        <w:right w:val="none" w:sz="0" w:space="0" w:color="auto"/>
      </w:divBdr>
    </w:div>
    <w:div w:id="1572738867">
      <w:bodyDiv w:val="1"/>
      <w:marLeft w:val="0"/>
      <w:marRight w:val="0"/>
      <w:marTop w:val="0"/>
      <w:marBottom w:val="0"/>
      <w:divBdr>
        <w:top w:val="none" w:sz="0" w:space="0" w:color="auto"/>
        <w:left w:val="none" w:sz="0" w:space="0" w:color="auto"/>
        <w:bottom w:val="none" w:sz="0" w:space="0" w:color="auto"/>
        <w:right w:val="none" w:sz="0" w:space="0" w:color="auto"/>
      </w:divBdr>
    </w:div>
    <w:div w:id="1574731135">
      <w:bodyDiv w:val="1"/>
      <w:marLeft w:val="0"/>
      <w:marRight w:val="0"/>
      <w:marTop w:val="0"/>
      <w:marBottom w:val="0"/>
      <w:divBdr>
        <w:top w:val="none" w:sz="0" w:space="0" w:color="auto"/>
        <w:left w:val="none" w:sz="0" w:space="0" w:color="auto"/>
        <w:bottom w:val="none" w:sz="0" w:space="0" w:color="auto"/>
        <w:right w:val="none" w:sz="0" w:space="0" w:color="auto"/>
      </w:divBdr>
    </w:div>
    <w:div w:id="1577471531">
      <w:bodyDiv w:val="1"/>
      <w:marLeft w:val="0"/>
      <w:marRight w:val="0"/>
      <w:marTop w:val="0"/>
      <w:marBottom w:val="0"/>
      <w:divBdr>
        <w:top w:val="none" w:sz="0" w:space="0" w:color="auto"/>
        <w:left w:val="none" w:sz="0" w:space="0" w:color="auto"/>
        <w:bottom w:val="none" w:sz="0" w:space="0" w:color="auto"/>
        <w:right w:val="none" w:sz="0" w:space="0" w:color="auto"/>
      </w:divBdr>
    </w:div>
    <w:div w:id="1582329847">
      <w:bodyDiv w:val="1"/>
      <w:marLeft w:val="0"/>
      <w:marRight w:val="0"/>
      <w:marTop w:val="0"/>
      <w:marBottom w:val="0"/>
      <w:divBdr>
        <w:top w:val="none" w:sz="0" w:space="0" w:color="auto"/>
        <w:left w:val="none" w:sz="0" w:space="0" w:color="auto"/>
        <w:bottom w:val="none" w:sz="0" w:space="0" w:color="auto"/>
        <w:right w:val="none" w:sz="0" w:space="0" w:color="auto"/>
      </w:divBdr>
    </w:div>
    <w:div w:id="1584680826">
      <w:bodyDiv w:val="1"/>
      <w:marLeft w:val="0"/>
      <w:marRight w:val="0"/>
      <w:marTop w:val="0"/>
      <w:marBottom w:val="0"/>
      <w:divBdr>
        <w:top w:val="none" w:sz="0" w:space="0" w:color="auto"/>
        <w:left w:val="none" w:sz="0" w:space="0" w:color="auto"/>
        <w:bottom w:val="none" w:sz="0" w:space="0" w:color="auto"/>
        <w:right w:val="none" w:sz="0" w:space="0" w:color="auto"/>
      </w:divBdr>
    </w:div>
    <w:div w:id="1589462537">
      <w:bodyDiv w:val="1"/>
      <w:marLeft w:val="0"/>
      <w:marRight w:val="0"/>
      <w:marTop w:val="0"/>
      <w:marBottom w:val="0"/>
      <w:divBdr>
        <w:top w:val="none" w:sz="0" w:space="0" w:color="auto"/>
        <w:left w:val="none" w:sz="0" w:space="0" w:color="auto"/>
        <w:bottom w:val="none" w:sz="0" w:space="0" w:color="auto"/>
        <w:right w:val="none" w:sz="0" w:space="0" w:color="auto"/>
      </w:divBdr>
    </w:div>
    <w:div w:id="1595161985">
      <w:bodyDiv w:val="1"/>
      <w:marLeft w:val="0"/>
      <w:marRight w:val="0"/>
      <w:marTop w:val="0"/>
      <w:marBottom w:val="0"/>
      <w:divBdr>
        <w:top w:val="none" w:sz="0" w:space="0" w:color="auto"/>
        <w:left w:val="none" w:sz="0" w:space="0" w:color="auto"/>
        <w:bottom w:val="none" w:sz="0" w:space="0" w:color="auto"/>
        <w:right w:val="none" w:sz="0" w:space="0" w:color="auto"/>
      </w:divBdr>
    </w:div>
    <w:div w:id="1602103788">
      <w:bodyDiv w:val="1"/>
      <w:marLeft w:val="0"/>
      <w:marRight w:val="0"/>
      <w:marTop w:val="0"/>
      <w:marBottom w:val="0"/>
      <w:divBdr>
        <w:top w:val="none" w:sz="0" w:space="0" w:color="auto"/>
        <w:left w:val="none" w:sz="0" w:space="0" w:color="auto"/>
        <w:bottom w:val="none" w:sz="0" w:space="0" w:color="auto"/>
        <w:right w:val="none" w:sz="0" w:space="0" w:color="auto"/>
      </w:divBdr>
      <w:divsChild>
        <w:div w:id="302660216">
          <w:marLeft w:val="240"/>
          <w:marRight w:val="0"/>
          <w:marTop w:val="0"/>
          <w:marBottom w:val="0"/>
          <w:divBdr>
            <w:top w:val="none" w:sz="0" w:space="0" w:color="auto"/>
            <w:left w:val="none" w:sz="0" w:space="0" w:color="auto"/>
            <w:bottom w:val="none" w:sz="0" w:space="0" w:color="auto"/>
            <w:right w:val="none" w:sz="0" w:space="0" w:color="auto"/>
          </w:divBdr>
        </w:div>
        <w:div w:id="362705360">
          <w:marLeft w:val="240"/>
          <w:marRight w:val="0"/>
          <w:marTop w:val="0"/>
          <w:marBottom w:val="0"/>
          <w:divBdr>
            <w:top w:val="none" w:sz="0" w:space="0" w:color="auto"/>
            <w:left w:val="none" w:sz="0" w:space="0" w:color="auto"/>
            <w:bottom w:val="none" w:sz="0" w:space="0" w:color="auto"/>
            <w:right w:val="none" w:sz="0" w:space="0" w:color="auto"/>
          </w:divBdr>
        </w:div>
        <w:div w:id="865868694">
          <w:marLeft w:val="240"/>
          <w:marRight w:val="0"/>
          <w:marTop w:val="0"/>
          <w:marBottom w:val="0"/>
          <w:divBdr>
            <w:top w:val="none" w:sz="0" w:space="0" w:color="auto"/>
            <w:left w:val="none" w:sz="0" w:space="0" w:color="auto"/>
            <w:bottom w:val="none" w:sz="0" w:space="0" w:color="auto"/>
            <w:right w:val="none" w:sz="0" w:space="0" w:color="auto"/>
          </w:divBdr>
        </w:div>
        <w:div w:id="1672558503">
          <w:marLeft w:val="240"/>
          <w:marRight w:val="0"/>
          <w:marTop w:val="0"/>
          <w:marBottom w:val="0"/>
          <w:divBdr>
            <w:top w:val="none" w:sz="0" w:space="0" w:color="auto"/>
            <w:left w:val="none" w:sz="0" w:space="0" w:color="auto"/>
            <w:bottom w:val="none" w:sz="0" w:space="0" w:color="auto"/>
            <w:right w:val="none" w:sz="0" w:space="0" w:color="auto"/>
          </w:divBdr>
        </w:div>
      </w:divsChild>
    </w:div>
    <w:div w:id="1603145170">
      <w:bodyDiv w:val="1"/>
      <w:marLeft w:val="0"/>
      <w:marRight w:val="0"/>
      <w:marTop w:val="0"/>
      <w:marBottom w:val="0"/>
      <w:divBdr>
        <w:top w:val="none" w:sz="0" w:space="0" w:color="auto"/>
        <w:left w:val="none" w:sz="0" w:space="0" w:color="auto"/>
        <w:bottom w:val="none" w:sz="0" w:space="0" w:color="auto"/>
        <w:right w:val="none" w:sz="0" w:space="0" w:color="auto"/>
      </w:divBdr>
    </w:div>
    <w:div w:id="1606771374">
      <w:bodyDiv w:val="1"/>
      <w:marLeft w:val="0"/>
      <w:marRight w:val="0"/>
      <w:marTop w:val="0"/>
      <w:marBottom w:val="0"/>
      <w:divBdr>
        <w:top w:val="none" w:sz="0" w:space="0" w:color="auto"/>
        <w:left w:val="none" w:sz="0" w:space="0" w:color="auto"/>
        <w:bottom w:val="none" w:sz="0" w:space="0" w:color="auto"/>
        <w:right w:val="none" w:sz="0" w:space="0" w:color="auto"/>
      </w:divBdr>
    </w:div>
    <w:div w:id="1615550090">
      <w:bodyDiv w:val="1"/>
      <w:marLeft w:val="0"/>
      <w:marRight w:val="0"/>
      <w:marTop w:val="0"/>
      <w:marBottom w:val="0"/>
      <w:divBdr>
        <w:top w:val="none" w:sz="0" w:space="0" w:color="auto"/>
        <w:left w:val="none" w:sz="0" w:space="0" w:color="auto"/>
        <w:bottom w:val="none" w:sz="0" w:space="0" w:color="auto"/>
        <w:right w:val="none" w:sz="0" w:space="0" w:color="auto"/>
      </w:divBdr>
      <w:divsChild>
        <w:div w:id="1372076912">
          <w:marLeft w:val="240"/>
          <w:marRight w:val="0"/>
          <w:marTop w:val="0"/>
          <w:marBottom w:val="0"/>
          <w:divBdr>
            <w:top w:val="none" w:sz="0" w:space="0" w:color="auto"/>
            <w:left w:val="none" w:sz="0" w:space="0" w:color="auto"/>
            <w:bottom w:val="none" w:sz="0" w:space="0" w:color="auto"/>
            <w:right w:val="none" w:sz="0" w:space="0" w:color="auto"/>
          </w:divBdr>
        </w:div>
        <w:div w:id="1774476910">
          <w:marLeft w:val="240"/>
          <w:marRight w:val="0"/>
          <w:marTop w:val="0"/>
          <w:marBottom w:val="0"/>
          <w:divBdr>
            <w:top w:val="none" w:sz="0" w:space="0" w:color="auto"/>
            <w:left w:val="none" w:sz="0" w:space="0" w:color="auto"/>
            <w:bottom w:val="none" w:sz="0" w:space="0" w:color="auto"/>
            <w:right w:val="none" w:sz="0" w:space="0" w:color="auto"/>
          </w:divBdr>
        </w:div>
        <w:div w:id="1829398021">
          <w:marLeft w:val="240"/>
          <w:marRight w:val="0"/>
          <w:marTop w:val="0"/>
          <w:marBottom w:val="0"/>
          <w:divBdr>
            <w:top w:val="none" w:sz="0" w:space="0" w:color="auto"/>
            <w:left w:val="none" w:sz="0" w:space="0" w:color="auto"/>
            <w:bottom w:val="none" w:sz="0" w:space="0" w:color="auto"/>
            <w:right w:val="none" w:sz="0" w:space="0" w:color="auto"/>
          </w:divBdr>
        </w:div>
      </w:divsChild>
    </w:div>
    <w:div w:id="1635060876">
      <w:bodyDiv w:val="1"/>
      <w:marLeft w:val="0"/>
      <w:marRight w:val="0"/>
      <w:marTop w:val="0"/>
      <w:marBottom w:val="0"/>
      <w:divBdr>
        <w:top w:val="none" w:sz="0" w:space="0" w:color="auto"/>
        <w:left w:val="none" w:sz="0" w:space="0" w:color="auto"/>
        <w:bottom w:val="none" w:sz="0" w:space="0" w:color="auto"/>
        <w:right w:val="none" w:sz="0" w:space="0" w:color="auto"/>
      </w:divBdr>
      <w:divsChild>
        <w:div w:id="990331644">
          <w:marLeft w:val="720"/>
          <w:marRight w:val="0"/>
          <w:marTop w:val="0"/>
          <w:marBottom w:val="0"/>
          <w:divBdr>
            <w:top w:val="none" w:sz="0" w:space="0" w:color="auto"/>
            <w:left w:val="none" w:sz="0" w:space="0" w:color="auto"/>
            <w:bottom w:val="none" w:sz="0" w:space="0" w:color="auto"/>
            <w:right w:val="none" w:sz="0" w:space="0" w:color="auto"/>
          </w:divBdr>
        </w:div>
        <w:div w:id="1435587832">
          <w:marLeft w:val="720"/>
          <w:marRight w:val="0"/>
          <w:marTop w:val="0"/>
          <w:marBottom w:val="0"/>
          <w:divBdr>
            <w:top w:val="none" w:sz="0" w:space="0" w:color="auto"/>
            <w:left w:val="none" w:sz="0" w:space="0" w:color="auto"/>
            <w:bottom w:val="none" w:sz="0" w:space="0" w:color="auto"/>
            <w:right w:val="none" w:sz="0" w:space="0" w:color="auto"/>
          </w:divBdr>
        </w:div>
        <w:div w:id="1548640612">
          <w:marLeft w:val="720"/>
          <w:marRight w:val="0"/>
          <w:marTop w:val="0"/>
          <w:marBottom w:val="0"/>
          <w:divBdr>
            <w:top w:val="none" w:sz="0" w:space="0" w:color="auto"/>
            <w:left w:val="none" w:sz="0" w:space="0" w:color="auto"/>
            <w:bottom w:val="none" w:sz="0" w:space="0" w:color="auto"/>
            <w:right w:val="none" w:sz="0" w:space="0" w:color="auto"/>
          </w:divBdr>
        </w:div>
      </w:divsChild>
    </w:div>
    <w:div w:id="1638340374">
      <w:bodyDiv w:val="1"/>
      <w:marLeft w:val="0"/>
      <w:marRight w:val="0"/>
      <w:marTop w:val="0"/>
      <w:marBottom w:val="0"/>
      <w:divBdr>
        <w:top w:val="none" w:sz="0" w:space="0" w:color="auto"/>
        <w:left w:val="none" w:sz="0" w:space="0" w:color="auto"/>
        <w:bottom w:val="none" w:sz="0" w:space="0" w:color="auto"/>
        <w:right w:val="none" w:sz="0" w:space="0" w:color="auto"/>
      </w:divBdr>
    </w:div>
    <w:div w:id="1648898109">
      <w:bodyDiv w:val="1"/>
      <w:marLeft w:val="0"/>
      <w:marRight w:val="0"/>
      <w:marTop w:val="0"/>
      <w:marBottom w:val="0"/>
      <w:divBdr>
        <w:top w:val="none" w:sz="0" w:space="0" w:color="auto"/>
        <w:left w:val="none" w:sz="0" w:space="0" w:color="auto"/>
        <w:bottom w:val="none" w:sz="0" w:space="0" w:color="auto"/>
        <w:right w:val="none" w:sz="0" w:space="0" w:color="auto"/>
      </w:divBdr>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
    <w:div w:id="1654676485">
      <w:bodyDiv w:val="1"/>
      <w:marLeft w:val="0"/>
      <w:marRight w:val="0"/>
      <w:marTop w:val="0"/>
      <w:marBottom w:val="0"/>
      <w:divBdr>
        <w:top w:val="none" w:sz="0" w:space="0" w:color="auto"/>
        <w:left w:val="none" w:sz="0" w:space="0" w:color="auto"/>
        <w:bottom w:val="none" w:sz="0" w:space="0" w:color="auto"/>
        <w:right w:val="none" w:sz="0" w:space="0" w:color="auto"/>
      </w:divBdr>
    </w:div>
    <w:div w:id="1654870537">
      <w:bodyDiv w:val="1"/>
      <w:marLeft w:val="0"/>
      <w:marRight w:val="0"/>
      <w:marTop w:val="0"/>
      <w:marBottom w:val="0"/>
      <w:divBdr>
        <w:top w:val="none" w:sz="0" w:space="0" w:color="auto"/>
        <w:left w:val="none" w:sz="0" w:space="0" w:color="auto"/>
        <w:bottom w:val="none" w:sz="0" w:space="0" w:color="auto"/>
        <w:right w:val="none" w:sz="0" w:space="0" w:color="auto"/>
      </w:divBdr>
    </w:div>
    <w:div w:id="1660577444">
      <w:bodyDiv w:val="1"/>
      <w:marLeft w:val="0"/>
      <w:marRight w:val="0"/>
      <w:marTop w:val="0"/>
      <w:marBottom w:val="0"/>
      <w:divBdr>
        <w:top w:val="none" w:sz="0" w:space="0" w:color="auto"/>
        <w:left w:val="none" w:sz="0" w:space="0" w:color="auto"/>
        <w:bottom w:val="none" w:sz="0" w:space="0" w:color="auto"/>
        <w:right w:val="none" w:sz="0" w:space="0" w:color="auto"/>
      </w:divBdr>
    </w:div>
    <w:div w:id="1660845956">
      <w:bodyDiv w:val="1"/>
      <w:marLeft w:val="0"/>
      <w:marRight w:val="0"/>
      <w:marTop w:val="0"/>
      <w:marBottom w:val="0"/>
      <w:divBdr>
        <w:top w:val="none" w:sz="0" w:space="0" w:color="auto"/>
        <w:left w:val="none" w:sz="0" w:space="0" w:color="auto"/>
        <w:bottom w:val="none" w:sz="0" w:space="0" w:color="auto"/>
        <w:right w:val="none" w:sz="0" w:space="0" w:color="auto"/>
      </w:divBdr>
    </w:div>
    <w:div w:id="1660882102">
      <w:bodyDiv w:val="1"/>
      <w:marLeft w:val="0"/>
      <w:marRight w:val="0"/>
      <w:marTop w:val="0"/>
      <w:marBottom w:val="0"/>
      <w:divBdr>
        <w:top w:val="none" w:sz="0" w:space="0" w:color="auto"/>
        <w:left w:val="none" w:sz="0" w:space="0" w:color="auto"/>
        <w:bottom w:val="none" w:sz="0" w:space="0" w:color="auto"/>
        <w:right w:val="none" w:sz="0" w:space="0" w:color="auto"/>
      </w:divBdr>
      <w:divsChild>
        <w:div w:id="57435463">
          <w:marLeft w:val="960"/>
          <w:marRight w:val="0"/>
          <w:marTop w:val="0"/>
          <w:marBottom w:val="0"/>
          <w:divBdr>
            <w:top w:val="none" w:sz="0" w:space="0" w:color="auto"/>
            <w:left w:val="none" w:sz="0" w:space="0" w:color="auto"/>
            <w:bottom w:val="none" w:sz="0" w:space="0" w:color="auto"/>
            <w:right w:val="none" w:sz="0" w:space="0" w:color="auto"/>
          </w:divBdr>
        </w:div>
        <w:div w:id="107821271">
          <w:marLeft w:val="960"/>
          <w:marRight w:val="0"/>
          <w:marTop w:val="0"/>
          <w:marBottom w:val="0"/>
          <w:divBdr>
            <w:top w:val="none" w:sz="0" w:space="0" w:color="auto"/>
            <w:left w:val="none" w:sz="0" w:space="0" w:color="auto"/>
            <w:bottom w:val="none" w:sz="0" w:space="0" w:color="auto"/>
            <w:right w:val="none" w:sz="0" w:space="0" w:color="auto"/>
          </w:divBdr>
        </w:div>
        <w:div w:id="576208161">
          <w:marLeft w:val="960"/>
          <w:marRight w:val="0"/>
          <w:marTop w:val="0"/>
          <w:marBottom w:val="0"/>
          <w:divBdr>
            <w:top w:val="none" w:sz="0" w:space="0" w:color="auto"/>
            <w:left w:val="none" w:sz="0" w:space="0" w:color="auto"/>
            <w:bottom w:val="none" w:sz="0" w:space="0" w:color="auto"/>
            <w:right w:val="none" w:sz="0" w:space="0" w:color="auto"/>
          </w:divBdr>
        </w:div>
        <w:div w:id="593516543">
          <w:marLeft w:val="960"/>
          <w:marRight w:val="0"/>
          <w:marTop w:val="0"/>
          <w:marBottom w:val="0"/>
          <w:divBdr>
            <w:top w:val="none" w:sz="0" w:space="0" w:color="auto"/>
            <w:left w:val="none" w:sz="0" w:space="0" w:color="auto"/>
            <w:bottom w:val="none" w:sz="0" w:space="0" w:color="auto"/>
            <w:right w:val="none" w:sz="0" w:space="0" w:color="auto"/>
          </w:divBdr>
        </w:div>
        <w:div w:id="673068528">
          <w:marLeft w:val="960"/>
          <w:marRight w:val="0"/>
          <w:marTop w:val="0"/>
          <w:marBottom w:val="0"/>
          <w:divBdr>
            <w:top w:val="none" w:sz="0" w:space="0" w:color="auto"/>
            <w:left w:val="none" w:sz="0" w:space="0" w:color="auto"/>
            <w:bottom w:val="none" w:sz="0" w:space="0" w:color="auto"/>
            <w:right w:val="none" w:sz="0" w:space="0" w:color="auto"/>
          </w:divBdr>
        </w:div>
        <w:div w:id="1745447200">
          <w:marLeft w:val="960"/>
          <w:marRight w:val="0"/>
          <w:marTop w:val="0"/>
          <w:marBottom w:val="0"/>
          <w:divBdr>
            <w:top w:val="none" w:sz="0" w:space="0" w:color="auto"/>
            <w:left w:val="none" w:sz="0" w:space="0" w:color="auto"/>
            <w:bottom w:val="none" w:sz="0" w:space="0" w:color="auto"/>
            <w:right w:val="none" w:sz="0" w:space="0" w:color="auto"/>
          </w:divBdr>
        </w:div>
        <w:div w:id="2047216224">
          <w:marLeft w:val="960"/>
          <w:marRight w:val="0"/>
          <w:marTop w:val="0"/>
          <w:marBottom w:val="0"/>
          <w:divBdr>
            <w:top w:val="none" w:sz="0" w:space="0" w:color="auto"/>
            <w:left w:val="none" w:sz="0" w:space="0" w:color="auto"/>
            <w:bottom w:val="none" w:sz="0" w:space="0" w:color="auto"/>
            <w:right w:val="none" w:sz="0" w:space="0" w:color="auto"/>
          </w:divBdr>
        </w:div>
      </w:divsChild>
    </w:div>
    <w:div w:id="1668822680">
      <w:bodyDiv w:val="1"/>
      <w:marLeft w:val="0"/>
      <w:marRight w:val="0"/>
      <w:marTop w:val="0"/>
      <w:marBottom w:val="0"/>
      <w:divBdr>
        <w:top w:val="none" w:sz="0" w:space="0" w:color="auto"/>
        <w:left w:val="none" w:sz="0" w:space="0" w:color="auto"/>
        <w:bottom w:val="none" w:sz="0" w:space="0" w:color="auto"/>
        <w:right w:val="none" w:sz="0" w:space="0" w:color="auto"/>
      </w:divBdr>
      <w:divsChild>
        <w:div w:id="422647267">
          <w:marLeft w:val="240"/>
          <w:marRight w:val="0"/>
          <w:marTop w:val="0"/>
          <w:marBottom w:val="0"/>
          <w:divBdr>
            <w:top w:val="none" w:sz="0" w:space="0" w:color="auto"/>
            <w:left w:val="none" w:sz="0" w:space="0" w:color="auto"/>
            <w:bottom w:val="none" w:sz="0" w:space="0" w:color="auto"/>
            <w:right w:val="none" w:sz="0" w:space="0" w:color="auto"/>
          </w:divBdr>
        </w:div>
        <w:div w:id="736785125">
          <w:marLeft w:val="240"/>
          <w:marRight w:val="0"/>
          <w:marTop w:val="0"/>
          <w:marBottom w:val="0"/>
          <w:divBdr>
            <w:top w:val="none" w:sz="0" w:space="0" w:color="auto"/>
            <w:left w:val="none" w:sz="0" w:space="0" w:color="auto"/>
            <w:bottom w:val="none" w:sz="0" w:space="0" w:color="auto"/>
            <w:right w:val="none" w:sz="0" w:space="0" w:color="auto"/>
          </w:divBdr>
        </w:div>
      </w:divsChild>
    </w:div>
    <w:div w:id="1671830778">
      <w:bodyDiv w:val="1"/>
      <w:marLeft w:val="0"/>
      <w:marRight w:val="0"/>
      <w:marTop w:val="0"/>
      <w:marBottom w:val="0"/>
      <w:divBdr>
        <w:top w:val="none" w:sz="0" w:space="0" w:color="auto"/>
        <w:left w:val="none" w:sz="0" w:space="0" w:color="auto"/>
        <w:bottom w:val="none" w:sz="0" w:space="0" w:color="auto"/>
        <w:right w:val="none" w:sz="0" w:space="0" w:color="auto"/>
      </w:divBdr>
      <w:divsChild>
        <w:div w:id="1331254948">
          <w:marLeft w:val="240"/>
          <w:marRight w:val="0"/>
          <w:marTop w:val="0"/>
          <w:marBottom w:val="0"/>
          <w:divBdr>
            <w:top w:val="none" w:sz="0" w:space="0" w:color="auto"/>
            <w:left w:val="none" w:sz="0" w:space="0" w:color="auto"/>
            <w:bottom w:val="none" w:sz="0" w:space="0" w:color="auto"/>
            <w:right w:val="none" w:sz="0" w:space="0" w:color="auto"/>
          </w:divBdr>
        </w:div>
        <w:div w:id="1383672964">
          <w:marLeft w:val="240"/>
          <w:marRight w:val="0"/>
          <w:marTop w:val="0"/>
          <w:marBottom w:val="0"/>
          <w:divBdr>
            <w:top w:val="none" w:sz="0" w:space="0" w:color="auto"/>
            <w:left w:val="none" w:sz="0" w:space="0" w:color="auto"/>
            <w:bottom w:val="none" w:sz="0" w:space="0" w:color="auto"/>
            <w:right w:val="none" w:sz="0" w:space="0" w:color="auto"/>
          </w:divBdr>
        </w:div>
      </w:divsChild>
    </w:div>
    <w:div w:id="1674645768">
      <w:bodyDiv w:val="1"/>
      <w:marLeft w:val="0"/>
      <w:marRight w:val="0"/>
      <w:marTop w:val="0"/>
      <w:marBottom w:val="0"/>
      <w:divBdr>
        <w:top w:val="none" w:sz="0" w:space="0" w:color="auto"/>
        <w:left w:val="none" w:sz="0" w:space="0" w:color="auto"/>
        <w:bottom w:val="none" w:sz="0" w:space="0" w:color="auto"/>
        <w:right w:val="none" w:sz="0" w:space="0" w:color="auto"/>
      </w:divBdr>
    </w:div>
    <w:div w:id="1674648473">
      <w:bodyDiv w:val="1"/>
      <w:marLeft w:val="0"/>
      <w:marRight w:val="0"/>
      <w:marTop w:val="0"/>
      <w:marBottom w:val="0"/>
      <w:divBdr>
        <w:top w:val="none" w:sz="0" w:space="0" w:color="auto"/>
        <w:left w:val="none" w:sz="0" w:space="0" w:color="auto"/>
        <w:bottom w:val="none" w:sz="0" w:space="0" w:color="auto"/>
        <w:right w:val="none" w:sz="0" w:space="0" w:color="auto"/>
      </w:divBdr>
    </w:div>
    <w:div w:id="1677152295">
      <w:bodyDiv w:val="1"/>
      <w:marLeft w:val="0"/>
      <w:marRight w:val="0"/>
      <w:marTop w:val="0"/>
      <w:marBottom w:val="0"/>
      <w:divBdr>
        <w:top w:val="none" w:sz="0" w:space="0" w:color="auto"/>
        <w:left w:val="none" w:sz="0" w:space="0" w:color="auto"/>
        <w:bottom w:val="none" w:sz="0" w:space="0" w:color="auto"/>
        <w:right w:val="none" w:sz="0" w:space="0" w:color="auto"/>
      </w:divBdr>
    </w:div>
    <w:div w:id="1678384235">
      <w:bodyDiv w:val="1"/>
      <w:marLeft w:val="0"/>
      <w:marRight w:val="0"/>
      <w:marTop w:val="0"/>
      <w:marBottom w:val="0"/>
      <w:divBdr>
        <w:top w:val="none" w:sz="0" w:space="0" w:color="auto"/>
        <w:left w:val="none" w:sz="0" w:space="0" w:color="auto"/>
        <w:bottom w:val="none" w:sz="0" w:space="0" w:color="auto"/>
        <w:right w:val="none" w:sz="0" w:space="0" w:color="auto"/>
      </w:divBdr>
    </w:div>
    <w:div w:id="1679917043">
      <w:bodyDiv w:val="1"/>
      <w:marLeft w:val="0"/>
      <w:marRight w:val="0"/>
      <w:marTop w:val="0"/>
      <w:marBottom w:val="0"/>
      <w:divBdr>
        <w:top w:val="none" w:sz="0" w:space="0" w:color="auto"/>
        <w:left w:val="none" w:sz="0" w:space="0" w:color="auto"/>
        <w:bottom w:val="none" w:sz="0" w:space="0" w:color="auto"/>
        <w:right w:val="none" w:sz="0" w:space="0" w:color="auto"/>
      </w:divBdr>
    </w:div>
    <w:div w:id="1680354456">
      <w:bodyDiv w:val="1"/>
      <w:marLeft w:val="0"/>
      <w:marRight w:val="0"/>
      <w:marTop w:val="0"/>
      <w:marBottom w:val="0"/>
      <w:divBdr>
        <w:top w:val="none" w:sz="0" w:space="0" w:color="auto"/>
        <w:left w:val="none" w:sz="0" w:space="0" w:color="auto"/>
        <w:bottom w:val="none" w:sz="0" w:space="0" w:color="auto"/>
        <w:right w:val="none" w:sz="0" w:space="0" w:color="auto"/>
      </w:divBdr>
    </w:div>
    <w:div w:id="1680428999">
      <w:bodyDiv w:val="1"/>
      <w:marLeft w:val="0"/>
      <w:marRight w:val="0"/>
      <w:marTop w:val="0"/>
      <w:marBottom w:val="0"/>
      <w:divBdr>
        <w:top w:val="none" w:sz="0" w:space="0" w:color="auto"/>
        <w:left w:val="none" w:sz="0" w:space="0" w:color="auto"/>
        <w:bottom w:val="none" w:sz="0" w:space="0" w:color="auto"/>
        <w:right w:val="none" w:sz="0" w:space="0" w:color="auto"/>
      </w:divBdr>
    </w:div>
    <w:div w:id="1698310220">
      <w:bodyDiv w:val="1"/>
      <w:marLeft w:val="0"/>
      <w:marRight w:val="0"/>
      <w:marTop w:val="0"/>
      <w:marBottom w:val="0"/>
      <w:divBdr>
        <w:top w:val="none" w:sz="0" w:space="0" w:color="auto"/>
        <w:left w:val="none" w:sz="0" w:space="0" w:color="auto"/>
        <w:bottom w:val="none" w:sz="0" w:space="0" w:color="auto"/>
        <w:right w:val="none" w:sz="0" w:space="0" w:color="auto"/>
      </w:divBdr>
    </w:div>
    <w:div w:id="1703937965">
      <w:bodyDiv w:val="1"/>
      <w:marLeft w:val="0"/>
      <w:marRight w:val="0"/>
      <w:marTop w:val="0"/>
      <w:marBottom w:val="0"/>
      <w:divBdr>
        <w:top w:val="none" w:sz="0" w:space="0" w:color="auto"/>
        <w:left w:val="none" w:sz="0" w:space="0" w:color="auto"/>
        <w:bottom w:val="none" w:sz="0" w:space="0" w:color="auto"/>
        <w:right w:val="none" w:sz="0" w:space="0" w:color="auto"/>
      </w:divBdr>
    </w:div>
    <w:div w:id="1707680634">
      <w:bodyDiv w:val="1"/>
      <w:marLeft w:val="0"/>
      <w:marRight w:val="0"/>
      <w:marTop w:val="0"/>
      <w:marBottom w:val="0"/>
      <w:divBdr>
        <w:top w:val="none" w:sz="0" w:space="0" w:color="auto"/>
        <w:left w:val="none" w:sz="0" w:space="0" w:color="auto"/>
        <w:bottom w:val="none" w:sz="0" w:space="0" w:color="auto"/>
        <w:right w:val="none" w:sz="0" w:space="0" w:color="auto"/>
      </w:divBdr>
    </w:div>
    <w:div w:id="1708213294">
      <w:bodyDiv w:val="1"/>
      <w:marLeft w:val="0"/>
      <w:marRight w:val="0"/>
      <w:marTop w:val="0"/>
      <w:marBottom w:val="0"/>
      <w:divBdr>
        <w:top w:val="none" w:sz="0" w:space="0" w:color="auto"/>
        <w:left w:val="none" w:sz="0" w:space="0" w:color="auto"/>
        <w:bottom w:val="none" w:sz="0" w:space="0" w:color="auto"/>
        <w:right w:val="none" w:sz="0" w:space="0" w:color="auto"/>
      </w:divBdr>
      <w:divsChild>
        <w:div w:id="163739000">
          <w:marLeft w:val="720"/>
          <w:marRight w:val="0"/>
          <w:marTop w:val="0"/>
          <w:marBottom w:val="0"/>
          <w:divBdr>
            <w:top w:val="none" w:sz="0" w:space="0" w:color="auto"/>
            <w:left w:val="none" w:sz="0" w:space="0" w:color="auto"/>
            <w:bottom w:val="none" w:sz="0" w:space="0" w:color="auto"/>
            <w:right w:val="none" w:sz="0" w:space="0" w:color="auto"/>
          </w:divBdr>
        </w:div>
        <w:div w:id="911043494">
          <w:marLeft w:val="720"/>
          <w:marRight w:val="0"/>
          <w:marTop w:val="0"/>
          <w:marBottom w:val="0"/>
          <w:divBdr>
            <w:top w:val="none" w:sz="0" w:space="0" w:color="auto"/>
            <w:left w:val="none" w:sz="0" w:space="0" w:color="auto"/>
            <w:bottom w:val="none" w:sz="0" w:space="0" w:color="auto"/>
            <w:right w:val="none" w:sz="0" w:space="0" w:color="auto"/>
          </w:divBdr>
        </w:div>
      </w:divsChild>
    </w:div>
    <w:div w:id="1710450778">
      <w:bodyDiv w:val="1"/>
      <w:marLeft w:val="0"/>
      <w:marRight w:val="0"/>
      <w:marTop w:val="0"/>
      <w:marBottom w:val="0"/>
      <w:divBdr>
        <w:top w:val="none" w:sz="0" w:space="0" w:color="auto"/>
        <w:left w:val="none" w:sz="0" w:space="0" w:color="auto"/>
        <w:bottom w:val="none" w:sz="0" w:space="0" w:color="auto"/>
        <w:right w:val="none" w:sz="0" w:space="0" w:color="auto"/>
      </w:divBdr>
    </w:div>
    <w:div w:id="1722636094">
      <w:bodyDiv w:val="1"/>
      <w:marLeft w:val="0"/>
      <w:marRight w:val="0"/>
      <w:marTop w:val="0"/>
      <w:marBottom w:val="0"/>
      <w:divBdr>
        <w:top w:val="none" w:sz="0" w:space="0" w:color="auto"/>
        <w:left w:val="none" w:sz="0" w:space="0" w:color="auto"/>
        <w:bottom w:val="none" w:sz="0" w:space="0" w:color="auto"/>
        <w:right w:val="none" w:sz="0" w:space="0" w:color="auto"/>
      </w:divBdr>
    </w:div>
    <w:div w:id="1724863426">
      <w:bodyDiv w:val="1"/>
      <w:marLeft w:val="0"/>
      <w:marRight w:val="0"/>
      <w:marTop w:val="0"/>
      <w:marBottom w:val="0"/>
      <w:divBdr>
        <w:top w:val="none" w:sz="0" w:space="0" w:color="auto"/>
        <w:left w:val="none" w:sz="0" w:space="0" w:color="auto"/>
        <w:bottom w:val="none" w:sz="0" w:space="0" w:color="auto"/>
        <w:right w:val="none" w:sz="0" w:space="0" w:color="auto"/>
      </w:divBdr>
    </w:div>
    <w:div w:id="1737194652">
      <w:bodyDiv w:val="1"/>
      <w:marLeft w:val="0"/>
      <w:marRight w:val="0"/>
      <w:marTop w:val="0"/>
      <w:marBottom w:val="0"/>
      <w:divBdr>
        <w:top w:val="none" w:sz="0" w:space="0" w:color="auto"/>
        <w:left w:val="none" w:sz="0" w:space="0" w:color="auto"/>
        <w:bottom w:val="none" w:sz="0" w:space="0" w:color="auto"/>
        <w:right w:val="none" w:sz="0" w:space="0" w:color="auto"/>
      </w:divBdr>
    </w:div>
    <w:div w:id="1745446668">
      <w:bodyDiv w:val="1"/>
      <w:marLeft w:val="0"/>
      <w:marRight w:val="0"/>
      <w:marTop w:val="0"/>
      <w:marBottom w:val="0"/>
      <w:divBdr>
        <w:top w:val="none" w:sz="0" w:space="0" w:color="auto"/>
        <w:left w:val="none" w:sz="0" w:space="0" w:color="auto"/>
        <w:bottom w:val="none" w:sz="0" w:space="0" w:color="auto"/>
        <w:right w:val="none" w:sz="0" w:space="0" w:color="auto"/>
      </w:divBdr>
    </w:div>
    <w:div w:id="1747265777">
      <w:bodyDiv w:val="1"/>
      <w:marLeft w:val="0"/>
      <w:marRight w:val="0"/>
      <w:marTop w:val="0"/>
      <w:marBottom w:val="0"/>
      <w:divBdr>
        <w:top w:val="none" w:sz="0" w:space="0" w:color="auto"/>
        <w:left w:val="none" w:sz="0" w:space="0" w:color="auto"/>
        <w:bottom w:val="none" w:sz="0" w:space="0" w:color="auto"/>
        <w:right w:val="none" w:sz="0" w:space="0" w:color="auto"/>
      </w:divBdr>
    </w:div>
    <w:div w:id="1753161344">
      <w:bodyDiv w:val="1"/>
      <w:marLeft w:val="0"/>
      <w:marRight w:val="0"/>
      <w:marTop w:val="0"/>
      <w:marBottom w:val="0"/>
      <w:divBdr>
        <w:top w:val="none" w:sz="0" w:space="0" w:color="auto"/>
        <w:left w:val="none" w:sz="0" w:space="0" w:color="auto"/>
        <w:bottom w:val="none" w:sz="0" w:space="0" w:color="auto"/>
        <w:right w:val="none" w:sz="0" w:space="0" w:color="auto"/>
      </w:divBdr>
    </w:div>
    <w:div w:id="1756390633">
      <w:bodyDiv w:val="1"/>
      <w:marLeft w:val="0"/>
      <w:marRight w:val="0"/>
      <w:marTop w:val="0"/>
      <w:marBottom w:val="0"/>
      <w:divBdr>
        <w:top w:val="none" w:sz="0" w:space="0" w:color="auto"/>
        <w:left w:val="none" w:sz="0" w:space="0" w:color="auto"/>
        <w:bottom w:val="none" w:sz="0" w:space="0" w:color="auto"/>
        <w:right w:val="none" w:sz="0" w:space="0" w:color="auto"/>
      </w:divBdr>
    </w:div>
    <w:div w:id="1762873651">
      <w:bodyDiv w:val="1"/>
      <w:marLeft w:val="0"/>
      <w:marRight w:val="0"/>
      <w:marTop w:val="0"/>
      <w:marBottom w:val="0"/>
      <w:divBdr>
        <w:top w:val="none" w:sz="0" w:space="0" w:color="auto"/>
        <w:left w:val="none" w:sz="0" w:space="0" w:color="auto"/>
        <w:bottom w:val="none" w:sz="0" w:space="0" w:color="auto"/>
        <w:right w:val="none" w:sz="0" w:space="0" w:color="auto"/>
      </w:divBdr>
      <w:divsChild>
        <w:div w:id="314846237">
          <w:marLeft w:val="720"/>
          <w:marRight w:val="0"/>
          <w:marTop w:val="0"/>
          <w:marBottom w:val="0"/>
          <w:divBdr>
            <w:top w:val="none" w:sz="0" w:space="0" w:color="auto"/>
            <w:left w:val="none" w:sz="0" w:space="0" w:color="auto"/>
            <w:bottom w:val="none" w:sz="0" w:space="0" w:color="auto"/>
            <w:right w:val="none" w:sz="0" w:space="0" w:color="auto"/>
          </w:divBdr>
        </w:div>
        <w:div w:id="1730496663">
          <w:marLeft w:val="720"/>
          <w:marRight w:val="0"/>
          <w:marTop w:val="0"/>
          <w:marBottom w:val="0"/>
          <w:divBdr>
            <w:top w:val="none" w:sz="0" w:space="0" w:color="auto"/>
            <w:left w:val="none" w:sz="0" w:space="0" w:color="auto"/>
            <w:bottom w:val="none" w:sz="0" w:space="0" w:color="auto"/>
            <w:right w:val="none" w:sz="0" w:space="0" w:color="auto"/>
          </w:divBdr>
        </w:div>
      </w:divsChild>
    </w:div>
    <w:div w:id="1766488539">
      <w:bodyDiv w:val="1"/>
      <w:marLeft w:val="0"/>
      <w:marRight w:val="0"/>
      <w:marTop w:val="0"/>
      <w:marBottom w:val="0"/>
      <w:divBdr>
        <w:top w:val="none" w:sz="0" w:space="0" w:color="auto"/>
        <w:left w:val="none" w:sz="0" w:space="0" w:color="auto"/>
        <w:bottom w:val="none" w:sz="0" w:space="0" w:color="auto"/>
        <w:right w:val="none" w:sz="0" w:space="0" w:color="auto"/>
      </w:divBdr>
    </w:div>
    <w:div w:id="1773083128">
      <w:bodyDiv w:val="1"/>
      <w:marLeft w:val="0"/>
      <w:marRight w:val="0"/>
      <w:marTop w:val="0"/>
      <w:marBottom w:val="0"/>
      <w:divBdr>
        <w:top w:val="none" w:sz="0" w:space="0" w:color="auto"/>
        <w:left w:val="none" w:sz="0" w:space="0" w:color="auto"/>
        <w:bottom w:val="none" w:sz="0" w:space="0" w:color="auto"/>
        <w:right w:val="none" w:sz="0" w:space="0" w:color="auto"/>
      </w:divBdr>
    </w:div>
    <w:div w:id="1778938058">
      <w:bodyDiv w:val="1"/>
      <w:marLeft w:val="0"/>
      <w:marRight w:val="0"/>
      <w:marTop w:val="0"/>
      <w:marBottom w:val="0"/>
      <w:divBdr>
        <w:top w:val="none" w:sz="0" w:space="0" w:color="auto"/>
        <w:left w:val="none" w:sz="0" w:space="0" w:color="auto"/>
        <w:bottom w:val="none" w:sz="0" w:space="0" w:color="auto"/>
        <w:right w:val="none" w:sz="0" w:space="0" w:color="auto"/>
      </w:divBdr>
    </w:div>
    <w:div w:id="1781099945">
      <w:bodyDiv w:val="1"/>
      <w:marLeft w:val="0"/>
      <w:marRight w:val="0"/>
      <w:marTop w:val="0"/>
      <w:marBottom w:val="0"/>
      <w:divBdr>
        <w:top w:val="none" w:sz="0" w:space="0" w:color="auto"/>
        <w:left w:val="none" w:sz="0" w:space="0" w:color="auto"/>
        <w:bottom w:val="none" w:sz="0" w:space="0" w:color="auto"/>
        <w:right w:val="none" w:sz="0" w:space="0" w:color="auto"/>
      </w:divBdr>
    </w:div>
    <w:div w:id="1781103579">
      <w:bodyDiv w:val="1"/>
      <w:marLeft w:val="0"/>
      <w:marRight w:val="0"/>
      <w:marTop w:val="0"/>
      <w:marBottom w:val="0"/>
      <w:divBdr>
        <w:top w:val="none" w:sz="0" w:space="0" w:color="auto"/>
        <w:left w:val="none" w:sz="0" w:space="0" w:color="auto"/>
        <w:bottom w:val="none" w:sz="0" w:space="0" w:color="auto"/>
        <w:right w:val="none" w:sz="0" w:space="0" w:color="auto"/>
      </w:divBdr>
    </w:div>
    <w:div w:id="1784109949">
      <w:bodyDiv w:val="1"/>
      <w:marLeft w:val="0"/>
      <w:marRight w:val="0"/>
      <w:marTop w:val="0"/>
      <w:marBottom w:val="0"/>
      <w:divBdr>
        <w:top w:val="none" w:sz="0" w:space="0" w:color="auto"/>
        <w:left w:val="none" w:sz="0" w:space="0" w:color="auto"/>
        <w:bottom w:val="none" w:sz="0" w:space="0" w:color="auto"/>
        <w:right w:val="none" w:sz="0" w:space="0" w:color="auto"/>
      </w:divBdr>
    </w:div>
    <w:div w:id="1784956582">
      <w:bodyDiv w:val="1"/>
      <w:marLeft w:val="0"/>
      <w:marRight w:val="0"/>
      <w:marTop w:val="0"/>
      <w:marBottom w:val="0"/>
      <w:divBdr>
        <w:top w:val="none" w:sz="0" w:space="0" w:color="auto"/>
        <w:left w:val="none" w:sz="0" w:space="0" w:color="auto"/>
        <w:bottom w:val="none" w:sz="0" w:space="0" w:color="auto"/>
        <w:right w:val="none" w:sz="0" w:space="0" w:color="auto"/>
      </w:divBdr>
    </w:div>
    <w:div w:id="1785341910">
      <w:bodyDiv w:val="1"/>
      <w:marLeft w:val="0"/>
      <w:marRight w:val="0"/>
      <w:marTop w:val="0"/>
      <w:marBottom w:val="0"/>
      <w:divBdr>
        <w:top w:val="none" w:sz="0" w:space="0" w:color="auto"/>
        <w:left w:val="none" w:sz="0" w:space="0" w:color="auto"/>
        <w:bottom w:val="none" w:sz="0" w:space="0" w:color="auto"/>
        <w:right w:val="none" w:sz="0" w:space="0" w:color="auto"/>
      </w:divBdr>
    </w:div>
    <w:div w:id="1786927652">
      <w:bodyDiv w:val="1"/>
      <w:marLeft w:val="0"/>
      <w:marRight w:val="0"/>
      <w:marTop w:val="0"/>
      <w:marBottom w:val="0"/>
      <w:divBdr>
        <w:top w:val="none" w:sz="0" w:space="0" w:color="auto"/>
        <w:left w:val="none" w:sz="0" w:space="0" w:color="auto"/>
        <w:bottom w:val="none" w:sz="0" w:space="0" w:color="auto"/>
        <w:right w:val="none" w:sz="0" w:space="0" w:color="auto"/>
      </w:divBdr>
    </w:div>
    <w:div w:id="1790902314">
      <w:bodyDiv w:val="1"/>
      <w:marLeft w:val="0"/>
      <w:marRight w:val="0"/>
      <w:marTop w:val="0"/>
      <w:marBottom w:val="0"/>
      <w:divBdr>
        <w:top w:val="none" w:sz="0" w:space="0" w:color="auto"/>
        <w:left w:val="none" w:sz="0" w:space="0" w:color="auto"/>
        <w:bottom w:val="none" w:sz="0" w:space="0" w:color="auto"/>
        <w:right w:val="none" w:sz="0" w:space="0" w:color="auto"/>
      </w:divBdr>
    </w:div>
    <w:div w:id="1798647413">
      <w:bodyDiv w:val="1"/>
      <w:marLeft w:val="0"/>
      <w:marRight w:val="0"/>
      <w:marTop w:val="0"/>
      <w:marBottom w:val="0"/>
      <w:divBdr>
        <w:top w:val="none" w:sz="0" w:space="0" w:color="auto"/>
        <w:left w:val="none" w:sz="0" w:space="0" w:color="auto"/>
        <w:bottom w:val="none" w:sz="0" w:space="0" w:color="auto"/>
        <w:right w:val="none" w:sz="0" w:space="0" w:color="auto"/>
      </w:divBdr>
    </w:div>
    <w:div w:id="1808621266">
      <w:bodyDiv w:val="1"/>
      <w:marLeft w:val="0"/>
      <w:marRight w:val="0"/>
      <w:marTop w:val="0"/>
      <w:marBottom w:val="0"/>
      <w:divBdr>
        <w:top w:val="none" w:sz="0" w:space="0" w:color="auto"/>
        <w:left w:val="none" w:sz="0" w:space="0" w:color="auto"/>
        <w:bottom w:val="none" w:sz="0" w:space="0" w:color="auto"/>
        <w:right w:val="none" w:sz="0" w:space="0" w:color="auto"/>
      </w:divBdr>
    </w:div>
    <w:div w:id="1813404192">
      <w:bodyDiv w:val="1"/>
      <w:marLeft w:val="0"/>
      <w:marRight w:val="0"/>
      <w:marTop w:val="0"/>
      <w:marBottom w:val="0"/>
      <w:divBdr>
        <w:top w:val="none" w:sz="0" w:space="0" w:color="auto"/>
        <w:left w:val="none" w:sz="0" w:space="0" w:color="auto"/>
        <w:bottom w:val="none" w:sz="0" w:space="0" w:color="auto"/>
        <w:right w:val="none" w:sz="0" w:space="0" w:color="auto"/>
      </w:divBdr>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
    <w:div w:id="1818188162">
      <w:bodyDiv w:val="1"/>
      <w:marLeft w:val="0"/>
      <w:marRight w:val="0"/>
      <w:marTop w:val="0"/>
      <w:marBottom w:val="0"/>
      <w:divBdr>
        <w:top w:val="none" w:sz="0" w:space="0" w:color="auto"/>
        <w:left w:val="none" w:sz="0" w:space="0" w:color="auto"/>
        <w:bottom w:val="none" w:sz="0" w:space="0" w:color="auto"/>
        <w:right w:val="none" w:sz="0" w:space="0" w:color="auto"/>
      </w:divBdr>
      <w:divsChild>
        <w:div w:id="422385778">
          <w:marLeft w:val="720"/>
          <w:marRight w:val="0"/>
          <w:marTop w:val="0"/>
          <w:marBottom w:val="0"/>
          <w:divBdr>
            <w:top w:val="none" w:sz="0" w:space="0" w:color="auto"/>
            <w:left w:val="none" w:sz="0" w:space="0" w:color="auto"/>
            <w:bottom w:val="none" w:sz="0" w:space="0" w:color="auto"/>
            <w:right w:val="none" w:sz="0" w:space="0" w:color="auto"/>
          </w:divBdr>
        </w:div>
      </w:divsChild>
    </w:div>
    <w:div w:id="1819298008">
      <w:bodyDiv w:val="1"/>
      <w:marLeft w:val="0"/>
      <w:marRight w:val="0"/>
      <w:marTop w:val="0"/>
      <w:marBottom w:val="0"/>
      <w:divBdr>
        <w:top w:val="none" w:sz="0" w:space="0" w:color="auto"/>
        <w:left w:val="none" w:sz="0" w:space="0" w:color="auto"/>
        <w:bottom w:val="none" w:sz="0" w:space="0" w:color="auto"/>
        <w:right w:val="none" w:sz="0" w:space="0" w:color="auto"/>
      </w:divBdr>
      <w:divsChild>
        <w:div w:id="125976569">
          <w:marLeft w:val="840"/>
          <w:marRight w:val="0"/>
          <w:marTop w:val="0"/>
          <w:marBottom w:val="0"/>
          <w:divBdr>
            <w:top w:val="none" w:sz="0" w:space="0" w:color="auto"/>
            <w:left w:val="none" w:sz="0" w:space="0" w:color="auto"/>
            <w:bottom w:val="none" w:sz="0" w:space="0" w:color="auto"/>
            <w:right w:val="none" w:sz="0" w:space="0" w:color="auto"/>
          </w:divBdr>
        </w:div>
        <w:div w:id="231157222">
          <w:marLeft w:val="840"/>
          <w:marRight w:val="0"/>
          <w:marTop w:val="0"/>
          <w:marBottom w:val="0"/>
          <w:divBdr>
            <w:top w:val="none" w:sz="0" w:space="0" w:color="auto"/>
            <w:left w:val="none" w:sz="0" w:space="0" w:color="auto"/>
            <w:bottom w:val="none" w:sz="0" w:space="0" w:color="auto"/>
            <w:right w:val="none" w:sz="0" w:space="0" w:color="auto"/>
          </w:divBdr>
        </w:div>
        <w:div w:id="274757491">
          <w:marLeft w:val="840"/>
          <w:marRight w:val="0"/>
          <w:marTop w:val="0"/>
          <w:marBottom w:val="0"/>
          <w:divBdr>
            <w:top w:val="none" w:sz="0" w:space="0" w:color="auto"/>
            <w:left w:val="none" w:sz="0" w:space="0" w:color="auto"/>
            <w:bottom w:val="none" w:sz="0" w:space="0" w:color="auto"/>
            <w:right w:val="none" w:sz="0" w:space="0" w:color="auto"/>
          </w:divBdr>
        </w:div>
        <w:div w:id="416556976">
          <w:marLeft w:val="840"/>
          <w:marRight w:val="0"/>
          <w:marTop w:val="0"/>
          <w:marBottom w:val="0"/>
          <w:divBdr>
            <w:top w:val="none" w:sz="0" w:space="0" w:color="auto"/>
            <w:left w:val="none" w:sz="0" w:space="0" w:color="auto"/>
            <w:bottom w:val="none" w:sz="0" w:space="0" w:color="auto"/>
            <w:right w:val="none" w:sz="0" w:space="0" w:color="auto"/>
          </w:divBdr>
        </w:div>
        <w:div w:id="442068681">
          <w:marLeft w:val="840"/>
          <w:marRight w:val="0"/>
          <w:marTop w:val="0"/>
          <w:marBottom w:val="0"/>
          <w:divBdr>
            <w:top w:val="none" w:sz="0" w:space="0" w:color="auto"/>
            <w:left w:val="none" w:sz="0" w:space="0" w:color="auto"/>
            <w:bottom w:val="none" w:sz="0" w:space="0" w:color="auto"/>
            <w:right w:val="none" w:sz="0" w:space="0" w:color="auto"/>
          </w:divBdr>
        </w:div>
        <w:div w:id="476915982">
          <w:marLeft w:val="840"/>
          <w:marRight w:val="0"/>
          <w:marTop w:val="0"/>
          <w:marBottom w:val="0"/>
          <w:divBdr>
            <w:top w:val="none" w:sz="0" w:space="0" w:color="auto"/>
            <w:left w:val="none" w:sz="0" w:space="0" w:color="auto"/>
            <w:bottom w:val="none" w:sz="0" w:space="0" w:color="auto"/>
            <w:right w:val="none" w:sz="0" w:space="0" w:color="auto"/>
          </w:divBdr>
        </w:div>
        <w:div w:id="494958556">
          <w:marLeft w:val="840"/>
          <w:marRight w:val="0"/>
          <w:marTop w:val="0"/>
          <w:marBottom w:val="0"/>
          <w:divBdr>
            <w:top w:val="none" w:sz="0" w:space="0" w:color="auto"/>
            <w:left w:val="none" w:sz="0" w:space="0" w:color="auto"/>
            <w:bottom w:val="none" w:sz="0" w:space="0" w:color="auto"/>
            <w:right w:val="none" w:sz="0" w:space="0" w:color="auto"/>
          </w:divBdr>
        </w:div>
        <w:div w:id="514928829">
          <w:marLeft w:val="840"/>
          <w:marRight w:val="0"/>
          <w:marTop w:val="0"/>
          <w:marBottom w:val="0"/>
          <w:divBdr>
            <w:top w:val="none" w:sz="0" w:space="0" w:color="auto"/>
            <w:left w:val="none" w:sz="0" w:space="0" w:color="auto"/>
            <w:bottom w:val="none" w:sz="0" w:space="0" w:color="auto"/>
            <w:right w:val="none" w:sz="0" w:space="0" w:color="auto"/>
          </w:divBdr>
        </w:div>
        <w:div w:id="740176062">
          <w:marLeft w:val="840"/>
          <w:marRight w:val="0"/>
          <w:marTop w:val="0"/>
          <w:marBottom w:val="0"/>
          <w:divBdr>
            <w:top w:val="none" w:sz="0" w:space="0" w:color="auto"/>
            <w:left w:val="none" w:sz="0" w:space="0" w:color="auto"/>
            <w:bottom w:val="none" w:sz="0" w:space="0" w:color="auto"/>
            <w:right w:val="none" w:sz="0" w:space="0" w:color="auto"/>
          </w:divBdr>
        </w:div>
        <w:div w:id="913441793">
          <w:marLeft w:val="840"/>
          <w:marRight w:val="0"/>
          <w:marTop w:val="0"/>
          <w:marBottom w:val="0"/>
          <w:divBdr>
            <w:top w:val="none" w:sz="0" w:space="0" w:color="auto"/>
            <w:left w:val="none" w:sz="0" w:space="0" w:color="auto"/>
            <w:bottom w:val="none" w:sz="0" w:space="0" w:color="auto"/>
            <w:right w:val="none" w:sz="0" w:space="0" w:color="auto"/>
          </w:divBdr>
        </w:div>
        <w:div w:id="914629152">
          <w:marLeft w:val="840"/>
          <w:marRight w:val="0"/>
          <w:marTop w:val="0"/>
          <w:marBottom w:val="0"/>
          <w:divBdr>
            <w:top w:val="none" w:sz="0" w:space="0" w:color="auto"/>
            <w:left w:val="none" w:sz="0" w:space="0" w:color="auto"/>
            <w:bottom w:val="none" w:sz="0" w:space="0" w:color="auto"/>
            <w:right w:val="none" w:sz="0" w:space="0" w:color="auto"/>
          </w:divBdr>
        </w:div>
        <w:div w:id="954941612">
          <w:marLeft w:val="840"/>
          <w:marRight w:val="0"/>
          <w:marTop w:val="0"/>
          <w:marBottom w:val="0"/>
          <w:divBdr>
            <w:top w:val="none" w:sz="0" w:space="0" w:color="auto"/>
            <w:left w:val="none" w:sz="0" w:space="0" w:color="auto"/>
            <w:bottom w:val="none" w:sz="0" w:space="0" w:color="auto"/>
            <w:right w:val="none" w:sz="0" w:space="0" w:color="auto"/>
          </w:divBdr>
        </w:div>
        <w:div w:id="1034189110">
          <w:marLeft w:val="840"/>
          <w:marRight w:val="0"/>
          <w:marTop w:val="0"/>
          <w:marBottom w:val="0"/>
          <w:divBdr>
            <w:top w:val="none" w:sz="0" w:space="0" w:color="auto"/>
            <w:left w:val="none" w:sz="0" w:space="0" w:color="auto"/>
            <w:bottom w:val="none" w:sz="0" w:space="0" w:color="auto"/>
            <w:right w:val="none" w:sz="0" w:space="0" w:color="auto"/>
          </w:divBdr>
        </w:div>
        <w:div w:id="1281649620">
          <w:marLeft w:val="840"/>
          <w:marRight w:val="0"/>
          <w:marTop w:val="0"/>
          <w:marBottom w:val="0"/>
          <w:divBdr>
            <w:top w:val="none" w:sz="0" w:space="0" w:color="auto"/>
            <w:left w:val="none" w:sz="0" w:space="0" w:color="auto"/>
            <w:bottom w:val="none" w:sz="0" w:space="0" w:color="auto"/>
            <w:right w:val="none" w:sz="0" w:space="0" w:color="auto"/>
          </w:divBdr>
        </w:div>
        <w:div w:id="1397897012">
          <w:marLeft w:val="840"/>
          <w:marRight w:val="0"/>
          <w:marTop w:val="0"/>
          <w:marBottom w:val="0"/>
          <w:divBdr>
            <w:top w:val="none" w:sz="0" w:space="0" w:color="auto"/>
            <w:left w:val="none" w:sz="0" w:space="0" w:color="auto"/>
            <w:bottom w:val="none" w:sz="0" w:space="0" w:color="auto"/>
            <w:right w:val="none" w:sz="0" w:space="0" w:color="auto"/>
          </w:divBdr>
        </w:div>
        <w:div w:id="1547991196">
          <w:marLeft w:val="840"/>
          <w:marRight w:val="0"/>
          <w:marTop w:val="0"/>
          <w:marBottom w:val="0"/>
          <w:divBdr>
            <w:top w:val="none" w:sz="0" w:space="0" w:color="auto"/>
            <w:left w:val="none" w:sz="0" w:space="0" w:color="auto"/>
            <w:bottom w:val="none" w:sz="0" w:space="0" w:color="auto"/>
            <w:right w:val="none" w:sz="0" w:space="0" w:color="auto"/>
          </w:divBdr>
        </w:div>
        <w:div w:id="1681270787">
          <w:marLeft w:val="840"/>
          <w:marRight w:val="0"/>
          <w:marTop w:val="0"/>
          <w:marBottom w:val="0"/>
          <w:divBdr>
            <w:top w:val="none" w:sz="0" w:space="0" w:color="auto"/>
            <w:left w:val="none" w:sz="0" w:space="0" w:color="auto"/>
            <w:bottom w:val="none" w:sz="0" w:space="0" w:color="auto"/>
            <w:right w:val="none" w:sz="0" w:space="0" w:color="auto"/>
          </w:divBdr>
        </w:div>
        <w:div w:id="1883203003">
          <w:marLeft w:val="840"/>
          <w:marRight w:val="0"/>
          <w:marTop w:val="0"/>
          <w:marBottom w:val="0"/>
          <w:divBdr>
            <w:top w:val="none" w:sz="0" w:space="0" w:color="auto"/>
            <w:left w:val="none" w:sz="0" w:space="0" w:color="auto"/>
            <w:bottom w:val="none" w:sz="0" w:space="0" w:color="auto"/>
            <w:right w:val="none" w:sz="0" w:space="0" w:color="auto"/>
          </w:divBdr>
        </w:div>
      </w:divsChild>
    </w:div>
    <w:div w:id="1827237602">
      <w:bodyDiv w:val="1"/>
      <w:marLeft w:val="0"/>
      <w:marRight w:val="0"/>
      <w:marTop w:val="0"/>
      <w:marBottom w:val="0"/>
      <w:divBdr>
        <w:top w:val="none" w:sz="0" w:space="0" w:color="auto"/>
        <w:left w:val="none" w:sz="0" w:space="0" w:color="auto"/>
        <w:bottom w:val="none" w:sz="0" w:space="0" w:color="auto"/>
        <w:right w:val="none" w:sz="0" w:space="0" w:color="auto"/>
      </w:divBdr>
    </w:div>
    <w:div w:id="1833183083">
      <w:bodyDiv w:val="1"/>
      <w:marLeft w:val="0"/>
      <w:marRight w:val="0"/>
      <w:marTop w:val="0"/>
      <w:marBottom w:val="0"/>
      <w:divBdr>
        <w:top w:val="none" w:sz="0" w:space="0" w:color="auto"/>
        <w:left w:val="none" w:sz="0" w:space="0" w:color="auto"/>
        <w:bottom w:val="none" w:sz="0" w:space="0" w:color="auto"/>
        <w:right w:val="none" w:sz="0" w:space="0" w:color="auto"/>
      </w:divBdr>
    </w:div>
    <w:div w:id="1837652104">
      <w:bodyDiv w:val="1"/>
      <w:marLeft w:val="0"/>
      <w:marRight w:val="0"/>
      <w:marTop w:val="0"/>
      <w:marBottom w:val="0"/>
      <w:divBdr>
        <w:top w:val="none" w:sz="0" w:space="0" w:color="auto"/>
        <w:left w:val="none" w:sz="0" w:space="0" w:color="auto"/>
        <w:bottom w:val="none" w:sz="0" w:space="0" w:color="auto"/>
        <w:right w:val="none" w:sz="0" w:space="0" w:color="auto"/>
      </w:divBdr>
    </w:div>
    <w:div w:id="1843739178">
      <w:bodyDiv w:val="1"/>
      <w:marLeft w:val="0"/>
      <w:marRight w:val="0"/>
      <w:marTop w:val="0"/>
      <w:marBottom w:val="0"/>
      <w:divBdr>
        <w:top w:val="none" w:sz="0" w:space="0" w:color="auto"/>
        <w:left w:val="none" w:sz="0" w:space="0" w:color="auto"/>
        <w:bottom w:val="none" w:sz="0" w:space="0" w:color="auto"/>
        <w:right w:val="none" w:sz="0" w:space="0" w:color="auto"/>
      </w:divBdr>
    </w:div>
    <w:div w:id="1843857852">
      <w:bodyDiv w:val="1"/>
      <w:marLeft w:val="0"/>
      <w:marRight w:val="0"/>
      <w:marTop w:val="0"/>
      <w:marBottom w:val="0"/>
      <w:divBdr>
        <w:top w:val="none" w:sz="0" w:space="0" w:color="auto"/>
        <w:left w:val="none" w:sz="0" w:space="0" w:color="auto"/>
        <w:bottom w:val="none" w:sz="0" w:space="0" w:color="auto"/>
        <w:right w:val="none" w:sz="0" w:space="0" w:color="auto"/>
      </w:divBdr>
    </w:div>
    <w:div w:id="1845389980">
      <w:bodyDiv w:val="1"/>
      <w:marLeft w:val="0"/>
      <w:marRight w:val="0"/>
      <w:marTop w:val="0"/>
      <w:marBottom w:val="0"/>
      <w:divBdr>
        <w:top w:val="none" w:sz="0" w:space="0" w:color="auto"/>
        <w:left w:val="none" w:sz="0" w:space="0" w:color="auto"/>
        <w:bottom w:val="none" w:sz="0" w:space="0" w:color="auto"/>
        <w:right w:val="none" w:sz="0" w:space="0" w:color="auto"/>
      </w:divBdr>
      <w:divsChild>
        <w:div w:id="1782027">
          <w:marLeft w:val="720"/>
          <w:marRight w:val="0"/>
          <w:marTop w:val="0"/>
          <w:marBottom w:val="0"/>
          <w:divBdr>
            <w:top w:val="none" w:sz="0" w:space="0" w:color="auto"/>
            <w:left w:val="none" w:sz="0" w:space="0" w:color="auto"/>
            <w:bottom w:val="none" w:sz="0" w:space="0" w:color="auto"/>
            <w:right w:val="none" w:sz="0" w:space="0" w:color="auto"/>
          </w:divBdr>
        </w:div>
        <w:div w:id="402025780">
          <w:marLeft w:val="720"/>
          <w:marRight w:val="0"/>
          <w:marTop w:val="0"/>
          <w:marBottom w:val="0"/>
          <w:divBdr>
            <w:top w:val="none" w:sz="0" w:space="0" w:color="auto"/>
            <w:left w:val="none" w:sz="0" w:space="0" w:color="auto"/>
            <w:bottom w:val="none" w:sz="0" w:space="0" w:color="auto"/>
            <w:right w:val="none" w:sz="0" w:space="0" w:color="auto"/>
          </w:divBdr>
        </w:div>
        <w:div w:id="924605119">
          <w:marLeft w:val="720"/>
          <w:marRight w:val="0"/>
          <w:marTop w:val="0"/>
          <w:marBottom w:val="0"/>
          <w:divBdr>
            <w:top w:val="none" w:sz="0" w:space="0" w:color="auto"/>
            <w:left w:val="none" w:sz="0" w:space="0" w:color="auto"/>
            <w:bottom w:val="none" w:sz="0" w:space="0" w:color="auto"/>
            <w:right w:val="none" w:sz="0" w:space="0" w:color="auto"/>
          </w:divBdr>
        </w:div>
        <w:div w:id="1160391818">
          <w:marLeft w:val="720"/>
          <w:marRight w:val="0"/>
          <w:marTop w:val="0"/>
          <w:marBottom w:val="0"/>
          <w:divBdr>
            <w:top w:val="none" w:sz="0" w:space="0" w:color="auto"/>
            <w:left w:val="none" w:sz="0" w:space="0" w:color="auto"/>
            <w:bottom w:val="none" w:sz="0" w:space="0" w:color="auto"/>
            <w:right w:val="none" w:sz="0" w:space="0" w:color="auto"/>
          </w:divBdr>
        </w:div>
        <w:div w:id="2018653012">
          <w:marLeft w:val="720"/>
          <w:marRight w:val="0"/>
          <w:marTop w:val="0"/>
          <w:marBottom w:val="0"/>
          <w:divBdr>
            <w:top w:val="none" w:sz="0" w:space="0" w:color="auto"/>
            <w:left w:val="none" w:sz="0" w:space="0" w:color="auto"/>
            <w:bottom w:val="none" w:sz="0" w:space="0" w:color="auto"/>
            <w:right w:val="none" w:sz="0" w:space="0" w:color="auto"/>
          </w:divBdr>
        </w:div>
      </w:divsChild>
    </w:div>
    <w:div w:id="1845827162">
      <w:bodyDiv w:val="1"/>
      <w:marLeft w:val="0"/>
      <w:marRight w:val="0"/>
      <w:marTop w:val="0"/>
      <w:marBottom w:val="0"/>
      <w:divBdr>
        <w:top w:val="none" w:sz="0" w:space="0" w:color="auto"/>
        <w:left w:val="none" w:sz="0" w:space="0" w:color="auto"/>
        <w:bottom w:val="none" w:sz="0" w:space="0" w:color="auto"/>
        <w:right w:val="none" w:sz="0" w:space="0" w:color="auto"/>
      </w:divBdr>
    </w:div>
    <w:div w:id="1845853477">
      <w:bodyDiv w:val="1"/>
      <w:marLeft w:val="0"/>
      <w:marRight w:val="0"/>
      <w:marTop w:val="0"/>
      <w:marBottom w:val="0"/>
      <w:divBdr>
        <w:top w:val="none" w:sz="0" w:space="0" w:color="auto"/>
        <w:left w:val="none" w:sz="0" w:space="0" w:color="auto"/>
        <w:bottom w:val="none" w:sz="0" w:space="0" w:color="auto"/>
        <w:right w:val="none" w:sz="0" w:space="0" w:color="auto"/>
      </w:divBdr>
    </w:div>
    <w:div w:id="1848060859">
      <w:bodyDiv w:val="1"/>
      <w:marLeft w:val="0"/>
      <w:marRight w:val="0"/>
      <w:marTop w:val="0"/>
      <w:marBottom w:val="0"/>
      <w:divBdr>
        <w:top w:val="none" w:sz="0" w:space="0" w:color="auto"/>
        <w:left w:val="none" w:sz="0" w:space="0" w:color="auto"/>
        <w:bottom w:val="none" w:sz="0" w:space="0" w:color="auto"/>
        <w:right w:val="none" w:sz="0" w:space="0" w:color="auto"/>
      </w:divBdr>
    </w:div>
    <w:div w:id="1849102096">
      <w:bodyDiv w:val="1"/>
      <w:marLeft w:val="0"/>
      <w:marRight w:val="0"/>
      <w:marTop w:val="0"/>
      <w:marBottom w:val="0"/>
      <w:divBdr>
        <w:top w:val="none" w:sz="0" w:space="0" w:color="auto"/>
        <w:left w:val="none" w:sz="0" w:space="0" w:color="auto"/>
        <w:bottom w:val="none" w:sz="0" w:space="0" w:color="auto"/>
        <w:right w:val="none" w:sz="0" w:space="0" w:color="auto"/>
      </w:divBdr>
    </w:div>
    <w:div w:id="1854028594">
      <w:bodyDiv w:val="1"/>
      <w:marLeft w:val="0"/>
      <w:marRight w:val="0"/>
      <w:marTop w:val="0"/>
      <w:marBottom w:val="0"/>
      <w:divBdr>
        <w:top w:val="none" w:sz="0" w:space="0" w:color="auto"/>
        <w:left w:val="none" w:sz="0" w:space="0" w:color="auto"/>
        <w:bottom w:val="none" w:sz="0" w:space="0" w:color="auto"/>
        <w:right w:val="none" w:sz="0" w:space="0" w:color="auto"/>
      </w:divBdr>
    </w:div>
    <w:div w:id="1855998801">
      <w:bodyDiv w:val="1"/>
      <w:marLeft w:val="0"/>
      <w:marRight w:val="0"/>
      <w:marTop w:val="0"/>
      <w:marBottom w:val="0"/>
      <w:divBdr>
        <w:top w:val="none" w:sz="0" w:space="0" w:color="auto"/>
        <w:left w:val="none" w:sz="0" w:space="0" w:color="auto"/>
        <w:bottom w:val="none" w:sz="0" w:space="0" w:color="auto"/>
        <w:right w:val="none" w:sz="0" w:space="0" w:color="auto"/>
      </w:divBdr>
    </w:div>
    <w:div w:id="1866825411">
      <w:bodyDiv w:val="1"/>
      <w:marLeft w:val="0"/>
      <w:marRight w:val="0"/>
      <w:marTop w:val="0"/>
      <w:marBottom w:val="0"/>
      <w:divBdr>
        <w:top w:val="none" w:sz="0" w:space="0" w:color="auto"/>
        <w:left w:val="none" w:sz="0" w:space="0" w:color="auto"/>
        <w:bottom w:val="none" w:sz="0" w:space="0" w:color="auto"/>
        <w:right w:val="none" w:sz="0" w:space="0" w:color="auto"/>
      </w:divBdr>
    </w:div>
    <w:div w:id="1868523536">
      <w:bodyDiv w:val="1"/>
      <w:marLeft w:val="0"/>
      <w:marRight w:val="0"/>
      <w:marTop w:val="0"/>
      <w:marBottom w:val="0"/>
      <w:divBdr>
        <w:top w:val="none" w:sz="0" w:space="0" w:color="auto"/>
        <w:left w:val="none" w:sz="0" w:space="0" w:color="auto"/>
        <w:bottom w:val="none" w:sz="0" w:space="0" w:color="auto"/>
        <w:right w:val="none" w:sz="0" w:space="0" w:color="auto"/>
      </w:divBdr>
    </w:div>
    <w:div w:id="1875581492">
      <w:bodyDiv w:val="1"/>
      <w:marLeft w:val="0"/>
      <w:marRight w:val="0"/>
      <w:marTop w:val="0"/>
      <w:marBottom w:val="0"/>
      <w:divBdr>
        <w:top w:val="none" w:sz="0" w:space="0" w:color="auto"/>
        <w:left w:val="none" w:sz="0" w:space="0" w:color="auto"/>
        <w:bottom w:val="none" w:sz="0" w:space="0" w:color="auto"/>
        <w:right w:val="none" w:sz="0" w:space="0" w:color="auto"/>
      </w:divBdr>
    </w:div>
    <w:div w:id="1875649090">
      <w:bodyDiv w:val="1"/>
      <w:marLeft w:val="0"/>
      <w:marRight w:val="0"/>
      <w:marTop w:val="0"/>
      <w:marBottom w:val="0"/>
      <w:divBdr>
        <w:top w:val="none" w:sz="0" w:space="0" w:color="auto"/>
        <w:left w:val="none" w:sz="0" w:space="0" w:color="auto"/>
        <w:bottom w:val="none" w:sz="0" w:space="0" w:color="auto"/>
        <w:right w:val="none" w:sz="0" w:space="0" w:color="auto"/>
      </w:divBdr>
    </w:div>
    <w:div w:id="1886603124">
      <w:bodyDiv w:val="1"/>
      <w:marLeft w:val="0"/>
      <w:marRight w:val="0"/>
      <w:marTop w:val="0"/>
      <w:marBottom w:val="0"/>
      <w:divBdr>
        <w:top w:val="none" w:sz="0" w:space="0" w:color="auto"/>
        <w:left w:val="none" w:sz="0" w:space="0" w:color="auto"/>
        <w:bottom w:val="none" w:sz="0" w:space="0" w:color="auto"/>
        <w:right w:val="none" w:sz="0" w:space="0" w:color="auto"/>
      </w:divBdr>
    </w:div>
    <w:div w:id="1893736520">
      <w:bodyDiv w:val="1"/>
      <w:marLeft w:val="0"/>
      <w:marRight w:val="0"/>
      <w:marTop w:val="0"/>
      <w:marBottom w:val="0"/>
      <w:divBdr>
        <w:top w:val="none" w:sz="0" w:space="0" w:color="auto"/>
        <w:left w:val="none" w:sz="0" w:space="0" w:color="auto"/>
        <w:bottom w:val="none" w:sz="0" w:space="0" w:color="auto"/>
        <w:right w:val="none" w:sz="0" w:space="0" w:color="auto"/>
      </w:divBdr>
    </w:div>
    <w:div w:id="1900940206">
      <w:bodyDiv w:val="1"/>
      <w:marLeft w:val="0"/>
      <w:marRight w:val="0"/>
      <w:marTop w:val="0"/>
      <w:marBottom w:val="0"/>
      <w:divBdr>
        <w:top w:val="none" w:sz="0" w:space="0" w:color="auto"/>
        <w:left w:val="none" w:sz="0" w:space="0" w:color="auto"/>
        <w:bottom w:val="none" w:sz="0" w:space="0" w:color="auto"/>
        <w:right w:val="none" w:sz="0" w:space="0" w:color="auto"/>
      </w:divBdr>
    </w:div>
    <w:div w:id="1901748232">
      <w:bodyDiv w:val="1"/>
      <w:marLeft w:val="0"/>
      <w:marRight w:val="0"/>
      <w:marTop w:val="0"/>
      <w:marBottom w:val="0"/>
      <w:divBdr>
        <w:top w:val="none" w:sz="0" w:space="0" w:color="auto"/>
        <w:left w:val="none" w:sz="0" w:space="0" w:color="auto"/>
        <w:bottom w:val="none" w:sz="0" w:space="0" w:color="auto"/>
        <w:right w:val="none" w:sz="0" w:space="0" w:color="auto"/>
      </w:divBdr>
    </w:div>
    <w:div w:id="1906333160">
      <w:bodyDiv w:val="1"/>
      <w:marLeft w:val="0"/>
      <w:marRight w:val="0"/>
      <w:marTop w:val="0"/>
      <w:marBottom w:val="0"/>
      <w:divBdr>
        <w:top w:val="none" w:sz="0" w:space="0" w:color="auto"/>
        <w:left w:val="none" w:sz="0" w:space="0" w:color="auto"/>
        <w:bottom w:val="none" w:sz="0" w:space="0" w:color="auto"/>
        <w:right w:val="none" w:sz="0" w:space="0" w:color="auto"/>
      </w:divBdr>
    </w:div>
    <w:div w:id="1906605072">
      <w:bodyDiv w:val="1"/>
      <w:marLeft w:val="0"/>
      <w:marRight w:val="0"/>
      <w:marTop w:val="0"/>
      <w:marBottom w:val="0"/>
      <w:divBdr>
        <w:top w:val="none" w:sz="0" w:space="0" w:color="auto"/>
        <w:left w:val="none" w:sz="0" w:space="0" w:color="auto"/>
        <w:bottom w:val="none" w:sz="0" w:space="0" w:color="auto"/>
        <w:right w:val="none" w:sz="0" w:space="0" w:color="auto"/>
      </w:divBdr>
    </w:div>
    <w:div w:id="1921871385">
      <w:bodyDiv w:val="1"/>
      <w:marLeft w:val="0"/>
      <w:marRight w:val="0"/>
      <w:marTop w:val="0"/>
      <w:marBottom w:val="0"/>
      <w:divBdr>
        <w:top w:val="none" w:sz="0" w:space="0" w:color="auto"/>
        <w:left w:val="none" w:sz="0" w:space="0" w:color="auto"/>
        <w:bottom w:val="none" w:sz="0" w:space="0" w:color="auto"/>
        <w:right w:val="none" w:sz="0" w:space="0" w:color="auto"/>
      </w:divBdr>
    </w:div>
    <w:div w:id="1923417697">
      <w:bodyDiv w:val="1"/>
      <w:marLeft w:val="0"/>
      <w:marRight w:val="0"/>
      <w:marTop w:val="0"/>
      <w:marBottom w:val="0"/>
      <w:divBdr>
        <w:top w:val="none" w:sz="0" w:space="0" w:color="auto"/>
        <w:left w:val="none" w:sz="0" w:space="0" w:color="auto"/>
        <w:bottom w:val="none" w:sz="0" w:space="0" w:color="auto"/>
        <w:right w:val="none" w:sz="0" w:space="0" w:color="auto"/>
      </w:divBdr>
    </w:div>
    <w:div w:id="1929191636">
      <w:bodyDiv w:val="1"/>
      <w:marLeft w:val="0"/>
      <w:marRight w:val="0"/>
      <w:marTop w:val="0"/>
      <w:marBottom w:val="0"/>
      <w:divBdr>
        <w:top w:val="none" w:sz="0" w:space="0" w:color="auto"/>
        <w:left w:val="none" w:sz="0" w:space="0" w:color="auto"/>
        <w:bottom w:val="none" w:sz="0" w:space="0" w:color="auto"/>
        <w:right w:val="none" w:sz="0" w:space="0" w:color="auto"/>
      </w:divBdr>
    </w:div>
    <w:div w:id="1933658014">
      <w:bodyDiv w:val="1"/>
      <w:marLeft w:val="0"/>
      <w:marRight w:val="0"/>
      <w:marTop w:val="0"/>
      <w:marBottom w:val="0"/>
      <w:divBdr>
        <w:top w:val="none" w:sz="0" w:space="0" w:color="auto"/>
        <w:left w:val="none" w:sz="0" w:space="0" w:color="auto"/>
        <w:bottom w:val="none" w:sz="0" w:space="0" w:color="auto"/>
        <w:right w:val="none" w:sz="0" w:space="0" w:color="auto"/>
      </w:divBdr>
    </w:div>
    <w:div w:id="1934901442">
      <w:bodyDiv w:val="1"/>
      <w:marLeft w:val="0"/>
      <w:marRight w:val="0"/>
      <w:marTop w:val="0"/>
      <w:marBottom w:val="0"/>
      <w:divBdr>
        <w:top w:val="none" w:sz="0" w:space="0" w:color="auto"/>
        <w:left w:val="none" w:sz="0" w:space="0" w:color="auto"/>
        <w:bottom w:val="none" w:sz="0" w:space="0" w:color="auto"/>
        <w:right w:val="none" w:sz="0" w:space="0" w:color="auto"/>
      </w:divBdr>
    </w:div>
    <w:div w:id="1939366831">
      <w:bodyDiv w:val="1"/>
      <w:marLeft w:val="0"/>
      <w:marRight w:val="0"/>
      <w:marTop w:val="0"/>
      <w:marBottom w:val="0"/>
      <w:divBdr>
        <w:top w:val="none" w:sz="0" w:space="0" w:color="auto"/>
        <w:left w:val="none" w:sz="0" w:space="0" w:color="auto"/>
        <w:bottom w:val="none" w:sz="0" w:space="0" w:color="auto"/>
        <w:right w:val="none" w:sz="0" w:space="0" w:color="auto"/>
      </w:divBdr>
    </w:div>
    <w:div w:id="1947692589">
      <w:bodyDiv w:val="1"/>
      <w:marLeft w:val="0"/>
      <w:marRight w:val="0"/>
      <w:marTop w:val="0"/>
      <w:marBottom w:val="0"/>
      <w:divBdr>
        <w:top w:val="none" w:sz="0" w:space="0" w:color="auto"/>
        <w:left w:val="none" w:sz="0" w:space="0" w:color="auto"/>
        <w:bottom w:val="none" w:sz="0" w:space="0" w:color="auto"/>
        <w:right w:val="none" w:sz="0" w:space="0" w:color="auto"/>
      </w:divBdr>
    </w:div>
    <w:div w:id="1948344474">
      <w:bodyDiv w:val="1"/>
      <w:marLeft w:val="0"/>
      <w:marRight w:val="0"/>
      <w:marTop w:val="0"/>
      <w:marBottom w:val="0"/>
      <w:divBdr>
        <w:top w:val="none" w:sz="0" w:space="0" w:color="auto"/>
        <w:left w:val="none" w:sz="0" w:space="0" w:color="auto"/>
        <w:bottom w:val="none" w:sz="0" w:space="0" w:color="auto"/>
        <w:right w:val="none" w:sz="0" w:space="0" w:color="auto"/>
      </w:divBdr>
    </w:div>
    <w:div w:id="1958365792">
      <w:bodyDiv w:val="1"/>
      <w:marLeft w:val="0"/>
      <w:marRight w:val="0"/>
      <w:marTop w:val="0"/>
      <w:marBottom w:val="0"/>
      <w:divBdr>
        <w:top w:val="none" w:sz="0" w:space="0" w:color="auto"/>
        <w:left w:val="none" w:sz="0" w:space="0" w:color="auto"/>
        <w:bottom w:val="none" w:sz="0" w:space="0" w:color="auto"/>
        <w:right w:val="none" w:sz="0" w:space="0" w:color="auto"/>
      </w:divBdr>
    </w:div>
    <w:div w:id="1962764964">
      <w:bodyDiv w:val="1"/>
      <w:marLeft w:val="0"/>
      <w:marRight w:val="0"/>
      <w:marTop w:val="0"/>
      <w:marBottom w:val="0"/>
      <w:divBdr>
        <w:top w:val="none" w:sz="0" w:space="0" w:color="auto"/>
        <w:left w:val="none" w:sz="0" w:space="0" w:color="auto"/>
        <w:bottom w:val="none" w:sz="0" w:space="0" w:color="auto"/>
        <w:right w:val="none" w:sz="0" w:space="0" w:color="auto"/>
      </w:divBdr>
    </w:div>
    <w:div w:id="1974287612">
      <w:bodyDiv w:val="1"/>
      <w:marLeft w:val="0"/>
      <w:marRight w:val="0"/>
      <w:marTop w:val="0"/>
      <w:marBottom w:val="0"/>
      <w:divBdr>
        <w:top w:val="none" w:sz="0" w:space="0" w:color="auto"/>
        <w:left w:val="none" w:sz="0" w:space="0" w:color="auto"/>
        <w:bottom w:val="none" w:sz="0" w:space="0" w:color="auto"/>
        <w:right w:val="none" w:sz="0" w:space="0" w:color="auto"/>
      </w:divBdr>
    </w:div>
    <w:div w:id="1975677392">
      <w:bodyDiv w:val="1"/>
      <w:marLeft w:val="0"/>
      <w:marRight w:val="0"/>
      <w:marTop w:val="0"/>
      <w:marBottom w:val="0"/>
      <w:divBdr>
        <w:top w:val="none" w:sz="0" w:space="0" w:color="auto"/>
        <w:left w:val="none" w:sz="0" w:space="0" w:color="auto"/>
        <w:bottom w:val="none" w:sz="0" w:space="0" w:color="auto"/>
        <w:right w:val="none" w:sz="0" w:space="0" w:color="auto"/>
      </w:divBdr>
    </w:div>
    <w:div w:id="1979215725">
      <w:bodyDiv w:val="1"/>
      <w:marLeft w:val="0"/>
      <w:marRight w:val="0"/>
      <w:marTop w:val="0"/>
      <w:marBottom w:val="0"/>
      <w:divBdr>
        <w:top w:val="none" w:sz="0" w:space="0" w:color="auto"/>
        <w:left w:val="none" w:sz="0" w:space="0" w:color="auto"/>
        <w:bottom w:val="none" w:sz="0" w:space="0" w:color="auto"/>
        <w:right w:val="none" w:sz="0" w:space="0" w:color="auto"/>
      </w:divBdr>
    </w:div>
    <w:div w:id="1979336689">
      <w:bodyDiv w:val="1"/>
      <w:marLeft w:val="0"/>
      <w:marRight w:val="0"/>
      <w:marTop w:val="0"/>
      <w:marBottom w:val="0"/>
      <w:divBdr>
        <w:top w:val="none" w:sz="0" w:space="0" w:color="auto"/>
        <w:left w:val="none" w:sz="0" w:space="0" w:color="auto"/>
        <w:bottom w:val="none" w:sz="0" w:space="0" w:color="auto"/>
        <w:right w:val="none" w:sz="0" w:space="0" w:color="auto"/>
      </w:divBdr>
    </w:div>
    <w:div w:id="1984042904">
      <w:bodyDiv w:val="1"/>
      <w:marLeft w:val="0"/>
      <w:marRight w:val="0"/>
      <w:marTop w:val="0"/>
      <w:marBottom w:val="0"/>
      <w:divBdr>
        <w:top w:val="none" w:sz="0" w:space="0" w:color="auto"/>
        <w:left w:val="none" w:sz="0" w:space="0" w:color="auto"/>
        <w:bottom w:val="none" w:sz="0" w:space="0" w:color="auto"/>
        <w:right w:val="none" w:sz="0" w:space="0" w:color="auto"/>
      </w:divBdr>
    </w:div>
    <w:div w:id="2000846365">
      <w:bodyDiv w:val="1"/>
      <w:marLeft w:val="0"/>
      <w:marRight w:val="0"/>
      <w:marTop w:val="0"/>
      <w:marBottom w:val="0"/>
      <w:divBdr>
        <w:top w:val="none" w:sz="0" w:space="0" w:color="auto"/>
        <w:left w:val="none" w:sz="0" w:space="0" w:color="auto"/>
        <w:bottom w:val="none" w:sz="0" w:space="0" w:color="auto"/>
        <w:right w:val="none" w:sz="0" w:space="0" w:color="auto"/>
      </w:divBdr>
    </w:div>
    <w:div w:id="2012833937">
      <w:bodyDiv w:val="1"/>
      <w:marLeft w:val="0"/>
      <w:marRight w:val="0"/>
      <w:marTop w:val="0"/>
      <w:marBottom w:val="0"/>
      <w:divBdr>
        <w:top w:val="none" w:sz="0" w:space="0" w:color="auto"/>
        <w:left w:val="none" w:sz="0" w:space="0" w:color="auto"/>
        <w:bottom w:val="none" w:sz="0" w:space="0" w:color="auto"/>
        <w:right w:val="none" w:sz="0" w:space="0" w:color="auto"/>
      </w:divBdr>
    </w:div>
    <w:div w:id="2019042639">
      <w:bodyDiv w:val="1"/>
      <w:marLeft w:val="0"/>
      <w:marRight w:val="0"/>
      <w:marTop w:val="0"/>
      <w:marBottom w:val="0"/>
      <w:divBdr>
        <w:top w:val="none" w:sz="0" w:space="0" w:color="auto"/>
        <w:left w:val="none" w:sz="0" w:space="0" w:color="auto"/>
        <w:bottom w:val="none" w:sz="0" w:space="0" w:color="auto"/>
        <w:right w:val="none" w:sz="0" w:space="0" w:color="auto"/>
      </w:divBdr>
    </w:div>
    <w:div w:id="2019501013">
      <w:bodyDiv w:val="1"/>
      <w:marLeft w:val="0"/>
      <w:marRight w:val="0"/>
      <w:marTop w:val="0"/>
      <w:marBottom w:val="0"/>
      <w:divBdr>
        <w:top w:val="none" w:sz="0" w:space="0" w:color="auto"/>
        <w:left w:val="none" w:sz="0" w:space="0" w:color="auto"/>
        <w:bottom w:val="none" w:sz="0" w:space="0" w:color="auto"/>
        <w:right w:val="none" w:sz="0" w:space="0" w:color="auto"/>
      </w:divBdr>
    </w:div>
    <w:div w:id="2028630537">
      <w:bodyDiv w:val="1"/>
      <w:marLeft w:val="0"/>
      <w:marRight w:val="0"/>
      <w:marTop w:val="0"/>
      <w:marBottom w:val="0"/>
      <w:divBdr>
        <w:top w:val="none" w:sz="0" w:space="0" w:color="auto"/>
        <w:left w:val="none" w:sz="0" w:space="0" w:color="auto"/>
        <w:bottom w:val="none" w:sz="0" w:space="0" w:color="auto"/>
        <w:right w:val="none" w:sz="0" w:space="0" w:color="auto"/>
      </w:divBdr>
    </w:div>
    <w:div w:id="2033024773">
      <w:bodyDiv w:val="1"/>
      <w:marLeft w:val="0"/>
      <w:marRight w:val="0"/>
      <w:marTop w:val="0"/>
      <w:marBottom w:val="0"/>
      <w:divBdr>
        <w:top w:val="none" w:sz="0" w:space="0" w:color="auto"/>
        <w:left w:val="none" w:sz="0" w:space="0" w:color="auto"/>
        <w:bottom w:val="none" w:sz="0" w:space="0" w:color="auto"/>
        <w:right w:val="none" w:sz="0" w:space="0" w:color="auto"/>
      </w:divBdr>
    </w:div>
    <w:div w:id="2035576544">
      <w:bodyDiv w:val="1"/>
      <w:marLeft w:val="0"/>
      <w:marRight w:val="0"/>
      <w:marTop w:val="0"/>
      <w:marBottom w:val="0"/>
      <w:divBdr>
        <w:top w:val="none" w:sz="0" w:space="0" w:color="auto"/>
        <w:left w:val="none" w:sz="0" w:space="0" w:color="auto"/>
        <w:bottom w:val="none" w:sz="0" w:space="0" w:color="auto"/>
        <w:right w:val="none" w:sz="0" w:space="0" w:color="auto"/>
      </w:divBdr>
    </w:div>
    <w:div w:id="2039044691">
      <w:bodyDiv w:val="1"/>
      <w:marLeft w:val="0"/>
      <w:marRight w:val="0"/>
      <w:marTop w:val="0"/>
      <w:marBottom w:val="0"/>
      <w:divBdr>
        <w:top w:val="none" w:sz="0" w:space="0" w:color="auto"/>
        <w:left w:val="none" w:sz="0" w:space="0" w:color="auto"/>
        <w:bottom w:val="none" w:sz="0" w:space="0" w:color="auto"/>
        <w:right w:val="none" w:sz="0" w:space="0" w:color="auto"/>
      </w:divBdr>
    </w:div>
    <w:div w:id="2039428887">
      <w:bodyDiv w:val="1"/>
      <w:marLeft w:val="0"/>
      <w:marRight w:val="0"/>
      <w:marTop w:val="0"/>
      <w:marBottom w:val="0"/>
      <w:divBdr>
        <w:top w:val="none" w:sz="0" w:space="0" w:color="auto"/>
        <w:left w:val="none" w:sz="0" w:space="0" w:color="auto"/>
        <w:bottom w:val="none" w:sz="0" w:space="0" w:color="auto"/>
        <w:right w:val="none" w:sz="0" w:space="0" w:color="auto"/>
      </w:divBdr>
    </w:div>
    <w:div w:id="2041389650">
      <w:bodyDiv w:val="1"/>
      <w:marLeft w:val="0"/>
      <w:marRight w:val="0"/>
      <w:marTop w:val="0"/>
      <w:marBottom w:val="0"/>
      <w:divBdr>
        <w:top w:val="none" w:sz="0" w:space="0" w:color="auto"/>
        <w:left w:val="none" w:sz="0" w:space="0" w:color="auto"/>
        <w:bottom w:val="none" w:sz="0" w:space="0" w:color="auto"/>
        <w:right w:val="none" w:sz="0" w:space="0" w:color="auto"/>
      </w:divBdr>
      <w:divsChild>
        <w:div w:id="869686912">
          <w:marLeft w:val="600"/>
          <w:marRight w:val="0"/>
          <w:marTop w:val="0"/>
          <w:marBottom w:val="0"/>
          <w:divBdr>
            <w:top w:val="none" w:sz="0" w:space="0" w:color="auto"/>
            <w:left w:val="none" w:sz="0" w:space="0" w:color="auto"/>
            <w:bottom w:val="none" w:sz="0" w:space="0" w:color="auto"/>
            <w:right w:val="none" w:sz="0" w:space="0" w:color="auto"/>
          </w:divBdr>
        </w:div>
        <w:div w:id="1500535072">
          <w:marLeft w:val="600"/>
          <w:marRight w:val="0"/>
          <w:marTop w:val="0"/>
          <w:marBottom w:val="0"/>
          <w:divBdr>
            <w:top w:val="none" w:sz="0" w:space="0" w:color="auto"/>
            <w:left w:val="none" w:sz="0" w:space="0" w:color="auto"/>
            <w:bottom w:val="none" w:sz="0" w:space="0" w:color="auto"/>
            <w:right w:val="none" w:sz="0" w:space="0" w:color="auto"/>
          </w:divBdr>
        </w:div>
      </w:divsChild>
    </w:div>
    <w:div w:id="2044013639">
      <w:bodyDiv w:val="1"/>
      <w:marLeft w:val="0"/>
      <w:marRight w:val="0"/>
      <w:marTop w:val="0"/>
      <w:marBottom w:val="0"/>
      <w:divBdr>
        <w:top w:val="none" w:sz="0" w:space="0" w:color="auto"/>
        <w:left w:val="none" w:sz="0" w:space="0" w:color="auto"/>
        <w:bottom w:val="none" w:sz="0" w:space="0" w:color="auto"/>
        <w:right w:val="none" w:sz="0" w:space="0" w:color="auto"/>
      </w:divBdr>
    </w:div>
    <w:div w:id="2048946613">
      <w:bodyDiv w:val="1"/>
      <w:marLeft w:val="0"/>
      <w:marRight w:val="0"/>
      <w:marTop w:val="0"/>
      <w:marBottom w:val="0"/>
      <w:divBdr>
        <w:top w:val="none" w:sz="0" w:space="0" w:color="auto"/>
        <w:left w:val="none" w:sz="0" w:space="0" w:color="auto"/>
        <w:bottom w:val="none" w:sz="0" w:space="0" w:color="auto"/>
        <w:right w:val="none" w:sz="0" w:space="0" w:color="auto"/>
      </w:divBdr>
    </w:div>
    <w:div w:id="2050910606">
      <w:bodyDiv w:val="1"/>
      <w:marLeft w:val="0"/>
      <w:marRight w:val="0"/>
      <w:marTop w:val="0"/>
      <w:marBottom w:val="0"/>
      <w:divBdr>
        <w:top w:val="none" w:sz="0" w:space="0" w:color="auto"/>
        <w:left w:val="none" w:sz="0" w:space="0" w:color="auto"/>
        <w:bottom w:val="none" w:sz="0" w:space="0" w:color="auto"/>
        <w:right w:val="none" w:sz="0" w:space="0" w:color="auto"/>
      </w:divBdr>
      <w:divsChild>
        <w:div w:id="81338060">
          <w:marLeft w:val="1080"/>
          <w:marRight w:val="0"/>
          <w:marTop w:val="0"/>
          <w:marBottom w:val="0"/>
          <w:divBdr>
            <w:top w:val="none" w:sz="0" w:space="0" w:color="auto"/>
            <w:left w:val="none" w:sz="0" w:space="0" w:color="auto"/>
            <w:bottom w:val="none" w:sz="0" w:space="0" w:color="auto"/>
            <w:right w:val="none" w:sz="0" w:space="0" w:color="auto"/>
          </w:divBdr>
        </w:div>
        <w:div w:id="771165735">
          <w:marLeft w:val="1080"/>
          <w:marRight w:val="0"/>
          <w:marTop w:val="0"/>
          <w:marBottom w:val="0"/>
          <w:divBdr>
            <w:top w:val="none" w:sz="0" w:space="0" w:color="auto"/>
            <w:left w:val="none" w:sz="0" w:space="0" w:color="auto"/>
            <w:bottom w:val="none" w:sz="0" w:space="0" w:color="auto"/>
            <w:right w:val="none" w:sz="0" w:space="0" w:color="auto"/>
          </w:divBdr>
        </w:div>
        <w:div w:id="1734036005">
          <w:marLeft w:val="1080"/>
          <w:marRight w:val="0"/>
          <w:marTop w:val="0"/>
          <w:marBottom w:val="0"/>
          <w:divBdr>
            <w:top w:val="none" w:sz="0" w:space="0" w:color="auto"/>
            <w:left w:val="none" w:sz="0" w:space="0" w:color="auto"/>
            <w:bottom w:val="none" w:sz="0" w:space="0" w:color="auto"/>
            <w:right w:val="none" w:sz="0" w:space="0" w:color="auto"/>
          </w:divBdr>
        </w:div>
      </w:divsChild>
    </w:div>
    <w:div w:id="2057780884">
      <w:bodyDiv w:val="1"/>
      <w:marLeft w:val="0"/>
      <w:marRight w:val="0"/>
      <w:marTop w:val="0"/>
      <w:marBottom w:val="0"/>
      <w:divBdr>
        <w:top w:val="none" w:sz="0" w:space="0" w:color="auto"/>
        <w:left w:val="none" w:sz="0" w:space="0" w:color="auto"/>
        <w:bottom w:val="none" w:sz="0" w:space="0" w:color="auto"/>
        <w:right w:val="none" w:sz="0" w:space="0" w:color="auto"/>
      </w:divBdr>
    </w:div>
    <w:div w:id="2060979015">
      <w:bodyDiv w:val="1"/>
      <w:marLeft w:val="0"/>
      <w:marRight w:val="0"/>
      <w:marTop w:val="0"/>
      <w:marBottom w:val="0"/>
      <w:divBdr>
        <w:top w:val="none" w:sz="0" w:space="0" w:color="auto"/>
        <w:left w:val="none" w:sz="0" w:space="0" w:color="auto"/>
        <w:bottom w:val="none" w:sz="0" w:space="0" w:color="auto"/>
        <w:right w:val="none" w:sz="0" w:space="0" w:color="auto"/>
      </w:divBdr>
    </w:div>
    <w:div w:id="2067949737">
      <w:bodyDiv w:val="1"/>
      <w:marLeft w:val="0"/>
      <w:marRight w:val="0"/>
      <w:marTop w:val="0"/>
      <w:marBottom w:val="0"/>
      <w:divBdr>
        <w:top w:val="none" w:sz="0" w:space="0" w:color="auto"/>
        <w:left w:val="none" w:sz="0" w:space="0" w:color="auto"/>
        <w:bottom w:val="none" w:sz="0" w:space="0" w:color="auto"/>
        <w:right w:val="none" w:sz="0" w:space="0" w:color="auto"/>
      </w:divBdr>
    </w:div>
    <w:div w:id="2070613583">
      <w:bodyDiv w:val="1"/>
      <w:marLeft w:val="0"/>
      <w:marRight w:val="0"/>
      <w:marTop w:val="0"/>
      <w:marBottom w:val="0"/>
      <w:divBdr>
        <w:top w:val="none" w:sz="0" w:space="0" w:color="auto"/>
        <w:left w:val="none" w:sz="0" w:space="0" w:color="auto"/>
        <w:bottom w:val="none" w:sz="0" w:space="0" w:color="auto"/>
        <w:right w:val="none" w:sz="0" w:space="0" w:color="auto"/>
      </w:divBdr>
    </w:div>
    <w:div w:id="2071266014">
      <w:bodyDiv w:val="1"/>
      <w:marLeft w:val="0"/>
      <w:marRight w:val="0"/>
      <w:marTop w:val="0"/>
      <w:marBottom w:val="0"/>
      <w:divBdr>
        <w:top w:val="none" w:sz="0" w:space="0" w:color="auto"/>
        <w:left w:val="none" w:sz="0" w:space="0" w:color="auto"/>
        <w:bottom w:val="none" w:sz="0" w:space="0" w:color="auto"/>
        <w:right w:val="none" w:sz="0" w:space="0" w:color="auto"/>
      </w:divBdr>
    </w:div>
    <w:div w:id="2071465760">
      <w:bodyDiv w:val="1"/>
      <w:marLeft w:val="0"/>
      <w:marRight w:val="0"/>
      <w:marTop w:val="0"/>
      <w:marBottom w:val="0"/>
      <w:divBdr>
        <w:top w:val="none" w:sz="0" w:space="0" w:color="auto"/>
        <w:left w:val="none" w:sz="0" w:space="0" w:color="auto"/>
        <w:bottom w:val="none" w:sz="0" w:space="0" w:color="auto"/>
        <w:right w:val="none" w:sz="0" w:space="0" w:color="auto"/>
      </w:divBdr>
    </w:div>
    <w:div w:id="2071806868">
      <w:bodyDiv w:val="1"/>
      <w:marLeft w:val="0"/>
      <w:marRight w:val="0"/>
      <w:marTop w:val="0"/>
      <w:marBottom w:val="0"/>
      <w:divBdr>
        <w:top w:val="none" w:sz="0" w:space="0" w:color="auto"/>
        <w:left w:val="none" w:sz="0" w:space="0" w:color="auto"/>
        <w:bottom w:val="none" w:sz="0" w:space="0" w:color="auto"/>
        <w:right w:val="none" w:sz="0" w:space="0" w:color="auto"/>
      </w:divBdr>
    </w:div>
    <w:div w:id="2076318423">
      <w:bodyDiv w:val="1"/>
      <w:marLeft w:val="0"/>
      <w:marRight w:val="0"/>
      <w:marTop w:val="0"/>
      <w:marBottom w:val="0"/>
      <w:divBdr>
        <w:top w:val="none" w:sz="0" w:space="0" w:color="auto"/>
        <w:left w:val="none" w:sz="0" w:space="0" w:color="auto"/>
        <w:bottom w:val="none" w:sz="0" w:space="0" w:color="auto"/>
        <w:right w:val="none" w:sz="0" w:space="0" w:color="auto"/>
      </w:divBdr>
    </w:div>
    <w:div w:id="2080858089">
      <w:bodyDiv w:val="1"/>
      <w:marLeft w:val="0"/>
      <w:marRight w:val="0"/>
      <w:marTop w:val="0"/>
      <w:marBottom w:val="0"/>
      <w:divBdr>
        <w:top w:val="none" w:sz="0" w:space="0" w:color="auto"/>
        <w:left w:val="none" w:sz="0" w:space="0" w:color="auto"/>
        <w:bottom w:val="none" w:sz="0" w:space="0" w:color="auto"/>
        <w:right w:val="none" w:sz="0" w:space="0" w:color="auto"/>
      </w:divBdr>
    </w:div>
    <w:div w:id="2083868345">
      <w:bodyDiv w:val="1"/>
      <w:marLeft w:val="0"/>
      <w:marRight w:val="0"/>
      <w:marTop w:val="0"/>
      <w:marBottom w:val="0"/>
      <w:divBdr>
        <w:top w:val="none" w:sz="0" w:space="0" w:color="auto"/>
        <w:left w:val="none" w:sz="0" w:space="0" w:color="auto"/>
        <w:bottom w:val="none" w:sz="0" w:space="0" w:color="auto"/>
        <w:right w:val="none" w:sz="0" w:space="0" w:color="auto"/>
      </w:divBdr>
    </w:div>
    <w:div w:id="2088183386">
      <w:bodyDiv w:val="1"/>
      <w:marLeft w:val="0"/>
      <w:marRight w:val="0"/>
      <w:marTop w:val="0"/>
      <w:marBottom w:val="0"/>
      <w:divBdr>
        <w:top w:val="none" w:sz="0" w:space="0" w:color="auto"/>
        <w:left w:val="none" w:sz="0" w:space="0" w:color="auto"/>
        <w:bottom w:val="none" w:sz="0" w:space="0" w:color="auto"/>
        <w:right w:val="none" w:sz="0" w:space="0" w:color="auto"/>
      </w:divBdr>
    </w:div>
    <w:div w:id="2089450856">
      <w:bodyDiv w:val="1"/>
      <w:marLeft w:val="0"/>
      <w:marRight w:val="0"/>
      <w:marTop w:val="0"/>
      <w:marBottom w:val="0"/>
      <w:divBdr>
        <w:top w:val="none" w:sz="0" w:space="0" w:color="auto"/>
        <w:left w:val="none" w:sz="0" w:space="0" w:color="auto"/>
        <w:bottom w:val="none" w:sz="0" w:space="0" w:color="auto"/>
        <w:right w:val="none" w:sz="0" w:space="0" w:color="auto"/>
      </w:divBdr>
    </w:div>
    <w:div w:id="2094466414">
      <w:bodyDiv w:val="1"/>
      <w:marLeft w:val="0"/>
      <w:marRight w:val="0"/>
      <w:marTop w:val="0"/>
      <w:marBottom w:val="0"/>
      <w:divBdr>
        <w:top w:val="none" w:sz="0" w:space="0" w:color="auto"/>
        <w:left w:val="none" w:sz="0" w:space="0" w:color="auto"/>
        <w:bottom w:val="none" w:sz="0" w:space="0" w:color="auto"/>
        <w:right w:val="none" w:sz="0" w:space="0" w:color="auto"/>
      </w:divBdr>
    </w:div>
    <w:div w:id="2100326794">
      <w:bodyDiv w:val="1"/>
      <w:marLeft w:val="0"/>
      <w:marRight w:val="0"/>
      <w:marTop w:val="0"/>
      <w:marBottom w:val="0"/>
      <w:divBdr>
        <w:top w:val="none" w:sz="0" w:space="0" w:color="auto"/>
        <w:left w:val="none" w:sz="0" w:space="0" w:color="auto"/>
        <w:bottom w:val="none" w:sz="0" w:space="0" w:color="auto"/>
        <w:right w:val="none" w:sz="0" w:space="0" w:color="auto"/>
      </w:divBdr>
    </w:div>
    <w:div w:id="2118020268">
      <w:bodyDiv w:val="1"/>
      <w:marLeft w:val="0"/>
      <w:marRight w:val="0"/>
      <w:marTop w:val="0"/>
      <w:marBottom w:val="0"/>
      <w:divBdr>
        <w:top w:val="none" w:sz="0" w:space="0" w:color="auto"/>
        <w:left w:val="none" w:sz="0" w:space="0" w:color="auto"/>
        <w:bottom w:val="none" w:sz="0" w:space="0" w:color="auto"/>
        <w:right w:val="none" w:sz="0" w:space="0" w:color="auto"/>
      </w:divBdr>
    </w:div>
    <w:div w:id="2122452260">
      <w:bodyDiv w:val="1"/>
      <w:marLeft w:val="0"/>
      <w:marRight w:val="0"/>
      <w:marTop w:val="0"/>
      <w:marBottom w:val="0"/>
      <w:divBdr>
        <w:top w:val="none" w:sz="0" w:space="0" w:color="auto"/>
        <w:left w:val="none" w:sz="0" w:space="0" w:color="auto"/>
        <w:bottom w:val="none" w:sz="0" w:space="0" w:color="auto"/>
        <w:right w:val="none" w:sz="0" w:space="0" w:color="auto"/>
      </w:divBdr>
    </w:div>
    <w:div w:id="2131897862">
      <w:bodyDiv w:val="1"/>
      <w:marLeft w:val="0"/>
      <w:marRight w:val="0"/>
      <w:marTop w:val="0"/>
      <w:marBottom w:val="0"/>
      <w:divBdr>
        <w:top w:val="none" w:sz="0" w:space="0" w:color="auto"/>
        <w:left w:val="none" w:sz="0" w:space="0" w:color="auto"/>
        <w:bottom w:val="none" w:sz="0" w:space="0" w:color="auto"/>
        <w:right w:val="none" w:sz="0" w:space="0" w:color="auto"/>
      </w:divBdr>
    </w:div>
    <w:div w:id="214323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emf"/><Relationship Id="rId42" Type="http://schemas.openxmlformats.org/officeDocument/2006/relationships/image" Target="media/image33.emf"/><Relationship Id="rId47" Type="http://schemas.openxmlformats.org/officeDocument/2006/relationships/image" Target="media/image37.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4.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wmf"/><Relationship Id="rId40" Type="http://schemas.openxmlformats.org/officeDocument/2006/relationships/image" Target="media/image32.emf"/><Relationship Id="rId45" Type="http://schemas.openxmlformats.org/officeDocument/2006/relationships/image" Target="media/image35.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wmf"/><Relationship Id="rId49"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1.png"/><Relationship Id="rId31" Type="http://schemas.openxmlformats.org/officeDocument/2006/relationships/image" Target="media/image23.emf"/><Relationship Id="rId44" Type="http://schemas.openxmlformats.org/officeDocument/2006/relationships/image" Target="media/image3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png"/><Relationship Id="rId35" Type="http://schemas.openxmlformats.org/officeDocument/2006/relationships/image" Target="media/image27.emf"/><Relationship Id="rId43" Type="http://schemas.openxmlformats.org/officeDocument/2006/relationships/package" Target="embeddings/Microsoft_PowerPoint_Slayd_2.sldx"/><Relationship Id="rId48" Type="http://schemas.openxmlformats.org/officeDocument/2006/relationships/image" Target="media/image38.emf"/><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6.emf"/><Relationship Id="rId20" Type="http://schemas.openxmlformats.org/officeDocument/2006/relationships/image" Target="media/image12.emf"/><Relationship Id="rId41" Type="http://schemas.openxmlformats.org/officeDocument/2006/relationships/package" Target="embeddings/Microsoft_PowerPoint_Slayd_1.sld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3AE87-F8AE-42D4-897E-18CCD9BB0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156</Pages>
  <Words>53578</Words>
  <Characters>305396</Characters>
  <Application>Microsoft Office Word</Application>
  <DocSecurity>0</DocSecurity>
  <Lines>2544</Lines>
  <Paragraphs>716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Huseyin BEKTAS</dc:creator>
  <cp:lastModifiedBy>Mehmet Ercan Deligöz</cp:lastModifiedBy>
  <cp:revision>15</cp:revision>
  <cp:lastPrinted>2016-12-28T06:20:00Z</cp:lastPrinted>
  <dcterms:created xsi:type="dcterms:W3CDTF">2016-12-28T08:01:00Z</dcterms:created>
  <dcterms:modified xsi:type="dcterms:W3CDTF">2017-01-20T08:37:00Z</dcterms:modified>
</cp:coreProperties>
</file>