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DCF" w:rsidRPr="001458D2" w:rsidRDefault="00D30DCF" w:rsidP="00D30DCF">
      <w:pPr>
        <w:spacing w:after="0" w:line="240" w:lineRule="auto"/>
        <w:jc w:val="center"/>
        <w:rPr>
          <w:rFonts w:ascii="Times New Roman" w:hAnsi="Times New Roman"/>
        </w:rPr>
      </w:pPr>
    </w:p>
    <w:p w:rsidR="00D30DCF" w:rsidRPr="001458D2" w:rsidRDefault="00D30DCF" w:rsidP="00D30DCF">
      <w:pPr>
        <w:spacing w:after="0" w:line="240" w:lineRule="auto"/>
        <w:ind w:firstLine="8505"/>
        <w:jc w:val="center"/>
        <w:rPr>
          <w:rFonts w:ascii="Times New Roman" w:hAnsi="Times New Roman"/>
          <w:lang w:val="tr-TR"/>
        </w:rPr>
      </w:pPr>
      <w:r w:rsidRPr="001458D2">
        <w:rPr>
          <w:rFonts w:ascii="Times New Roman" w:hAnsi="Times New Roman"/>
          <w:b/>
          <w:bCs/>
          <w:lang w:val="tr-TR"/>
        </w:rPr>
        <w:t>Ek</w:t>
      </w:r>
    </w:p>
    <w:p w:rsidR="00D30DCF" w:rsidRPr="001458D2" w:rsidRDefault="00D30DCF" w:rsidP="00D30DCF">
      <w:pPr>
        <w:spacing w:after="0" w:line="240" w:lineRule="auto"/>
        <w:jc w:val="center"/>
        <w:rPr>
          <w:rFonts w:ascii="Times New Roman" w:hAnsi="Times New Roman"/>
          <w:b/>
          <w:bCs/>
          <w:lang w:val="tr-TR"/>
        </w:rPr>
      </w:pPr>
    </w:p>
    <w:p w:rsidR="00D30DCF" w:rsidRPr="001458D2" w:rsidRDefault="00D30DCF" w:rsidP="00D30DCF">
      <w:pPr>
        <w:spacing w:after="0" w:line="240" w:lineRule="auto"/>
        <w:jc w:val="center"/>
        <w:rPr>
          <w:rFonts w:ascii="Times New Roman" w:hAnsi="Times New Roman"/>
          <w:b/>
          <w:bCs/>
          <w:lang w:val="tr-TR"/>
        </w:rPr>
      </w:pPr>
      <w:r w:rsidRPr="001458D2">
        <w:rPr>
          <w:rFonts w:ascii="Times New Roman" w:hAnsi="Times New Roman"/>
          <w:b/>
          <w:bCs/>
          <w:lang w:val="tr-TR"/>
        </w:rPr>
        <w:t>TEBLİĞ KAPSAMINDAKİ ÜRÜNLER VE İLGİLİ STANDARTLAR</w:t>
      </w:r>
    </w:p>
    <w:p w:rsidR="00D30DCF" w:rsidRPr="001458D2" w:rsidRDefault="00D30DCF" w:rsidP="00D30DCF">
      <w:pPr>
        <w:spacing w:after="0" w:line="240" w:lineRule="auto"/>
        <w:jc w:val="center"/>
        <w:rPr>
          <w:rFonts w:ascii="Times New Roman" w:hAnsi="Times New Roman"/>
          <w:b/>
          <w:bCs/>
          <w:lang w:val="tr-TR"/>
        </w:rPr>
      </w:pPr>
    </w:p>
    <w:tbl>
      <w:tblPr>
        <w:tblStyle w:val="TabloKlavuzu"/>
        <w:tblW w:w="8836" w:type="dxa"/>
        <w:jc w:val="center"/>
        <w:tblLook w:val="04A0" w:firstRow="1" w:lastRow="0" w:firstColumn="1" w:lastColumn="0" w:noHBand="0" w:noVBand="1"/>
      </w:tblPr>
      <w:tblGrid>
        <w:gridCol w:w="467"/>
        <w:gridCol w:w="2505"/>
        <w:gridCol w:w="5864"/>
      </w:tblGrid>
      <w:tr w:rsidR="00C85202" w:rsidRPr="001458D2" w:rsidTr="00D73606">
        <w:trPr>
          <w:jc w:val="center"/>
        </w:trPr>
        <w:tc>
          <w:tcPr>
            <w:tcW w:w="467" w:type="dxa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ÜRÜN 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>UYUMLAŞTIRILMIŞ VEYA REFERANS STANDARTLAR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1</w:t>
            </w:r>
          </w:p>
        </w:tc>
        <w:tc>
          <w:tcPr>
            <w:tcW w:w="2505" w:type="dxa"/>
          </w:tcPr>
          <w:p w:rsidR="00D30DCF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color w:val="000000"/>
              </w:rPr>
              <w:t>Çocuklar için yüksek sandalyeler</w:t>
            </w:r>
          </w:p>
        </w:tc>
        <w:tc>
          <w:tcPr>
            <w:tcW w:w="5864" w:type="dxa"/>
          </w:tcPr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D30DCF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</w:rPr>
              <w:t>TS EN 14988 </w:t>
            </w:r>
            <w:r w:rsidRPr="001458D2">
              <w:rPr>
                <w:rFonts w:ascii="Times New Roman" w:hAnsi="Times New Roman"/>
                <w:color w:val="000000"/>
              </w:rPr>
              <w:t>(Çocuklar için yüksek sandalyeler - Gerekler ve deney yöntemleri)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2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İki tekerlekli küçük çocuk bisikletleri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TS EN ISO 8098 </w:t>
            </w:r>
            <w:r w:rsidRPr="001458D2">
              <w:rPr>
                <w:rFonts w:ascii="Times New Roman" w:hAnsi="Times New Roman"/>
                <w:bCs/>
                <w:lang w:val="tr-TR"/>
              </w:rPr>
              <w:t>(Bisikletler- İki tekerlekli küçük çocuk bisikletleri için güvenlik kuralları)</w:t>
            </w: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 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3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Sabit ve katlanabilen çocuk karyolaları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>TS EN 716-1</w:t>
            </w:r>
            <w:r w:rsidRPr="001458D2">
              <w:rPr>
                <w:rFonts w:ascii="Times New Roman" w:hAnsi="Times New Roman"/>
                <w:bCs/>
                <w:lang w:val="tr-TR"/>
              </w:rPr>
              <w:t xml:space="preserve"> (Mobilya - Evlerde kullanılan sabit ve katlanabilen çocuk karyolaları- Bölüm 1: Emniyet gerekleri)</w:t>
            </w: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 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4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Elle kullanılan diş fırçaları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TS EN ISO 20126 </w:t>
            </w:r>
            <w:r w:rsidRPr="001458D2">
              <w:rPr>
                <w:rFonts w:ascii="Times New Roman" w:hAnsi="Times New Roman"/>
                <w:bCs/>
                <w:lang w:val="tr-TR"/>
              </w:rPr>
              <w:t>(Diş hekimliği - Elle kullanılan diş fırçaları - Genel özellikler ve deney yöntemleri)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5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Elektrikle çalışan diş fırçaları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TS EN ISO 20127 </w:t>
            </w:r>
            <w:r w:rsidRPr="001458D2">
              <w:rPr>
                <w:rFonts w:ascii="Times New Roman" w:hAnsi="Times New Roman"/>
                <w:bCs/>
                <w:lang w:val="tr-TR"/>
              </w:rPr>
              <w:t>(Diş hekimliği - Elektrikle çalışan diş fırçaları - Genel özellikler ve deney yöntemleri)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6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Çakmaklar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TS EN ISO 9994 </w:t>
            </w:r>
            <w:r w:rsidRPr="001458D2">
              <w:rPr>
                <w:rFonts w:ascii="Times New Roman" w:hAnsi="Times New Roman"/>
                <w:bCs/>
                <w:lang w:val="tr-TR"/>
              </w:rPr>
              <w:t>(Çakmaklar - Emniyet kuralları)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7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Bebekler ve küçük çocuklar için emzikler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TS EN 1400 </w:t>
            </w:r>
            <w:r w:rsidRPr="001458D2">
              <w:rPr>
                <w:rFonts w:ascii="Times New Roman" w:hAnsi="Times New Roman"/>
                <w:bCs/>
                <w:lang w:val="tr-TR"/>
              </w:rPr>
              <w:t>(Çocuk kullanım ve bakım eşyaları-Bebekler ve küçük çocuklar için emzikler: Güvenlik kuralları ve deney metotları)</w:t>
            </w: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 </w:t>
            </w:r>
          </w:p>
        </w:tc>
      </w:tr>
      <w:tr w:rsidR="001458D2" w:rsidRPr="001458D2" w:rsidTr="00415255">
        <w:trPr>
          <w:trHeight w:val="562"/>
          <w:jc w:val="center"/>
        </w:trPr>
        <w:tc>
          <w:tcPr>
            <w:tcW w:w="467" w:type="dxa"/>
            <w:vAlign w:val="center"/>
          </w:tcPr>
          <w:p w:rsidR="001458D2" w:rsidRPr="001458D2" w:rsidRDefault="001458D2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8</w:t>
            </w:r>
          </w:p>
        </w:tc>
        <w:tc>
          <w:tcPr>
            <w:tcW w:w="2505" w:type="dxa"/>
          </w:tcPr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color w:val="000000"/>
              </w:rPr>
              <w:t>İçme donanımı</w:t>
            </w:r>
          </w:p>
        </w:tc>
        <w:tc>
          <w:tcPr>
            <w:tcW w:w="5864" w:type="dxa"/>
          </w:tcPr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</w:rPr>
              <w:t>TS EN 14350 </w:t>
            </w:r>
            <w:r w:rsidRPr="001458D2">
              <w:rPr>
                <w:rFonts w:ascii="Times New Roman" w:hAnsi="Times New Roman"/>
                <w:color w:val="000000"/>
              </w:rPr>
              <w:t>(Çocuk bakım eşyaları - İçme donanımı - Güvenlik gereklilikleri ve deney yöntemleri)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9</w:t>
            </w:r>
          </w:p>
        </w:tc>
        <w:tc>
          <w:tcPr>
            <w:tcW w:w="2505" w:type="dxa"/>
          </w:tcPr>
          <w:p w:rsidR="00D30DCF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color w:val="000000"/>
              </w:rPr>
              <w:t>Oturma elemanları ve masalar</w:t>
            </w:r>
          </w:p>
        </w:tc>
        <w:tc>
          <w:tcPr>
            <w:tcW w:w="5864" w:type="dxa"/>
          </w:tcPr>
          <w:p w:rsidR="00D30DCF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</w:rPr>
              <w:t>TS EN 581-1 </w:t>
            </w:r>
            <w:r w:rsidRPr="001458D2">
              <w:rPr>
                <w:rFonts w:ascii="Times New Roman" w:hAnsi="Times New Roman"/>
                <w:color w:val="000000"/>
              </w:rPr>
              <w:t>(Dış </w:t>
            </w:r>
            <w:r w:rsidRPr="001458D2">
              <w:rPr>
                <w:rStyle w:val="grame"/>
                <w:rFonts w:ascii="Times New Roman" w:hAnsi="Times New Roman"/>
                <w:color w:val="000000"/>
              </w:rPr>
              <w:t>mekan</w:t>
            </w:r>
            <w:r w:rsidRPr="001458D2">
              <w:rPr>
                <w:rFonts w:ascii="Times New Roman" w:hAnsi="Times New Roman"/>
                <w:color w:val="000000"/>
              </w:rPr>
              <w:t> mobilyası-Kamplarda, evlerde ve umuma açık yerlerde kullanılan oturma elemanları ve masalar- Bölüm 1: Genel emniyet gereklilikleri)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10</w:t>
            </w:r>
          </w:p>
        </w:tc>
        <w:tc>
          <w:tcPr>
            <w:tcW w:w="2505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İç güneşlikler</w:t>
            </w:r>
          </w:p>
        </w:tc>
        <w:tc>
          <w:tcPr>
            <w:tcW w:w="5864" w:type="dxa"/>
          </w:tcPr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TS EN 13120 </w:t>
            </w:r>
            <w:r w:rsidRPr="001458D2">
              <w:rPr>
                <w:rFonts w:ascii="Times New Roman" w:hAnsi="Times New Roman"/>
                <w:bCs/>
                <w:lang w:val="tr-TR"/>
              </w:rPr>
              <w:t>(İç güneşlikler - Güvenlik dâhil performans şartları)</w:t>
            </w:r>
            <w:r w:rsidRPr="001458D2">
              <w:rPr>
                <w:rFonts w:ascii="Times New Roman" w:hAnsi="Times New Roman"/>
                <w:b/>
                <w:bCs/>
                <w:lang w:val="tr-TR"/>
              </w:rPr>
              <w:t xml:space="preserve"> </w:t>
            </w: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11</w:t>
            </w:r>
          </w:p>
        </w:tc>
        <w:tc>
          <w:tcPr>
            <w:tcW w:w="2505" w:type="dxa"/>
          </w:tcPr>
          <w:p w:rsidR="00D30DCF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color w:val="000000"/>
              </w:rPr>
              <w:t>Yüzmeye yardımcı donanımlar</w:t>
            </w:r>
          </w:p>
        </w:tc>
        <w:tc>
          <w:tcPr>
            <w:tcW w:w="5864" w:type="dxa"/>
          </w:tcPr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13138-2 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(Yüzme eğitimi için yüzmeye yardımcı donanımlar - Bölüm 2: Tutulan yüzmeye yardımcı donanımlar için güvenlik kuralları ve deney yöntemleri)</w:t>
            </w:r>
          </w:p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13138-3 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(Yüzme eğitimi için yüzmeye yardımcı donanımlar - Bölüm 3: Kullanıcının yerleştirildiği yüzme koltukları için güvenlik gereksinimleri ve deney yöntemleri)</w:t>
            </w:r>
          </w:p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</w:p>
        </w:tc>
      </w:tr>
      <w:tr w:rsidR="00C85202" w:rsidRPr="001458D2" w:rsidTr="00D73606">
        <w:trPr>
          <w:jc w:val="center"/>
        </w:trPr>
        <w:tc>
          <w:tcPr>
            <w:tcW w:w="467" w:type="dxa"/>
            <w:vAlign w:val="center"/>
          </w:tcPr>
          <w:p w:rsidR="00D30DCF" w:rsidRPr="001458D2" w:rsidRDefault="00D30DCF" w:rsidP="005F6D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Cs/>
                <w:lang w:val="tr-TR"/>
              </w:rPr>
              <w:t>12</w:t>
            </w:r>
          </w:p>
        </w:tc>
        <w:tc>
          <w:tcPr>
            <w:tcW w:w="2505" w:type="dxa"/>
          </w:tcPr>
          <w:p w:rsidR="001458D2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 xml:space="preserve"> </w:t>
            </w:r>
          </w:p>
          <w:p w:rsidR="001458D2" w:rsidRPr="001458D2" w:rsidRDefault="001458D2" w:rsidP="001458D2">
            <w:pPr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</w:rPr>
              <w:br/>
              <w:t>İki tekerlekli bisikletler</w:t>
            </w:r>
          </w:p>
          <w:p w:rsidR="00D30DCF" w:rsidRPr="001458D2" w:rsidRDefault="00D30DCF" w:rsidP="005F6D24">
            <w:pPr>
              <w:spacing w:after="0" w:line="240" w:lineRule="auto"/>
              <w:rPr>
                <w:rFonts w:ascii="Times New Roman" w:hAnsi="Times New Roman"/>
                <w:bCs/>
                <w:lang w:val="tr-TR"/>
              </w:rPr>
            </w:pPr>
          </w:p>
        </w:tc>
        <w:tc>
          <w:tcPr>
            <w:tcW w:w="5864" w:type="dxa"/>
          </w:tcPr>
          <w:p w:rsidR="00D30DCF" w:rsidRPr="001458D2" w:rsidRDefault="001458D2" w:rsidP="005F6D24">
            <w:pPr>
              <w:spacing w:after="0" w:line="240" w:lineRule="auto"/>
              <w:rPr>
                <w:rFonts w:ascii="Times New Roman" w:hAnsi="Times New Roman"/>
                <w:b/>
                <w:bCs/>
                <w:lang w:val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</w:rPr>
              <w:t>TS EN ISO 4210-2 (</w:t>
            </w:r>
            <w:r w:rsidRPr="001458D2">
              <w:rPr>
                <w:rFonts w:ascii="Times New Roman" w:hAnsi="Times New Roman"/>
                <w:color w:val="000000"/>
              </w:rPr>
              <w:t>Bisikletler - İki tekerlekli bisikletler için güvenlik kuralları - Bölüm 2: İki tekerlekli şehir ve doğa gezisi, genç yetişkin, dağ ve yarış bisikletleri için kurallar)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2505" w:type="dxa"/>
            <w:vAlign w:val="center"/>
          </w:tcPr>
          <w:p w:rsidR="001458D2" w:rsidRPr="001458D2" w:rsidRDefault="001458D2" w:rsidP="00D73606">
            <w:pPr>
              <w:spacing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 xml:space="preserve"> </w:t>
            </w:r>
          </w:p>
          <w:p w:rsidR="00D73606" w:rsidRPr="001458D2" w:rsidRDefault="001458D2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color w:val="000000"/>
              </w:rPr>
              <w:t>Bebek yürüteçleri</w:t>
            </w:r>
          </w:p>
        </w:tc>
        <w:tc>
          <w:tcPr>
            <w:tcW w:w="5864" w:type="dxa"/>
          </w:tcPr>
          <w:p w:rsidR="00D73606" w:rsidRPr="001458D2" w:rsidRDefault="001458D2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</w:rPr>
              <w:t>TS EN 1273 </w:t>
            </w:r>
            <w:r w:rsidRPr="001458D2">
              <w:rPr>
                <w:rFonts w:ascii="Times New Roman" w:hAnsi="Times New Roman"/>
                <w:color w:val="000000"/>
              </w:rPr>
              <w:t>(Çocuk bakım eşyaları - Bebek yürüteçleri - Güvenlik gerekleri ve deney yöntemleri)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lastRenderedPageBreak/>
              <w:t>14</w:t>
            </w:r>
          </w:p>
        </w:tc>
        <w:tc>
          <w:tcPr>
            <w:tcW w:w="2505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  <w:b/>
                <w:bCs/>
              </w:rPr>
              <w:t>(Ek:RG-31/12/2018-30642- 4.Mükerrer)</w:t>
            </w:r>
            <w:r w:rsidRPr="001458D2">
              <w:rPr>
                <w:rFonts w:ascii="Times New Roman" w:hAnsi="Times New Roman"/>
              </w:rPr>
              <w:t xml:space="preserve">  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Bebek taşıyıcıları ve destekleri</w:t>
            </w:r>
          </w:p>
        </w:tc>
        <w:tc>
          <w:tcPr>
            <w:tcW w:w="5864" w:type="dxa"/>
          </w:tcPr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>TS EN 1466</w:t>
            </w:r>
            <w:r w:rsidRPr="001458D2">
              <w:rPr>
                <w:rFonts w:ascii="Times New Roman" w:hAnsi="Times New Roman"/>
                <w:bCs/>
              </w:rPr>
              <w:t xml:space="preserve"> (Çocuk kullanım ve bakım eşyaları – Bebek taşıyıcıları ve destekleri – Güvenlik kuralları ve deney yöntemleri) 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2505" w:type="dxa"/>
            <w:vAlign w:val="center"/>
          </w:tcPr>
          <w:p w:rsidR="001458D2" w:rsidRPr="001458D2" w:rsidRDefault="001458D2" w:rsidP="001458D2">
            <w:pPr>
              <w:spacing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1458D2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color w:val="000000"/>
              </w:rPr>
              <w:t>Çocuk karyolaları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864" w:type="dxa"/>
          </w:tcPr>
          <w:p w:rsidR="001458D2" w:rsidRPr="001458D2" w:rsidRDefault="001458D2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D73606" w:rsidRPr="001458D2" w:rsidRDefault="001458D2" w:rsidP="00D73606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</w:rPr>
              <w:t>TS EN 1130 </w:t>
            </w:r>
            <w:r w:rsidRPr="001458D2">
              <w:rPr>
                <w:rFonts w:ascii="Times New Roman" w:hAnsi="Times New Roman"/>
                <w:color w:val="000000"/>
              </w:rPr>
              <w:t>(Çocuk odası mobilyaları - Çocuk karyolaları - Emniyet gerekleri ve deney yöntemleri)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 xml:space="preserve">16 </w:t>
            </w:r>
          </w:p>
        </w:tc>
        <w:tc>
          <w:tcPr>
            <w:tcW w:w="2505" w:type="dxa"/>
            <w:vAlign w:val="center"/>
          </w:tcPr>
          <w:p w:rsidR="00D73606" w:rsidRPr="001458D2" w:rsidRDefault="001458D2" w:rsidP="00D73606">
            <w:pPr>
              <w:spacing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color w:val="000000"/>
              </w:rPr>
              <w:t>Çocuklar için tekerlekli taşıyıcılar</w:t>
            </w:r>
          </w:p>
        </w:tc>
        <w:tc>
          <w:tcPr>
            <w:tcW w:w="5864" w:type="dxa"/>
          </w:tcPr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1888-1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 (Çocuk bakım eşyaları - Çocuklar için tekerlekli taşıyıcılar - Bölüm 1: Puset ve bebek arabaları)</w:t>
            </w:r>
          </w:p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1888-2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 (Çocuk bakım eşyaları - Çocuklar için tekerlekli taşıyıcılar - Bölüm 2: 15 kg'dan 22 kg'a kadar olan çocuklar için pusetler)</w:t>
            </w:r>
          </w:p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2505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  <w:b/>
                <w:bCs/>
              </w:rPr>
              <w:t>(Ek:RG-31/12/2018-30642- 4.Mükerrer)</w:t>
            </w:r>
            <w:r w:rsidRPr="001458D2">
              <w:rPr>
                <w:rFonts w:ascii="Times New Roman" w:hAnsi="Times New Roman"/>
              </w:rPr>
              <w:t xml:space="preserve">  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Emzik bağlayıcıları</w:t>
            </w:r>
          </w:p>
        </w:tc>
        <w:tc>
          <w:tcPr>
            <w:tcW w:w="5864" w:type="dxa"/>
          </w:tcPr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>TS EN 12586 (</w:t>
            </w:r>
            <w:r w:rsidRPr="001458D2">
              <w:rPr>
                <w:rFonts w:ascii="Times New Roman" w:hAnsi="Times New Roman"/>
                <w:bCs/>
              </w:rPr>
              <w:t>Çocuk bakım eşyaları- Emzik bağlayıcıları- Güvenlik kuralları ve deney metotları)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2505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  <w:b/>
                <w:bCs/>
              </w:rPr>
              <w:t>(Ek:RG-31/12/2018-30642- 4.Mükerrer)</w:t>
            </w:r>
            <w:r w:rsidRPr="001458D2">
              <w:rPr>
                <w:rFonts w:ascii="Times New Roman" w:hAnsi="Times New Roman"/>
              </w:rPr>
              <w:t xml:space="preserve">  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Çocuk giysileri</w:t>
            </w:r>
          </w:p>
        </w:tc>
        <w:tc>
          <w:tcPr>
            <w:tcW w:w="5864" w:type="dxa"/>
          </w:tcPr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>TS EN 14682</w:t>
            </w:r>
            <w:r w:rsidRPr="001458D2">
              <w:rPr>
                <w:rFonts w:ascii="Times New Roman" w:hAnsi="Times New Roman"/>
                <w:bCs/>
              </w:rPr>
              <w:t> (Çocuk giysilerinde güvenlik - Çocuk giysilerinde kullanılan kordon ve büzme ipleri – Özellikler)</w:t>
            </w:r>
          </w:p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>TS EN 14878</w:t>
            </w:r>
            <w:r w:rsidRPr="001458D2">
              <w:rPr>
                <w:rFonts w:ascii="Times New Roman" w:hAnsi="Times New Roman"/>
                <w:bCs/>
              </w:rPr>
              <w:t> (Tekstil - Çocuk gece giyeceklerinin yanma davranışı – Özellikler)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2505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  <w:b/>
                <w:bCs/>
              </w:rPr>
              <w:t>(Ek:RG-31/12/2018-30642- 4.Mükerrer)</w:t>
            </w:r>
            <w:r w:rsidRPr="001458D2">
              <w:rPr>
                <w:rFonts w:ascii="Times New Roman" w:hAnsi="Times New Roman"/>
              </w:rPr>
              <w:t xml:space="preserve">  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Yiyecek taklidi ürünler</w:t>
            </w:r>
          </w:p>
        </w:tc>
        <w:tc>
          <w:tcPr>
            <w:tcW w:w="5864" w:type="dxa"/>
          </w:tcPr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 xml:space="preserve">TS EN 71-1 </w:t>
            </w:r>
            <w:r w:rsidRPr="001458D2">
              <w:rPr>
                <w:rFonts w:ascii="Times New Roman" w:hAnsi="Times New Roman"/>
                <w:bCs/>
              </w:rPr>
              <w:t>(Oyuncak Güvenliği -  Bölüm 1: Mekanik ve Fiziksel Özellikler)</w:t>
            </w:r>
          </w:p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 xml:space="preserve">TS EN 71-3 </w:t>
            </w:r>
            <w:r w:rsidRPr="001458D2">
              <w:rPr>
                <w:rFonts w:ascii="Times New Roman" w:hAnsi="Times New Roman"/>
                <w:bCs/>
              </w:rPr>
              <w:t>(Oyuncakların güvenliği - Bölüm 3: Bazı elementlerin göçü)</w:t>
            </w:r>
            <w:r w:rsidRPr="001458D2">
              <w:rPr>
                <w:rFonts w:ascii="Times New Roman" w:hAnsi="Times New Roman"/>
                <w:b/>
                <w:bCs/>
                <w:shd w:val="clear" w:color="auto" w:fill="F0F4F8"/>
              </w:rPr>
              <w:t xml:space="preserve"> 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2505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  <w:b/>
                <w:bCs/>
              </w:rPr>
              <w:t>(Ek:RG-31/12/2018-30642- 4.Mükerrer)</w:t>
            </w:r>
            <w:r w:rsidRPr="001458D2">
              <w:rPr>
                <w:rFonts w:ascii="Times New Roman" w:hAnsi="Times New Roman"/>
              </w:rPr>
              <w:t xml:space="preserve">  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Lazer ürünler</w:t>
            </w:r>
          </w:p>
        </w:tc>
        <w:tc>
          <w:tcPr>
            <w:tcW w:w="5864" w:type="dxa"/>
          </w:tcPr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 xml:space="preserve">TS EN 60825-1 </w:t>
            </w:r>
            <w:r w:rsidRPr="001458D2">
              <w:rPr>
                <w:rFonts w:ascii="Times New Roman" w:hAnsi="Times New Roman"/>
                <w:bCs/>
              </w:rPr>
              <w:t>(Lazer ürünlerinin güvenliği - Bölüm 1: Donanım sınıflandırması ve kurallar)</w:t>
            </w: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2505" w:type="dxa"/>
            <w:vAlign w:val="center"/>
          </w:tcPr>
          <w:p w:rsidR="00D73606" w:rsidRPr="001458D2" w:rsidRDefault="001458D2" w:rsidP="00D73606">
            <w:pPr>
              <w:spacing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(Değişik:RG-25/11/2022-32024)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color w:val="000000"/>
              </w:rPr>
              <w:t>Bebek/çocuk taşıma araçları</w:t>
            </w:r>
          </w:p>
        </w:tc>
        <w:tc>
          <w:tcPr>
            <w:tcW w:w="5864" w:type="dxa"/>
          </w:tcPr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</w:pPr>
          </w:p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13209-1 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(Çocuk bakım eşyaları - Çocuk taşıyıcıları - Güvenlik gereksinimleri ve deney yöntemleri - Bölüm 1: Çerçeveli sırt taşıyıcı)</w:t>
            </w:r>
          </w:p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13209-2 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(Çocuk kullanım ve bakım eşyaları - Bebek taşıma araçları - Güvenlik gereklilikleri ve deney yöntemleri - Bölüm 2: Yumuşak taşıma aracı)</w:t>
            </w:r>
          </w:p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73606" w:rsidRPr="001458D2" w:rsidTr="00D73606">
        <w:trPr>
          <w:jc w:val="center"/>
        </w:trPr>
        <w:tc>
          <w:tcPr>
            <w:tcW w:w="467" w:type="dxa"/>
            <w:vAlign w:val="center"/>
          </w:tcPr>
          <w:p w:rsidR="00D73606" w:rsidRPr="001458D2" w:rsidRDefault="00D73606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 xml:space="preserve">22 </w:t>
            </w:r>
          </w:p>
        </w:tc>
        <w:tc>
          <w:tcPr>
            <w:tcW w:w="2505" w:type="dxa"/>
            <w:vAlign w:val="center"/>
          </w:tcPr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</w:rPr>
            </w:pPr>
            <w:r w:rsidRPr="001458D2">
              <w:rPr>
                <w:rFonts w:ascii="Times New Roman" w:hAnsi="Times New Roman"/>
                <w:b/>
                <w:bCs/>
              </w:rPr>
              <w:t>(Ek:RG-31/12/2018-30642- 4.Mükerrer)</w:t>
            </w:r>
            <w:r w:rsidRPr="001458D2">
              <w:rPr>
                <w:rFonts w:ascii="Times New Roman" w:hAnsi="Times New Roman"/>
              </w:rPr>
              <w:t xml:space="preserve">  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Bebek hoppalaları</w:t>
            </w:r>
          </w:p>
          <w:p w:rsidR="00D73606" w:rsidRPr="001458D2" w:rsidRDefault="00D73606" w:rsidP="00D73606">
            <w:pPr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864" w:type="dxa"/>
          </w:tcPr>
          <w:p w:rsidR="00D73606" w:rsidRPr="001458D2" w:rsidRDefault="00D73606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458D2">
              <w:rPr>
                <w:rFonts w:ascii="Times New Roman" w:hAnsi="Times New Roman"/>
                <w:b/>
                <w:bCs/>
              </w:rPr>
              <w:t xml:space="preserve">TS EN 14036 </w:t>
            </w:r>
            <w:r w:rsidRPr="001458D2">
              <w:rPr>
                <w:rFonts w:ascii="Times New Roman" w:hAnsi="Times New Roman"/>
                <w:bCs/>
              </w:rPr>
              <w:t>(Çocuk kullanım ve bakım eşyaları - Bebek hoppalaları – Güvenlik kuralları ve deney yöntemleri)</w:t>
            </w:r>
          </w:p>
        </w:tc>
      </w:tr>
      <w:tr w:rsidR="001458D2" w:rsidRPr="001458D2" w:rsidTr="00D73606">
        <w:trPr>
          <w:jc w:val="center"/>
        </w:trPr>
        <w:tc>
          <w:tcPr>
            <w:tcW w:w="467" w:type="dxa"/>
            <w:vAlign w:val="center"/>
          </w:tcPr>
          <w:p w:rsidR="001458D2" w:rsidRPr="001458D2" w:rsidRDefault="001458D2" w:rsidP="00D73606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458D2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2505" w:type="dxa"/>
            <w:vAlign w:val="center"/>
          </w:tcPr>
          <w:p w:rsidR="001458D2" w:rsidRPr="001458D2" w:rsidRDefault="001458D2" w:rsidP="001458D2">
            <w:pPr>
              <w:spacing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b/>
              </w:rPr>
              <w:t>(</w:t>
            </w:r>
            <w:r w:rsidRPr="001458D2">
              <w:rPr>
                <w:rFonts w:ascii="Times New Roman" w:hAnsi="Times New Roman"/>
                <w:b/>
              </w:rPr>
              <w:t>Ek</w:t>
            </w:r>
            <w:r w:rsidRPr="001458D2">
              <w:rPr>
                <w:rFonts w:ascii="Times New Roman" w:hAnsi="Times New Roman"/>
                <w:b/>
              </w:rPr>
              <w:t>:RG-25/11/2022-32024)</w:t>
            </w:r>
            <w:r w:rsidRPr="001458D2">
              <w:rPr>
                <w:rFonts w:ascii="Times New Roman" w:hAnsi="Times New Roman"/>
                <w:b/>
                <w:vertAlign w:val="superscript"/>
              </w:rPr>
              <w:t>(1)</w:t>
            </w:r>
          </w:p>
          <w:p w:rsidR="001458D2" w:rsidRPr="001458D2" w:rsidRDefault="001458D2" w:rsidP="001458D2">
            <w:pPr>
              <w:spacing w:line="240" w:lineRule="auto"/>
              <w:rPr>
                <w:rFonts w:ascii="Times New Roman" w:hAnsi="Times New Roman"/>
                <w:b/>
                <w:vertAlign w:val="superscript"/>
              </w:rPr>
            </w:pPr>
            <w:r w:rsidRPr="001458D2">
              <w:rPr>
                <w:rFonts w:ascii="Times New Roman" w:hAnsi="Times New Roman"/>
                <w:color w:val="000000"/>
              </w:rPr>
              <w:t>Mobilya donanımları</w:t>
            </w:r>
          </w:p>
          <w:p w:rsidR="001458D2" w:rsidRPr="001458D2" w:rsidRDefault="001458D2" w:rsidP="00D73606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64" w:type="dxa"/>
          </w:tcPr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</w:pPr>
          </w:p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15338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 (Mobilya donanımı-Uzatma elemanları ve bileşenlerinin mukavemet ve dayanıklılığı)</w:t>
            </w:r>
          </w:p>
          <w:p w:rsidR="001458D2" w:rsidRPr="001458D2" w:rsidRDefault="001458D2" w:rsidP="00145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tr-TR" w:eastAsia="tr-TR"/>
              </w:rPr>
            </w:pP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 </w:t>
            </w:r>
            <w:r w:rsidRPr="001458D2">
              <w:rPr>
                <w:rFonts w:ascii="Times New Roman" w:hAnsi="Times New Roman"/>
                <w:b/>
                <w:bCs/>
                <w:color w:val="000000"/>
                <w:lang w:val="tr-TR" w:eastAsia="tr-TR"/>
              </w:rPr>
              <w:t>TS EN 15570</w:t>
            </w:r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 (Mobilya donanımı - Menteşeler ve menteşe elemanlarının mukavemet ve dayanıklılığı - Dikey bir eksen etrafında dönen menteşeler</w:t>
            </w:r>
            <w:bookmarkStart w:id="0" w:name="_msoanchor_12"/>
            <w:bookmarkEnd w:id="0"/>
            <w:r w:rsidRPr="001458D2">
              <w:rPr>
                <w:rFonts w:ascii="Times New Roman" w:hAnsi="Times New Roman"/>
                <w:color w:val="000000"/>
                <w:lang w:val="tr-TR" w:eastAsia="tr-TR"/>
              </w:rPr>
              <w:t>)</w:t>
            </w:r>
          </w:p>
          <w:p w:rsidR="001458D2" w:rsidRPr="001458D2" w:rsidRDefault="001458D2" w:rsidP="00D7360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1458D2" w:rsidRPr="001458D2" w:rsidRDefault="001458D2" w:rsidP="001458D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458D2">
        <w:rPr>
          <w:rFonts w:ascii="Times New Roman" w:hAnsi="Times New Roman"/>
        </w:rPr>
        <w:t>________</w:t>
      </w:r>
    </w:p>
    <w:p w:rsidR="001458D2" w:rsidRPr="001458D2" w:rsidRDefault="001458D2" w:rsidP="001458D2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458D2">
        <w:rPr>
          <w:rFonts w:ascii="Times New Roman" w:hAnsi="Times New Roman"/>
          <w:i/>
        </w:rPr>
        <w:t xml:space="preserve">Bu değişiklik </w:t>
      </w:r>
      <w:r w:rsidRPr="001458D2">
        <w:rPr>
          <w:rStyle w:val="grame"/>
          <w:rFonts w:ascii="Times New Roman" w:hAnsi="Times New Roman"/>
          <w:i/>
          <w:color w:val="000000"/>
        </w:rPr>
        <w:t>1/12/2022</w:t>
      </w:r>
      <w:r w:rsidRPr="001458D2">
        <w:rPr>
          <w:rFonts w:ascii="Times New Roman" w:hAnsi="Times New Roman"/>
          <w:i/>
          <w:color w:val="000000"/>
        </w:rPr>
        <w:t> tarihinde yürürlüğe girer.</w:t>
      </w:r>
    </w:p>
    <w:p w:rsidR="001458D2" w:rsidRPr="001458D2" w:rsidRDefault="001458D2" w:rsidP="001458D2">
      <w:pPr>
        <w:ind w:firstLine="709"/>
        <w:rPr>
          <w:rFonts w:ascii="Times New Roman" w:hAnsi="Times New Roman"/>
        </w:rPr>
      </w:pPr>
      <w:bookmarkStart w:id="1" w:name="_GoBack"/>
      <w:bookmarkEnd w:id="1"/>
    </w:p>
    <w:sectPr w:rsidR="001458D2" w:rsidRPr="001458D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A12" w:rsidRDefault="00730A12" w:rsidP="00D30DCF">
      <w:pPr>
        <w:spacing w:after="0" w:line="240" w:lineRule="auto"/>
      </w:pPr>
      <w:r>
        <w:separator/>
      </w:r>
    </w:p>
  </w:endnote>
  <w:endnote w:type="continuationSeparator" w:id="0">
    <w:p w:rsidR="00730A12" w:rsidRDefault="00730A12" w:rsidP="00D30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7394432"/>
      <w:docPartObj>
        <w:docPartGallery w:val="Page Numbers (Bottom of Page)"/>
        <w:docPartUnique/>
      </w:docPartObj>
    </w:sdtPr>
    <w:sdtEndPr/>
    <w:sdtContent>
      <w:p w:rsidR="00D30DCF" w:rsidRDefault="00D30DCF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A12" w:rsidRPr="00730A12">
          <w:rPr>
            <w:noProof/>
            <w:lang w:val="tr-TR"/>
          </w:rPr>
          <w:t>1</w:t>
        </w:r>
        <w:r>
          <w:fldChar w:fldCharType="end"/>
        </w:r>
      </w:p>
    </w:sdtContent>
  </w:sdt>
  <w:p w:rsidR="00D30DCF" w:rsidRDefault="00D30DC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A12" w:rsidRDefault="00730A12" w:rsidP="00D30DCF">
      <w:pPr>
        <w:spacing w:after="0" w:line="240" w:lineRule="auto"/>
      </w:pPr>
      <w:r>
        <w:separator/>
      </w:r>
    </w:p>
  </w:footnote>
  <w:footnote w:type="continuationSeparator" w:id="0">
    <w:p w:rsidR="00730A12" w:rsidRDefault="00730A12" w:rsidP="00D30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AA3"/>
    <w:multiLevelType w:val="hybridMultilevel"/>
    <w:tmpl w:val="2E283336"/>
    <w:lvl w:ilvl="0" w:tplc="058875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76460E"/>
    <w:multiLevelType w:val="hybridMultilevel"/>
    <w:tmpl w:val="901ADCFE"/>
    <w:lvl w:ilvl="0" w:tplc="F47A72C0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87254C"/>
    <w:multiLevelType w:val="hybridMultilevel"/>
    <w:tmpl w:val="D4E85DAA"/>
    <w:lvl w:ilvl="0" w:tplc="5EFA1ED2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EC"/>
    <w:rsid w:val="00094AB0"/>
    <w:rsid w:val="0014581A"/>
    <w:rsid w:val="001458D2"/>
    <w:rsid w:val="002415CD"/>
    <w:rsid w:val="002B1091"/>
    <w:rsid w:val="0044390C"/>
    <w:rsid w:val="00500FE0"/>
    <w:rsid w:val="00502DEC"/>
    <w:rsid w:val="0056178C"/>
    <w:rsid w:val="005F3B50"/>
    <w:rsid w:val="00606BDE"/>
    <w:rsid w:val="007243EB"/>
    <w:rsid w:val="00730A12"/>
    <w:rsid w:val="00777FCE"/>
    <w:rsid w:val="007D2EE0"/>
    <w:rsid w:val="00B777A4"/>
    <w:rsid w:val="00BE5018"/>
    <w:rsid w:val="00C85202"/>
    <w:rsid w:val="00D30DCF"/>
    <w:rsid w:val="00D73606"/>
    <w:rsid w:val="00E76F4D"/>
    <w:rsid w:val="00FC0837"/>
    <w:rsid w:val="00FD5D77"/>
    <w:rsid w:val="00FF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19BE7-163B-4A97-A8BE-72CFEA1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DE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 Yazı"/>
    <w:rsid w:val="00502DEC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character" w:customStyle="1" w:styleId="apple-converted-space">
    <w:name w:val="apple-converted-space"/>
    <w:basedOn w:val="VarsaylanParagrafYazTipi"/>
    <w:rsid w:val="00502DEC"/>
  </w:style>
  <w:style w:type="character" w:customStyle="1" w:styleId="grame">
    <w:name w:val="grame"/>
    <w:basedOn w:val="VarsaylanParagrafYazTipi"/>
    <w:rsid w:val="00502DEC"/>
  </w:style>
  <w:style w:type="table" w:styleId="TabloKlavuzu">
    <w:name w:val="Table Grid"/>
    <w:basedOn w:val="NormalTablo"/>
    <w:uiPriority w:val="39"/>
    <w:rsid w:val="00502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30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30DCF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D30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30DCF"/>
    <w:rPr>
      <w:rFonts w:ascii="Calibri" w:eastAsia="Times New Roman" w:hAnsi="Calibri" w:cs="Times New Roman"/>
    </w:rPr>
  </w:style>
  <w:style w:type="paragraph" w:styleId="ListeParagraf">
    <w:name w:val="List Paragraph"/>
    <w:basedOn w:val="Normal"/>
    <w:uiPriority w:val="34"/>
    <w:qFormat/>
    <w:rsid w:val="00D30DCF"/>
    <w:pPr>
      <w:ind w:left="720"/>
      <w:contextualSpacing/>
    </w:pPr>
  </w:style>
  <w:style w:type="character" w:customStyle="1" w:styleId="spelle">
    <w:name w:val="spelle"/>
    <w:basedOn w:val="VarsaylanParagrafYazTipi"/>
    <w:rsid w:val="00145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Zor Özen</dc:creator>
  <cp:keywords/>
  <dc:description/>
  <cp:lastModifiedBy>Derya GÜNER</cp:lastModifiedBy>
  <cp:revision>6</cp:revision>
  <dcterms:created xsi:type="dcterms:W3CDTF">2016-03-11T13:40:00Z</dcterms:created>
  <dcterms:modified xsi:type="dcterms:W3CDTF">2022-12-01T12:59:00Z</dcterms:modified>
</cp:coreProperties>
</file>