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617" w:rsidRPr="004D52DA" w:rsidRDefault="00C25617" w:rsidP="00B71B43">
      <w:pPr>
        <w:spacing w:line="360" w:lineRule="auto"/>
        <w:jc w:val="center"/>
        <w:rPr>
          <w:rFonts w:asciiTheme="minorHAnsi" w:hAnsiTheme="minorHAnsi"/>
          <w:b/>
          <w:sz w:val="22"/>
          <w:szCs w:val="22"/>
        </w:rPr>
      </w:pPr>
      <w:r w:rsidRPr="004D52DA">
        <w:rPr>
          <w:rFonts w:asciiTheme="minorHAnsi" w:hAnsiTheme="minorHAnsi"/>
          <w:b/>
          <w:sz w:val="22"/>
          <w:szCs w:val="22"/>
        </w:rPr>
        <w:t>EK 1</w:t>
      </w:r>
    </w:p>
    <w:p w:rsidR="00C25617" w:rsidRPr="004D52DA" w:rsidRDefault="00C25617" w:rsidP="00C25617">
      <w:pPr>
        <w:pStyle w:val="Balk4"/>
        <w:spacing w:before="0" w:beforeAutospacing="0" w:after="0" w:afterAutospacing="0" w:line="240" w:lineRule="exact"/>
        <w:ind w:firstLine="708"/>
        <w:rPr>
          <w:rFonts w:asciiTheme="minorHAnsi" w:hAnsiTheme="minorHAnsi"/>
          <w:b w:val="0"/>
          <w:bCs w:val="0"/>
          <w:sz w:val="22"/>
          <w:szCs w:val="22"/>
        </w:rPr>
      </w:pPr>
    </w:p>
    <w:p w:rsidR="00C25617" w:rsidRPr="004D52DA" w:rsidRDefault="00C25617" w:rsidP="00C25617">
      <w:pPr>
        <w:spacing w:line="240" w:lineRule="exact"/>
        <w:ind w:firstLine="708"/>
        <w:rPr>
          <w:rFonts w:asciiTheme="minorHAnsi" w:hAnsiTheme="minorHAnsi"/>
          <w:sz w:val="22"/>
          <w:szCs w:val="22"/>
        </w:rPr>
      </w:pPr>
      <w:r w:rsidRPr="004D52DA">
        <w:rPr>
          <w:rFonts w:asciiTheme="minorHAnsi" w:hAnsiTheme="minorHAnsi"/>
          <w:sz w:val="22"/>
          <w:szCs w:val="22"/>
        </w:rPr>
        <w:t>1. Ölçü şişeleri aşağıda sıralanan daima 20</w:t>
      </w:r>
      <w:r w:rsidRPr="004D52DA">
        <w:rPr>
          <w:rFonts w:asciiTheme="minorHAnsi" w:hAnsiTheme="minorHAnsi"/>
          <w:sz w:val="22"/>
          <w:szCs w:val="22"/>
          <w:vertAlign w:val="superscript"/>
        </w:rPr>
        <w:t>o</w:t>
      </w:r>
      <w:r w:rsidRPr="004D52DA">
        <w:rPr>
          <w:rFonts w:asciiTheme="minorHAnsi" w:hAnsiTheme="minorHAnsi"/>
          <w:sz w:val="22"/>
          <w:szCs w:val="22"/>
        </w:rPr>
        <w:t>C sıcaklıktaki nominal hacimleri ile karakterize edilir.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1.1. Bir şişenin nominal kapasitesi “V</w:t>
      </w:r>
      <w:r w:rsidRPr="004D52DA">
        <w:rPr>
          <w:rFonts w:asciiTheme="minorHAnsi" w:hAnsiTheme="minorHAnsi"/>
          <w:sz w:val="22"/>
          <w:szCs w:val="22"/>
          <w:vertAlign w:val="subscript"/>
        </w:rPr>
        <w:t>n</w:t>
      </w:r>
      <w:r w:rsidRPr="004D52DA">
        <w:rPr>
          <w:rFonts w:asciiTheme="minorHAnsi" w:hAnsiTheme="minorHAnsi"/>
          <w:sz w:val="22"/>
          <w:szCs w:val="22"/>
        </w:rPr>
        <w:t>”; şişenin üzerine işaretlenmiş hacmidir. Bu hacim, normal kullanım şartlarında şişe içerisine doldurulan ve şişenin içermesi gereken  sıvının hacmidir.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1.2. Bir şişenin birim kapasitesi veya limit hacmi; şişe ağzına kadar doldurulduğunda içerdiği sıvının hacmidir.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 xml:space="preserve">1.3. Bir şişenin gerçek kapasitesi; teorik olarak nominal kapasiteye karşı gelen şartlar altında doldurulan şişenin gerçek olarak içerdiği sıvı hacmidir.               </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2. Ölçü şişelerin doldurulmasında;</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(1) Sabit bir  seviyeye kadar doldurma,</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(2) Sabit bir boşluğa kadar doldurma,</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metotları kullanılır.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Nominal kapasite ve birim seviye için teorik doldurma seviyesi arasındaki mesafe  hacim genleşmesi veya boşluk olarak adlandırılır. Bilinen nominal kapasite ile birim kapasite arasındaki fark aynı tipteki, yani aynı tasarıma göre yapılmış bütün şişelerde fark edilir derecede sabit olmalıdır.</w:t>
      </w:r>
    </w:p>
    <w:p w:rsidR="00C25617"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3. Yeterli hassasiyetli ölçü şişelerinin içerdikleri hacimleri ölçmek için dolumda izin verilen olağan belirsizliklerin sağlanabilmesi ve bilhassa hazır ambalajlarla ilgili yönetmelikler tarafından gerekli hassaslıkla en fazla müsaade edilebilir hatalar “eksi  veya  artı” ölçme şişesi kabının kapasitesinde, örneğin 20°C’de ve  Ek-2’de belirtilen kontrol şartları altında gerçek kapasite ve nominal kapasite “Vn” arasındaki müsaade edilebilen en büyük farklar “eksi veya artı” Tablo  1’de belirtilmektedir.</w:t>
      </w:r>
    </w:p>
    <w:p w:rsidR="004D52DA" w:rsidRPr="004D52DA" w:rsidRDefault="004D52DA" w:rsidP="00C25617">
      <w:pPr>
        <w:spacing w:line="240" w:lineRule="exact"/>
        <w:ind w:firstLine="708"/>
        <w:jc w:val="both"/>
        <w:rPr>
          <w:rFonts w:asciiTheme="minorHAnsi" w:hAnsiTheme="minorHAnsi"/>
          <w:sz w:val="22"/>
          <w:szCs w:val="22"/>
        </w:rPr>
      </w:pPr>
      <w:bookmarkStart w:id="0" w:name="_GoBack"/>
      <w:bookmarkEnd w:id="0"/>
    </w:p>
    <w:p w:rsidR="00C25617" w:rsidRPr="004D52DA" w:rsidRDefault="00C25617" w:rsidP="00C25617">
      <w:pPr>
        <w:spacing w:line="240" w:lineRule="exact"/>
        <w:rPr>
          <w:rFonts w:asciiTheme="minorHAnsi" w:hAnsiTheme="minorHAnsi"/>
          <w:b/>
          <w:sz w:val="22"/>
          <w:szCs w:val="22"/>
        </w:rPr>
      </w:pPr>
      <w:r w:rsidRPr="004D52DA">
        <w:rPr>
          <w:rFonts w:asciiTheme="minorHAnsi" w:hAnsiTheme="minorHAnsi"/>
          <w:b/>
          <w:sz w:val="22"/>
          <w:szCs w:val="22"/>
        </w:rPr>
        <w:t>Tablo 1</w:t>
      </w:r>
    </w:p>
    <w:tbl>
      <w:tblPr>
        <w:tblW w:w="0" w:type="auto"/>
        <w:tblInd w:w="70" w:type="dxa"/>
        <w:tblCellMar>
          <w:left w:w="0" w:type="dxa"/>
          <w:right w:w="0" w:type="dxa"/>
        </w:tblCellMar>
        <w:tblLook w:val="0000" w:firstRow="0" w:lastRow="0" w:firstColumn="0" w:lastColumn="0" w:noHBand="0" w:noVBand="0"/>
      </w:tblPr>
      <w:tblGrid>
        <w:gridCol w:w="4476"/>
        <w:gridCol w:w="2030"/>
        <w:gridCol w:w="2530"/>
      </w:tblGrid>
      <w:tr w:rsidR="00CF4AAB" w:rsidRPr="004D52DA" w:rsidTr="001A01D3">
        <w:trPr>
          <w:trHeight w:val="242"/>
        </w:trPr>
        <w:tc>
          <w:tcPr>
            <w:tcW w:w="4476"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b/>
                <w:sz w:val="22"/>
                <w:szCs w:val="22"/>
              </w:rPr>
            </w:pPr>
            <w:r w:rsidRPr="004D52DA">
              <w:rPr>
                <w:rFonts w:asciiTheme="minorHAnsi" w:hAnsiTheme="minorHAnsi"/>
                <w:b/>
                <w:sz w:val="22"/>
                <w:szCs w:val="22"/>
              </w:rPr>
              <w:t> </w:t>
            </w:r>
          </w:p>
          <w:p w:rsidR="00C25617" w:rsidRPr="004D52DA" w:rsidRDefault="00C25617" w:rsidP="001A01D3">
            <w:pPr>
              <w:spacing w:line="240" w:lineRule="exact"/>
              <w:jc w:val="center"/>
              <w:rPr>
                <w:rFonts w:asciiTheme="minorHAnsi" w:hAnsiTheme="minorHAnsi"/>
                <w:b/>
                <w:sz w:val="22"/>
                <w:szCs w:val="22"/>
              </w:rPr>
            </w:pPr>
            <w:r w:rsidRPr="004D52DA">
              <w:rPr>
                <w:rFonts w:asciiTheme="minorHAnsi" w:hAnsiTheme="minorHAnsi"/>
                <w:b/>
                <w:sz w:val="22"/>
                <w:szCs w:val="22"/>
              </w:rPr>
              <w:t>Mililitre olarak V</w:t>
            </w:r>
            <w:r w:rsidRPr="004D52DA">
              <w:rPr>
                <w:rFonts w:asciiTheme="minorHAnsi" w:hAnsiTheme="minorHAnsi"/>
                <w:b/>
                <w:sz w:val="22"/>
                <w:szCs w:val="22"/>
                <w:vertAlign w:val="subscript"/>
              </w:rPr>
              <w:t xml:space="preserve">n </w:t>
            </w:r>
            <w:r w:rsidRPr="004D52DA">
              <w:rPr>
                <w:rFonts w:asciiTheme="minorHAnsi" w:hAnsiTheme="minorHAnsi"/>
                <w:b/>
                <w:sz w:val="22"/>
                <w:szCs w:val="22"/>
              </w:rPr>
              <w:t>nominal kapasite</w:t>
            </w:r>
          </w:p>
        </w:tc>
        <w:tc>
          <w:tcPr>
            <w:tcW w:w="4560" w:type="dxa"/>
            <w:gridSpan w:val="2"/>
            <w:tcBorders>
              <w:top w:val="single" w:sz="8" w:space="0" w:color="auto"/>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b/>
                <w:sz w:val="22"/>
                <w:szCs w:val="22"/>
              </w:rPr>
            </w:pPr>
            <w:r w:rsidRPr="004D52DA">
              <w:rPr>
                <w:rFonts w:asciiTheme="minorHAnsi" w:hAnsiTheme="minorHAnsi"/>
                <w:b/>
                <w:sz w:val="22"/>
                <w:szCs w:val="22"/>
              </w:rPr>
              <w:t>Maksimum müsaade edilen hata miktarı</w:t>
            </w:r>
          </w:p>
        </w:tc>
      </w:tr>
      <w:tr w:rsidR="00CF4AAB" w:rsidRPr="004D52DA" w:rsidTr="001A01D3">
        <w:trPr>
          <w:trHeight w:val="137"/>
        </w:trPr>
        <w:tc>
          <w:tcPr>
            <w:tcW w:w="4476" w:type="dxa"/>
            <w:vMerge/>
            <w:tcBorders>
              <w:top w:val="single" w:sz="8" w:space="0" w:color="auto"/>
              <w:left w:val="single" w:sz="8" w:space="0" w:color="auto"/>
              <w:bottom w:val="single" w:sz="8" w:space="0" w:color="auto"/>
              <w:right w:val="single" w:sz="8" w:space="0" w:color="auto"/>
            </w:tcBorders>
            <w:vAlign w:val="center"/>
          </w:tcPr>
          <w:p w:rsidR="00C25617" w:rsidRPr="004D52DA" w:rsidRDefault="00C25617" w:rsidP="001A01D3">
            <w:pPr>
              <w:rPr>
                <w:rFonts w:asciiTheme="minorHAnsi" w:hAnsiTheme="minorHAnsi"/>
                <w:b/>
                <w:sz w:val="22"/>
                <w:szCs w:val="22"/>
              </w:rPr>
            </w:pP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b/>
                <w:sz w:val="22"/>
                <w:szCs w:val="22"/>
              </w:rPr>
            </w:pPr>
            <w:r w:rsidRPr="004D52DA">
              <w:rPr>
                <w:rFonts w:asciiTheme="minorHAnsi" w:hAnsiTheme="minorHAnsi"/>
                <w:b/>
                <w:sz w:val="22"/>
                <w:szCs w:val="22"/>
              </w:rPr>
              <w:t>V</w:t>
            </w:r>
            <w:r w:rsidRPr="004D52DA">
              <w:rPr>
                <w:rFonts w:asciiTheme="minorHAnsi" w:hAnsiTheme="minorHAnsi"/>
                <w:b/>
                <w:sz w:val="22"/>
                <w:szCs w:val="22"/>
                <w:vertAlign w:val="subscript"/>
              </w:rPr>
              <w:t>n</w:t>
            </w:r>
            <w:r w:rsidRPr="004D52DA">
              <w:rPr>
                <w:rFonts w:asciiTheme="minorHAnsi" w:hAnsiTheme="minorHAnsi"/>
                <w:b/>
                <w:sz w:val="22"/>
                <w:szCs w:val="22"/>
              </w:rPr>
              <w:t>’nin %’si olarak</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b/>
                <w:sz w:val="22"/>
                <w:szCs w:val="22"/>
              </w:rPr>
            </w:pPr>
            <w:r w:rsidRPr="004D52DA">
              <w:rPr>
                <w:rFonts w:asciiTheme="minorHAnsi" w:hAnsiTheme="minorHAnsi"/>
                <w:b/>
                <w:sz w:val="22"/>
                <w:szCs w:val="22"/>
              </w:rPr>
              <w:t>Mililitre olarak</w:t>
            </w:r>
          </w:p>
        </w:tc>
      </w:tr>
      <w:tr w:rsidR="00CF4AAB" w:rsidRPr="004D52DA" w:rsidTr="001A01D3">
        <w:trPr>
          <w:trHeight w:val="228"/>
        </w:trPr>
        <w:tc>
          <w:tcPr>
            <w:tcW w:w="447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50 – 100 arası</w:t>
            </w: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3</w:t>
            </w:r>
          </w:p>
        </w:tc>
      </w:tr>
      <w:tr w:rsidR="00CF4AAB" w:rsidRPr="004D52DA" w:rsidTr="001A01D3">
        <w:trPr>
          <w:trHeight w:val="242"/>
        </w:trPr>
        <w:tc>
          <w:tcPr>
            <w:tcW w:w="447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100 – 200 arası</w:t>
            </w: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3</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w:t>
            </w:r>
          </w:p>
        </w:tc>
      </w:tr>
      <w:tr w:rsidR="00CF4AAB" w:rsidRPr="004D52DA" w:rsidTr="001A01D3">
        <w:trPr>
          <w:trHeight w:val="228"/>
        </w:trPr>
        <w:tc>
          <w:tcPr>
            <w:tcW w:w="447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200 – 300 arası</w:t>
            </w: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6</w:t>
            </w:r>
          </w:p>
        </w:tc>
      </w:tr>
      <w:tr w:rsidR="00CF4AAB" w:rsidRPr="004D52DA" w:rsidTr="001A01D3">
        <w:trPr>
          <w:trHeight w:val="228"/>
        </w:trPr>
        <w:tc>
          <w:tcPr>
            <w:tcW w:w="447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300 – 500 arası</w:t>
            </w: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2</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w:t>
            </w:r>
          </w:p>
        </w:tc>
      </w:tr>
      <w:tr w:rsidR="00CF4AAB" w:rsidRPr="004D52DA" w:rsidTr="001A01D3">
        <w:trPr>
          <w:trHeight w:val="242"/>
        </w:trPr>
        <w:tc>
          <w:tcPr>
            <w:tcW w:w="447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500 – 1000 arası</w:t>
            </w: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10</w:t>
            </w:r>
          </w:p>
        </w:tc>
      </w:tr>
      <w:tr w:rsidR="00CF4AAB" w:rsidRPr="004D52DA" w:rsidTr="001A01D3">
        <w:trPr>
          <w:trHeight w:val="228"/>
        </w:trPr>
        <w:tc>
          <w:tcPr>
            <w:tcW w:w="447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1000 – 5000 arası</w:t>
            </w:r>
          </w:p>
        </w:tc>
        <w:tc>
          <w:tcPr>
            <w:tcW w:w="20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1</w:t>
            </w:r>
          </w:p>
        </w:tc>
        <w:tc>
          <w:tcPr>
            <w:tcW w:w="2530" w:type="dxa"/>
            <w:tcBorders>
              <w:top w:val="nil"/>
              <w:left w:val="nil"/>
              <w:bottom w:val="single" w:sz="8" w:space="0" w:color="auto"/>
              <w:right w:val="single" w:sz="8" w:space="0" w:color="auto"/>
            </w:tcBorders>
            <w:tcMar>
              <w:top w:w="0" w:type="dxa"/>
              <w:left w:w="70" w:type="dxa"/>
              <w:bottom w:w="0" w:type="dxa"/>
              <w:right w:w="70" w:type="dxa"/>
            </w:tcMar>
          </w:tcPr>
          <w:p w:rsidR="00C25617" w:rsidRPr="004D52DA" w:rsidRDefault="00C25617" w:rsidP="001A01D3">
            <w:pPr>
              <w:spacing w:line="240" w:lineRule="exact"/>
              <w:jc w:val="center"/>
              <w:rPr>
                <w:rFonts w:asciiTheme="minorHAnsi" w:hAnsiTheme="minorHAnsi"/>
                <w:sz w:val="22"/>
                <w:szCs w:val="22"/>
              </w:rPr>
            </w:pPr>
            <w:r w:rsidRPr="004D52DA">
              <w:rPr>
                <w:rFonts w:asciiTheme="minorHAnsi" w:hAnsiTheme="minorHAnsi"/>
                <w:sz w:val="22"/>
                <w:szCs w:val="22"/>
              </w:rPr>
              <w:t>-</w:t>
            </w:r>
          </w:p>
        </w:tc>
      </w:tr>
    </w:tbl>
    <w:p w:rsidR="004D52DA" w:rsidRDefault="004D52DA" w:rsidP="00C25617">
      <w:pPr>
        <w:spacing w:line="240" w:lineRule="exact"/>
        <w:ind w:firstLine="708"/>
        <w:jc w:val="both"/>
        <w:rPr>
          <w:rFonts w:asciiTheme="minorHAnsi" w:hAnsiTheme="minorHAnsi"/>
          <w:sz w:val="22"/>
          <w:szCs w:val="22"/>
        </w:rPr>
      </w:pP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Birim kapasitedeki en büyük kabul edilebilir hata, nominal kapasite karşılığındaki en büyük müsaade edilebilir hata ile aynı olmalıdır.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Verilmeyen toleransların sistematik olarak tespiti yasaktır.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4. Uygulamada, ölçü kabı şişesinin gerçek kapasitesi teorik olarak nominal kapasiteye karşı gelen seviyeye kadar doldurulan 20°C’deki suyun  miktarı  tayin edilerek kontrol edilir. Bu kontrol eşdeğer hassasiyetli bir metot ile dolaylı olarak da yapılabilir.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5.  Ölçü şişeleri üreten her üretici, kendisini tanımlayan markasını “Türk Patent Enstitüsü” ne başvurarak tescil ettirmek ve Bakanlığa bildirmek zorundadır.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Bakanlık, tescil edilmiş marka kaydını 1 ay içinde Müsteşarlık aracılığı ile Komisyona ve diğer üye ülkelere bildirir.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Üretici, Ölçü Aletleri ve Metrolojik Kontrol Yöntemleri Hakkında Yönetmelik (2009/34/AT) de öngörülen ters epsilon “3” işaretini bu Yönetmelik ve eklerinde belirtilen şartları karşıladığını belgelendirdikten sonra kendi sorumluluğundaki, ölçü şişeleri üzerine vurur. Bu işaret en az 3 milimetre  boyunda olmalıdır.</w:t>
      </w:r>
    </w:p>
    <w:p w:rsidR="00C25617" w:rsidRPr="004D52DA" w:rsidRDefault="00C25617" w:rsidP="00C25617">
      <w:pPr>
        <w:pStyle w:val="AklamaMetni"/>
        <w:spacing w:before="0" w:beforeAutospacing="0" w:after="0" w:afterAutospacing="0" w:line="240" w:lineRule="exact"/>
        <w:ind w:firstLine="708"/>
        <w:jc w:val="both"/>
        <w:rPr>
          <w:rFonts w:asciiTheme="minorHAnsi" w:hAnsiTheme="minorHAnsi"/>
          <w:sz w:val="22"/>
          <w:szCs w:val="22"/>
        </w:rPr>
      </w:pPr>
      <w:r w:rsidRPr="004D52DA">
        <w:rPr>
          <w:rFonts w:asciiTheme="minorHAnsi" w:hAnsiTheme="minorHAnsi"/>
          <w:sz w:val="22"/>
          <w:szCs w:val="22"/>
        </w:rPr>
        <w:t>6. Bakanlık, ölçü şişelerinin bu Yönetmelik hükümlerine uygunluğunu üretim yerinden veya bunun pratik olmaması durumunda ithalatçı  veya ithalatçının yetkili temsilcisinden numune alarak kontrol yapar.</w:t>
      </w:r>
    </w:p>
    <w:p w:rsidR="00C25617" w:rsidRPr="004D52DA" w:rsidRDefault="00C25617" w:rsidP="00C25617">
      <w:pPr>
        <w:pStyle w:val="GvdeMetni2"/>
        <w:spacing w:before="0" w:beforeAutospacing="0" w:after="0" w:afterAutospacing="0" w:line="240" w:lineRule="exact"/>
        <w:rPr>
          <w:rFonts w:asciiTheme="minorHAnsi" w:hAnsiTheme="minorHAnsi"/>
          <w:sz w:val="22"/>
          <w:szCs w:val="22"/>
        </w:rPr>
      </w:pPr>
      <w:r w:rsidRPr="004D52DA">
        <w:rPr>
          <w:rFonts w:asciiTheme="minorHAnsi" w:hAnsiTheme="minorHAnsi"/>
          <w:sz w:val="22"/>
          <w:szCs w:val="22"/>
        </w:rPr>
        <w:t xml:space="preserve">İstatiksel numune alma kontrolü, onaylanmış kalite kontrol denetim metotlarına uygun olarak yapılır. Bu kontrolün etkinliği Ek II’ de verilen metot ile mukayese edilebilmelidir. </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7. Bu Yönetmelik, ticaret çerçevesinde ilgili ülkenin yetkili birimleri tarafından yapılacak herhangi bir  kontrolü engellemez.</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 xml:space="preserve">8. Ölçü şişeleri aşağıda belirtilen silinmez, kolay okunabilen ve görünür işaretleri üzerinde bulundurmak zorundadır.  </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8.1. Kılıf üzerinde, taban dikişinde veya tabanda:</w:t>
      </w:r>
    </w:p>
    <w:p w:rsidR="005B4034" w:rsidRPr="004D52DA" w:rsidRDefault="00C25617" w:rsidP="005B4034">
      <w:pPr>
        <w:spacing w:line="240" w:lineRule="exact"/>
        <w:ind w:firstLine="708"/>
        <w:jc w:val="both"/>
        <w:rPr>
          <w:rFonts w:asciiTheme="minorHAnsi" w:hAnsiTheme="minorHAnsi"/>
          <w:sz w:val="22"/>
          <w:szCs w:val="22"/>
        </w:rPr>
      </w:pPr>
      <w:r w:rsidRPr="004D52DA">
        <w:rPr>
          <w:rFonts w:asciiTheme="minorHAnsi" w:hAnsiTheme="minorHAnsi"/>
          <w:sz w:val="22"/>
          <w:szCs w:val="22"/>
        </w:rPr>
        <w:t xml:space="preserve">8.1.1. Litre, santilitre veya mililitre birimleri olarak basılacak nominal hacimlerinde kullanılan rakamlar, 100 cl üzerindeki nominal hacimlerinde en azından </w:t>
      </w:r>
      <w:smartTag w:uri="urn:schemas-microsoft-com:office:smarttags" w:element="metricconverter">
        <w:smartTagPr>
          <w:attr w:name="ProductID" w:val="6 mm"/>
        </w:smartTagPr>
        <w:r w:rsidRPr="004D52DA">
          <w:rPr>
            <w:rFonts w:asciiTheme="minorHAnsi" w:hAnsiTheme="minorHAnsi"/>
            <w:sz w:val="22"/>
            <w:szCs w:val="22"/>
          </w:rPr>
          <w:t>6 mm</w:t>
        </w:r>
      </w:smartTag>
      <w:r w:rsidRPr="004D52DA">
        <w:rPr>
          <w:rFonts w:asciiTheme="minorHAnsi" w:hAnsiTheme="minorHAnsi"/>
          <w:sz w:val="22"/>
          <w:szCs w:val="22"/>
        </w:rPr>
        <w:t xml:space="preserve"> yüksekliğinde, 20 ila 100 cl </w:t>
      </w:r>
      <w:r w:rsidRPr="004D52DA">
        <w:rPr>
          <w:rFonts w:asciiTheme="minorHAnsi" w:hAnsiTheme="minorHAnsi"/>
          <w:sz w:val="22"/>
          <w:szCs w:val="22"/>
        </w:rPr>
        <w:lastRenderedPageBreak/>
        <w:t xml:space="preserve">arasındaki nominal hacimlerinde en azından </w:t>
      </w:r>
      <w:smartTag w:uri="urn:schemas-microsoft-com:office:smarttags" w:element="metricconverter">
        <w:smartTagPr>
          <w:attr w:name="ProductID" w:val="4 mm"/>
        </w:smartTagPr>
        <w:r w:rsidRPr="004D52DA">
          <w:rPr>
            <w:rFonts w:asciiTheme="minorHAnsi" w:hAnsiTheme="minorHAnsi"/>
            <w:sz w:val="22"/>
            <w:szCs w:val="22"/>
          </w:rPr>
          <w:t>4 mm</w:t>
        </w:r>
      </w:smartTag>
      <w:r w:rsidRPr="004D52DA">
        <w:rPr>
          <w:rFonts w:asciiTheme="minorHAnsi" w:hAnsiTheme="minorHAnsi"/>
          <w:sz w:val="22"/>
          <w:szCs w:val="22"/>
        </w:rPr>
        <w:t xml:space="preserve"> yüksekliğinde, 20 cl ve bunun altındakilerde ise en azından </w:t>
      </w:r>
      <w:smartTag w:uri="urn:schemas-microsoft-com:office:smarttags" w:element="metricconverter">
        <w:smartTagPr>
          <w:attr w:name="ProductID" w:val="3 mm"/>
        </w:smartTagPr>
        <w:r w:rsidRPr="004D52DA">
          <w:rPr>
            <w:rFonts w:asciiTheme="minorHAnsi" w:hAnsiTheme="minorHAnsi"/>
            <w:sz w:val="22"/>
            <w:szCs w:val="22"/>
          </w:rPr>
          <w:t>3 mm</w:t>
        </w:r>
      </w:smartTag>
      <w:r w:rsidRPr="004D52DA">
        <w:rPr>
          <w:rFonts w:asciiTheme="minorHAnsi" w:hAnsiTheme="minorHAnsi"/>
          <w:sz w:val="22"/>
          <w:szCs w:val="22"/>
        </w:rPr>
        <w:t xml:space="preserve"> yüksekliğinde olmak zorundadır.</w:t>
      </w:r>
    </w:p>
    <w:p w:rsidR="00C25617" w:rsidRPr="004D52DA" w:rsidRDefault="00C25617" w:rsidP="005B4034">
      <w:pPr>
        <w:spacing w:line="240" w:lineRule="exact"/>
        <w:ind w:firstLine="708"/>
        <w:jc w:val="both"/>
        <w:rPr>
          <w:rFonts w:asciiTheme="minorHAnsi" w:hAnsiTheme="minorHAnsi"/>
          <w:sz w:val="22"/>
          <w:szCs w:val="22"/>
        </w:rPr>
      </w:pPr>
      <w:r w:rsidRPr="004D52DA">
        <w:rPr>
          <w:rFonts w:asciiTheme="minorHAnsi" w:hAnsiTheme="minorHAnsi"/>
          <w:sz w:val="22"/>
          <w:szCs w:val="22"/>
        </w:rPr>
        <w:t xml:space="preserve">Nominal dolum hacmini 80/181/EEC Direktifini uyumlaştıran Uluslararası  Birimler Sistemine  Dair Yönetmelik (80/181/AT) da belirtilen birim işareti takip eder.  </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8.1.2. Ek I madde 5 paragraf 1’e göre üreticinin tescil edilmiş markası,</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8.1.3. Ek I madde 5 paragraf 3’e göre ters epsilon “</w:t>
      </w:r>
      <w:smartTag w:uri="urn:schemas-microsoft-com:office:smarttags" w:element="metricconverter">
        <w:smartTagPr>
          <w:attr w:name="ProductID" w:val="3”"/>
        </w:smartTagPr>
        <w:r w:rsidRPr="004D52DA">
          <w:rPr>
            <w:rFonts w:asciiTheme="minorHAnsi" w:hAnsiTheme="minorHAnsi"/>
            <w:sz w:val="22"/>
            <w:szCs w:val="22"/>
          </w:rPr>
          <w:t>3”</w:t>
        </w:r>
      </w:smartTag>
      <w:r w:rsidRPr="004D52DA">
        <w:rPr>
          <w:rFonts w:asciiTheme="minorHAnsi" w:hAnsiTheme="minorHAnsi"/>
          <w:sz w:val="22"/>
          <w:szCs w:val="22"/>
        </w:rPr>
        <w:t xml:space="preserve"> işareti,</w:t>
      </w:r>
    </w:p>
    <w:p w:rsidR="009E77C2"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8.2. Şişe tabanında veya taban dikişinde, yukarıdaki işaretlemelerle karışıklık yaratmayacak biçimde</w:t>
      </w:r>
      <w:r w:rsidR="009E77C2" w:rsidRPr="004D52DA">
        <w:rPr>
          <w:rFonts w:asciiTheme="minorHAnsi" w:hAnsiTheme="minorHAnsi"/>
          <w:sz w:val="22"/>
          <w:szCs w:val="22"/>
        </w:rPr>
        <w:t>,</w:t>
      </w:r>
      <w:r w:rsidRPr="004D52DA">
        <w:rPr>
          <w:rFonts w:asciiTheme="minorHAnsi" w:hAnsiTheme="minorHAnsi"/>
          <w:sz w:val="22"/>
          <w:szCs w:val="22"/>
        </w:rPr>
        <w:t xml:space="preserve"> </w:t>
      </w:r>
      <w:r w:rsidR="009E77C2" w:rsidRPr="004D52DA">
        <w:rPr>
          <w:rFonts w:asciiTheme="minorHAnsi" w:hAnsiTheme="minorHAnsi"/>
          <w:sz w:val="22"/>
          <w:szCs w:val="22"/>
        </w:rPr>
        <w:t>dolum yöntemine uygun olan, nominal kapasite ile aynı büyüklükte</w:t>
      </w:r>
      <w:r w:rsidRPr="004D52DA">
        <w:rPr>
          <w:rFonts w:asciiTheme="minorHAnsi" w:hAnsiTheme="minorHAnsi"/>
          <w:sz w:val="22"/>
          <w:szCs w:val="22"/>
        </w:rPr>
        <w:t>ki rakamlarla</w:t>
      </w:r>
      <w:r w:rsidR="009E77C2" w:rsidRPr="004D52DA">
        <w:rPr>
          <w:rFonts w:asciiTheme="minorHAnsi" w:hAnsiTheme="minorHAnsi"/>
          <w:sz w:val="22"/>
          <w:szCs w:val="22"/>
        </w:rPr>
        <w:t xml:space="preserve"> belirtilmesi gereken</w:t>
      </w:r>
      <w:r w:rsidRPr="004D52DA">
        <w:rPr>
          <w:rFonts w:asciiTheme="minorHAnsi" w:hAnsiTheme="minorHAnsi"/>
          <w:sz w:val="22"/>
          <w:szCs w:val="22"/>
        </w:rPr>
        <w:t xml:space="preserve"> zorunluluklar aşağıda </w:t>
      </w:r>
      <w:r w:rsidR="009E77C2" w:rsidRPr="004D52DA">
        <w:rPr>
          <w:rFonts w:asciiTheme="minorHAnsi" w:hAnsiTheme="minorHAnsi"/>
          <w:sz w:val="22"/>
          <w:szCs w:val="22"/>
        </w:rPr>
        <w:t>verilmiştir:</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8.2.1. Santilitre olarak limit dolum hacmi. Ancak cl birim işareti olmaksızın ve/veya üst limit seviyesi ile teorik dolum seviyesi arasındaki mesafenin milimetre olarak belirtilmesi.</w:t>
      </w:r>
    </w:p>
    <w:p w:rsidR="00C25617" w:rsidRPr="004D52DA" w:rsidRDefault="00C25617" w:rsidP="00C25617">
      <w:pPr>
        <w:spacing w:line="240" w:lineRule="exact"/>
        <w:ind w:firstLine="708"/>
        <w:jc w:val="both"/>
        <w:rPr>
          <w:rFonts w:asciiTheme="minorHAnsi" w:hAnsiTheme="minorHAnsi"/>
          <w:sz w:val="22"/>
          <w:szCs w:val="22"/>
        </w:rPr>
      </w:pPr>
      <w:r w:rsidRPr="004D52DA">
        <w:rPr>
          <w:rFonts w:asciiTheme="minorHAnsi" w:hAnsiTheme="minorHAnsi"/>
          <w:sz w:val="22"/>
          <w:szCs w:val="22"/>
        </w:rPr>
        <w:t>8.2.2. Öngörülen işaretlemelerle bir karışıklık tehlikesi söz konusu olmadığı takdirde şişeye daha başka işaretlemeler de eklenebilir.</w:t>
      </w:r>
    </w:p>
    <w:p w:rsidR="00C25617" w:rsidRPr="004D52DA" w:rsidRDefault="00C25617" w:rsidP="00C25617">
      <w:pPr>
        <w:pStyle w:val="md"/>
        <w:spacing w:before="0" w:beforeAutospacing="0" w:after="0" w:afterAutospacing="0" w:line="240" w:lineRule="exact"/>
        <w:jc w:val="center"/>
        <w:rPr>
          <w:rFonts w:asciiTheme="minorHAnsi" w:hAnsiTheme="minorHAnsi"/>
          <w:sz w:val="22"/>
          <w:szCs w:val="22"/>
        </w:rPr>
      </w:pPr>
    </w:p>
    <w:p w:rsidR="00C25617" w:rsidRPr="004D52DA" w:rsidRDefault="00C25617" w:rsidP="00C25617">
      <w:pPr>
        <w:pStyle w:val="md"/>
        <w:spacing w:before="0" w:beforeAutospacing="0" w:after="0" w:afterAutospacing="0" w:line="240" w:lineRule="exact"/>
        <w:jc w:val="center"/>
        <w:rPr>
          <w:rFonts w:asciiTheme="minorHAnsi" w:hAnsiTheme="minorHAnsi"/>
          <w:sz w:val="22"/>
          <w:szCs w:val="22"/>
        </w:rPr>
      </w:pPr>
      <w:r w:rsidRPr="004D52DA">
        <w:rPr>
          <w:rFonts w:asciiTheme="minorHAnsi" w:hAnsiTheme="minorHAnsi"/>
          <w:noProof/>
          <w:sz w:val="22"/>
          <w:szCs w:val="22"/>
        </w:rPr>
        <w:drawing>
          <wp:inline distT="0" distB="0" distL="0" distR="0" wp14:anchorId="28DADDF5" wp14:editId="6F81C60F">
            <wp:extent cx="6000750" cy="8905875"/>
            <wp:effectExtent l="0" t="0" r="0" b="9525"/>
            <wp:docPr id="5" name="Resim 5" descr="http://mevzuat.basbakanlik.gov.tr/mevzuat/cache/yonetmelik/7.5.6380_dosyalar/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vzuat.basbakanlik.gov.tr/mevzuat/cache/yonetmelik/7.5.6380_dosyalar/image001.gif"/>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000750" cy="8905875"/>
                    </a:xfrm>
                    <a:prstGeom prst="rect">
                      <a:avLst/>
                    </a:prstGeom>
                    <a:noFill/>
                    <a:ln>
                      <a:noFill/>
                    </a:ln>
                  </pic:spPr>
                </pic:pic>
              </a:graphicData>
            </a:graphic>
          </wp:inline>
        </w:drawing>
      </w:r>
    </w:p>
    <w:p w:rsidR="00C25617" w:rsidRPr="004D52DA" w:rsidRDefault="00C25617" w:rsidP="00C25617">
      <w:pPr>
        <w:pStyle w:val="md"/>
        <w:spacing w:before="0" w:beforeAutospacing="0" w:after="0" w:afterAutospacing="0" w:line="240" w:lineRule="exact"/>
        <w:jc w:val="center"/>
        <w:rPr>
          <w:rFonts w:asciiTheme="minorHAnsi" w:hAnsiTheme="minorHAnsi"/>
          <w:sz w:val="22"/>
          <w:szCs w:val="22"/>
        </w:rPr>
      </w:pPr>
      <w:r w:rsidRPr="004D52DA">
        <w:rPr>
          <w:rFonts w:asciiTheme="minorHAnsi" w:hAnsiTheme="minorHAnsi"/>
          <w:noProof/>
          <w:sz w:val="22"/>
          <w:szCs w:val="22"/>
        </w:rPr>
        <w:drawing>
          <wp:inline distT="0" distB="0" distL="0" distR="0" wp14:anchorId="3C424708" wp14:editId="55ABCA68">
            <wp:extent cx="8477250" cy="20078700"/>
            <wp:effectExtent l="0" t="0" r="0" b="0"/>
            <wp:docPr id="4" name="Resim 4" descr="http://mevzuat.basbakanlik.gov.tr/mevzuat/cache/yonetmelik/7.5.6380_dosyalar/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vzuat.basbakanlik.gov.tr/mevzuat/cache/yonetmelik/7.5.6380_dosyalar/image002.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477250" cy="20078700"/>
                    </a:xfrm>
                    <a:prstGeom prst="rect">
                      <a:avLst/>
                    </a:prstGeom>
                    <a:noFill/>
                    <a:ln>
                      <a:noFill/>
                    </a:ln>
                  </pic:spPr>
                </pic:pic>
              </a:graphicData>
            </a:graphic>
          </wp:inline>
        </w:drawing>
      </w:r>
    </w:p>
    <w:p w:rsidR="00C25617" w:rsidRPr="004D52DA" w:rsidRDefault="00C25617" w:rsidP="00C25617">
      <w:pPr>
        <w:pStyle w:val="md"/>
        <w:spacing w:before="0" w:beforeAutospacing="0" w:after="0" w:afterAutospacing="0" w:line="240" w:lineRule="exact"/>
        <w:jc w:val="center"/>
        <w:rPr>
          <w:rFonts w:asciiTheme="minorHAnsi" w:hAnsiTheme="minorHAnsi"/>
          <w:sz w:val="22"/>
          <w:szCs w:val="22"/>
        </w:rPr>
      </w:pPr>
      <w:r w:rsidRPr="004D52DA">
        <w:rPr>
          <w:rFonts w:asciiTheme="minorHAnsi" w:hAnsiTheme="minorHAnsi"/>
          <w:noProof/>
          <w:sz w:val="22"/>
          <w:szCs w:val="22"/>
        </w:rPr>
        <w:drawing>
          <wp:inline distT="0" distB="0" distL="0" distR="0" wp14:anchorId="3E72E63D" wp14:editId="58F78B19">
            <wp:extent cx="6000750" cy="11249025"/>
            <wp:effectExtent l="0" t="0" r="0" b="9525"/>
            <wp:docPr id="3" name="Resim 3" descr="http://mevzuat.basbakanlik.gov.tr/mevzuat/cache/yonetmelik/7.5.6380_dosyalar/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vzuat.basbakanlik.gov.tr/mevzuat/cache/yonetmelik/7.5.6380_dosyalar/image003.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000750" cy="11249025"/>
                    </a:xfrm>
                    <a:prstGeom prst="rect">
                      <a:avLst/>
                    </a:prstGeom>
                    <a:noFill/>
                    <a:ln>
                      <a:noFill/>
                    </a:ln>
                  </pic:spPr>
                </pic:pic>
              </a:graphicData>
            </a:graphic>
          </wp:inline>
        </w:drawing>
      </w:r>
    </w:p>
    <w:p w:rsidR="00C25617" w:rsidRPr="004D52DA" w:rsidRDefault="00C25617" w:rsidP="008B0C00">
      <w:pPr>
        <w:pStyle w:val="md"/>
        <w:spacing w:before="0" w:beforeAutospacing="0" w:after="0" w:afterAutospacing="0" w:line="264" w:lineRule="auto"/>
        <w:jc w:val="center"/>
        <w:rPr>
          <w:rFonts w:asciiTheme="minorHAnsi" w:hAnsiTheme="minorHAnsi"/>
          <w:b/>
          <w:sz w:val="22"/>
          <w:szCs w:val="22"/>
        </w:rPr>
      </w:pPr>
      <w:r w:rsidRPr="004D52DA">
        <w:rPr>
          <w:rFonts w:asciiTheme="minorHAnsi" w:hAnsiTheme="minorHAnsi"/>
          <w:b/>
          <w:sz w:val="22"/>
          <w:szCs w:val="22"/>
        </w:rPr>
        <w:t>EK II</w:t>
      </w:r>
    </w:p>
    <w:p w:rsidR="00C25617" w:rsidRPr="004D52DA" w:rsidRDefault="00C25617" w:rsidP="00403238">
      <w:pPr>
        <w:pStyle w:val="md"/>
        <w:spacing w:before="0" w:beforeAutospacing="0" w:after="0" w:afterAutospacing="0" w:line="264" w:lineRule="auto"/>
        <w:jc w:val="both"/>
        <w:rPr>
          <w:rFonts w:asciiTheme="minorHAnsi" w:hAnsiTheme="minorHAnsi"/>
          <w:sz w:val="22"/>
          <w:szCs w:val="22"/>
        </w:rPr>
      </w:pP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Bu ek, bu Yönetmeliğin 6 ncı maddesi ve Ek I madde 6'daki şartlan karşılamak için ölçü şişelerinin istatistiksel kontrollerine dair işlemleri içerir.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b/>
          <w:sz w:val="22"/>
          <w:szCs w:val="22"/>
        </w:rPr>
      </w:pPr>
      <w:r w:rsidRPr="004D52DA">
        <w:rPr>
          <w:rFonts w:asciiTheme="minorHAnsi" w:hAnsiTheme="minorHAnsi" w:cs="Times New Roman"/>
          <w:b/>
          <w:sz w:val="22"/>
          <w:szCs w:val="22"/>
        </w:rPr>
        <w:t>1 Numune alma metodu</w:t>
      </w:r>
      <w:r w:rsidRPr="004D52DA">
        <w:rPr>
          <w:rFonts w:asciiTheme="minorHAnsi" w:hAnsiTheme="minorHAnsi" w:cs="Times New Roman"/>
          <w:b/>
          <w:sz w:val="22"/>
          <w:szCs w:val="22"/>
        </w:rPr>
        <w:tab/>
      </w:r>
    </w:p>
    <w:p w:rsidR="00C25617" w:rsidRPr="004D52DA" w:rsidRDefault="00C25617" w:rsidP="00403238">
      <w:pPr>
        <w:pStyle w:val="Gvdemetni1"/>
        <w:shd w:val="clear" w:color="auto" w:fill="auto"/>
        <w:tabs>
          <w:tab w:val="left" w:pos="4305"/>
        </w:tabs>
        <w:spacing w:before="0" w:after="0" w:line="240" w:lineRule="exact"/>
        <w:rPr>
          <w:rFonts w:asciiTheme="minorHAnsi" w:hAnsiTheme="minorHAnsi" w:cs="Times New Roman"/>
          <w:sz w:val="22"/>
          <w:szCs w:val="22"/>
        </w:rPr>
      </w:pPr>
      <w:r w:rsidRPr="004D52DA">
        <w:rPr>
          <w:rFonts w:asciiTheme="minorHAnsi" w:hAnsiTheme="minorHAnsi" w:cs="Times New Roman"/>
          <w:sz w:val="22"/>
          <w:szCs w:val="22"/>
        </w:rPr>
        <w:t xml:space="preserve">               Prensip olarak, ölçü şişelerinin aynı tasarım ve aynı imalatı temsil eden bir numune bir saatlik üretim sürecine denk gelen ölçü şişeleri partisinden alınır.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Bir saatlik üretim sürecine denk gelen ölçü şişeleri partisinden alınan numunelerde yapılan kontrolün sonucu tatminkâr değilse, ikinci bir kontrol yapılabilir; bu ikinci kontrol ya daha uzun bir üretim sürecine denk düşen ölçü şişeleri partisinden numune alma yöntemi ile yapılır ya da işletmenin üretimi, Bakanlığın resmen tanınmış kontrolüne tabi tutulmuşsa, üreticinin kontrol kartları yardımıyla yapılır.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Bir parti içinden alınan ölçü şişelerinin sayısı, her bir üye ülke taralından aşağıda madde 3'te detayı belirtilen sonuçlara uygulanan iki metoda bağlı olarak 35 veya 40 olmalıdır.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b/>
          <w:sz w:val="22"/>
          <w:szCs w:val="22"/>
        </w:rPr>
      </w:pPr>
      <w:r w:rsidRPr="004D52DA">
        <w:rPr>
          <w:rFonts w:asciiTheme="minorHAnsi" w:hAnsiTheme="minorHAnsi" w:cs="Times New Roman"/>
          <w:b/>
          <w:sz w:val="22"/>
          <w:szCs w:val="22"/>
        </w:rPr>
        <w:t>2. Ölçü şişelerinden alınan numunelerin kapasitelerinin ölçümü için esaslar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Ölçü şişeleri boş olarak tartılır.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Bu şişeler, yoğunluğu bilinen 20°C’deki su ile kontrolde kullanılan metoda uygun, doldurma seviyesine kadar doldurulur.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Bundan sonra, şişeler dolu olarak tartılır.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Bu kontrol gerekli işlemlere uygun yasal ölçme aleti kullanarak yapılır.</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sz w:val="22"/>
          <w:szCs w:val="22"/>
        </w:rPr>
      </w:pPr>
      <w:r w:rsidRPr="004D52DA">
        <w:rPr>
          <w:rFonts w:asciiTheme="minorHAnsi" w:hAnsiTheme="minorHAnsi" w:cs="Times New Roman"/>
          <w:sz w:val="22"/>
          <w:szCs w:val="22"/>
        </w:rPr>
        <w:t>Bu kapasitenin ölçümündeki hata, ölçü şişesinin nominal kapasitesine karşı gelen en fazla izin verilen hatanın beşte birinden daha büyük olamaz.</w:t>
      </w:r>
    </w:p>
    <w:p w:rsidR="00C25617" w:rsidRPr="004D52DA" w:rsidRDefault="00C25617" w:rsidP="00403238">
      <w:pPr>
        <w:pStyle w:val="Gvdemetni1"/>
        <w:shd w:val="clear" w:color="auto" w:fill="auto"/>
        <w:spacing w:before="0" w:after="0" w:line="240" w:lineRule="exact"/>
        <w:ind w:firstLine="685"/>
        <w:rPr>
          <w:rFonts w:asciiTheme="minorHAnsi" w:hAnsiTheme="minorHAnsi" w:cs="Times New Roman"/>
          <w:b/>
          <w:sz w:val="22"/>
          <w:szCs w:val="22"/>
        </w:rPr>
      </w:pPr>
      <w:r w:rsidRPr="004D52DA">
        <w:rPr>
          <w:rFonts w:asciiTheme="minorHAnsi" w:hAnsiTheme="minorHAnsi" w:cs="Times New Roman"/>
          <w:b/>
          <w:sz w:val="22"/>
          <w:szCs w:val="22"/>
        </w:rPr>
        <w:t>3. Sonuçların değerlendirilmesi</w:t>
      </w:r>
    </w:p>
    <w:p w:rsidR="00C25617" w:rsidRPr="004D52DA" w:rsidRDefault="00C25617" w:rsidP="00403238">
      <w:pPr>
        <w:pStyle w:val="Gvdemetni1"/>
        <w:shd w:val="clear" w:color="auto" w:fill="auto"/>
        <w:spacing w:before="0" w:after="0" w:line="240" w:lineRule="exact"/>
        <w:ind w:firstLine="688"/>
        <w:rPr>
          <w:rFonts w:asciiTheme="minorHAnsi" w:hAnsiTheme="minorHAnsi" w:cs="Times New Roman"/>
          <w:b/>
          <w:sz w:val="22"/>
          <w:szCs w:val="22"/>
        </w:rPr>
      </w:pPr>
      <w:r w:rsidRPr="004D52DA">
        <w:rPr>
          <w:rFonts w:asciiTheme="minorHAnsi" w:hAnsiTheme="minorHAnsi" w:cs="Times New Roman"/>
          <w:b/>
          <w:sz w:val="22"/>
          <w:szCs w:val="22"/>
        </w:rPr>
        <w:t>3.1. Standart sapma metodunun kullanımı</w:t>
      </w:r>
    </w:p>
    <w:p w:rsidR="00C25617" w:rsidRPr="004D52DA" w:rsidRDefault="00C25617" w:rsidP="00403238">
      <w:pPr>
        <w:pStyle w:val="md"/>
        <w:spacing w:before="0" w:beforeAutospacing="0" w:after="0" w:afterAutospacing="0" w:line="240" w:lineRule="exact"/>
        <w:ind w:firstLine="708"/>
        <w:jc w:val="both"/>
        <w:rPr>
          <w:rFonts w:asciiTheme="minorHAnsi" w:hAnsiTheme="minorHAnsi"/>
          <w:sz w:val="22"/>
          <w:szCs w:val="22"/>
        </w:rPr>
      </w:pPr>
      <w:r w:rsidRPr="004D52DA">
        <w:rPr>
          <w:rFonts w:asciiTheme="minorHAnsi" w:hAnsiTheme="minorHAnsi"/>
          <w:sz w:val="22"/>
          <w:szCs w:val="22"/>
        </w:rPr>
        <w:t>Numunedeki ölçü şişelerinin sayısı 35'tir.</w:t>
      </w:r>
    </w:p>
    <w:p w:rsidR="00C25617" w:rsidRPr="004D52DA" w:rsidRDefault="00C25617" w:rsidP="00403238">
      <w:pPr>
        <w:pStyle w:val="md"/>
        <w:spacing w:before="0" w:beforeAutospacing="0" w:after="0" w:afterAutospacing="0" w:line="240" w:lineRule="exact"/>
        <w:ind w:firstLine="708"/>
        <w:jc w:val="both"/>
        <w:rPr>
          <w:rFonts w:asciiTheme="minorHAnsi" w:hAnsiTheme="minorHAnsi"/>
          <w:sz w:val="22"/>
          <w:szCs w:val="22"/>
        </w:rPr>
      </w:pPr>
      <w:r w:rsidRPr="004D52DA">
        <w:rPr>
          <w:rFonts w:asciiTheme="minorHAnsi" w:hAnsiTheme="minorHAnsi"/>
          <w:sz w:val="22"/>
          <w:szCs w:val="22"/>
        </w:rPr>
        <w:t>3.1.1. Aşağıda gösterildiği gibi hesaplanır, (bakınız: 3.1.4)</w:t>
      </w:r>
    </w:p>
    <w:p w:rsidR="00C25617" w:rsidRPr="004D52DA" w:rsidRDefault="00C25617" w:rsidP="00403238">
      <w:pPr>
        <w:ind w:firstLine="708"/>
        <w:jc w:val="both"/>
        <w:rPr>
          <w:rFonts w:asciiTheme="minorHAnsi" w:eastAsia="Book Antiqua" w:hAnsiTheme="minorHAnsi"/>
          <w:spacing w:val="-2"/>
          <w:sz w:val="22"/>
          <w:szCs w:val="22"/>
        </w:rPr>
      </w:pPr>
      <w:r w:rsidRPr="004D52DA">
        <w:rPr>
          <w:rStyle w:val="Gvdemetni1ptbolukbraklyor"/>
          <w:rFonts w:asciiTheme="minorHAnsi" w:hAnsiTheme="minorHAnsi" w:cs="Times New Roman"/>
          <w:sz w:val="22"/>
          <w:szCs w:val="22"/>
        </w:rPr>
        <w:t>3.1.1.1.</w:t>
      </w:r>
      <w:r w:rsidRPr="004D52DA">
        <w:rPr>
          <w:rFonts w:asciiTheme="minorHAnsi" w:hAnsiTheme="minorHAnsi"/>
          <w:sz w:val="22"/>
          <w:szCs w:val="22"/>
        </w:rPr>
        <w:t xml:space="preserve"> Numunedeki ölçü şişelerinin gerçek kapasitelerinin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oMath>
      <w:r w:rsidRPr="004D52DA">
        <w:rPr>
          <w:rFonts w:asciiTheme="minorHAnsi" w:hAnsiTheme="minorHAnsi"/>
          <w:sz w:val="22"/>
          <w:szCs w:val="22"/>
        </w:rPr>
        <w:t xml:space="preserve"> ortalaması  </w:t>
      </w: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CF3374" w:rsidRPr="004D52DA">
        <w:rPr>
          <w:rFonts w:asciiTheme="minorHAnsi" w:hAnsiTheme="minorHAnsi"/>
          <w:spacing w:val="-2"/>
          <w:sz w:val="22"/>
          <w:szCs w:val="22"/>
          <w:lang w:eastAsia="en-US"/>
        </w:rPr>
        <w:t>,</w:t>
      </w:r>
    </w:p>
    <w:p w:rsidR="00C25617" w:rsidRPr="004D52DA" w:rsidRDefault="00C2561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3.1.1.2. Partideki ölçü şişe</w:t>
      </w:r>
      <w:r w:rsidR="00CF3374" w:rsidRPr="004D52DA">
        <w:rPr>
          <w:rFonts w:asciiTheme="minorHAnsi" w:eastAsia="Book Antiqua" w:hAnsiTheme="minorHAnsi"/>
          <w:spacing w:val="-2"/>
          <w:sz w:val="22"/>
          <w:szCs w:val="22"/>
        </w:rPr>
        <w:t>lerinin gerçek kapasitesinin “</w:t>
      </w:r>
      <m:oMath>
        <m:sSub>
          <m:sSubPr>
            <m:ctrlPr>
              <w:rPr>
                <w:rFonts w:ascii="Cambria Math" w:eastAsia="Book Antiqua" w:hAnsi="Cambria Math"/>
                <w:i/>
                <w:sz w:val="22"/>
                <w:szCs w:val="22"/>
              </w:rPr>
            </m:ctrlPr>
          </m:sSubPr>
          <m:e>
            <m:r>
              <w:rPr>
                <w:rFonts w:ascii="Cambria Math" w:eastAsia="Book Antiqua" w:hAnsi="Cambria Math"/>
                <w:sz w:val="22"/>
                <w:szCs w:val="22"/>
              </w:rPr>
              <m:t>x</m:t>
            </m:r>
          </m:e>
          <m:sub>
            <m:r>
              <w:rPr>
                <w:rFonts w:ascii="Cambria Math" w:eastAsia="Book Antiqua" w:hAnsi="Cambria Math"/>
                <w:sz w:val="22"/>
                <w:szCs w:val="22"/>
              </w:rPr>
              <m:t>i</m:t>
            </m:r>
          </m:sub>
        </m:sSub>
      </m:oMath>
      <w:r w:rsidRPr="004D52DA">
        <w:rPr>
          <w:rFonts w:asciiTheme="minorHAnsi" w:eastAsia="Book Antiqua" w:hAnsiTheme="minorHAnsi"/>
          <w:spacing w:val="-2"/>
          <w:sz w:val="22"/>
          <w:szCs w:val="22"/>
        </w:rPr>
        <w:t>” hesaplanan standart sapması s,</w:t>
      </w:r>
    </w:p>
    <w:p w:rsidR="00C25617" w:rsidRPr="004D52DA" w:rsidRDefault="00C2561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3.1.2 Aşağıda gösterildiği gibi hesaplanır.</w:t>
      </w:r>
    </w:p>
    <w:p w:rsidR="00C25617" w:rsidRPr="004D52DA" w:rsidRDefault="00CF3374"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3.1.2.1. Üst sınır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s</m:t>
            </m:r>
          </m:sub>
        </m:sSub>
      </m:oMath>
      <w:r w:rsidR="00C25617" w:rsidRPr="004D52DA">
        <w:rPr>
          <w:rFonts w:asciiTheme="minorHAnsi" w:eastAsia="Book Antiqua" w:hAnsiTheme="minorHAnsi"/>
          <w:spacing w:val="-2"/>
          <w:sz w:val="22"/>
          <w:szCs w:val="22"/>
        </w:rPr>
        <w:t>: Belirtilen kapasitelerden elde edilen ve bu kapasiteye karşılık gelen en fazla müsaade edilebilen hatanın toplamı. (bakınız Ek I Madde 8)</w:t>
      </w:r>
    </w:p>
    <w:p w:rsidR="00C25617" w:rsidRPr="004D52DA" w:rsidRDefault="00C2561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3.1.2.2. Alt sınır </w:t>
      </w:r>
      <w:r w:rsidR="00CF3374" w:rsidRPr="004D52DA">
        <w:rPr>
          <w:rFonts w:asciiTheme="minorHAnsi" w:eastAsia="Book Antiqua" w:hAnsiTheme="minorHAnsi"/>
          <w:spacing w:val="-2"/>
          <w:sz w:val="22"/>
          <w:szCs w:val="22"/>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oMath>
      <w:r w:rsidR="001F3EC5" w:rsidRPr="004D52DA">
        <w:rPr>
          <w:rFonts w:asciiTheme="minorHAnsi" w:eastAsia="Book Antiqua" w:hAnsiTheme="minorHAnsi"/>
          <w:spacing w:val="-2"/>
          <w:sz w:val="22"/>
          <w:szCs w:val="22"/>
        </w:rPr>
        <w:t>: Belirtilen</w:t>
      </w:r>
      <w:r w:rsidR="00681A0C" w:rsidRPr="004D52DA">
        <w:rPr>
          <w:rFonts w:asciiTheme="minorHAnsi" w:eastAsia="Book Antiqua" w:hAnsiTheme="minorHAnsi"/>
          <w:spacing w:val="-2"/>
          <w:sz w:val="22"/>
          <w:szCs w:val="22"/>
        </w:rPr>
        <w:t xml:space="preserve"> kapasite </w:t>
      </w:r>
      <w:r w:rsidRPr="004D52DA">
        <w:rPr>
          <w:rFonts w:asciiTheme="minorHAnsi" w:eastAsia="Book Antiqua" w:hAnsiTheme="minorHAnsi"/>
          <w:spacing w:val="-2"/>
          <w:sz w:val="22"/>
          <w:szCs w:val="22"/>
        </w:rPr>
        <w:t>ve bu kapasiteye karşılık gelen en fazla müsaade edilebilen hata arasındaki farktır. (bakınız Ek I Madde 8)</w:t>
      </w:r>
    </w:p>
    <w:p w:rsidR="00C25617" w:rsidRPr="004D52DA" w:rsidRDefault="00C2561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3.1.3 Kabul Kriteri</w:t>
      </w:r>
      <w:r w:rsidR="008A60AE" w:rsidRPr="004D52DA">
        <w:rPr>
          <w:rFonts w:asciiTheme="minorHAnsi" w:eastAsia="Book Antiqua" w:hAnsiTheme="minorHAnsi"/>
          <w:spacing w:val="-2"/>
          <w:sz w:val="22"/>
          <w:szCs w:val="22"/>
        </w:rPr>
        <w:t xml:space="preserve"> </w:t>
      </w:r>
    </w:p>
    <w:p w:rsidR="00C25617" w:rsidRPr="004D52DA" w:rsidRDefault="000271CC" w:rsidP="00403238">
      <w:pPr>
        <w:ind w:firstLine="708"/>
        <w:jc w:val="both"/>
        <w:rPr>
          <w:rFonts w:asciiTheme="minorHAnsi" w:eastAsia="Book Antiqua" w:hAnsiTheme="minorHAnsi"/>
          <w:spacing w:val="-2"/>
          <w:sz w:val="22"/>
          <w:szCs w:val="22"/>
          <w:lang w:eastAsia="en-US"/>
        </w:rPr>
      </w:pP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E63F80" w:rsidRPr="004D52DA">
        <w:rPr>
          <w:rFonts w:asciiTheme="minorHAnsi" w:eastAsia="Book Antiqua" w:hAnsiTheme="minorHAnsi"/>
          <w:spacing w:val="-2"/>
          <w:sz w:val="22"/>
          <w:szCs w:val="22"/>
          <w:lang w:eastAsia="en-US"/>
        </w:rPr>
        <w:t xml:space="preserve"> ve s sayıları aynı zamanda aşağıdaki üç eşitsizliği karşıladığında, parti bu Yönetmeliğe uygun kabul edilir:</w:t>
      </w:r>
    </w:p>
    <w:p w:rsidR="00C25617" w:rsidRPr="004D52DA" w:rsidRDefault="000271CC" w:rsidP="00403238">
      <w:pPr>
        <w:ind w:firstLine="708"/>
        <w:jc w:val="both"/>
        <w:rPr>
          <w:rFonts w:asciiTheme="minorHAnsi" w:eastAsia="Book Antiqua" w:hAnsiTheme="minorHAnsi"/>
          <w:sz w:val="22"/>
          <w:szCs w:val="22"/>
        </w:rPr>
      </w:pP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E63F80" w:rsidRPr="004D52DA">
        <w:rPr>
          <w:rFonts w:asciiTheme="minorHAnsi" w:eastAsia="Book Antiqua" w:hAnsiTheme="minorHAnsi"/>
          <w:spacing w:val="-2"/>
          <w:sz w:val="22"/>
          <w:szCs w:val="22"/>
          <w:lang w:eastAsia="en-US"/>
        </w:rPr>
        <w:t xml:space="preserve"> + k.s ≤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s</m:t>
            </m:r>
          </m:sub>
        </m:sSub>
      </m:oMath>
    </w:p>
    <w:p w:rsidR="00E63F80" w:rsidRPr="004D52DA" w:rsidRDefault="000271CC" w:rsidP="00403238">
      <w:pPr>
        <w:ind w:firstLine="708"/>
        <w:jc w:val="both"/>
        <w:rPr>
          <w:rFonts w:asciiTheme="minorHAnsi" w:eastAsia="Book Antiqua" w:hAnsiTheme="minorHAnsi"/>
          <w:spacing w:val="-2"/>
          <w:sz w:val="22"/>
          <w:szCs w:val="22"/>
          <w:lang w:eastAsia="en-US"/>
        </w:rPr>
      </w:pP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E63F80" w:rsidRPr="004D52DA">
        <w:rPr>
          <w:rFonts w:asciiTheme="minorHAnsi" w:eastAsia="Book Antiqua" w:hAnsiTheme="minorHAnsi"/>
          <w:spacing w:val="-2"/>
          <w:sz w:val="22"/>
          <w:szCs w:val="22"/>
          <w:lang w:eastAsia="en-US"/>
        </w:rPr>
        <w:t xml:space="preserve"> – k.s ≥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oMath>
      <w:r w:rsidR="00E63F80" w:rsidRPr="004D52DA">
        <w:rPr>
          <w:rFonts w:asciiTheme="minorHAnsi" w:eastAsia="Book Antiqua" w:hAnsiTheme="minorHAnsi"/>
          <w:spacing w:val="-2"/>
          <w:sz w:val="22"/>
          <w:szCs w:val="22"/>
          <w:lang w:eastAsia="en-US"/>
        </w:rPr>
        <w:t xml:space="preserve"> </w:t>
      </w:r>
    </w:p>
    <w:p w:rsidR="00E63F80" w:rsidRPr="004D52DA" w:rsidRDefault="00E63F80" w:rsidP="00403238">
      <w:pPr>
        <w:ind w:firstLine="708"/>
        <w:jc w:val="both"/>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t>s  ≤ F(</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s</m:t>
            </m:r>
          </m:sub>
        </m:sSub>
      </m:oMath>
      <w:r w:rsidRPr="004D52DA">
        <w:rPr>
          <w:rFonts w:asciiTheme="minorHAnsi" w:eastAsia="Book Antiqua" w:hAnsiTheme="minorHAnsi"/>
          <w:sz w:val="22"/>
          <w:szCs w:val="22"/>
        </w:rPr>
        <w:t xml:space="preserve"> -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oMath>
      <w:r w:rsidRPr="004D52DA">
        <w:rPr>
          <w:rFonts w:asciiTheme="minorHAnsi" w:eastAsia="Book Antiqua" w:hAnsiTheme="minorHAnsi"/>
          <w:spacing w:val="-2"/>
          <w:sz w:val="22"/>
          <w:szCs w:val="22"/>
          <w:lang w:eastAsia="en-US"/>
        </w:rPr>
        <w:t>)</w:t>
      </w:r>
    </w:p>
    <w:p w:rsidR="00E63F80" w:rsidRPr="004D52DA" w:rsidRDefault="00E63F80" w:rsidP="00403238">
      <w:pPr>
        <w:ind w:firstLine="708"/>
        <w:jc w:val="both"/>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t>Burada, k=1,57 ve F=0,266’dır.</w:t>
      </w:r>
    </w:p>
    <w:p w:rsidR="00E63F80" w:rsidRPr="004D52DA" w:rsidRDefault="00E63F80" w:rsidP="00403238">
      <w:pPr>
        <w:ind w:firstLine="708"/>
        <w:jc w:val="both"/>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t xml:space="preserve">3.1.4 Partinin ortalama değeri </w:t>
      </w: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Pr="004D52DA">
        <w:rPr>
          <w:rFonts w:asciiTheme="minorHAnsi" w:eastAsia="Book Antiqua" w:hAnsiTheme="minorHAnsi"/>
          <w:spacing w:val="-2"/>
          <w:sz w:val="22"/>
          <w:szCs w:val="22"/>
          <w:lang w:eastAsia="en-US"/>
        </w:rPr>
        <w:t xml:space="preserve"> ve standart sapması s’nin hesaplanması:</w:t>
      </w:r>
    </w:p>
    <w:p w:rsidR="00E63F80" w:rsidRPr="004D52DA" w:rsidRDefault="00E63F80" w:rsidP="00403238">
      <w:pPr>
        <w:ind w:firstLine="708"/>
        <w:jc w:val="both"/>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t>Aşağı</w:t>
      </w:r>
      <w:r w:rsidR="0022730D" w:rsidRPr="004D52DA">
        <w:rPr>
          <w:rFonts w:asciiTheme="minorHAnsi" w:eastAsia="Book Antiqua" w:hAnsiTheme="minorHAnsi"/>
          <w:spacing w:val="-2"/>
          <w:sz w:val="22"/>
          <w:szCs w:val="22"/>
          <w:lang w:eastAsia="en-US"/>
        </w:rPr>
        <w:t>da gösterildiği gibi hesaplanır:</w:t>
      </w:r>
    </w:p>
    <w:p w:rsidR="00E63F80" w:rsidRPr="004D52DA" w:rsidRDefault="00E63F80" w:rsidP="00403238">
      <w:pPr>
        <w:ind w:firstLine="708"/>
        <w:jc w:val="both"/>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lastRenderedPageBreak/>
        <w:t>- 35 gerçek kapasite ölçümlerinin x toplamı</w:t>
      </w:r>
      <w:r w:rsidR="00D5292E" w:rsidRPr="004D52DA">
        <w:rPr>
          <w:rFonts w:asciiTheme="minorHAnsi" w:eastAsia="Book Antiqua" w:hAnsiTheme="minorHAnsi"/>
          <w:spacing w:val="-2"/>
          <w:sz w:val="22"/>
          <w:szCs w:val="22"/>
          <w:lang w:eastAsia="en-US"/>
        </w:rPr>
        <w:t xml:space="preserve">: </w:t>
      </w:r>
      <m:oMath>
        <m:nary>
          <m:naryPr>
            <m:chr m:val="∑"/>
            <m:limLoc m:val="undOvr"/>
            <m:subHide m:val="1"/>
            <m:supHide m:val="1"/>
            <m:ctrlPr>
              <w:rPr>
                <w:rFonts w:ascii="Cambria Math" w:eastAsia="Book Antiqua" w:hAnsi="Cambria Math"/>
                <w:i/>
                <w:spacing w:val="-2"/>
                <w:sz w:val="22"/>
                <w:szCs w:val="22"/>
                <w:lang w:eastAsia="en-US"/>
              </w:rPr>
            </m:ctrlPr>
          </m:naryPr>
          <m:sub/>
          <m:sup/>
          <m:e>
            <m:sSub>
              <m:sSubPr>
                <m:ctrlPr>
                  <w:rPr>
                    <w:rFonts w:ascii="Cambria Math" w:eastAsia="Book Antiqua" w:hAnsi="Cambria Math"/>
                    <w:i/>
                    <w:spacing w:val="-2"/>
                    <w:sz w:val="22"/>
                    <w:szCs w:val="22"/>
                    <w:lang w:eastAsia="en-US"/>
                  </w:rPr>
                </m:ctrlPr>
              </m:sSubPr>
              <m:e>
                <m:r>
                  <w:rPr>
                    <w:rFonts w:ascii="Cambria Math" w:eastAsia="Book Antiqua" w:hAnsi="Cambria Math"/>
                    <w:spacing w:val="-2"/>
                    <w:sz w:val="22"/>
                    <w:szCs w:val="22"/>
                    <w:lang w:eastAsia="en-US"/>
                  </w:rPr>
                  <m:t>x</m:t>
                </m:r>
              </m:e>
              <m:sub>
                <m:r>
                  <w:rPr>
                    <w:rFonts w:ascii="Cambria Math" w:eastAsia="Book Antiqua" w:hAnsi="Cambria Math"/>
                    <w:spacing w:val="-2"/>
                    <w:sz w:val="22"/>
                    <w:szCs w:val="22"/>
                    <w:lang w:eastAsia="en-US"/>
                  </w:rPr>
                  <m:t>i</m:t>
                </m:r>
              </m:sub>
            </m:sSub>
          </m:e>
        </m:nary>
      </m:oMath>
    </w:p>
    <w:p w:rsidR="00D5292E" w:rsidRPr="004D52DA" w:rsidRDefault="00D5292E"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lang w:eastAsia="en-US"/>
        </w:rPr>
        <w:t xml:space="preserve">- 35 ölçümün ortalama değeri: </w:t>
      </w:r>
      <m:oMath>
        <m:acc>
          <m:accPr>
            <m:chr m:val="̅"/>
            <m:ctrlPr>
              <w:rPr>
                <w:rFonts w:ascii="Cambria Math" w:eastAsia="Book Antiqua" w:hAnsi="Cambria Math"/>
                <w:i/>
                <w:spacing w:val="-2"/>
                <w:sz w:val="22"/>
                <w:szCs w:val="22"/>
                <w:lang w:eastAsia="en-US"/>
              </w:rPr>
            </m:ctrlPr>
          </m:accPr>
          <m:e>
            <m:r>
              <w:rPr>
                <w:rFonts w:ascii="Cambria Math" w:eastAsia="Book Antiqua" w:hAnsi="Cambria Math"/>
                <w:spacing w:val="-2"/>
                <w:sz w:val="22"/>
                <w:szCs w:val="22"/>
                <w:lang w:eastAsia="en-US"/>
              </w:rPr>
              <m:t>X</m:t>
            </m:r>
          </m:e>
        </m:acc>
        <m:r>
          <w:rPr>
            <w:rFonts w:ascii="Cambria Math" w:eastAsia="Book Antiqua" w:hAnsi="Cambria Math"/>
            <w:spacing w:val="-2"/>
            <w:sz w:val="22"/>
            <w:szCs w:val="22"/>
            <w:lang w:eastAsia="en-US"/>
          </w:rPr>
          <m:t xml:space="preserve">= </m:t>
        </m:r>
        <m:f>
          <m:fPr>
            <m:ctrlPr>
              <w:rPr>
                <w:rFonts w:ascii="Cambria Math" w:eastAsia="Book Antiqua" w:hAnsi="Cambria Math"/>
                <w:i/>
                <w:spacing w:val="-2"/>
                <w:sz w:val="22"/>
                <w:szCs w:val="22"/>
                <w:lang w:eastAsia="en-US"/>
              </w:rPr>
            </m:ctrlPr>
          </m:fPr>
          <m:num>
            <m:nary>
              <m:naryPr>
                <m:chr m:val="∑"/>
                <m:limLoc m:val="undOvr"/>
                <m:subHide m:val="1"/>
                <m:supHide m:val="1"/>
                <m:ctrlPr>
                  <w:rPr>
                    <w:rFonts w:ascii="Cambria Math" w:eastAsia="Book Antiqua" w:hAnsi="Cambria Math"/>
                    <w:i/>
                    <w:spacing w:val="-2"/>
                    <w:sz w:val="22"/>
                    <w:szCs w:val="22"/>
                    <w:lang w:eastAsia="en-US"/>
                  </w:rPr>
                </m:ctrlPr>
              </m:naryPr>
              <m:sub/>
              <m:sup/>
              <m:e>
                <m:sSub>
                  <m:sSubPr>
                    <m:ctrlPr>
                      <w:rPr>
                        <w:rFonts w:ascii="Cambria Math" w:eastAsia="Book Antiqua" w:hAnsi="Cambria Math"/>
                        <w:i/>
                        <w:spacing w:val="-2"/>
                        <w:sz w:val="22"/>
                        <w:szCs w:val="22"/>
                        <w:lang w:eastAsia="en-US"/>
                      </w:rPr>
                    </m:ctrlPr>
                  </m:sSubPr>
                  <m:e>
                    <m:r>
                      <w:rPr>
                        <w:rFonts w:ascii="Cambria Math" w:eastAsia="Book Antiqua" w:hAnsi="Cambria Math"/>
                        <w:spacing w:val="-2"/>
                        <w:sz w:val="22"/>
                        <w:szCs w:val="22"/>
                        <w:lang w:eastAsia="en-US"/>
                      </w:rPr>
                      <m:t>x</m:t>
                    </m:r>
                  </m:e>
                  <m:sub>
                    <m:r>
                      <w:rPr>
                        <w:rFonts w:ascii="Cambria Math" w:eastAsia="Book Antiqua" w:hAnsi="Cambria Math"/>
                        <w:spacing w:val="-2"/>
                        <w:sz w:val="22"/>
                        <w:szCs w:val="22"/>
                        <w:lang w:eastAsia="en-US"/>
                      </w:rPr>
                      <m:t>i</m:t>
                    </m:r>
                  </m:sub>
                </m:sSub>
              </m:e>
            </m:nary>
          </m:num>
          <m:den>
            <m:r>
              <w:rPr>
                <w:rFonts w:ascii="Cambria Math" w:eastAsia="Book Antiqua" w:hAnsi="Cambria Math"/>
                <w:spacing w:val="-2"/>
                <w:sz w:val="22"/>
                <w:szCs w:val="22"/>
                <w:lang w:eastAsia="en-US"/>
              </w:rPr>
              <m:t>35</m:t>
            </m:r>
          </m:den>
        </m:f>
      </m:oMath>
    </w:p>
    <w:p w:rsidR="00C25617" w:rsidRPr="004D52DA" w:rsidRDefault="00D5292E"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w:t>
      </w:r>
      <w:r w:rsidR="005A2406" w:rsidRPr="004D52DA">
        <w:rPr>
          <w:rFonts w:asciiTheme="minorHAnsi" w:eastAsia="Book Antiqua" w:hAnsiTheme="minorHAnsi"/>
          <w:spacing w:val="-2"/>
          <w:sz w:val="22"/>
          <w:szCs w:val="22"/>
        </w:rPr>
        <w:t xml:space="preserve"> </w:t>
      </w:r>
      <w:r w:rsidRPr="004D52DA">
        <w:rPr>
          <w:rFonts w:asciiTheme="minorHAnsi" w:eastAsia="Book Antiqua" w:hAnsiTheme="minorHAnsi"/>
          <w:spacing w:val="-2"/>
          <w:sz w:val="22"/>
          <w:szCs w:val="22"/>
        </w:rPr>
        <w:t xml:space="preserve">35 ölçümün karelerinin toplamı: </w:t>
      </w:r>
      <m:oMath>
        <m:nary>
          <m:naryPr>
            <m:chr m:val="∑"/>
            <m:limLoc m:val="undOvr"/>
            <m:subHide m:val="1"/>
            <m:supHide m:val="1"/>
            <m:ctrlPr>
              <w:rPr>
                <w:rFonts w:ascii="Cambria Math" w:eastAsia="Book Antiqua" w:hAnsi="Cambria Math"/>
                <w:i/>
                <w:spacing w:val="-2"/>
                <w:sz w:val="22"/>
                <w:szCs w:val="22"/>
              </w:rPr>
            </m:ctrlPr>
          </m:naryPr>
          <m:sub/>
          <m:sup/>
          <m:e>
            <m:sSubSup>
              <m:sSubSupPr>
                <m:ctrlPr>
                  <w:rPr>
                    <w:rFonts w:ascii="Cambria Math" w:eastAsia="Book Antiqua" w:hAnsi="Cambria Math"/>
                    <w:i/>
                    <w:spacing w:val="-2"/>
                    <w:sz w:val="22"/>
                    <w:szCs w:val="22"/>
                  </w:rPr>
                </m:ctrlPr>
              </m:sSubSupPr>
              <m:e>
                <m:r>
                  <w:rPr>
                    <w:rFonts w:ascii="Cambria Math" w:eastAsia="Book Antiqua" w:hAnsi="Cambria Math"/>
                    <w:spacing w:val="-2"/>
                    <w:sz w:val="22"/>
                    <w:szCs w:val="22"/>
                  </w:rPr>
                  <m:t>x</m:t>
                </m:r>
              </m:e>
              <m:sub>
                <m:r>
                  <w:rPr>
                    <w:rFonts w:ascii="Cambria Math" w:eastAsia="Book Antiqua" w:hAnsi="Cambria Math"/>
                    <w:spacing w:val="-2"/>
                    <w:sz w:val="22"/>
                    <w:szCs w:val="22"/>
                  </w:rPr>
                  <m:t>i</m:t>
                </m:r>
              </m:sub>
              <m:sup>
                <m:r>
                  <w:rPr>
                    <w:rFonts w:ascii="Cambria Math" w:eastAsia="Book Antiqua" w:hAnsi="Cambria Math"/>
                    <w:spacing w:val="-2"/>
                    <w:sz w:val="22"/>
                    <w:szCs w:val="22"/>
                  </w:rPr>
                  <m:t>2</m:t>
                </m:r>
              </m:sup>
            </m:sSubSup>
          </m:e>
        </m:nary>
      </m:oMath>
    </w:p>
    <w:p w:rsidR="00D5292E" w:rsidRPr="004D52DA" w:rsidRDefault="005A2406"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- 35 ölçümün toplamının karesi: </w:t>
      </w:r>
      <m:oMath>
        <m:r>
          <w:rPr>
            <w:rFonts w:ascii="Cambria Math" w:eastAsia="Book Antiqua" w:hAnsi="Cambria Math"/>
            <w:spacing w:val="-2"/>
            <w:sz w:val="22"/>
            <w:szCs w:val="22"/>
          </w:rPr>
          <m:t>(</m:t>
        </m:r>
        <m:sSup>
          <m:sSupPr>
            <m:ctrlPr>
              <w:rPr>
                <w:rFonts w:ascii="Cambria Math" w:eastAsia="Book Antiqua" w:hAnsi="Cambria Math"/>
                <w:i/>
                <w:spacing w:val="-2"/>
                <w:sz w:val="22"/>
                <w:szCs w:val="22"/>
              </w:rPr>
            </m:ctrlPr>
          </m:sSupPr>
          <m:e>
            <m:nary>
              <m:naryPr>
                <m:chr m:val="∑"/>
                <m:limLoc m:val="undOvr"/>
                <m:subHide m:val="1"/>
                <m:supHide m:val="1"/>
                <m:ctrlPr>
                  <w:rPr>
                    <w:rFonts w:ascii="Cambria Math" w:eastAsia="Book Antiqua" w:hAnsi="Cambria Math"/>
                    <w:i/>
                    <w:spacing w:val="-2"/>
                    <w:sz w:val="22"/>
                    <w:szCs w:val="22"/>
                  </w:rPr>
                </m:ctrlPr>
              </m:naryPr>
              <m:sub/>
              <m:sup/>
              <m:e>
                <m:sSub>
                  <m:sSubPr>
                    <m:ctrlPr>
                      <w:rPr>
                        <w:rFonts w:ascii="Cambria Math" w:eastAsia="Book Antiqua" w:hAnsi="Cambria Math"/>
                        <w:i/>
                        <w:spacing w:val="-2"/>
                        <w:sz w:val="22"/>
                        <w:szCs w:val="22"/>
                      </w:rPr>
                    </m:ctrlPr>
                  </m:sSubPr>
                  <m:e>
                    <m:r>
                      <w:rPr>
                        <w:rFonts w:ascii="Cambria Math" w:eastAsia="Book Antiqua" w:hAnsi="Cambria Math"/>
                        <w:spacing w:val="-2"/>
                        <w:sz w:val="22"/>
                        <w:szCs w:val="22"/>
                      </w:rPr>
                      <m:t>x</m:t>
                    </m:r>
                  </m:e>
                  <m:sub>
                    <m:r>
                      <w:rPr>
                        <w:rFonts w:ascii="Cambria Math" w:eastAsia="Book Antiqua" w:hAnsi="Cambria Math"/>
                        <w:spacing w:val="-2"/>
                        <w:sz w:val="22"/>
                        <w:szCs w:val="22"/>
                      </w:rPr>
                      <m:t>i</m:t>
                    </m:r>
                  </m:sub>
                </m:sSub>
                <m:r>
                  <w:rPr>
                    <w:rFonts w:ascii="Cambria Math" w:eastAsia="Book Antiqua" w:hAnsi="Cambria Math"/>
                    <w:spacing w:val="-2"/>
                    <w:sz w:val="22"/>
                    <w:szCs w:val="22"/>
                  </w:rPr>
                  <m:t>)</m:t>
                </m:r>
              </m:e>
            </m:nary>
          </m:e>
          <m:sup>
            <m:r>
              <w:rPr>
                <w:rFonts w:ascii="Cambria Math" w:eastAsia="Book Antiqua" w:hAnsi="Cambria Math"/>
                <w:spacing w:val="-2"/>
                <w:sz w:val="22"/>
                <w:szCs w:val="22"/>
              </w:rPr>
              <m:t>2</m:t>
            </m:r>
          </m:sup>
        </m:sSup>
      </m:oMath>
      <w:r w:rsidRPr="004D52DA">
        <w:rPr>
          <w:rFonts w:asciiTheme="minorHAnsi" w:eastAsia="Book Antiqua" w:hAnsiTheme="minorHAnsi"/>
          <w:spacing w:val="-2"/>
          <w:sz w:val="22"/>
          <w:szCs w:val="22"/>
        </w:rPr>
        <w:t xml:space="preserve"> ve sonra </w:t>
      </w:r>
      <m:oMath>
        <m:f>
          <m:fPr>
            <m:ctrlPr>
              <w:rPr>
                <w:rFonts w:ascii="Cambria Math" w:eastAsia="Book Antiqua" w:hAnsi="Cambria Math"/>
                <w:i/>
                <w:spacing w:val="-2"/>
                <w:sz w:val="22"/>
                <w:szCs w:val="22"/>
              </w:rPr>
            </m:ctrlPr>
          </m:fPr>
          <m:num>
            <m:sSup>
              <m:sSupPr>
                <m:ctrlPr>
                  <w:rPr>
                    <w:rFonts w:ascii="Cambria Math" w:eastAsia="Book Antiqua" w:hAnsi="Cambria Math"/>
                    <w:i/>
                    <w:spacing w:val="-2"/>
                    <w:sz w:val="22"/>
                    <w:szCs w:val="22"/>
                  </w:rPr>
                </m:ctrlPr>
              </m:sSupPr>
              <m:e>
                <m:r>
                  <w:rPr>
                    <w:rFonts w:ascii="Cambria Math" w:eastAsia="Book Antiqua" w:hAnsi="Cambria Math"/>
                    <w:spacing w:val="-2"/>
                    <w:sz w:val="22"/>
                    <w:szCs w:val="22"/>
                  </w:rPr>
                  <m:t>(</m:t>
                </m:r>
                <m:nary>
                  <m:naryPr>
                    <m:chr m:val="∑"/>
                    <m:limLoc m:val="undOvr"/>
                    <m:subHide m:val="1"/>
                    <m:supHide m:val="1"/>
                    <m:ctrlPr>
                      <w:rPr>
                        <w:rFonts w:ascii="Cambria Math" w:eastAsia="Book Antiqua" w:hAnsi="Cambria Math"/>
                        <w:i/>
                        <w:spacing w:val="-2"/>
                        <w:sz w:val="22"/>
                        <w:szCs w:val="22"/>
                      </w:rPr>
                    </m:ctrlPr>
                  </m:naryPr>
                  <m:sub/>
                  <m:sup/>
                  <m:e>
                    <m:sSub>
                      <m:sSubPr>
                        <m:ctrlPr>
                          <w:rPr>
                            <w:rFonts w:ascii="Cambria Math" w:eastAsia="Book Antiqua" w:hAnsi="Cambria Math"/>
                            <w:i/>
                            <w:spacing w:val="-2"/>
                            <w:sz w:val="22"/>
                            <w:szCs w:val="22"/>
                          </w:rPr>
                        </m:ctrlPr>
                      </m:sSubPr>
                      <m:e>
                        <m:r>
                          <w:rPr>
                            <w:rFonts w:ascii="Cambria Math" w:eastAsia="Book Antiqua" w:hAnsi="Cambria Math"/>
                            <w:spacing w:val="-2"/>
                            <w:sz w:val="22"/>
                            <w:szCs w:val="22"/>
                          </w:rPr>
                          <m:t>x</m:t>
                        </m:r>
                      </m:e>
                      <m:sub>
                        <m:r>
                          <w:rPr>
                            <w:rFonts w:ascii="Cambria Math" w:eastAsia="Book Antiqua" w:hAnsi="Cambria Math"/>
                            <w:spacing w:val="-2"/>
                            <w:sz w:val="22"/>
                            <w:szCs w:val="22"/>
                          </w:rPr>
                          <m:t>i</m:t>
                        </m:r>
                      </m:sub>
                    </m:sSub>
                    <m:r>
                      <w:rPr>
                        <w:rFonts w:ascii="Cambria Math" w:eastAsia="Book Antiqua" w:hAnsi="Cambria Math"/>
                        <w:spacing w:val="-2"/>
                        <w:sz w:val="22"/>
                        <w:szCs w:val="22"/>
                      </w:rPr>
                      <m:t>)</m:t>
                    </m:r>
                  </m:e>
                </m:nary>
              </m:e>
              <m:sup>
                <m:r>
                  <w:rPr>
                    <w:rFonts w:ascii="Cambria Math" w:eastAsia="Book Antiqua" w:hAnsi="Cambria Math"/>
                    <w:spacing w:val="-2"/>
                    <w:sz w:val="22"/>
                    <w:szCs w:val="22"/>
                  </w:rPr>
                  <m:t>2</m:t>
                </m:r>
              </m:sup>
            </m:sSup>
          </m:num>
          <m:den>
            <m:r>
              <w:rPr>
                <w:rFonts w:ascii="Cambria Math" w:eastAsia="Book Antiqua" w:hAnsi="Cambria Math"/>
                <w:spacing w:val="-2"/>
                <w:sz w:val="22"/>
                <w:szCs w:val="22"/>
              </w:rPr>
              <m:t>35</m:t>
            </m:r>
          </m:den>
        </m:f>
      </m:oMath>
    </w:p>
    <w:p w:rsidR="005A2406" w:rsidRPr="004D52DA" w:rsidRDefault="005A3D6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 Düzeltilmiş toplam: </w:t>
      </w:r>
      <m:oMath>
        <m:r>
          <w:rPr>
            <w:rFonts w:ascii="Cambria Math" w:eastAsia="Book Antiqua" w:hAnsi="Cambria Math"/>
            <w:spacing w:val="-2"/>
            <w:sz w:val="22"/>
            <w:szCs w:val="22"/>
          </w:rPr>
          <m:t>SC=</m:t>
        </m:r>
        <m:nary>
          <m:naryPr>
            <m:chr m:val="∑"/>
            <m:limLoc m:val="undOvr"/>
            <m:subHide m:val="1"/>
            <m:supHide m:val="1"/>
            <m:ctrlPr>
              <w:rPr>
                <w:rFonts w:ascii="Cambria Math" w:eastAsia="Book Antiqua" w:hAnsi="Cambria Math"/>
                <w:i/>
                <w:spacing w:val="-2"/>
                <w:sz w:val="22"/>
                <w:szCs w:val="22"/>
              </w:rPr>
            </m:ctrlPr>
          </m:naryPr>
          <m:sub/>
          <m:sup/>
          <m:e>
            <m:sSubSup>
              <m:sSubSupPr>
                <m:ctrlPr>
                  <w:rPr>
                    <w:rFonts w:ascii="Cambria Math" w:eastAsia="Book Antiqua" w:hAnsi="Cambria Math"/>
                    <w:i/>
                    <w:spacing w:val="-2"/>
                    <w:sz w:val="22"/>
                    <w:szCs w:val="22"/>
                  </w:rPr>
                </m:ctrlPr>
              </m:sSubSupPr>
              <m:e>
                <m:r>
                  <w:rPr>
                    <w:rFonts w:ascii="Cambria Math" w:eastAsia="Book Antiqua" w:hAnsi="Cambria Math"/>
                    <w:spacing w:val="-2"/>
                    <w:sz w:val="22"/>
                    <w:szCs w:val="22"/>
                  </w:rPr>
                  <m:t>X</m:t>
                </m:r>
              </m:e>
              <m:sub>
                <m:r>
                  <w:rPr>
                    <w:rFonts w:ascii="Cambria Math" w:eastAsia="Book Antiqua" w:hAnsi="Cambria Math"/>
                    <w:spacing w:val="-2"/>
                    <w:sz w:val="22"/>
                    <w:szCs w:val="22"/>
                  </w:rPr>
                  <m:t>i</m:t>
                </m:r>
              </m:sub>
              <m:sup>
                <m:r>
                  <w:rPr>
                    <w:rFonts w:ascii="Cambria Math" w:eastAsia="Book Antiqua" w:hAnsi="Cambria Math"/>
                    <w:spacing w:val="-2"/>
                    <w:sz w:val="22"/>
                    <w:szCs w:val="22"/>
                  </w:rPr>
                  <m:t>2</m:t>
                </m:r>
              </m:sup>
            </m:sSubSup>
            <m:r>
              <w:rPr>
                <w:rFonts w:ascii="Cambria Math" w:eastAsia="Book Antiqua" w:hAnsi="Cambria Math"/>
                <w:spacing w:val="-2"/>
                <w:sz w:val="22"/>
                <w:szCs w:val="22"/>
              </w:rPr>
              <m:t>-</m:t>
            </m:r>
            <m:f>
              <m:fPr>
                <m:ctrlPr>
                  <w:rPr>
                    <w:rFonts w:ascii="Cambria Math" w:eastAsia="Book Antiqua" w:hAnsi="Cambria Math"/>
                    <w:i/>
                    <w:spacing w:val="-2"/>
                    <w:sz w:val="22"/>
                    <w:szCs w:val="22"/>
                  </w:rPr>
                </m:ctrlPr>
              </m:fPr>
              <m:num>
                <m:r>
                  <w:rPr>
                    <w:rFonts w:ascii="Cambria Math" w:eastAsia="Book Antiqua" w:hAnsi="Cambria Math"/>
                    <w:spacing w:val="-2"/>
                    <w:sz w:val="22"/>
                    <w:szCs w:val="22"/>
                  </w:rPr>
                  <m:t>1</m:t>
                </m:r>
              </m:num>
              <m:den>
                <m:r>
                  <w:rPr>
                    <w:rFonts w:ascii="Cambria Math" w:eastAsia="Book Antiqua" w:hAnsi="Cambria Math"/>
                    <w:spacing w:val="-2"/>
                    <w:sz w:val="22"/>
                    <w:szCs w:val="22"/>
                  </w:rPr>
                  <m:t>35</m:t>
                </m:r>
              </m:den>
            </m:f>
            <m:sSup>
              <m:sSupPr>
                <m:ctrlPr>
                  <w:rPr>
                    <w:rFonts w:ascii="Cambria Math" w:eastAsia="Book Antiqua" w:hAnsi="Cambria Math"/>
                    <w:i/>
                    <w:spacing w:val="-2"/>
                    <w:sz w:val="22"/>
                    <w:szCs w:val="22"/>
                  </w:rPr>
                </m:ctrlPr>
              </m:sSupPr>
              <m:e>
                <m:r>
                  <w:rPr>
                    <w:rFonts w:ascii="Cambria Math" w:eastAsia="Book Antiqua" w:hAnsi="Cambria Math"/>
                    <w:spacing w:val="-2"/>
                    <w:sz w:val="22"/>
                    <w:szCs w:val="22"/>
                  </w:rPr>
                  <m:t>(</m:t>
                </m:r>
                <m:nary>
                  <m:naryPr>
                    <m:chr m:val="∑"/>
                    <m:limLoc m:val="undOvr"/>
                    <m:subHide m:val="1"/>
                    <m:supHide m:val="1"/>
                    <m:ctrlPr>
                      <w:rPr>
                        <w:rFonts w:ascii="Cambria Math" w:eastAsia="Book Antiqua" w:hAnsi="Cambria Math"/>
                        <w:i/>
                        <w:spacing w:val="-2"/>
                        <w:sz w:val="22"/>
                        <w:szCs w:val="22"/>
                      </w:rPr>
                    </m:ctrlPr>
                  </m:naryPr>
                  <m:sub/>
                  <m:sup/>
                  <m:e>
                    <m:sSub>
                      <m:sSubPr>
                        <m:ctrlPr>
                          <w:rPr>
                            <w:rFonts w:ascii="Cambria Math" w:eastAsia="Book Antiqua" w:hAnsi="Cambria Math"/>
                            <w:i/>
                            <w:spacing w:val="-2"/>
                            <w:sz w:val="22"/>
                            <w:szCs w:val="22"/>
                          </w:rPr>
                        </m:ctrlPr>
                      </m:sSubPr>
                      <m:e>
                        <m:r>
                          <w:rPr>
                            <w:rFonts w:ascii="Cambria Math" w:eastAsia="Book Antiqua" w:hAnsi="Cambria Math"/>
                            <w:spacing w:val="-2"/>
                            <w:sz w:val="22"/>
                            <w:szCs w:val="22"/>
                          </w:rPr>
                          <m:t>x</m:t>
                        </m:r>
                      </m:e>
                      <m:sub>
                        <m:r>
                          <w:rPr>
                            <w:rFonts w:ascii="Cambria Math" w:eastAsia="Book Antiqua" w:hAnsi="Cambria Math"/>
                            <w:spacing w:val="-2"/>
                            <w:sz w:val="22"/>
                            <w:szCs w:val="22"/>
                          </w:rPr>
                          <m:t>i</m:t>
                        </m:r>
                      </m:sub>
                    </m:sSub>
                    <m:r>
                      <w:rPr>
                        <w:rFonts w:ascii="Cambria Math" w:eastAsia="Book Antiqua" w:hAnsi="Cambria Math"/>
                        <w:spacing w:val="-2"/>
                        <w:sz w:val="22"/>
                        <w:szCs w:val="22"/>
                      </w:rPr>
                      <m:t>)</m:t>
                    </m:r>
                  </m:e>
                </m:nary>
              </m:e>
              <m:sup>
                <m:r>
                  <w:rPr>
                    <w:rFonts w:ascii="Cambria Math" w:eastAsia="Book Antiqua" w:hAnsi="Cambria Math"/>
                    <w:spacing w:val="-2"/>
                    <w:sz w:val="22"/>
                    <w:szCs w:val="22"/>
                  </w:rPr>
                  <m:t>2</m:t>
                </m:r>
              </m:sup>
            </m:sSup>
          </m:e>
        </m:nary>
      </m:oMath>
    </w:p>
    <w:p w:rsidR="005A3D67" w:rsidRPr="004D52DA" w:rsidRDefault="005A3D6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 Hesaplanan varyans: </w:t>
      </w:r>
      <m:oMath>
        <m:r>
          <w:rPr>
            <w:rFonts w:ascii="Cambria Math" w:eastAsia="Book Antiqua" w:hAnsi="Cambria Math"/>
            <w:spacing w:val="-2"/>
            <w:sz w:val="22"/>
            <w:szCs w:val="22"/>
          </w:rPr>
          <m:t>v=</m:t>
        </m:r>
        <m:f>
          <m:fPr>
            <m:ctrlPr>
              <w:rPr>
                <w:rFonts w:ascii="Cambria Math" w:eastAsia="Book Antiqua" w:hAnsi="Cambria Math"/>
                <w:i/>
                <w:spacing w:val="-2"/>
                <w:sz w:val="22"/>
                <w:szCs w:val="22"/>
              </w:rPr>
            </m:ctrlPr>
          </m:fPr>
          <m:num>
            <m:r>
              <w:rPr>
                <w:rFonts w:ascii="Cambria Math" w:eastAsia="Book Antiqua" w:hAnsi="Cambria Math"/>
                <w:spacing w:val="-2"/>
                <w:sz w:val="22"/>
                <w:szCs w:val="22"/>
              </w:rPr>
              <m:t>SC</m:t>
            </m:r>
          </m:num>
          <m:den>
            <m:r>
              <w:rPr>
                <w:rFonts w:ascii="Cambria Math" w:eastAsia="Book Antiqua" w:hAnsi="Cambria Math"/>
                <w:spacing w:val="-2"/>
                <w:sz w:val="22"/>
                <w:szCs w:val="22"/>
              </w:rPr>
              <m:t>34</m:t>
            </m:r>
          </m:den>
        </m:f>
      </m:oMath>
    </w:p>
    <w:p w:rsidR="005A3D67" w:rsidRPr="004D52DA" w:rsidRDefault="005A3D6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 Hesaplanan standart sapma </w:t>
      </w:r>
      <m:oMath>
        <m:r>
          <w:rPr>
            <w:rFonts w:ascii="Cambria Math" w:eastAsia="Book Antiqua" w:hAnsi="Cambria Math"/>
            <w:spacing w:val="-2"/>
            <w:sz w:val="22"/>
            <w:szCs w:val="22"/>
          </w:rPr>
          <m:t>s=</m:t>
        </m:r>
        <m:rad>
          <m:radPr>
            <m:degHide m:val="1"/>
            <m:ctrlPr>
              <w:rPr>
                <w:rFonts w:ascii="Cambria Math" w:eastAsia="Book Antiqua" w:hAnsi="Cambria Math"/>
                <w:i/>
                <w:spacing w:val="-2"/>
                <w:sz w:val="22"/>
                <w:szCs w:val="22"/>
              </w:rPr>
            </m:ctrlPr>
          </m:radPr>
          <m:deg/>
          <m:e>
            <m:r>
              <w:rPr>
                <w:rFonts w:ascii="Cambria Math" w:eastAsia="Book Antiqua" w:hAnsi="Cambria Math"/>
                <w:spacing w:val="-2"/>
                <w:sz w:val="22"/>
                <w:szCs w:val="22"/>
              </w:rPr>
              <m:t>v</m:t>
            </m:r>
          </m:e>
        </m:rad>
      </m:oMath>
    </w:p>
    <w:p w:rsidR="005A3D67" w:rsidRPr="004D52DA" w:rsidRDefault="005A3D67" w:rsidP="00403238">
      <w:pPr>
        <w:ind w:firstLine="708"/>
        <w:jc w:val="both"/>
        <w:rPr>
          <w:rFonts w:asciiTheme="minorHAnsi" w:eastAsia="Book Antiqua" w:hAnsiTheme="minorHAnsi"/>
          <w:b/>
          <w:spacing w:val="-2"/>
          <w:sz w:val="22"/>
          <w:szCs w:val="22"/>
        </w:rPr>
      </w:pPr>
      <w:r w:rsidRPr="004D52DA">
        <w:rPr>
          <w:rFonts w:asciiTheme="minorHAnsi" w:eastAsia="Book Antiqua" w:hAnsiTheme="minorHAnsi"/>
          <w:b/>
          <w:spacing w:val="-2"/>
          <w:sz w:val="22"/>
          <w:szCs w:val="22"/>
        </w:rPr>
        <w:t>3.2 Ortalama dağılım  metodunun kullanımı</w:t>
      </w:r>
    </w:p>
    <w:p w:rsidR="005A3D67" w:rsidRPr="004D52DA" w:rsidRDefault="00E0208F"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Numunedeki ölçü şişelerinin sayısı 40 dır.</w:t>
      </w:r>
    </w:p>
    <w:p w:rsidR="00E0208F" w:rsidRPr="004D52DA" w:rsidRDefault="00E0208F"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3.2.1 Aşağıda gösterildiği gibi hesaplanır.(bakınız 3.2.4)</w:t>
      </w:r>
    </w:p>
    <w:p w:rsidR="00E0208F" w:rsidRPr="004D52DA" w:rsidRDefault="00042098" w:rsidP="00403238">
      <w:pPr>
        <w:ind w:firstLine="708"/>
        <w:jc w:val="both"/>
        <w:rPr>
          <w:rFonts w:asciiTheme="minorHAnsi" w:hAnsiTheme="minorHAnsi"/>
          <w:spacing w:val="-2"/>
          <w:sz w:val="22"/>
          <w:szCs w:val="22"/>
          <w:lang w:eastAsia="en-US"/>
        </w:rPr>
      </w:pPr>
      <w:r w:rsidRPr="004D52DA">
        <w:rPr>
          <w:rFonts w:asciiTheme="minorHAnsi" w:eastAsia="Book Antiqua" w:hAnsiTheme="minorHAnsi"/>
          <w:spacing w:val="-2"/>
          <w:sz w:val="22"/>
          <w:szCs w:val="22"/>
        </w:rPr>
        <w:t xml:space="preserve">3.2.1.1Numunedeki ölçü şişelerinin gerçek kapasitelerinin </w:t>
      </w:r>
      <m:oMath>
        <m:sSub>
          <m:sSubPr>
            <m:ctrlPr>
              <w:rPr>
                <w:rFonts w:ascii="Cambria Math" w:eastAsia="Book Antiqua" w:hAnsi="Cambria Math"/>
                <w:i/>
                <w:sz w:val="22"/>
                <w:szCs w:val="22"/>
              </w:rPr>
            </m:ctrlPr>
          </m:sSubPr>
          <m:e>
            <m:r>
              <w:rPr>
                <w:rFonts w:ascii="Cambria Math" w:eastAsia="Book Antiqua" w:hAnsi="Cambria Math"/>
                <w:sz w:val="22"/>
                <w:szCs w:val="22"/>
              </w:rPr>
              <m:t>x</m:t>
            </m:r>
          </m:e>
          <m:sub>
            <m:r>
              <w:rPr>
                <w:rFonts w:ascii="Cambria Math" w:eastAsia="Book Antiqua" w:hAnsi="Cambria Math"/>
                <w:sz w:val="22"/>
                <w:szCs w:val="22"/>
              </w:rPr>
              <m:t>i</m:t>
            </m:r>
          </m:sub>
        </m:sSub>
      </m:oMath>
      <w:r w:rsidRPr="004D52DA">
        <w:rPr>
          <w:rFonts w:asciiTheme="minorHAnsi" w:hAnsiTheme="minorHAnsi"/>
          <w:sz w:val="22"/>
          <w:szCs w:val="22"/>
        </w:rPr>
        <w:t xml:space="preserve"> ortalaması  </w:t>
      </w: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Pr="004D52DA">
        <w:rPr>
          <w:rFonts w:asciiTheme="minorHAnsi" w:hAnsiTheme="minorHAnsi"/>
          <w:spacing w:val="-2"/>
          <w:sz w:val="22"/>
          <w:szCs w:val="22"/>
          <w:lang w:eastAsia="en-US"/>
        </w:rPr>
        <w:t>,</w:t>
      </w:r>
    </w:p>
    <w:p w:rsidR="00BE3475" w:rsidRPr="004D52DA" w:rsidRDefault="00042098" w:rsidP="00403238">
      <w:pPr>
        <w:ind w:firstLine="708"/>
        <w:jc w:val="both"/>
        <w:rPr>
          <w:rFonts w:asciiTheme="minorHAnsi" w:eastAsia="Book Antiqua" w:hAnsiTheme="minorHAnsi"/>
          <w:sz w:val="22"/>
          <w:szCs w:val="22"/>
        </w:rPr>
      </w:pPr>
      <w:r w:rsidRPr="004D52DA">
        <w:rPr>
          <w:rFonts w:asciiTheme="minorHAnsi" w:eastAsia="Book Antiqua" w:hAnsiTheme="minorHAnsi"/>
          <w:spacing w:val="-2"/>
          <w:sz w:val="22"/>
          <w:szCs w:val="22"/>
        </w:rPr>
        <w:t xml:space="preserve">3.2.1.2 </w:t>
      </w:r>
      <w:r w:rsidR="00D725E9" w:rsidRPr="004D52DA">
        <w:rPr>
          <w:rFonts w:asciiTheme="minorHAnsi" w:eastAsia="Book Antiqua" w:hAnsiTheme="minorHAnsi"/>
          <w:spacing w:val="-2"/>
          <w:sz w:val="22"/>
          <w:szCs w:val="22"/>
        </w:rPr>
        <w:t xml:space="preserve">Numunedeki ölçü şişelerinin gerçek kapasitelerinin </w:t>
      </w:r>
      <m:oMath>
        <m:sSub>
          <m:sSubPr>
            <m:ctrlPr>
              <w:rPr>
                <w:rFonts w:ascii="Cambria Math" w:eastAsia="Book Antiqua" w:hAnsi="Cambria Math"/>
                <w:i/>
                <w:sz w:val="22"/>
                <w:szCs w:val="22"/>
              </w:rPr>
            </m:ctrlPr>
          </m:sSubPr>
          <m:e>
            <m:r>
              <w:rPr>
                <w:rFonts w:ascii="Cambria Math" w:eastAsia="Book Antiqua" w:hAnsi="Cambria Math"/>
                <w:sz w:val="22"/>
                <w:szCs w:val="22"/>
              </w:rPr>
              <m:t>x</m:t>
            </m:r>
          </m:e>
          <m:sub>
            <m:r>
              <w:rPr>
                <w:rFonts w:ascii="Cambria Math" w:eastAsia="Book Antiqua" w:hAnsi="Cambria Math"/>
                <w:sz w:val="22"/>
                <w:szCs w:val="22"/>
              </w:rPr>
              <m:t>i</m:t>
            </m:r>
          </m:sub>
        </m:sSub>
      </m:oMath>
      <w:r w:rsidR="00E53353" w:rsidRPr="004D52DA">
        <w:rPr>
          <w:rFonts w:asciiTheme="minorHAnsi" w:eastAsia="Book Antiqua" w:hAnsiTheme="minorHAnsi"/>
          <w:sz w:val="22"/>
          <w:szCs w:val="22"/>
        </w:rPr>
        <w:t xml:space="preserve"> </w:t>
      </w:r>
      <w:r w:rsidR="00D725E9" w:rsidRPr="004D52DA">
        <w:rPr>
          <w:rFonts w:asciiTheme="minorHAnsi" w:eastAsia="Book Antiqua" w:hAnsiTheme="minorHAnsi"/>
          <w:sz w:val="22"/>
          <w:szCs w:val="22"/>
        </w:rPr>
        <w:t xml:space="preserve">ortalama dağılımı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00D725E9" w:rsidRPr="004D52DA">
        <w:rPr>
          <w:rFonts w:asciiTheme="minorHAnsi" w:eastAsia="Book Antiqua" w:hAnsiTheme="minorHAnsi"/>
          <w:sz w:val="22"/>
          <w:szCs w:val="22"/>
        </w:rPr>
        <w:t>,</w:t>
      </w:r>
    </w:p>
    <w:p w:rsidR="00D725E9" w:rsidRPr="004D52DA" w:rsidRDefault="00AC22A7" w:rsidP="00403238">
      <w:pPr>
        <w:ind w:firstLine="708"/>
        <w:jc w:val="both"/>
        <w:rPr>
          <w:rFonts w:asciiTheme="minorHAnsi" w:eastAsia="Book Antiqua" w:hAnsiTheme="minorHAnsi"/>
          <w:sz w:val="22"/>
          <w:szCs w:val="22"/>
        </w:rPr>
      </w:pPr>
      <w:r w:rsidRPr="004D52DA">
        <w:rPr>
          <w:rFonts w:asciiTheme="minorHAnsi" w:eastAsia="Book Antiqua" w:hAnsiTheme="minorHAnsi"/>
          <w:sz w:val="22"/>
          <w:szCs w:val="22"/>
        </w:rPr>
        <w:t>3.2.2 Aşağıda gösterildiği gibi hesaplanır:</w:t>
      </w:r>
    </w:p>
    <w:p w:rsidR="00AC22A7" w:rsidRPr="004D52DA" w:rsidRDefault="00AC22A7" w:rsidP="00403238">
      <w:pPr>
        <w:ind w:firstLine="708"/>
        <w:jc w:val="both"/>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3.2.2.1. Üst sınır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s</m:t>
            </m:r>
          </m:sub>
        </m:sSub>
      </m:oMath>
      <w:r w:rsidRPr="004D52DA">
        <w:rPr>
          <w:rFonts w:asciiTheme="minorHAnsi" w:eastAsia="Book Antiqua" w:hAnsiTheme="minorHAnsi"/>
          <w:spacing w:val="-2"/>
          <w:sz w:val="22"/>
          <w:szCs w:val="22"/>
        </w:rPr>
        <w:t>: Belirtilen kapasitelerden elde edilen ve bu kapasiteye karşılık gelen en fazla müsaade edilebilen hatanın toplamı. (bakınız Ek-I Madde 8)</w:t>
      </w:r>
    </w:p>
    <w:p w:rsidR="00AC22A7" w:rsidRPr="004D52DA" w:rsidRDefault="00AC22A7" w:rsidP="00AC22A7">
      <w:pPr>
        <w:ind w:firstLine="708"/>
        <w:rPr>
          <w:rFonts w:asciiTheme="minorHAnsi" w:eastAsia="Book Antiqua" w:hAnsiTheme="minorHAnsi"/>
          <w:spacing w:val="-2"/>
          <w:sz w:val="22"/>
          <w:szCs w:val="22"/>
        </w:rPr>
      </w:pPr>
      <w:r w:rsidRPr="004D52DA">
        <w:rPr>
          <w:rFonts w:asciiTheme="minorHAnsi" w:eastAsia="Book Antiqua" w:hAnsiTheme="minorHAnsi"/>
          <w:spacing w:val="-2"/>
          <w:sz w:val="22"/>
          <w:szCs w:val="22"/>
        </w:rPr>
        <w:t xml:space="preserve">3.2.2.2. Alt sınır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oMath>
      <w:r w:rsidRPr="004D52DA">
        <w:rPr>
          <w:rFonts w:asciiTheme="minorHAnsi" w:eastAsia="Book Antiqua" w:hAnsiTheme="minorHAnsi"/>
          <w:spacing w:val="-2"/>
          <w:sz w:val="22"/>
          <w:szCs w:val="22"/>
        </w:rPr>
        <w:t xml:space="preserve">: Belirtilen kapasite ve bu kapasiteye karşılık gelen en fazla müsaade edilebilen hata arasındaki farktır. </w:t>
      </w:r>
    </w:p>
    <w:p w:rsidR="00774AD1" w:rsidRPr="004D52DA" w:rsidRDefault="00774AD1" w:rsidP="00774AD1">
      <w:pPr>
        <w:ind w:firstLine="708"/>
        <w:rPr>
          <w:rFonts w:asciiTheme="minorHAnsi" w:eastAsia="Book Antiqua" w:hAnsiTheme="minorHAnsi"/>
          <w:spacing w:val="-2"/>
          <w:sz w:val="22"/>
          <w:szCs w:val="22"/>
        </w:rPr>
      </w:pPr>
      <w:r w:rsidRPr="004D52DA">
        <w:rPr>
          <w:rFonts w:asciiTheme="minorHAnsi" w:eastAsia="Book Antiqua" w:hAnsiTheme="minorHAnsi"/>
          <w:spacing w:val="-2"/>
          <w:sz w:val="22"/>
          <w:szCs w:val="22"/>
        </w:rPr>
        <w:t>3.2.3 Kabul Kriteri</w:t>
      </w:r>
    </w:p>
    <w:p w:rsidR="00774AD1" w:rsidRPr="004D52DA" w:rsidRDefault="000271CC" w:rsidP="00774AD1">
      <w:pPr>
        <w:ind w:firstLine="708"/>
        <w:rPr>
          <w:rFonts w:asciiTheme="minorHAnsi" w:eastAsia="Book Antiqua" w:hAnsiTheme="minorHAnsi"/>
          <w:spacing w:val="-2"/>
          <w:sz w:val="22"/>
          <w:szCs w:val="22"/>
          <w:lang w:eastAsia="en-US"/>
        </w:rPr>
      </w:pP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774AD1" w:rsidRPr="004D52DA">
        <w:rPr>
          <w:rFonts w:asciiTheme="minorHAnsi" w:eastAsia="Book Antiqua" w:hAnsiTheme="minorHAnsi"/>
          <w:spacing w:val="-2"/>
          <w:sz w:val="22"/>
          <w:szCs w:val="22"/>
          <w:lang w:eastAsia="en-US"/>
        </w:rPr>
        <w:t xml:space="preserve"> ve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00774AD1" w:rsidRPr="004D52DA">
        <w:rPr>
          <w:rFonts w:asciiTheme="minorHAnsi" w:eastAsia="Book Antiqua" w:hAnsiTheme="minorHAnsi"/>
          <w:spacing w:val="-2"/>
          <w:sz w:val="22"/>
          <w:szCs w:val="22"/>
          <w:lang w:eastAsia="en-US"/>
        </w:rPr>
        <w:t xml:space="preserve"> sayıları aynı zamanda aşağıdaki üç eşitsizliği karşıladığında, parti bu Yönetmeliğe uygun kabul edilir:</w:t>
      </w:r>
    </w:p>
    <w:p w:rsidR="00774AD1" w:rsidRPr="004D52DA" w:rsidRDefault="000271CC" w:rsidP="00774AD1">
      <w:pPr>
        <w:ind w:firstLine="708"/>
        <w:rPr>
          <w:rFonts w:asciiTheme="minorHAnsi" w:eastAsia="Book Antiqua" w:hAnsiTheme="minorHAnsi"/>
          <w:sz w:val="22"/>
          <w:szCs w:val="22"/>
        </w:rPr>
      </w:pP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390497" w:rsidRPr="004D52DA">
        <w:rPr>
          <w:rFonts w:asciiTheme="minorHAnsi" w:eastAsia="Book Antiqua" w:hAnsiTheme="minorHAnsi"/>
          <w:spacing w:val="-2"/>
          <w:sz w:val="22"/>
          <w:szCs w:val="22"/>
          <w:lang w:eastAsia="en-US"/>
        </w:rPr>
        <w:t xml:space="preserve"> + </w:t>
      </w:r>
      <m:oMath>
        <m:sSup>
          <m:sSupPr>
            <m:ctrlPr>
              <w:rPr>
                <w:rFonts w:ascii="Cambria Math" w:eastAsia="Book Antiqua" w:hAnsi="Cambria Math"/>
                <w:i/>
                <w:spacing w:val="-2"/>
                <w:sz w:val="22"/>
                <w:szCs w:val="22"/>
                <w:lang w:eastAsia="en-US"/>
              </w:rPr>
            </m:ctrlPr>
          </m:sSupPr>
          <m:e>
            <m:r>
              <w:rPr>
                <w:rFonts w:ascii="Cambria Math" w:eastAsia="Book Antiqua" w:hAnsi="Cambria Math"/>
                <w:spacing w:val="-2"/>
                <w:sz w:val="22"/>
                <w:szCs w:val="22"/>
                <w:lang w:eastAsia="en-US"/>
              </w:rPr>
              <m:t>k</m:t>
            </m:r>
          </m:e>
          <m:sup>
            <m:r>
              <w:rPr>
                <w:rFonts w:ascii="Cambria Math" w:eastAsia="Book Antiqua" w:hAnsi="Cambria Math"/>
                <w:spacing w:val="-2"/>
                <w:sz w:val="22"/>
                <w:szCs w:val="22"/>
                <w:lang w:eastAsia="en-US"/>
              </w:rPr>
              <m:t>'</m:t>
            </m:r>
          </m:sup>
        </m:sSup>
      </m:oMath>
      <w:r w:rsidR="00390497" w:rsidRPr="004D52DA">
        <w:rPr>
          <w:rFonts w:asciiTheme="minorHAnsi" w:eastAsia="Book Antiqua" w:hAnsiTheme="minorHAnsi"/>
          <w:spacing w:val="-2"/>
          <w:sz w:val="22"/>
          <w:szCs w:val="22"/>
          <w:lang w:eastAsia="en-US"/>
        </w:rPr>
        <w:t>.</w:t>
      </w:r>
      <m:oMath>
        <m:r>
          <w:rPr>
            <w:rFonts w:ascii="Cambria Math" w:eastAsia="Book Antiqua" w:hAnsi="Cambria Math"/>
            <w:sz w:val="22"/>
            <w:szCs w:val="22"/>
          </w:rPr>
          <m:t xml:space="preserve"> </m:t>
        </m:r>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00774AD1" w:rsidRPr="004D52DA">
        <w:rPr>
          <w:rFonts w:asciiTheme="minorHAnsi" w:eastAsia="Book Antiqua" w:hAnsiTheme="minorHAnsi"/>
          <w:spacing w:val="-2"/>
          <w:sz w:val="22"/>
          <w:szCs w:val="22"/>
          <w:lang w:eastAsia="en-US"/>
        </w:rPr>
        <w:t xml:space="preserve"> ≤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s</m:t>
            </m:r>
          </m:sub>
        </m:sSub>
      </m:oMath>
    </w:p>
    <w:p w:rsidR="00774AD1" w:rsidRPr="004D52DA" w:rsidRDefault="000271CC" w:rsidP="00774AD1">
      <w:pPr>
        <w:ind w:firstLine="708"/>
        <w:rPr>
          <w:rFonts w:asciiTheme="minorHAnsi" w:eastAsia="Book Antiqua" w:hAnsiTheme="minorHAnsi"/>
          <w:spacing w:val="-2"/>
          <w:sz w:val="22"/>
          <w:szCs w:val="22"/>
          <w:lang w:eastAsia="en-US"/>
        </w:rPr>
      </w:pP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00390497" w:rsidRPr="004D52DA">
        <w:rPr>
          <w:rFonts w:asciiTheme="minorHAnsi" w:eastAsia="Book Antiqua" w:hAnsiTheme="minorHAnsi"/>
          <w:spacing w:val="-2"/>
          <w:sz w:val="22"/>
          <w:szCs w:val="22"/>
          <w:lang w:eastAsia="en-US"/>
        </w:rPr>
        <w:t xml:space="preserve"> + </w:t>
      </w:r>
      <m:oMath>
        <m:sSup>
          <m:sSupPr>
            <m:ctrlPr>
              <w:rPr>
                <w:rFonts w:ascii="Cambria Math" w:eastAsia="Book Antiqua" w:hAnsi="Cambria Math"/>
                <w:i/>
                <w:spacing w:val="-2"/>
                <w:sz w:val="22"/>
                <w:szCs w:val="22"/>
                <w:lang w:eastAsia="en-US"/>
              </w:rPr>
            </m:ctrlPr>
          </m:sSupPr>
          <m:e>
            <m:r>
              <w:rPr>
                <w:rFonts w:ascii="Cambria Math" w:eastAsia="Book Antiqua" w:hAnsi="Cambria Math"/>
                <w:spacing w:val="-2"/>
                <w:sz w:val="22"/>
                <w:szCs w:val="22"/>
                <w:lang w:eastAsia="en-US"/>
              </w:rPr>
              <m:t>k</m:t>
            </m:r>
          </m:e>
          <m:sup>
            <m:r>
              <w:rPr>
                <w:rFonts w:ascii="Cambria Math" w:eastAsia="Book Antiqua" w:hAnsi="Cambria Math"/>
                <w:spacing w:val="-2"/>
                <w:sz w:val="22"/>
                <w:szCs w:val="22"/>
                <w:lang w:eastAsia="en-US"/>
              </w:rPr>
              <m:t>'</m:t>
            </m:r>
          </m:sup>
        </m:sSup>
      </m:oMath>
      <w:r w:rsidR="00390497" w:rsidRPr="004D52DA">
        <w:rPr>
          <w:rFonts w:asciiTheme="minorHAnsi" w:eastAsia="Book Antiqua" w:hAnsiTheme="minorHAnsi"/>
          <w:spacing w:val="-2"/>
          <w:sz w:val="22"/>
          <w:szCs w:val="22"/>
          <w:lang w:eastAsia="en-US"/>
        </w:rPr>
        <w:t>.</w:t>
      </w:r>
      <m:oMath>
        <m:r>
          <w:rPr>
            <w:rFonts w:ascii="Cambria Math" w:eastAsia="Book Antiqua" w:hAnsi="Cambria Math"/>
            <w:sz w:val="22"/>
            <w:szCs w:val="22"/>
          </w:rPr>
          <m:t xml:space="preserve"> </m:t>
        </m:r>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00390497" w:rsidRPr="004D52DA">
        <w:rPr>
          <w:rFonts w:asciiTheme="minorHAnsi" w:eastAsia="Book Antiqua" w:hAnsiTheme="minorHAnsi"/>
          <w:spacing w:val="-2"/>
          <w:sz w:val="22"/>
          <w:szCs w:val="22"/>
          <w:lang w:eastAsia="en-US"/>
        </w:rPr>
        <w:t xml:space="preserve"> </w:t>
      </w:r>
      <w:r w:rsidR="00774AD1" w:rsidRPr="004D52DA">
        <w:rPr>
          <w:rFonts w:asciiTheme="minorHAnsi" w:eastAsia="Book Antiqua" w:hAnsiTheme="minorHAnsi"/>
          <w:spacing w:val="-2"/>
          <w:sz w:val="22"/>
          <w:szCs w:val="22"/>
          <w:lang w:eastAsia="en-US"/>
        </w:rPr>
        <w:t xml:space="preserve">≥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oMath>
      <w:r w:rsidR="00774AD1" w:rsidRPr="004D52DA">
        <w:rPr>
          <w:rFonts w:asciiTheme="minorHAnsi" w:eastAsia="Book Antiqua" w:hAnsiTheme="minorHAnsi"/>
          <w:spacing w:val="-2"/>
          <w:sz w:val="22"/>
          <w:szCs w:val="22"/>
          <w:lang w:eastAsia="en-US"/>
        </w:rPr>
        <w:t xml:space="preserve"> </w:t>
      </w:r>
    </w:p>
    <w:p w:rsidR="00774AD1" w:rsidRPr="004D52DA" w:rsidRDefault="00774AD1" w:rsidP="00774AD1">
      <w:pPr>
        <w:ind w:firstLine="708"/>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t xml:space="preserve">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00274782" w:rsidRPr="004D52DA">
        <w:rPr>
          <w:rFonts w:asciiTheme="minorHAnsi" w:eastAsia="Book Antiqua" w:hAnsiTheme="minorHAnsi"/>
          <w:spacing w:val="-2"/>
          <w:sz w:val="22"/>
          <w:szCs w:val="22"/>
          <w:lang w:eastAsia="en-US"/>
        </w:rPr>
        <w:t xml:space="preserve"> ≤ </w:t>
      </w:r>
      <m:oMath>
        <m:sSup>
          <m:sSupPr>
            <m:ctrlPr>
              <w:rPr>
                <w:rFonts w:ascii="Cambria Math" w:eastAsia="Book Antiqua" w:hAnsi="Cambria Math"/>
                <w:i/>
                <w:spacing w:val="-2"/>
                <w:sz w:val="22"/>
                <w:szCs w:val="22"/>
                <w:lang w:eastAsia="en-US"/>
              </w:rPr>
            </m:ctrlPr>
          </m:sSupPr>
          <m:e>
            <m:r>
              <w:rPr>
                <w:rFonts w:ascii="Cambria Math" w:eastAsia="Book Antiqua" w:hAnsi="Cambria Math"/>
                <w:spacing w:val="-2"/>
                <w:sz w:val="22"/>
                <w:szCs w:val="22"/>
                <w:lang w:eastAsia="en-US"/>
              </w:rPr>
              <m:t>F</m:t>
            </m:r>
          </m:e>
          <m:sup>
            <m:r>
              <w:rPr>
                <w:rFonts w:ascii="Cambria Math" w:eastAsia="Book Antiqua" w:hAnsi="Cambria Math"/>
                <w:spacing w:val="-2"/>
                <w:sz w:val="22"/>
                <w:szCs w:val="22"/>
                <w:lang w:eastAsia="en-US"/>
              </w:rPr>
              <m:t>'</m:t>
            </m:r>
          </m:sup>
        </m:sSup>
      </m:oMath>
      <w:r w:rsidRPr="004D52DA">
        <w:rPr>
          <w:rFonts w:asciiTheme="minorHAnsi" w:eastAsia="Book Antiqua" w:hAnsiTheme="minorHAnsi"/>
          <w:spacing w:val="-2"/>
          <w:sz w:val="22"/>
          <w:szCs w:val="22"/>
          <w:lang w:eastAsia="en-US"/>
        </w:rPr>
        <w:t>(</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s</m:t>
            </m:r>
          </m:sub>
        </m:sSub>
      </m:oMath>
      <w:r w:rsidRPr="004D52DA">
        <w:rPr>
          <w:rFonts w:asciiTheme="minorHAnsi" w:eastAsia="Book Antiqua" w:hAnsiTheme="minorHAnsi"/>
          <w:sz w:val="22"/>
          <w:szCs w:val="22"/>
        </w:rPr>
        <w:t xml:space="preserve"> - </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i</m:t>
            </m:r>
          </m:sub>
        </m:sSub>
      </m:oMath>
      <w:r w:rsidRPr="004D52DA">
        <w:rPr>
          <w:rFonts w:asciiTheme="minorHAnsi" w:eastAsia="Book Antiqua" w:hAnsiTheme="minorHAnsi"/>
          <w:spacing w:val="-2"/>
          <w:sz w:val="22"/>
          <w:szCs w:val="22"/>
          <w:lang w:eastAsia="en-US"/>
        </w:rPr>
        <w:t>)</w:t>
      </w:r>
      <w:r w:rsidR="00274782" w:rsidRPr="004D52DA">
        <w:rPr>
          <w:rFonts w:asciiTheme="minorHAnsi" w:eastAsia="Book Antiqua" w:hAnsiTheme="minorHAnsi"/>
          <w:spacing w:val="-2"/>
          <w:sz w:val="22"/>
          <w:szCs w:val="22"/>
          <w:lang w:eastAsia="en-US"/>
        </w:rPr>
        <w:t xml:space="preserve"> </w:t>
      </w:r>
    </w:p>
    <w:p w:rsidR="00BE3475" w:rsidRPr="004D52DA" w:rsidRDefault="00274782" w:rsidP="00BE3475">
      <w:pPr>
        <w:ind w:firstLine="708"/>
        <w:rPr>
          <w:rFonts w:asciiTheme="minorHAnsi" w:eastAsia="Book Antiqua" w:hAnsiTheme="minorHAnsi"/>
          <w:spacing w:val="-2"/>
          <w:sz w:val="22"/>
          <w:szCs w:val="22"/>
          <w:lang w:eastAsia="en-US"/>
        </w:rPr>
      </w:pPr>
      <w:r w:rsidRPr="004D52DA">
        <w:rPr>
          <w:rFonts w:asciiTheme="minorHAnsi" w:eastAsia="Book Antiqua" w:hAnsiTheme="minorHAnsi"/>
          <w:spacing w:val="-2"/>
          <w:sz w:val="22"/>
          <w:szCs w:val="22"/>
          <w:lang w:eastAsia="en-US"/>
        </w:rPr>
        <w:t xml:space="preserve">Burada, </w:t>
      </w:r>
      <m:oMath>
        <m:sSup>
          <m:sSupPr>
            <m:ctrlPr>
              <w:rPr>
                <w:rFonts w:ascii="Cambria Math" w:eastAsia="Book Antiqua" w:hAnsi="Cambria Math"/>
                <w:i/>
                <w:spacing w:val="-2"/>
                <w:sz w:val="22"/>
                <w:szCs w:val="22"/>
                <w:lang w:eastAsia="en-US"/>
              </w:rPr>
            </m:ctrlPr>
          </m:sSupPr>
          <m:e>
            <m:r>
              <w:rPr>
                <w:rFonts w:ascii="Cambria Math" w:eastAsia="Book Antiqua" w:hAnsi="Cambria Math"/>
                <w:spacing w:val="-2"/>
                <w:sz w:val="22"/>
                <w:szCs w:val="22"/>
                <w:lang w:eastAsia="en-US"/>
              </w:rPr>
              <m:t>k</m:t>
            </m:r>
          </m:e>
          <m:sup>
            <m:r>
              <w:rPr>
                <w:rFonts w:ascii="Cambria Math" w:eastAsia="Book Antiqua" w:hAnsi="Cambria Math"/>
                <w:spacing w:val="-2"/>
                <w:sz w:val="22"/>
                <w:szCs w:val="22"/>
                <w:lang w:eastAsia="en-US"/>
              </w:rPr>
              <m:t>'</m:t>
            </m:r>
          </m:sup>
        </m:sSup>
      </m:oMath>
      <w:r w:rsidRPr="004D52DA">
        <w:rPr>
          <w:rFonts w:asciiTheme="minorHAnsi" w:eastAsia="Book Antiqua" w:hAnsiTheme="minorHAnsi"/>
          <w:spacing w:val="-2"/>
          <w:sz w:val="22"/>
          <w:szCs w:val="22"/>
          <w:lang w:eastAsia="en-US"/>
        </w:rPr>
        <w:t xml:space="preserve">=0,668 ve </w:t>
      </w:r>
      <m:oMath>
        <m:sSup>
          <m:sSupPr>
            <m:ctrlPr>
              <w:rPr>
                <w:rFonts w:ascii="Cambria Math" w:eastAsia="Book Antiqua" w:hAnsi="Cambria Math"/>
                <w:i/>
                <w:spacing w:val="-2"/>
                <w:sz w:val="22"/>
                <w:szCs w:val="22"/>
                <w:lang w:eastAsia="en-US"/>
              </w:rPr>
            </m:ctrlPr>
          </m:sSupPr>
          <m:e>
            <m:r>
              <w:rPr>
                <w:rFonts w:ascii="Cambria Math" w:eastAsia="Book Antiqua" w:hAnsi="Cambria Math"/>
                <w:spacing w:val="-2"/>
                <w:sz w:val="22"/>
                <w:szCs w:val="22"/>
                <w:lang w:eastAsia="en-US"/>
              </w:rPr>
              <m:t>F</m:t>
            </m:r>
          </m:e>
          <m:sup>
            <m:r>
              <w:rPr>
                <w:rFonts w:ascii="Cambria Math" w:eastAsia="Book Antiqua" w:hAnsi="Cambria Math"/>
                <w:spacing w:val="-2"/>
                <w:sz w:val="22"/>
                <w:szCs w:val="22"/>
                <w:lang w:eastAsia="en-US"/>
              </w:rPr>
              <m:t>'</m:t>
            </m:r>
          </m:sup>
        </m:sSup>
      </m:oMath>
      <w:r w:rsidRPr="004D52DA">
        <w:rPr>
          <w:rFonts w:asciiTheme="minorHAnsi" w:eastAsia="Book Antiqua" w:hAnsiTheme="minorHAnsi"/>
          <w:spacing w:val="-2"/>
          <w:sz w:val="22"/>
          <w:szCs w:val="22"/>
          <w:lang w:eastAsia="en-US"/>
        </w:rPr>
        <w:t>=0,628’di</w:t>
      </w:r>
      <w:r w:rsidR="00774AD1" w:rsidRPr="004D52DA">
        <w:rPr>
          <w:rFonts w:asciiTheme="minorHAnsi" w:eastAsia="Book Antiqua" w:hAnsiTheme="minorHAnsi"/>
          <w:spacing w:val="-2"/>
          <w:sz w:val="22"/>
          <w:szCs w:val="22"/>
          <w:lang w:eastAsia="en-US"/>
        </w:rPr>
        <w:t>r.</w:t>
      </w:r>
    </w:p>
    <w:p w:rsidR="00BE3475" w:rsidRPr="004D52DA" w:rsidRDefault="00CA2FF1" w:rsidP="00BE3475">
      <w:pPr>
        <w:ind w:firstLine="708"/>
        <w:rPr>
          <w:rFonts w:asciiTheme="minorHAnsi" w:eastAsia="Book Antiqua" w:hAnsiTheme="minorHAnsi"/>
          <w:sz w:val="22"/>
          <w:szCs w:val="22"/>
        </w:rPr>
      </w:pPr>
      <w:r w:rsidRPr="004D52DA">
        <w:rPr>
          <w:rFonts w:asciiTheme="minorHAnsi" w:eastAsia="Book Antiqua" w:hAnsiTheme="minorHAnsi"/>
          <w:spacing w:val="-2"/>
          <w:sz w:val="22"/>
          <w:szCs w:val="22"/>
          <w:lang w:eastAsia="en-US"/>
        </w:rPr>
        <w:t xml:space="preserve">3.2.4 Numunedeki 40 ölçü şişesinin ortalama değeri, </w:t>
      </w: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Pr="004D52DA">
        <w:rPr>
          <w:rFonts w:asciiTheme="minorHAnsi" w:eastAsia="Book Antiqua" w:hAnsiTheme="minorHAnsi"/>
          <w:spacing w:val="-2"/>
          <w:sz w:val="22"/>
          <w:szCs w:val="22"/>
          <w:lang w:eastAsia="en-US"/>
        </w:rPr>
        <w:t xml:space="preserve"> ve ortalama dağılımı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Pr="004D52DA">
        <w:rPr>
          <w:rFonts w:asciiTheme="minorHAnsi" w:eastAsia="Book Antiqua" w:hAnsiTheme="minorHAnsi"/>
          <w:sz w:val="22"/>
          <w:szCs w:val="22"/>
        </w:rPr>
        <w:t>’nin hesaplanması</w:t>
      </w:r>
    </w:p>
    <w:p w:rsidR="00BE3475" w:rsidRPr="004D52DA" w:rsidRDefault="00CA2FF1" w:rsidP="00BE3475">
      <w:pPr>
        <w:ind w:firstLine="708"/>
        <w:rPr>
          <w:rFonts w:asciiTheme="minorHAnsi" w:eastAsia="Book Antiqua" w:hAnsiTheme="minorHAnsi"/>
          <w:spacing w:val="-2"/>
          <w:sz w:val="22"/>
          <w:szCs w:val="22"/>
          <w:lang w:eastAsia="en-US"/>
        </w:rPr>
      </w:pPr>
      <w:r w:rsidRPr="004D52DA">
        <w:rPr>
          <w:rFonts w:asciiTheme="minorHAnsi" w:eastAsia="Book Antiqua" w:hAnsiTheme="minorHAnsi"/>
          <w:sz w:val="22"/>
          <w:szCs w:val="22"/>
        </w:rPr>
        <w:t xml:space="preserve">3.2.4.1 </w:t>
      </w:r>
      <m:oMath>
        <m:acc>
          <m:accPr>
            <m:chr m:val="̅"/>
            <m:ctrlPr>
              <w:rPr>
                <w:rFonts w:ascii="Cambria Math" w:eastAsia="Book Antiqua" w:hAnsi="Cambria Math"/>
                <w:i/>
                <w:noProof/>
                <w:spacing w:val="-2"/>
                <w:sz w:val="22"/>
                <w:szCs w:val="22"/>
                <w:lang w:eastAsia="en-US"/>
              </w:rPr>
            </m:ctrlPr>
          </m:accPr>
          <m:e>
            <m:r>
              <w:rPr>
                <w:rFonts w:ascii="Cambria Math" w:eastAsia="Book Antiqua" w:hAnsi="Cambria Math"/>
                <w:spacing w:val="-2"/>
                <w:sz w:val="22"/>
                <w:szCs w:val="22"/>
              </w:rPr>
              <m:t>X</m:t>
            </m:r>
          </m:e>
        </m:acc>
      </m:oMath>
      <w:r w:rsidRPr="004D52DA">
        <w:rPr>
          <w:rFonts w:asciiTheme="minorHAnsi" w:eastAsia="Book Antiqua" w:hAnsiTheme="minorHAnsi"/>
          <w:spacing w:val="-2"/>
          <w:sz w:val="22"/>
          <w:szCs w:val="22"/>
          <w:lang w:eastAsia="en-US"/>
        </w:rPr>
        <w:t xml:space="preserve"> aşağıdaki gibi hesaplanır.</w:t>
      </w:r>
    </w:p>
    <w:p w:rsidR="00BE3475" w:rsidRPr="004D52DA" w:rsidRDefault="001F3EC5" w:rsidP="00BE3475">
      <w:pPr>
        <w:ind w:firstLine="708"/>
        <w:rPr>
          <w:rFonts w:asciiTheme="minorHAnsi" w:eastAsia="Book Antiqua" w:hAnsiTheme="minorHAnsi"/>
          <w:sz w:val="22"/>
          <w:szCs w:val="22"/>
        </w:rPr>
      </w:pPr>
      <w:r w:rsidRPr="004D52DA">
        <w:rPr>
          <w:rFonts w:asciiTheme="minorHAnsi" w:eastAsia="Book Antiqua" w:hAnsiTheme="minorHAnsi"/>
          <w:spacing w:val="-2"/>
          <w:sz w:val="22"/>
          <w:szCs w:val="22"/>
          <w:lang w:eastAsia="en-US"/>
        </w:rPr>
        <w:t xml:space="preserve">- </w:t>
      </w:r>
      <w:r w:rsidR="00517CD8" w:rsidRPr="004D52DA">
        <w:rPr>
          <w:rFonts w:asciiTheme="minorHAnsi" w:eastAsia="Book Antiqua" w:hAnsiTheme="minorHAnsi"/>
          <w:sz w:val="22"/>
          <w:szCs w:val="22"/>
        </w:rPr>
        <w:t xml:space="preserve">40 gerçek kapasite ölçümlerinin </w:t>
      </w:r>
      <m:oMath>
        <m:sSub>
          <m:sSubPr>
            <m:ctrlPr>
              <w:rPr>
                <w:rFonts w:ascii="Cambria Math" w:eastAsia="Book Antiqua" w:hAnsi="Cambria Math"/>
                <w:i/>
                <w:sz w:val="22"/>
                <w:szCs w:val="22"/>
              </w:rPr>
            </m:ctrlPr>
          </m:sSubPr>
          <m:e>
            <m:r>
              <w:rPr>
                <w:rFonts w:ascii="Cambria Math" w:eastAsia="Book Antiqua" w:hAnsi="Cambria Math"/>
                <w:sz w:val="22"/>
                <w:szCs w:val="22"/>
              </w:rPr>
              <m:t>x</m:t>
            </m:r>
          </m:e>
          <m:sub>
            <m:r>
              <w:rPr>
                <w:rFonts w:ascii="Cambria Math" w:eastAsia="Book Antiqua" w:hAnsi="Cambria Math"/>
                <w:sz w:val="22"/>
                <w:szCs w:val="22"/>
              </w:rPr>
              <m:t>i</m:t>
            </m:r>
          </m:sub>
        </m:sSub>
      </m:oMath>
      <w:r w:rsidR="00F9045B" w:rsidRPr="004D52DA">
        <w:rPr>
          <w:rFonts w:asciiTheme="minorHAnsi" w:eastAsia="Book Antiqua" w:hAnsiTheme="minorHAnsi"/>
          <w:sz w:val="22"/>
          <w:szCs w:val="22"/>
        </w:rPr>
        <w:t xml:space="preserve"> toplamı: </w:t>
      </w:r>
      <m:oMath>
        <m:nary>
          <m:naryPr>
            <m:chr m:val="∑"/>
            <m:limLoc m:val="undOvr"/>
            <m:subHide m:val="1"/>
            <m:supHide m:val="1"/>
            <m:ctrlPr>
              <w:rPr>
                <w:rFonts w:ascii="Cambria Math" w:eastAsia="Book Antiqua" w:hAnsi="Cambria Math"/>
                <w:i/>
                <w:sz w:val="22"/>
                <w:szCs w:val="22"/>
              </w:rPr>
            </m:ctrlPr>
          </m:naryPr>
          <m:sub/>
          <m:sup/>
          <m:e>
            <m:sSub>
              <m:sSubPr>
                <m:ctrlPr>
                  <w:rPr>
                    <w:rFonts w:ascii="Cambria Math" w:eastAsia="Book Antiqua" w:hAnsi="Cambria Math"/>
                    <w:i/>
                    <w:sz w:val="22"/>
                    <w:szCs w:val="22"/>
                  </w:rPr>
                </m:ctrlPr>
              </m:sSubPr>
              <m:e>
                <m:r>
                  <w:rPr>
                    <w:rFonts w:ascii="Cambria Math" w:eastAsia="Book Antiqua" w:hAnsi="Cambria Math"/>
                    <w:sz w:val="22"/>
                    <w:szCs w:val="22"/>
                  </w:rPr>
                  <m:t>x</m:t>
                </m:r>
              </m:e>
              <m:sub>
                <m:r>
                  <w:rPr>
                    <w:rFonts w:ascii="Cambria Math" w:eastAsia="Book Antiqua" w:hAnsi="Cambria Math"/>
                    <w:sz w:val="22"/>
                    <w:szCs w:val="22"/>
                  </w:rPr>
                  <m:t>i</m:t>
                </m:r>
              </m:sub>
            </m:sSub>
          </m:e>
        </m:nary>
      </m:oMath>
    </w:p>
    <w:p w:rsidR="00BE3475" w:rsidRPr="004D52DA" w:rsidRDefault="00D4303C" w:rsidP="00BE3475">
      <w:pPr>
        <w:ind w:firstLine="708"/>
        <w:rPr>
          <w:rFonts w:asciiTheme="minorHAnsi" w:eastAsia="Book Antiqua" w:hAnsiTheme="minorHAnsi"/>
          <w:sz w:val="22"/>
          <w:szCs w:val="22"/>
        </w:rPr>
      </w:pPr>
      <w:r w:rsidRPr="004D52DA">
        <w:rPr>
          <w:rFonts w:asciiTheme="minorHAnsi" w:eastAsia="Book Antiqua" w:hAnsiTheme="minorHAnsi"/>
          <w:sz w:val="22"/>
          <w:szCs w:val="22"/>
        </w:rPr>
        <w:t xml:space="preserve">- Bu 40 ölçümün ortalama değeri: </w:t>
      </w:r>
      <m:oMath>
        <m:acc>
          <m:accPr>
            <m:chr m:val="̅"/>
            <m:ctrlPr>
              <w:rPr>
                <w:rFonts w:ascii="Cambria Math" w:eastAsia="Book Antiqua" w:hAnsi="Cambria Math"/>
                <w:i/>
                <w:sz w:val="22"/>
                <w:szCs w:val="22"/>
              </w:rPr>
            </m:ctrlPr>
          </m:accPr>
          <m:e>
            <m:r>
              <w:rPr>
                <w:rFonts w:ascii="Cambria Math" w:eastAsia="Book Antiqua" w:hAnsi="Cambria Math"/>
                <w:sz w:val="22"/>
                <w:szCs w:val="22"/>
              </w:rPr>
              <m:t>x</m:t>
            </m:r>
          </m:e>
        </m:acc>
        <m:r>
          <w:rPr>
            <w:rFonts w:ascii="Cambria Math" w:eastAsia="Book Antiqua" w:hAnsi="Cambria Math"/>
            <w:sz w:val="22"/>
            <w:szCs w:val="22"/>
          </w:rPr>
          <m:t xml:space="preserve">= </m:t>
        </m:r>
        <m:f>
          <m:fPr>
            <m:ctrlPr>
              <w:rPr>
                <w:rFonts w:ascii="Cambria Math" w:eastAsia="Book Antiqua" w:hAnsi="Cambria Math"/>
                <w:i/>
                <w:sz w:val="22"/>
                <w:szCs w:val="22"/>
              </w:rPr>
            </m:ctrlPr>
          </m:fPr>
          <m:num>
            <m:nary>
              <m:naryPr>
                <m:chr m:val="∑"/>
                <m:limLoc m:val="undOvr"/>
                <m:subHide m:val="1"/>
                <m:supHide m:val="1"/>
                <m:ctrlPr>
                  <w:rPr>
                    <w:rFonts w:ascii="Cambria Math" w:eastAsia="Book Antiqua" w:hAnsi="Cambria Math"/>
                    <w:i/>
                    <w:sz w:val="22"/>
                    <w:szCs w:val="22"/>
                  </w:rPr>
                </m:ctrlPr>
              </m:naryPr>
              <m:sub/>
              <m:sup/>
              <m:e>
                <m:sSub>
                  <m:sSubPr>
                    <m:ctrlPr>
                      <w:rPr>
                        <w:rFonts w:ascii="Cambria Math" w:eastAsia="Book Antiqua" w:hAnsi="Cambria Math"/>
                        <w:i/>
                        <w:sz w:val="22"/>
                        <w:szCs w:val="22"/>
                      </w:rPr>
                    </m:ctrlPr>
                  </m:sSubPr>
                  <m:e>
                    <m:r>
                      <w:rPr>
                        <w:rFonts w:ascii="Cambria Math" w:eastAsia="Book Antiqua" w:hAnsi="Cambria Math"/>
                        <w:sz w:val="22"/>
                        <w:szCs w:val="22"/>
                      </w:rPr>
                      <m:t>x</m:t>
                    </m:r>
                  </m:e>
                  <m:sub>
                    <m:r>
                      <w:rPr>
                        <w:rFonts w:ascii="Cambria Math" w:eastAsia="Book Antiqua" w:hAnsi="Cambria Math"/>
                        <w:sz w:val="22"/>
                        <w:szCs w:val="22"/>
                      </w:rPr>
                      <m:t>i</m:t>
                    </m:r>
                  </m:sub>
                </m:sSub>
              </m:e>
            </m:nary>
          </m:num>
          <m:den>
            <m:r>
              <w:rPr>
                <w:rFonts w:ascii="Cambria Math" w:eastAsia="Book Antiqua" w:hAnsi="Cambria Math"/>
                <w:sz w:val="22"/>
                <w:szCs w:val="22"/>
              </w:rPr>
              <m:t>40</m:t>
            </m:r>
          </m:den>
        </m:f>
      </m:oMath>
      <w:r w:rsidRPr="004D52DA">
        <w:rPr>
          <w:rFonts w:asciiTheme="minorHAnsi" w:eastAsia="Book Antiqua" w:hAnsiTheme="minorHAnsi"/>
          <w:sz w:val="22"/>
          <w:szCs w:val="22"/>
        </w:rPr>
        <w:t xml:space="preserve"> </w:t>
      </w:r>
    </w:p>
    <w:p w:rsidR="00D55E90" w:rsidRPr="004D52DA" w:rsidRDefault="00D55E90" w:rsidP="00774AD1">
      <w:pPr>
        <w:ind w:firstLine="708"/>
        <w:rPr>
          <w:rFonts w:asciiTheme="minorHAnsi" w:eastAsia="Book Antiqua" w:hAnsiTheme="minorHAnsi"/>
          <w:sz w:val="22"/>
          <w:szCs w:val="22"/>
        </w:rPr>
      </w:pPr>
      <w:r w:rsidRPr="004D52DA">
        <w:rPr>
          <w:rFonts w:asciiTheme="minorHAnsi" w:eastAsia="Book Antiqua" w:hAnsiTheme="minorHAnsi"/>
          <w:sz w:val="22"/>
          <w:szCs w:val="22"/>
        </w:rPr>
        <w:t xml:space="preserve">3.2.4.2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Pr="004D52DA">
        <w:rPr>
          <w:rFonts w:asciiTheme="minorHAnsi" w:eastAsia="Book Antiqua" w:hAnsiTheme="minorHAnsi"/>
          <w:sz w:val="22"/>
          <w:szCs w:val="22"/>
        </w:rPr>
        <w:t xml:space="preserve"> nin hesaplanması:</w:t>
      </w:r>
    </w:p>
    <w:p w:rsidR="00D55E90" w:rsidRPr="004D52DA" w:rsidRDefault="00D55E90" w:rsidP="00774AD1">
      <w:pPr>
        <w:ind w:firstLine="708"/>
        <w:rPr>
          <w:rFonts w:asciiTheme="minorHAnsi" w:eastAsia="Book Antiqua" w:hAnsiTheme="minorHAnsi"/>
          <w:sz w:val="22"/>
          <w:szCs w:val="22"/>
        </w:rPr>
      </w:pPr>
      <w:r w:rsidRPr="004D52DA">
        <w:rPr>
          <w:rFonts w:asciiTheme="minorHAnsi" w:eastAsia="Book Antiqua" w:hAnsiTheme="minorHAnsi"/>
          <w:sz w:val="22"/>
          <w:szCs w:val="22"/>
        </w:rPr>
        <w:t>Numune seçim zamanına göre her birinde beş ölçme kabı şişesi olan sekiz tane alt grup oluşturulur.</w:t>
      </w:r>
    </w:p>
    <w:p w:rsidR="00D55E90" w:rsidRPr="004D52DA" w:rsidRDefault="00D55E90" w:rsidP="00774AD1">
      <w:pPr>
        <w:ind w:firstLine="708"/>
        <w:rPr>
          <w:rFonts w:asciiTheme="minorHAnsi" w:eastAsia="Book Antiqua" w:hAnsiTheme="minorHAnsi"/>
          <w:sz w:val="22"/>
          <w:szCs w:val="22"/>
        </w:rPr>
      </w:pPr>
      <w:r w:rsidRPr="004D52DA">
        <w:rPr>
          <w:rFonts w:asciiTheme="minorHAnsi" w:eastAsia="Book Antiqua" w:hAnsiTheme="minorHAnsi"/>
          <w:sz w:val="22"/>
          <w:szCs w:val="22"/>
        </w:rPr>
        <w:t>Aşağıda gösterildiği gibi hesaplanır.</w:t>
      </w:r>
    </w:p>
    <w:p w:rsidR="00D55E90" w:rsidRPr="004D52DA" w:rsidRDefault="00D55E90" w:rsidP="00774AD1">
      <w:pPr>
        <w:ind w:firstLine="708"/>
        <w:rPr>
          <w:rFonts w:asciiTheme="minorHAnsi" w:eastAsia="Book Antiqua" w:hAnsiTheme="minorHAnsi"/>
          <w:sz w:val="22"/>
          <w:szCs w:val="22"/>
        </w:rPr>
      </w:pPr>
      <w:r w:rsidRPr="004D52DA">
        <w:rPr>
          <w:rFonts w:asciiTheme="minorHAnsi" w:eastAsia="Book Antiqua" w:hAnsiTheme="minorHAnsi"/>
          <w:sz w:val="22"/>
          <w:szCs w:val="22"/>
        </w:rPr>
        <w:t xml:space="preserve">- Alt numunelerin her birisinin dağılımı, örneğin alt gruptaki beş şişenin en büyük ve en küçük gerçek kapasiteler arasındaki farkı; böylece bu sekiz dağılım elde edilir: </w:t>
      </w:r>
      <m:oMath>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1</m:t>
            </m:r>
          </m:sub>
        </m:sSub>
      </m:oMath>
      <w:r w:rsidRPr="004D52DA">
        <w:rPr>
          <w:rFonts w:asciiTheme="minorHAnsi" w:eastAsia="Book Antiqua" w:hAnsiTheme="minorHAnsi"/>
          <w:sz w:val="22"/>
          <w:szCs w:val="22"/>
        </w:rPr>
        <w:t xml:space="preserve">, </w:t>
      </w:r>
      <m:oMath>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2</m:t>
            </m:r>
          </m:sub>
        </m:sSub>
      </m:oMath>
      <w:r w:rsidRPr="004D52DA">
        <w:rPr>
          <w:rFonts w:asciiTheme="minorHAnsi" w:eastAsia="Book Antiqua" w:hAnsiTheme="minorHAnsi"/>
          <w:sz w:val="22"/>
          <w:szCs w:val="22"/>
        </w:rPr>
        <w:t>….</w:t>
      </w:r>
      <m:oMath>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8</m:t>
            </m:r>
          </m:sub>
        </m:sSub>
      </m:oMath>
      <w:r w:rsidRPr="004D52DA">
        <w:rPr>
          <w:rFonts w:asciiTheme="minorHAnsi" w:eastAsia="Book Antiqua" w:hAnsiTheme="minorHAnsi"/>
          <w:sz w:val="22"/>
          <w:szCs w:val="22"/>
        </w:rPr>
        <w:t>.</w:t>
      </w:r>
    </w:p>
    <w:p w:rsidR="00BE3475" w:rsidRPr="004D52DA" w:rsidRDefault="00D55E90" w:rsidP="00BE3475">
      <w:pPr>
        <w:ind w:firstLine="708"/>
        <w:rPr>
          <w:rFonts w:asciiTheme="minorHAnsi" w:eastAsia="Book Antiqua" w:hAnsiTheme="minorHAnsi"/>
          <w:sz w:val="22"/>
          <w:szCs w:val="22"/>
        </w:rPr>
      </w:pPr>
      <w:r w:rsidRPr="004D52DA">
        <w:rPr>
          <w:rFonts w:asciiTheme="minorHAnsi" w:eastAsia="Book Antiqua" w:hAnsiTheme="minorHAnsi"/>
          <w:sz w:val="22"/>
          <w:szCs w:val="22"/>
        </w:rPr>
        <w:t>- Bu sekiz alt numune dağılımlarının toplamı:</w:t>
      </w:r>
    </w:p>
    <w:p w:rsidR="00BE3475" w:rsidRPr="004D52DA" w:rsidRDefault="000271CC" w:rsidP="00BE3475">
      <w:pPr>
        <w:ind w:firstLine="708"/>
        <w:rPr>
          <w:rFonts w:asciiTheme="minorHAnsi" w:eastAsia="Book Antiqua" w:hAnsiTheme="minorHAnsi"/>
          <w:sz w:val="22"/>
          <w:szCs w:val="22"/>
        </w:rPr>
      </w:pPr>
      <m:oMath>
        <m:nary>
          <m:naryPr>
            <m:chr m:val="∑"/>
            <m:limLoc m:val="undOvr"/>
            <m:subHide m:val="1"/>
            <m:supHide m:val="1"/>
            <m:ctrlPr>
              <w:rPr>
                <w:rFonts w:ascii="Cambria Math" w:eastAsia="Book Antiqua" w:hAnsi="Cambria Math"/>
                <w:i/>
                <w:sz w:val="22"/>
                <w:szCs w:val="22"/>
              </w:rPr>
            </m:ctrlPr>
          </m:naryPr>
          <m:sub/>
          <m:sup/>
          <m:e>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i</m:t>
                </m:r>
              </m:sub>
            </m:sSub>
            <m:r>
              <w:rPr>
                <w:rFonts w:ascii="Cambria Math" w:eastAsia="Book Antiqua" w:hAnsi="Cambria Math"/>
                <w:sz w:val="22"/>
                <w:szCs w:val="22"/>
              </w:rPr>
              <m:t xml:space="preserve">= </m:t>
            </m:r>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1</m:t>
                </m:r>
              </m:sub>
            </m:sSub>
            <m:r>
              <w:rPr>
                <w:rFonts w:ascii="Cambria Math" w:eastAsia="Book Antiqua" w:hAnsi="Cambria Math"/>
                <w:sz w:val="22"/>
                <w:szCs w:val="22"/>
              </w:rPr>
              <m:t>+</m:t>
            </m:r>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2</m:t>
                </m:r>
              </m:sub>
            </m:sSub>
            <m:r>
              <w:rPr>
                <w:rFonts w:ascii="Cambria Math" w:eastAsia="Book Antiqua" w:hAnsi="Cambria Math"/>
                <w:sz w:val="22"/>
                <w:szCs w:val="22"/>
              </w:rPr>
              <m:t>+.….+</m:t>
            </m:r>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8</m:t>
                </m:r>
              </m:sub>
            </m:sSub>
          </m:e>
        </m:nary>
      </m:oMath>
      <w:r w:rsidR="001D5625" w:rsidRPr="004D52DA">
        <w:rPr>
          <w:rFonts w:asciiTheme="minorHAnsi" w:eastAsia="Book Antiqua" w:hAnsiTheme="minorHAnsi"/>
          <w:sz w:val="22"/>
          <w:szCs w:val="22"/>
        </w:rPr>
        <w:t xml:space="preserve"> </w:t>
      </w:r>
    </w:p>
    <w:p w:rsidR="001D5625" w:rsidRPr="004D52DA" w:rsidRDefault="001D5625" w:rsidP="00774AD1">
      <w:pPr>
        <w:ind w:firstLine="708"/>
        <w:rPr>
          <w:rFonts w:asciiTheme="minorHAnsi" w:eastAsia="Book Antiqua" w:hAnsiTheme="minorHAnsi"/>
          <w:sz w:val="22"/>
          <w:szCs w:val="22"/>
        </w:rPr>
      </w:pPr>
      <w:r w:rsidRPr="004D52DA">
        <w:rPr>
          <w:rFonts w:asciiTheme="minorHAnsi" w:eastAsia="Book Antiqua" w:hAnsiTheme="minorHAnsi"/>
          <w:sz w:val="22"/>
          <w:szCs w:val="22"/>
        </w:rPr>
        <w:t xml:space="preserve">Bu nedenle ortalama dağılım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oMath>
      <w:r w:rsidRPr="004D52DA">
        <w:rPr>
          <w:rFonts w:asciiTheme="minorHAnsi" w:eastAsia="Book Antiqua" w:hAnsiTheme="minorHAnsi"/>
          <w:sz w:val="22"/>
          <w:szCs w:val="22"/>
        </w:rPr>
        <w:t xml:space="preserve">: </w:t>
      </w:r>
      <m:oMath>
        <m:acc>
          <m:accPr>
            <m:chr m:val="̅"/>
            <m:ctrlPr>
              <w:rPr>
                <w:rFonts w:ascii="Cambria Math" w:eastAsia="Book Antiqua" w:hAnsi="Cambria Math"/>
                <w:i/>
                <w:sz w:val="22"/>
                <w:szCs w:val="22"/>
              </w:rPr>
            </m:ctrlPr>
          </m:accPr>
          <m:e>
            <m:r>
              <w:rPr>
                <w:rFonts w:ascii="Cambria Math" w:eastAsia="Book Antiqua" w:hAnsi="Cambria Math"/>
                <w:sz w:val="22"/>
                <w:szCs w:val="22"/>
              </w:rPr>
              <m:t>R</m:t>
            </m:r>
          </m:e>
        </m:acc>
        <m:r>
          <w:rPr>
            <w:rFonts w:ascii="Cambria Math" w:eastAsia="Book Antiqua" w:hAnsi="Cambria Math"/>
            <w:sz w:val="22"/>
            <w:szCs w:val="22"/>
          </w:rPr>
          <m:t>=</m:t>
        </m:r>
        <m:f>
          <m:fPr>
            <m:ctrlPr>
              <w:rPr>
                <w:rFonts w:ascii="Cambria Math" w:eastAsia="Book Antiqua" w:hAnsi="Cambria Math"/>
                <w:i/>
                <w:sz w:val="22"/>
                <w:szCs w:val="22"/>
              </w:rPr>
            </m:ctrlPr>
          </m:fPr>
          <m:num>
            <m:nary>
              <m:naryPr>
                <m:chr m:val="∑"/>
                <m:limLoc m:val="undOvr"/>
                <m:subHide m:val="1"/>
                <m:supHide m:val="1"/>
                <m:ctrlPr>
                  <w:rPr>
                    <w:rFonts w:ascii="Cambria Math" w:eastAsia="Book Antiqua" w:hAnsi="Cambria Math"/>
                    <w:i/>
                    <w:sz w:val="22"/>
                    <w:szCs w:val="22"/>
                  </w:rPr>
                </m:ctrlPr>
              </m:naryPr>
              <m:sub/>
              <m:sup/>
              <m:e>
                <m:sSub>
                  <m:sSubPr>
                    <m:ctrlPr>
                      <w:rPr>
                        <w:rFonts w:ascii="Cambria Math" w:eastAsia="Book Antiqua" w:hAnsi="Cambria Math"/>
                        <w:i/>
                        <w:sz w:val="22"/>
                        <w:szCs w:val="22"/>
                      </w:rPr>
                    </m:ctrlPr>
                  </m:sSubPr>
                  <m:e>
                    <m:r>
                      <w:rPr>
                        <w:rFonts w:ascii="Cambria Math" w:eastAsia="Book Antiqua" w:hAnsi="Cambria Math"/>
                        <w:sz w:val="22"/>
                        <w:szCs w:val="22"/>
                      </w:rPr>
                      <m:t>R</m:t>
                    </m:r>
                  </m:e>
                  <m:sub>
                    <m:r>
                      <w:rPr>
                        <w:rFonts w:ascii="Cambria Math" w:eastAsia="Book Antiqua" w:hAnsi="Cambria Math"/>
                        <w:sz w:val="22"/>
                        <w:szCs w:val="22"/>
                      </w:rPr>
                      <m:t>i</m:t>
                    </m:r>
                  </m:sub>
                </m:sSub>
              </m:e>
            </m:nary>
          </m:num>
          <m:den>
            <m:r>
              <w:rPr>
                <w:rFonts w:ascii="Cambria Math" w:eastAsia="Book Antiqua" w:hAnsi="Cambria Math"/>
                <w:sz w:val="22"/>
                <w:szCs w:val="22"/>
              </w:rPr>
              <m:t>8</m:t>
            </m:r>
          </m:den>
        </m:f>
      </m:oMath>
    </w:p>
    <w:sectPr w:rsidR="001D5625" w:rsidRPr="004D52DA" w:rsidSect="004D52DA">
      <w:footerReference w:type="even" r:id="rId12"/>
      <w:footerReference w:type="default" r:id="rId13"/>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1CC" w:rsidRDefault="000271CC">
      <w:r>
        <w:separator/>
      </w:r>
    </w:p>
  </w:endnote>
  <w:endnote w:type="continuationSeparator" w:id="0">
    <w:p w:rsidR="000271CC" w:rsidRDefault="0002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00" w:rsidRDefault="005A2406" w:rsidP="00820A5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CF4800" w:rsidRDefault="000271C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800" w:rsidRDefault="005A2406" w:rsidP="00820A5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4D52DA">
      <w:rPr>
        <w:rStyle w:val="SayfaNumaras"/>
        <w:noProof/>
      </w:rPr>
      <w:t>1</w:t>
    </w:r>
    <w:r>
      <w:rPr>
        <w:rStyle w:val="SayfaNumaras"/>
      </w:rPr>
      <w:fldChar w:fldCharType="end"/>
    </w:r>
  </w:p>
  <w:p w:rsidR="00CF4800" w:rsidRDefault="000271C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1CC" w:rsidRDefault="000271CC">
      <w:r>
        <w:separator/>
      </w:r>
    </w:p>
  </w:footnote>
  <w:footnote w:type="continuationSeparator" w:id="0">
    <w:p w:rsidR="000271CC" w:rsidRDefault="000271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617"/>
    <w:rsid w:val="000271CC"/>
    <w:rsid w:val="00042098"/>
    <w:rsid w:val="00065C95"/>
    <w:rsid w:val="00136939"/>
    <w:rsid w:val="0016403E"/>
    <w:rsid w:val="001B2A23"/>
    <w:rsid w:val="001C75DC"/>
    <w:rsid w:val="001D5625"/>
    <w:rsid w:val="001F3EC5"/>
    <w:rsid w:val="00223293"/>
    <w:rsid w:val="0022730D"/>
    <w:rsid w:val="002349CB"/>
    <w:rsid w:val="00245F6A"/>
    <w:rsid w:val="00274782"/>
    <w:rsid w:val="002A080F"/>
    <w:rsid w:val="002A360D"/>
    <w:rsid w:val="002B307B"/>
    <w:rsid w:val="00304984"/>
    <w:rsid w:val="00311814"/>
    <w:rsid w:val="00386A2D"/>
    <w:rsid w:val="00390497"/>
    <w:rsid w:val="00403238"/>
    <w:rsid w:val="00403953"/>
    <w:rsid w:val="0041477F"/>
    <w:rsid w:val="00435669"/>
    <w:rsid w:val="00453B35"/>
    <w:rsid w:val="004D52DA"/>
    <w:rsid w:val="004E71D2"/>
    <w:rsid w:val="00517CD8"/>
    <w:rsid w:val="00520B5D"/>
    <w:rsid w:val="0055339C"/>
    <w:rsid w:val="005743DC"/>
    <w:rsid w:val="00575150"/>
    <w:rsid w:val="005A2406"/>
    <w:rsid w:val="005A3D67"/>
    <w:rsid w:val="005B286F"/>
    <w:rsid w:val="005B4034"/>
    <w:rsid w:val="00617368"/>
    <w:rsid w:val="00681A0C"/>
    <w:rsid w:val="006A4377"/>
    <w:rsid w:val="006B635C"/>
    <w:rsid w:val="006D60AD"/>
    <w:rsid w:val="00754BAA"/>
    <w:rsid w:val="00774AD1"/>
    <w:rsid w:val="007912CF"/>
    <w:rsid w:val="0080732E"/>
    <w:rsid w:val="00831B6B"/>
    <w:rsid w:val="008A60AE"/>
    <w:rsid w:val="008B0C00"/>
    <w:rsid w:val="00935511"/>
    <w:rsid w:val="00970655"/>
    <w:rsid w:val="009B039A"/>
    <w:rsid w:val="009E77C2"/>
    <w:rsid w:val="00A27812"/>
    <w:rsid w:val="00A328FF"/>
    <w:rsid w:val="00A7720F"/>
    <w:rsid w:val="00A910F4"/>
    <w:rsid w:val="00A916BE"/>
    <w:rsid w:val="00AC22A7"/>
    <w:rsid w:val="00AF2879"/>
    <w:rsid w:val="00AF38F6"/>
    <w:rsid w:val="00B07F6F"/>
    <w:rsid w:val="00B53251"/>
    <w:rsid w:val="00B71B43"/>
    <w:rsid w:val="00B8141E"/>
    <w:rsid w:val="00BB491B"/>
    <w:rsid w:val="00BB7C7A"/>
    <w:rsid w:val="00BE3475"/>
    <w:rsid w:val="00C10821"/>
    <w:rsid w:val="00C24C00"/>
    <w:rsid w:val="00C25617"/>
    <w:rsid w:val="00C35AA4"/>
    <w:rsid w:val="00C450C7"/>
    <w:rsid w:val="00CA2FF1"/>
    <w:rsid w:val="00CF3374"/>
    <w:rsid w:val="00CF4AAB"/>
    <w:rsid w:val="00D30DEF"/>
    <w:rsid w:val="00D33945"/>
    <w:rsid w:val="00D4303C"/>
    <w:rsid w:val="00D5292E"/>
    <w:rsid w:val="00D55E90"/>
    <w:rsid w:val="00D60EC5"/>
    <w:rsid w:val="00D725E9"/>
    <w:rsid w:val="00DC2247"/>
    <w:rsid w:val="00DE628B"/>
    <w:rsid w:val="00E0208F"/>
    <w:rsid w:val="00E04E5C"/>
    <w:rsid w:val="00E50CC3"/>
    <w:rsid w:val="00E53353"/>
    <w:rsid w:val="00E63F80"/>
    <w:rsid w:val="00E731B4"/>
    <w:rsid w:val="00E83E41"/>
    <w:rsid w:val="00EA6BBC"/>
    <w:rsid w:val="00EC33DB"/>
    <w:rsid w:val="00EC5E21"/>
    <w:rsid w:val="00F070CF"/>
    <w:rsid w:val="00F45EFF"/>
    <w:rsid w:val="00F62630"/>
    <w:rsid w:val="00F9045B"/>
    <w:rsid w:val="00FA20D1"/>
    <w:rsid w:val="00FD5157"/>
    <w:rsid w:val="00FD52EE"/>
    <w:rsid w:val="00FE30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786CEBE-911A-4271-9901-B72C396C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617"/>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qFormat/>
    <w:rsid w:val="00C25617"/>
    <w:pPr>
      <w:spacing w:before="100" w:beforeAutospacing="1" w:after="100" w:afterAutospacing="1"/>
      <w:outlineLvl w:val="0"/>
    </w:pPr>
    <w:rPr>
      <w:b/>
      <w:bCs/>
      <w:kern w:val="36"/>
      <w:sz w:val="48"/>
      <w:szCs w:val="48"/>
    </w:rPr>
  </w:style>
  <w:style w:type="paragraph" w:styleId="Balk2">
    <w:name w:val="heading 2"/>
    <w:basedOn w:val="Normal"/>
    <w:link w:val="Balk2Char"/>
    <w:qFormat/>
    <w:rsid w:val="00C25617"/>
    <w:pPr>
      <w:spacing w:before="100" w:beforeAutospacing="1" w:after="100" w:afterAutospacing="1"/>
      <w:outlineLvl w:val="1"/>
    </w:pPr>
    <w:rPr>
      <w:b/>
      <w:bCs/>
      <w:sz w:val="36"/>
      <w:szCs w:val="36"/>
    </w:rPr>
  </w:style>
  <w:style w:type="paragraph" w:styleId="Balk3">
    <w:name w:val="heading 3"/>
    <w:basedOn w:val="Normal"/>
    <w:link w:val="Balk3Char"/>
    <w:qFormat/>
    <w:rsid w:val="00C25617"/>
    <w:pPr>
      <w:spacing w:before="100" w:beforeAutospacing="1" w:after="100" w:afterAutospacing="1"/>
      <w:outlineLvl w:val="2"/>
    </w:pPr>
    <w:rPr>
      <w:b/>
      <w:bCs/>
      <w:sz w:val="27"/>
      <w:szCs w:val="27"/>
    </w:rPr>
  </w:style>
  <w:style w:type="paragraph" w:styleId="Balk4">
    <w:name w:val="heading 4"/>
    <w:basedOn w:val="Normal"/>
    <w:link w:val="Balk4Char"/>
    <w:qFormat/>
    <w:rsid w:val="00C25617"/>
    <w:pPr>
      <w:spacing w:before="100" w:beforeAutospacing="1" w:after="100" w:afterAutospacing="1"/>
      <w:outlineLvl w:val="3"/>
    </w:pPr>
    <w:rPr>
      <w:b/>
      <w:bCs/>
    </w:rPr>
  </w:style>
  <w:style w:type="paragraph" w:styleId="Balk8">
    <w:name w:val="heading 8"/>
    <w:basedOn w:val="Normal"/>
    <w:link w:val="Balk8Char"/>
    <w:qFormat/>
    <w:rsid w:val="00C25617"/>
    <w:pPr>
      <w:spacing w:before="100" w:beforeAutospacing="1" w:after="100" w:afterAutospacing="1"/>
      <w:outlineLvl w:val="7"/>
    </w:pPr>
  </w:style>
  <w:style w:type="paragraph" w:styleId="Balk9">
    <w:name w:val="heading 9"/>
    <w:basedOn w:val="Normal"/>
    <w:link w:val="Balk9Char"/>
    <w:qFormat/>
    <w:rsid w:val="00C25617"/>
    <w:pPr>
      <w:spacing w:before="100" w:beforeAutospacing="1" w:after="100" w:afterAutospacing="1"/>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25617"/>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rsid w:val="00C25617"/>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rsid w:val="00C25617"/>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rsid w:val="00C25617"/>
    <w:rPr>
      <w:rFonts w:ascii="Times New Roman" w:eastAsia="Times New Roman" w:hAnsi="Times New Roman" w:cs="Times New Roman"/>
      <w:b/>
      <w:bCs/>
      <w:sz w:val="24"/>
      <w:szCs w:val="24"/>
      <w:lang w:eastAsia="tr-TR"/>
    </w:rPr>
  </w:style>
  <w:style w:type="character" w:customStyle="1" w:styleId="Balk8Char">
    <w:name w:val="Başlık 8 Char"/>
    <w:basedOn w:val="VarsaylanParagrafYazTipi"/>
    <w:link w:val="Balk8"/>
    <w:rsid w:val="00C25617"/>
    <w:rPr>
      <w:rFonts w:ascii="Times New Roman" w:eastAsia="Times New Roman" w:hAnsi="Times New Roman" w:cs="Times New Roman"/>
      <w:sz w:val="24"/>
      <w:szCs w:val="24"/>
      <w:lang w:eastAsia="tr-TR"/>
    </w:rPr>
  </w:style>
  <w:style w:type="character" w:customStyle="1" w:styleId="Balk9Char">
    <w:name w:val="Başlık 9 Char"/>
    <w:basedOn w:val="VarsaylanParagrafYazTipi"/>
    <w:link w:val="Balk9"/>
    <w:rsid w:val="00C25617"/>
    <w:rPr>
      <w:rFonts w:ascii="Times New Roman" w:eastAsia="Times New Roman" w:hAnsi="Times New Roman" w:cs="Times New Roman"/>
      <w:sz w:val="24"/>
      <w:szCs w:val="24"/>
      <w:lang w:eastAsia="tr-TR"/>
    </w:rPr>
  </w:style>
  <w:style w:type="paragraph" w:styleId="AklamaMetni">
    <w:name w:val="annotation text"/>
    <w:basedOn w:val="Normal"/>
    <w:link w:val="AklamaMetniChar"/>
    <w:rsid w:val="00C25617"/>
    <w:pPr>
      <w:spacing w:before="100" w:beforeAutospacing="1" w:after="100" w:afterAutospacing="1"/>
    </w:pPr>
  </w:style>
  <w:style w:type="character" w:customStyle="1" w:styleId="AklamaMetniChar">
    <w:name w:val="Açıklama Metni Char"/>
    <w:basedOn w:val="VarsaylanParagrafYazTipi"/>
    <w:link w:val="AklamaMetni"/>
    <w:rsid w:val="00C25617"/>
    <w:rPr>
      <w:rFonts w:ascii="Times New Roman" w:eastAsia="Times New Roman" w:hAnsi="Times New Roman" w:cs="Times New Roman"/>
      <w:sz w:val="24"/>
      <w:szCs w:val="24"/>
      <w:lang w:eastAsia="tr-TR"/>
    </w:rPr>
  </w:style>
  <w:style w:type="paragraph" w:styleId="GvdeMetni">
    <w:name w:val="Body Text"/>
    <w:basedOn w:val="Normal"/>
    <w:link w:val="GvdeMetniChar"/>
    <w:rsid w:val="00C25617"/>
    <w:pPr>
      <w:spacing w:before="100" w:beforeAutospacing="1" w:after="100" w:afterAutospacing="1"/>
    </w:pPr>
  </w:style>
  <w:style w:type="character" w:customStyle="1" w:styleId="GvdeMetniChar">
    <w:name w:val="Gövde Metni Char"/>
    <w:basedOn w:val="VarsaylanParagrafYazTipi"/>
    <w:link w:val="GvdeMetni"/>
    <w:rsid w:val="00C25617"/>
    <w:rPr>
      <w:rFonts w:ascii="Times New Roman" w:eastAsia="Times New Roman" w:hAnsi="Times New Roman" w:cs="Times New Roman"/>
      <w:sz w:val="24"/>
      <w:szCs w:val="24"/>
      <w:lang w:eastAsia="tr-TR"/>
    </w:rPr>
  </w:style>
  <w:style w:type="paragraph" w:styleId="GvdeMetni2">
    <w:name w:val="Body Text 2"/>
    <w:basedOn w:val="Normal"/>
    <w:link w:val="GvdeMetni2Char"/>
    <w:rsid w:val="00C25617"/>
    <w:pPr>
      <w:spacing w:before="100" w:beforeAutospacing="1" w:after="100" w:afterAutospacing="1"/>
    </w:pPr>
  </w:style>
  <w:style w:type="character" w:customStyle="1" w:styleId="GvdeMetni2Char">
    <w:name w:val="Gövde Metni 2 Char"/>
    <w:basedOn w:val="VarsaylanParagrafYazTipi"/>
    <w:link w:val="GvdeMetni2"/>
    <w:rsid w:val="00C25617"/>
    <w:rPr>
      <w:rFonts w:ascii="Times New Roman" w:eastAsia="Times New Roman" w:hAnsi="Times New Roman" w:cs="Times New Roman"/>
      <w:sz w:val="24"/>
      <w:szCs w:val="24"/>
      <w:lang w:eastAsia="tr-TR"/>
    </w:rPr>
  </w:style>
  <w:style w:type="paragraph" w:customStyle="1" w:styleId="md">
    <w:name w:val="md"/>
    <w:basedOn w:val="Normal"/>
    <w:rsid w:val="00C25617"/>
    <w:pPr>
      <w:spacing w:before="100" w:beforeAutospacing="1" w:after="100" w:afterAutospacing="1"/>
    </w:pPr>
  </w:style>
  <w:style w:type="character" w:styleId="Gl">
    <w:name w:val="Strong"/>
    <w:qFormat/>
    <w:rsid w:val="00C25617"/>
    <w:rPr>
      <w:b/>
      <w:bCs/>
    </w:rPr>
  </w:style>
  <w:style w:type="paragraph" w:styleId="Altbilgi">
    <w:name w:val="footer"/>
    <w:basedOn w:val="Normal"/>
    <w:link w:val="AltbilgiChar"/>
    <w:rsid w:val="00C25617"/>
    <w:pPr>
      <w:tabs>
        <w:tab w:val="center" w:pos="4536"/>
        <w:tab w:val="right" w:pos="9072"/>
      </w:tabs>
    </w:pPr>
  </w:style>
  <w:style w:type="character" w:customStyle="1" w:styleId="AltbilgiChar">
    <w:name w:val="Altbilgi Char"/>
    <w:basedOn w:val="VarsaylanParagrafYazTipi"/>
    <w:link w:val="Altbilgi"/>
    <w:rsid w:val="00C25617"/>
    <w:rPr>
      <w:rFonts w:ascii="Times New Roman" w:eastAsia="Times New Roman" w:hAnsi="Times New Roman" w:cs="Times New Roman"/>
      <w:sz w:val="24"/>
      <w:szCs w:val="24"/>
      <w:lang w:eastAsia="tr-TR"/>
    </w:rPr>
  </w:style>
  <w:style w:type="character" w:styleId="SayfaNumaras">
    <w:name w:val="page number"/>
    <w:basedOn w:val="VarsaylanParagrafYazTipi"/>
    <w:rsid w:val="00C25617"/>
  </w:style>
  <w:style w:type="character" w:customStyle="1" w:styleId="Gvdemetni0">
    <w:name w:val="Gövde metni_"/>
    <w:link w:val="Gvdemetni1"/>
    <w:rsid w:val="00C25617"/>
    <w:rPr>
      <w:rFonts w:ascii="Book Antiqua" w:eastAsia="Book Antiqua" w:hAnsi="Book Antiqua" w:cs="Book Antiqua"/>
      <w:spacing w:val="-2"/>
      <w:sz w:val="14"/>
      <w:szCs w:val="14"/>
      <w:shd w:val="clear" w:color="auto" w:fill="FFFFFF"/>
    </w:rPr>
  </w:style>
  <w:style w:type="paragraph" w:customStyle="1" w:styleId="Gvdemetni1">
    <w:name w:val="Gövde metni"/>
    <w:basedOn w:val="Normal"/>
    <w:link w:val="Gvdemetni0"/>
    <w:rsid w:val="00C25617"/>
    <w:pPr>
      <w:shd w:val="clear" w:color="auto" w:fill="FFFFFF"/>
      <w:spacing w:before="420" w:after="420" w:line="207" w:lineRule="exact"/>
      <w:jc w:val="both"/>
    </w:pPr>
    <w:rPr>
      <w:rFonts w:ascii="Book Antiqua" w:eastAsia="Book Antiqua" w:hAnsi="Book Antiqua" w:cs="Book Antiqua"/>
      <w:spacing w:val="-2"/>
      <w:sz w:val="14"/>
      <w:szCs w:val="14"/>
      <w:lang w:eastAsia="en-US"/>
    </w:rPr>
  </w:style>
  <w:style w:type="character" w:customStyle="1" w:styleId="Gvdemetni1ptbolukbraklyor">
    <w:name w:val="Gövde metni + 1 pt boşluk bırakılıyor"/>
    <w:rsid w:val="00C25617"/>
    <w:rPr>
      <w:rFonts w:ascii="Book Antiqua" w:eastAsia="Book Antiqua" w:hAnsi="Book Antiqua" w:cs="Book Antiqua"/>
      <w:b w:val="0"/>
      <w:bCs w:val="0"/>
      <w:i w:val="0"/>
      <w:iCs w:val="0"/>
      <w:smallCaps w:val="0"/>
      <w:strike w:val="0"/>
      <w:spacing w:val="18"/>
      <w:sz w:val="14"/>
      <w:szCs w:val="14"/>
      <w:shd w:val="clear" w:color="auto" w:fill="FFFFFF"/>
    </w:rPr>
  </w:style>
  <w:style w:type="paragraph" w:customStyle="1" w:styleId="3-NormalYaz">
    <w:name w:val="3-Normal Yazı"/>
    <w:rsid w:val="00C25617"/>
    <w:pPr>
      <w:tabs>
        <w:tab w:val="left" w:pos="566"/>
      </w:tabs>
      <w:spacing w:after="0" w:line="240" w:lineRule="auto"/>
      <w:jc w:val="both"/>
    </w:pPr>
    <w:rPr>
      <w:rFonts w:ascii="Times New Roman" w:eastAsia="Times New Roman" w:hAnsi="Times New Roman" w:cs="Times New Roman"/>
      <w:sz w:val="19"/>
      <w:szCs w:val="20"/>
    </w:rPr>
  </w:style>
  <w:style w:type="paragraph" w:styleId="BalonMetni">
    <w:name w:val="Balloon Text"/>
    <w:basedOn w:val="Normal"/>
    <w:link w:val="BalonMetniChar"/>
    <w:uiPriority w:val="99"/>
    <w:semiHidden/>
    <w:unhideWhenUsed/>
    <w:rsid w:val="00C25617"/>
    <w:rPr>
      <w:rFonts w:ascii="Tahoma" w:hAnsi="Tahoma" w:cs="Tahoma"/>
      <w:sz w:val="16"/>
      <w:szCs w:val="16"/>
    </w:rPr>
  </w:style>
  <w:style w:type="character" w:customStyle="1" w:styleId="BalonMetniChar">
    <w:name w:val="Balon Metni Char"/>
    <w:basedOn w:val="VarsaylanParagrafYazTipi"/>
    <w:link w:val="BalonMetni"/>
    <w:uiPriority w:val="99"/>
    <w:semiHidden/>
    <w:rsid w:val="00C25617"/>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CF33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31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http://mevzuat.basbakanlik.gov.tr/mevzuat/cache/yonetmelik/7.5.6380_dosyalar/image001.gif"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http://mevzuat.basbakanlik.gov.tr/mevzuat/cache/yonetmelik/7.5.6380_dosyalar/image003.gi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http://mevzuat.basbakanlik.gov.tr/mevzuat/cache/yonetmelik/7.5.6380_dosyalar/image002.gif"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1386</Words>
  <Characters>7901</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Taşçı</dc:creator>
  <cp:lastModifiedBy>Aydın</cp:lastModifiedBy>
  <cp:revision>36</cp:revision>
  <dcterms:created xsi:type="dcterms:W3CDTF">2015-03-03T11:47:00Z</dcterms:created>
  <dcterms:modified xsi:type="dcterms:W3CDTF">2015-06-04T06:40:00Z</dcterms:modified>
</cp:coreProperties>
</file>