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F54" w:rsidRDefault="005D5F54" w:rsidP="005D5F54">
      <w:pPr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:rsidR="005D5F54" w:rsidRDefault="005D5F54" w:rsidP="005D5F54">
      <w:pPr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  <w:bookmarkStart w:id="0" w:name="_GoBack"/>
      <w:bookmarkEnd w:id="0"/>
      <w:r w:rsidRPr="005D5F54"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  <w:t>EK-1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  <w:t>DEĞİŞKEN SERMAYELİ ORTAKLIĞIN İZAHNAMESİNDE YER ALMASI GEREKEN ASGARİ UNSURLAR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a) Ortaklığın unvanı, ortaklığın varsa işletme adı, ortaklığın süresi ve portföyün türü.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b) Ortaklığın, yöneticinin ve portföy saklama kuruluşunun unvanı ve adresleri.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c) Portföy yöneticileri ve ortaklığın yönetim kurulu üyelerine ilişkin bilgi.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ç) Portföyün yatırım stratejisi, amacı, yatırım sınırlamaları ve risklerine ilişkin esaslar.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d) Dışarıdan alınan hizmetlere ilişkin bilgi.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e) Payların alım satımına ilişkin usul ve esaslar.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f) Portföyün yönetimine ve saklanmasına ilişkin esaslar.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g) Portföyün değerlemesine ilişkin esaslar.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ğ) Portföyün malvarlığından yapılabilecek harcamalara ilişkin esaslar.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h) Portföy gelir gider farkının pay sahiplerine aktarılmasına ilişkin esaslar.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ı) Portföye katılma ve portföyden ayrılma şartları.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i) Portföyün ve ortaklığın tasfiye şekli.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j) Esas sözleşme ve finansal raporların nereden temin edilebileceği.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k) Portföyün denetimini yapacak kuruluşa ilişkin açıklama.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sz w:val="19"/>
          <w:szCs w:val="19"/>
          <w:lang w:eastAsia="tr-TR"/>
        </w:rPr>
        <w:t>l) Kurulca belirlenecek diğer unsurlar.</w:t>
      </w:r>
    </w:p>
    <w:p w:rsidR="005D5F54" w:rsidRPr="005D5F54" w:rsidRDefault="005D5F54" w:rsidP="005D5F54">
      <w:pPr>
        <w:tabs>
          <w:tab w:val="left" w:pos="85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9"/>
          <w:szCs w:val="19"/>
          <w:lang w:eastAsia="tr-TR"/>
        </w:rPr>
      </w:pPr>
    </w:p>
    <w:p w:rsidR="005D5F54" w:rsidRDefault="005D5F54" w:rsidP="005D5F5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>EK</w:t>
      </w:r>
      <w:r w:rsidRPr="005D5F54"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  <w:t>-</w:t>
      </w: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>2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>TAKİP FARKI VE TAKİP HATASININ HESAPLANMASI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>Takip Farkı (Tracking Difference):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sz w:val="19"/>
          <w:szCs w:val="19"/>
        </w:rPr>
        <w:t>TD = R</w:t>
      </w:r>
      <w:r w:rsidRPr="005D5F54">
        <w:rPr>
          <w:rFonts w:ascii="Times New Roman" w:eastAsia="Times New Roman" w:hAnsi="Times New Roman" w:cs="Times New Roman"/>
          <w:sz w:val="19"/>
          <w:szCs w:val="19"/>
          <w:vertAlign w:val="subscript"/>
        </w:rPr>
        <w:t>P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 xml:space="preserve"> – R</w:t>
      </w:r>
      <w:r w:rsidRPr="005D5F54">
        <w:rPr>
          <w:rFonts w:ascii="Times New Roman" w:eastAsia="Times New Roman" w:hAnsi="Times New Roman" w:cs="Times New Roman"/>
          <w:sz w:val="19"/>
          <w:szCs w:val="19"/>
          <w:vertAlign w:val="subscript"/>
        </w:rPr>
        <w:t>B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sz w:val="19"/>
          <w:szCs w:val="19"/>
        </w:rPr>
        <w:t>TD:</w:t>
      </w: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 xml:space="preserve"> 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Takip farkı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sz w:val="19"/>
          <w:szCs w:val="19"/>
        </w:rPr>
        <w:t>R</w:t>
      </w:r>
      <w:r w:rsidRPr="005D5F54">
        <w:rPr>
          <w:rFonts w:ascii="Times New Roman" w:eastAsia="Times New Roman" w:hAnsi="Times New Roman" w:cs="Times New Roman"/>
          <w:sz w:val="19"/>
          <w:szCs w:val="19"/>
          <w:vertAlign w:val="subscript"/>
        </w:rPr>
        <w:t>P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:</w:t>
      </w: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 xml:space="preserve"> 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Portföyün yıllık getirisi (Net aktif değer esas alınarak hesaplanan)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sz w:val="19"/>
          <w:szCs w:val="19"/>
        </w:rPr>
        <w:t>R</w:t>
      </w:r>
      <w:r w:rsidRPr="005D5F54">
        <w:rPr>
          <w:rFonts w:ascii="Times New Roman" w:eastAsia="Times New Roman" w:hAnsi="Times New Roman" w:cs="Times New Roman"/>
          <w:sz w:val="19"/>
          <w:szCs w:val="19"/>
          <w:vertAlign w:val="subscript"/>
        </w:rPr>
        <w:t>B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:</w:t>
      </w: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 xml:space="preserve"> 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Takip edilen endeksin yıllık getirisi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>Takip Hatası (Tracking Error):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ヒラギノ明朝 Pro W3" w:hAnsi="Times" w:cs="Times New Roman"/>
          <w:noProof/>
          <w:sz w:val="19"/>
          <w:szCs w:val="20"/>
          <w:lang w:eastAsia="tr-TR"/>
        </w:rPr>
        <w:drawing>
          <wp:inline distT="0" distB="0" distL="0" distR="0">
            <wp:extent cx="1450975" cy="43942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sz w:val="19"/>
          <w:szCs w:val="19"/>
        </w:rPr>
        <w:t>TE:</w:t>
      </w: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 xml:space="preserve"> 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Takip hatası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sz w:val="19"/>
          <w:szCs w:val="19"/>
        </w:rPr>
        <w:t>R</w:t>
      </w:r>
      <w:r w:rsidRPr="005D5F54">
        <w:rPr>
          <w:rFonts w:ascii="Times New Roman" w:eastAsia="Times New Roman" w:hAnsi="Times New Roman" w:cs="Times New Roman"/>
          <w:sz w:val="19"/>
          <w:szCs w:val="19"/>
          <w:vertAlign w:val="subscript"/>
        </w:rPr>
        <w:t>P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:</w:t>
      </w: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 xml:space="preserve"> 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Portföyün getirisi (Net aktif değer esas alınarak hesaplanan)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sz w:val="19"/>
          <w:szCs w:val="19"/>
        </w:rPr>
        <w:t>R</w:t>
      </w:r>
      <w:r w:rsidRPr="005D5F54">
        <w:rPr>
          <w:rFonts w:ascii="Times New Roman" w:eastAsia="Times New Roman" w:hAnsi="Times New Roman" w:cs="Times New Roman"/>
          <w:sz w:val="19"/>
          <w:szCs w:val="19"/>
          <w:vertAlign w:val="subscript"/>
        </w:rPr>
        <w:t>B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:</w:t>
      </w: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 xml:space="preserve"> 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Takip edilen endeksin getirisi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</w:rPr>
      </w:pPr>
      <w:r w:rsidRPr="005D5F54">
        <w:rPr>
          <w:rFonts w:ascii="Times New Roman" w:eastAsia="Times New Roman" w:hAnsi="Times New Roman" w:cs="Times New Roman"/>
          <w:sz w:val="19"/>
          <w:szCs w:val="19"/>
        </w:rPr>
        <w:t>N:</w:t>
      </w:r>
      <w:r w:rsidRPr="005D5F54">
        <w:rPr>
          <w:rFonts w:ascii="Times New Roman" w:eastAsia="Times New Roman" w:hAnsi="Times New Roman" w:cs="Times New Roman"/>
          <w:b/>
          <w:sz w:val="19"/>
          <w:szCs w:val="19"/>
        </w:rPr>
        <w:t xml:space="preserve"> </w:t>
      </w:r>
      <w:r w:rsidRPr="005D5F54">
        <w:rPr>
          <w:rFonts w:ascii="Times New Roman" w:eastAsia="Times New Roman" w:hAnsi="Times New Roman" w:cs="Times New Roman"/>
          <w:sz w:val="19"/>
          <w:szCs w:val="19"/>
        </w:rPr>
        <w:t>Hesaplamaya konu gün sayısı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  <w:t>EK-3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:rsidR="005D5F54" w:rsidRPr="005D5F54" w:rsidRDefault="005D5F54" w:rsidP="005D5F5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  <w:r w:rsidRPr="005D5F54"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  <w:t>PORTFÖY TÜRLERİ BAZINDA UYGULANACAK AZAMİ TOPLAM GİDER ORANLARI</w:t>
      </w:r>
    </w:p>
    <w:p w:rsidR="005D5F54" w:rsidRPr="005D5F54" w:rsidRDefault="005D5F54" w:rsidP="005D5F54">
      <w:pPr>
        <w:autoSpaceDE w:val="0"/>
        <w:autoSpaceDN w:val="0"/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W w:w="85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A0" w:firstRow="1" w:lastRow="0" w:firstColumn="1" w:lastColumn="0" w:noHBand="0" w:noVBand="0"/>
      </w:tblPr>
      <w:tblGrid>
        <w:gridCol w:w="3247"/>
        <w:gridCol w:w="1814"/>
        <w:gridCol w:w="3444"/>
      </w:tblGrid>
      <w:tr w:rsidR="005D5F54" w:rsidRPr="005D5F54" w:rsidTr="00085F3A">
        <w:trPr>
          <w:trHeight w:val="20"/>
          <w:jc w:val="center"/>
        </w:trPr>
        <w:tc>
          <w:tcPr>
            <w:tcW w:w="3247" w:type="dxa"/>
            <w:vMerge w:val="restart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PORTFÖY TÜRLERİ</w:t>
            </w:r>
          </w:p>
        </w:tc>
        <w:tc>
          <w:tcPr>
            <w:tcW w:w="5258" w:type="dxa"/>
            <w:gridSpan w:val="2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Uygulanacak Azami Toplam Gider Oranı</w:t>
            </w:r>
          </w:p>
        </w:tc>
      </w:tr>
      <w:tr w:rsidR="005D5F54" w:rsidRPr="005D5F54" w:rsidTr="00085F3A">
        <w:trPr>
          <w:trHeight w:val="20"/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</w:p>
        </w:tc>
        <w:tc>
          <w:tcPr>
            <w:tcW w:w="1814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tabs>
                <w:tab w:val="center" w:pos="142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Günlük</w:t>
            </w:r>
          </w:p>
        </w:tc>
        <w:tc>
          <w:tcPr>
            <w:tcW w:w="3444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tabs>
                <w:tab w:val="center" w:pos="142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tr-TR"/>
              </w:rPr>
              <w:t>Yıllık</w:t>
            </w:r>
          </w:p>
        </w:tc>
      </w:tr>
      <w:tr w:rsidR="005D5F54" w:rsidRPr="005D5F54" w:rsidTr="00085F3A">
        <w:trPr>
          <w:trHeight w:val="20"/>
          <w:jc w:val="center"/>
        </w:trPr>
        <w:tc>
          <w:tcPr>
            <w:tcW w:w="3247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Para Piyasası Portföyleri</w:t>
            </w:r>
          </w:p>
        </w:tc>
        <w:tc>
          <w:tcPr>
            <w:tcW w:w="1814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Yüzbinde 3,5</w:t>
            </w:r>
          </w:p>
        </w:tc>
        <w:tc>
          <w:tcPr>
            <w:tcW w:w="3444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%1,28</w:t>
            </w:r>
          </w:p>
        </w:tc>
      </w:tr>
      <w:tr w:rsidR="005D5F54" w:rsidRPr="005D5F54" w:rsidTr="00085F3A">
        <w:trPr>
          <w:trHeight w:val="20"/>
          <w:jc w:val="center"/>
        </w:trPr>
        <w:tc>
          <w:tcPr>
            <w:tcW w:w="3247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 xml:space="preserve">Kısa vadeli olan borçlanma araçları portföyleri, kıymetli madenler portföyleri ile unvanında endeks ibaresi yer alan portföyler </w:t>
            </w:r>
          </w:p>
        </w:tc>
        <w:tc>
          <w:tcPr>
            <w:tcW w:w="1814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Yüzbinde 6</w:t>
            </w:r>
          </w:p>
        </w:tc>
        <w:tc>
          <w:tcPr>
            <w:tcW w:w="3444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%2,19</w:t>
            </w:r>
          </w:p>
        </w:tc>
      </w:tr>
      <w:tr w:rsidR="005D5F54" w:rsidRPr="005D5F54" w:rsidTr="00085F3A">
        <w:trPr>
          <w:trHeight w:val="20"/>
          <w:jc w:val="center"/>
        </w:trPr>
        <w:tc>
          <w:tcPr>
            <w:tcW w:w="3247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Diğer portföyler</w:t>
            </w:r>
          </w:p>
        </w:tc>
        <w:tc>
          <w:tcPr>
            <w:tcW w:w="1814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Yüzbinde 10</w:t>
            </w:r>
          </w:p>
        </w:tc>
        <w:tc>
          <w:tcPr>
            <w:tcW w:w="3444" w:type="dxa"/>
            <w:shd w:val="clear" w:color="auto" w:fill="FFFFFF"/>
            <w:vAlign w:val="center"/>
            <w:hideMark/>
          </w:tcPr>
          <w:p w:rsidR="005D5F54" w:rsidRPr="005D5F54" w:rsidRDefault="005D5F54" w:rsidP="00085F3A">
            <w:pPr>
              <w:autoSpaceDE w:val="0"/>
              <w:autoSpaceDN w:val="0"/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5D5F54"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  <w:t>%3,65</w:t>
            </w:r>
          </w:p>
        </w:tc>
      </w:tr>
    </w:tbl>
    <w:p w:rsidR="005D5F54" w:rsidRPr="005D5F54" w:rsidRDefault="005D5F54" w:rsidP="005D5F54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1C283D"/>
          <w:sz w:val="18"/>
          <w:szCs w:val="18"/>
          <w:lang w:eastAsia="tr-TR"/>
        </w:rPr>
      </w:pPr>
    </w:p>
    <w:p w:rsidR="00691910" w:rsidRDefault="00691910"/>
    <w:sectPr w:rsidR="00691910" w:rsidSect="005D5F54">
      <w:footerReference w:type="even" r:id="rId7"/>
      <w:pgSz w:w="11907" w:h="16840" w:code="9"/>
      <w:pgMar w:top="0" w:right="2410" w:bottom="2835" w:left="2410" w:header="709" w:footer="3969" w:gutter="0"/>
      <w:pgNumType w:start="1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457" w:rsidRDefault="00747457" w:rsidP="005D5F54">
      <w:pPr>
        <w:spacing w:after="0" w:line="240" w:lineRule="auto"/>
      </w:pPr>
      <w:r>
        <w:separator/>
      </w:r>
    </w:p>
  </w:endnote>
  <w:endnote w:type="continuationSeparator" w:id="0">
    <w:p w:rsidR="00747457" w:rsidRDefault="00747457" w:rsidP="005D5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B18" w:rsidRDefault="00747457">
    <w:pPr>
      <w:pStyle w:val="Altbilgi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80</w:t>
    </w:r>
    <w:r>
      <w:fldChar w:fldCharType="end"/>
    </w:r>
  </w:p>
  <w:p w:rsidR="00D02B18" w:rsidRDefault="0074745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457" w:rsidRDefault="00747457" w:rsidP="005D5F54">
      <w:pPr>
        <w:spacing w:after="0" w:line="240" w:lineRule="auto"/>
      </w:pPr>
      <w:r>
        <w:separator/>
      </w:r>
    </w:p>
  </w:footnote>
  <w:footnote w:type="continuationSeparator" w:id="0">
    <w:p w:rsidR="00747457" w:rsidRDefault="00747457" w:rsidP="005D5F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F54"/>
    <w:rsid w:val="0000363B"/>
    <w:rsid w:val="005D5F54"/>
    <w:rsid w:val="00691910"/>
    <w:rsid w:val="0074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660CE9-788C-4770-BEA3-9BCBAC13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5D5F54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ltbilgiChar">
    <w:name w:val="Altbilgi Char"/>
    <w:basedOn w:val="VarsaylanParagrafYazTipi"/>
    <w:link w:val="Altbilgi"/>
    <w:uiPriority w:val="99"/>
    <w:rsid w:val="005D5F54"/>
    <w:rPr>
      <w:rFonts w:ascii="Times New Roman" w:eastAsia="Times New Roman" w:hAnsi="Times New Roman" w:cs="Times New Roman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D5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D5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Aydın</dc:creator>
  <cp:keywords/>
  <dc:description/>
  <cp:lastModifiedBy>Aydın</cp:lastModifiedBy>
  <cp:revision>1</cp:revision>
  <dcterms:created xsi:type="dcterms:W3CDTF">2015-05-27T11:10:00Z</dcterms:created>
  <dcterms:modified xsi:type="dcterms:W3CDTF">2015-05-27T11:16:00Z</dcterms:modified>
</cp:coreProperties>
</file>