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B6E" w:rsidRDefault="002B0B6E" w:rsidP="00A7692F">
      <w:pPr>
        <w:tabs>
          <w:tab w:val="left" w:pos="3674"/>
        </w:tabs>
        <w:rPr>
          <w:b/>
        </w:rPr>
      </w:pPr>
      <w:r>
        <w:rPr>
          <w:b/>
        </w:rPr>
        <w:t>EK –1                                                                                     PARAMETRELER LİSTESİ</w:t>
      </w:r>
    </w:p>
    <w:p w:rsidR="002B0B6E" w:rsidRDefault="002B0B6E" w:rsidP="00A7692F">
      <w:pPr>
        <w:jc w:val="both"/>
        <w:rPr>
          <w:b/>
        </w:rPr>
      </w:pPr>
    </w:p>
    <w:tbl>
      <w:tblPr>
        <w:tblW w:w="14100" w:type="dxa"/>
        <w:jc w:val="center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29"/>
        <w:gridCol w:w="454"/>
        <w:gridCol w:w="1389"/>
        <w:gridCol w:w="171"/>
        <w:gridCol w:w="1754"/>
        <w:gridCol w:w="1564"/>
        <w:gridCol w:w="1840"/>
        <w:gridCol w:w="1900"/>
        <w:gridCol w:w="1559"/>
        <w:gridCol w:w="2040"/>
      </w:tblGrid>
      <w:tr w:rsidR="002B0B6E" w:rsidTr="00380026">
        <w:trPr>
          <w:jc w:val="center"/>
        </w:trPr>
        <w:tc>
          <w:tcPr>
            <w:tcW w:w="1883" w:type="dxa"/>
            <w:gridSpan w:val="2"/>
            <w:vMerge w:val="restart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Parametreler</w:t>
            </w:r>
          </w:p>
        </w:tc>
        <w:tc>
          <w:tcPr>
            <w:tcW w:w="3314" w:type="dxa"/>
            <w:gridSpan w:val="3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Alabalık Zonu</w:t>
            </w:r>
          </w:p>
        </w:tc>
        <w:tc>
          <w:tcPr>
            <w:tcW w:w="3404" w:type="dxa"/>
            <w:gridSpan w:val="2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Sazan Zonu</w:t>
            </w:r>
          </w:p>
        </w:tc>
        <w:tc>
          <w:tcPr>
            <w:tcW w:w="1900" w:type="dxa"/>
            <w:vMerge w:val="restart"/>
            <w:vAlign w:val="center"/>
          </w:tcPr>
          <w:p w:rsidR="002B0B6E" w:rsidRDefault="002B0B6E" w:rsidP="009705D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Denetim veya Analiz Yöntemleri </w:t>
            </w:r>
          </w:p>
        </w:tc>
        <w:tc>
          <w:tcPr>
            <w:tcW w:w="1559" w:type="dxa"/>
            <w:vMerge w:val="restart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Minimum Örnekleme ve Ölçüm Sıklığı</w:t>
            </w:r>
          </w:p>
        </w:tc>
        <w:tc>
          <w:tcPr>
            <w:tcW w:w="2040" w:type="dxa"/>
            <w:vMerge w:val="restart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Gözlemler</w:t>
            </w:r>
          </w:p>
        </w:tc>
      </w:tr>
      <w:tr w:rsidR="002B0B6E" w:rsidTr="00380026">
        <w:trPr>
          <w:jc w:val="center"/>
        </w:trPr>
        <w:tc>
          <w:tcPr>
            <w:tcW w:w="1883" w:type="dxa"/>
            <w:gridSpan w:val="2"/>
            <w:vMerge/>
            <w:vAlign w:val="center"/>
          </w:tcPr>
          <w:p w:rsidR="002B0B6E" w:rsidRDefault="002B0B6E">
            <w:pPr>
              <w:rPr>
                <w:b/>
                <w:lang w:eastAsia="en-US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H</w:t>
            </w:r>
          </w:p>
        </w:tc>
        <w:tc>
          <w:tcPr>
            <w:tcW w:w="1754" w:type="dxa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</w:t>
            </w:r>
          </w:p>
        </w:tc>
        <w:tc>
          <w:tcPr>
            <w:tcW w:w="1564" w:type="dxa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H</w:t>
            </w:r>
          </w:p>
        </w:tc>
        <w:tc>
          <w:tcPr>
            <w:tcW w:w="1840" w:type="dxa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Z</w:t>
            </w:r>
          </w:p>
        </w:tc>
        <w:tc>
          <w:tcPr>
            <w:tcW w:w="1900" w:type="dxa"/>
            <w:vMerge/>
            <w:vAlign w:val="center"/>
          </w:tcPr>
          <w:p w:rsidR="002B0B6E" w:rsidRDefault="002B0B6E">
            <w:pPr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vAlign w:val="center"/>
          </w:tcPr>
          <w:p w:rsidR="002B0B6E" w:rsidRDefault="002B0B6E">
            <w:pPr>
              <w:rPr>
                <w:b/>
                <w:lang w:eastAsia="en-US"/>
              </w:rPr>
            </w:pPr>
          </w:p>
        </w:tc>
        <w:tc>
          <w:tcPr>
            <w:tcW w:w="2040" w:type="dxa"/>
            <w:vMerge/>
            <w:vAlign w:val="center"/>
          </w:tcPr>
          <w:p w:rsidR="002B0B6E" w:rsidRDefault="002B0B6E">
            <w:pPr>
              <w:rPr>
                <w:b/>
                <w:lang w:eastAsia="en-US"/>
              </w:rPr>
            </w:pPr>
          </w:p>
        </w:tc>
      </w:tr>
      <w:tr w:rsidR="002B0B6E" w:rsidTr="00380026">
        <w:trPr>
          <w:jc w:val="center"/>
        </w:trPr>
        <w:tc>
          <w:tcPr>
            <w:tcW w:w="1429" w:type="dxa"/>
            <w:vMerge w:val="restart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1.Sıcaklık</w:t>
            </w: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(°C)</w:t>
            </w: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454" w:type="dxa"/>
            <w:vMerge w:val="restart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I</w:t>
            </w: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6718" w:type="dxa"/>
            <w:gridSpan w:val="5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Termal deşarj noktasının aşağı akış yönünde ve karışım bölgesinin bittiği noktada ölçülen sıcaklık aşağıdaki verilen değerlerden daha fazla artış göstermemelidir.</w:t>
            </w:r>
          </w:p>
        </w:tc>
        <w:tc>
          <w:tcPr>
            <w:tcW w:w="1900" w:type="dxa"/>
            <w:vMerge w:val="restart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Termometre</w:t>
            </w:r>
          </w:p>
        </w:tc>
        <w:tc>
          <w:tcPr>
            <w:tcW w:w="1559" w:type="dxa"/>
            <w:vMerge w:val="restart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Haftalık olarak, termal deşarj noktasının membasında ve mansabında </w:t>
            </w:r>
          </w:p>
        </w:tc>
        <w:tc>
          <w:tcPr>
            <w:tcW w:w="2040" w:type="dxa"/>
            <w:vMerge w:val="restart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Sıcaklıktaki ani değişimlerden kaçınılmalıdır.</w:t>
            </w:r>
          </w:p>
        </w:tc>
      </w:tr>
      <w:tr w:rsidR="002B0B6E" w:rsidTr="00380026">
        <w:trPr>
          <w:jc w:val="center"/>
        </w:trPr>
        <w:tc>
          <w:tcPr>
            <w:tcW w:w="1429" w:type="dxa"/>
            <w:vMerge/>
            <w:vAlign w:val="center"/>
          </w:tcPr>
          <w:p w:rsidR="002B0B6E" w:rsidRDefault="002B0B6E">
            <w:pPr>
              <w:rPr>
                <w:b/>
                <w:lang w:eastAsia="en-US"/>
              </w:rPr>
            </w:pPr>
          </w:p>
        </w:tc>
        <w:tc>
          <w:tcPr>
            <w:tcW w:w="454" w:type="dxa"/>
            <w:vMerge/>
            <w:vAlign w:val="center"/>
          </w:tcPr>
          <w:p w:rsidR="002B0B6E" w:rsidRDefault="002B0B6E">
            <w:pPr>
              <w:rPr>
                <w:b/>
                <w:lang w:eastAsia="en-US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754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1,5</w:t>
            </w:r>
            <w:r>
              <w:rPr>
                <w:b/>
                <w:lang w:eastAsia="en-US"/>
              </w:rPr>
              <w:t xml:space="preserve">° </w:t>
            </w:r>
            <w:r>
              <w:rPr>
                <w:lang w:eastAsia="en-US"/>
              </w:rPr>
              <w:t>C</w:t>
            </w: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564" w:type="dxa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84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3.0</w:t>
            </w:r>
            <w:r>
              <w:rPr>
                <w:b/>
                <w:lang w:eastAsia="en-US"/>
              </w:rPr>
              <w:t xml:space="preserve">° </w:t>
            </w:r>
            <w:r>
              <w:rPr>
                <w:lang w:eastAsia="en-US"/>
              </w:rPr>
              <w:t>C</w:t>
            </w: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900" w:type="dxa"/>
            <w:vMerge/>
            <w:vAlign w:val="center"/>
          </w:tcPr>
          <w:p w:rsidR="002B0B6E" w:rsidRDefault="002B0B6E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vAlign w:val="center"/>
          </w:tcPr>
          <w:p w:rsidR="002B0B6E" w:rsidRDefault="002B0B6E">
            <w:pPr>
              <w:rPr>
                <w:lang w:eastAsia="en-US"/>
              </w:rPr>
            </w:pPr>
          </w:p>
        </w:tc>
        <w:tc>
          <w:tcPr>
            <w:tcW w:w="2040" w:type="dxa"/>
            <w:vMerge/>
            <w:vAlign w:val="center"/>
          </w:tcPr>
          <w:p w:rsidR="002B0B6E" w:rsidRDefault="002B0B6E">
            <w:pPr>
              <w:rPr>
                <w:lang w:eastAsia="en-US"/>
              </w:rPr>
            </w:pPr>
          </w:p>
        </w:tc>
      </w:tr>
      <w:tr w:rsidR="002B0B6E" w:rsidTr="00380026">
        <w:trPr>
          <w:jc w:val="center"/>
        </w:trPr>
        <w:tc>
          <w:tcPr>
            <w:tcW w:w="1429" w:type="dxa"/>
            <w:vMerge/>
            <w:vAlign w:val="center"/>
          </w:tcPr>
          <w:p w:rsidR="002B0B6E" w:rsidRDefault="002B0B6E">
            <w:pPr>
              <w:rPr>
                <w:b/>
                <w:lang w:eastAsia="en-US"/>
              </w:rPr>
            </w:pPr>
          </w:p>
        </w:tc>
        <w:tc>
          <w:tcPr>
            <w:tcW w:w="454" w:type="dxa"/>
            <w:vMerge/>
            <w:vAlign w:val="center"/>
          </w:tcPr>
          <w:p w:rsidR="002B0B6E" w:rsidRDefault="002B0B6E">
            <w:pPr>
              <w:rPr>
                <w:b/>
                <w:lang w:eastAsia="en-US"/>
              </w:rPr>
            </w:pPr>
          </w:p>
        </w:tc>
        <w:tc>
          <w:tcPr>
            <w:tcW w:w="6718" w:type="dxa"/>
            <w:gridSpan w:val="5"/>
            <w:vAlign w:val="center"/>
          </w:tcPr>
          <w:p w:rsidR="002B0B6E" w:rsidRDefault="002B0B6E" w:rsidP="00A777B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Bakanlık, balık popülasyonunun dengeli gelişimi için hiçbir zararlı sonucun olmadığını tespit ederse coğrafik olarak sınırlı kalmak şartıyla  yukarıda verilen sıcaklık artış miktarlarında değişiklik yapabilir.</w:t>
            </w:r>
          </w:p>
        </w:tc>
        <w:tc>
          <w:tcPr>
            <w:tcW w:w="1900" w:type="dxa"/>
            <w:vMerge/>
            <w:vAlign w:val="center"/>
          </w:tcPr>
          <w:p w:rsidR="002B0B6E" w:rsidRDefault="002B0B6E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vAlign w:val="center"/>
          </w:tcPr>
          <w:p w:rsidR="002B0B6E" w:rsidRDefault="002B0B6E">
            <w:pPr>
              <w:rPr>
                <w:lang w:eastAsia="en-US"/>
              </w:rPr>
            </w:pPr>
          </w:p>
        </w:tc>
        <w:tc>
          <w:tcPr>
            <w:tcW w:w="2040" w:type="dxa"/>
            <w:vMerge/>
            <w:vAlign w:val="center"/>
          </w:tcPr>
          <w:p w:rsidR="002B0B6E" w:rsidRDefault="002B0B6E">
            <w:pPr>
              <w:rPr>
                <w:lang w:eastAsia="en-US"/>
              </w:rPr>
            </w:pPr>
          </w:p>
        </w:tc>
      </w:tr>
      <w:tr w:rsidR="002B0B6E" w:rsidTr="00380026">
        <w:trPr>
          <w:jc w:val="center"/>
        </w:trPr>
        <w:tc>
          <w:tcPr>
            <w:tcW w:w="1429" w:type="dxa"/>
            <w:vMerge/>
            <w:vAlign w:val="center"/>
          </w:tcPr>
          <w:p w:rsidR="002B0B6E" w:rsidRDefault="002B0B6E">
            <w:pPr>
              <w:rPr>
                <w:b/>
                <w:lang w:eastAsia="en-US"/>
              </w:rPr>
            </w:pPr>
          </w:p>
        </w:tc>
        <w:tc>
          <w:tcPr>
            <w:tcW w:w="454" w:type="dxa"/>
            <w:vMerge w:val="restart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II</w:t>
            </w:r>
          </w:p>
        </w:tc>
        <w:tc>
          <w:tcPr>
            <w:tcW w:w="6718" w:type="dxa"/>
            <w:gridSpan w:val="5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Termal deşarj noktasının aşağı akış yönünde ve karışım bölgesinin bittiği noktada ölçülen sıcaklık aşağıdaki verilen değerlerden daha fazla olmamalıdır.</w:t>
            </w:r>
          </w:p>
        </w:tc>
        <w:tc>
          <w:tcPr>
            <w:tcW w:w="1900" w:type="dxa"/>
            <w:vMerge w:val="restart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2040" w:type="dxa"/>
            <w:vMerge w:val="restart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</w:tc>
      </w:tr>
      <w:tr w:rsidR="002B0B6E" w:rsidTr="00380026">
        <w:trPr>
          <w:trHeight w:val="1434"/>
          <w:jc w:val="center"/>
        </w:trPr>
        <w:tc>
          <w:tcPr>
            <w:tcW w:w="1429" w:type="dxa"/>
            <w:vMerge/>
            <w:vAlign w:val="center"/>
          </w:tcPr>
          <w:p w:rsidR="002B0B6E" w:rsidRDefault="002B0B6E">
            <w:pPr>
              <w:rPr>
                <w:b/>
                <w:lang w:eastAsia="en-US"/>
              </w:rPr>
            </w:pPr>
          </w:p>
        </w:tc>
        <w:tc>
          <w:tcPr>
            <w:tcW w:w="454" w:type="dxa"/>
            <w:vMerge/>
            <w:vAlign w:val="center"/>
          </w:tcPr>
          <w:p w:rsidR="002B0B6E" w:rsidRDefault="002B0B6E">
            <w:pPr>
              <w:rPr>
                <w:b/>
                <w:lang w:eastAsia="en-US"/>
              </w:rPr>
            </w:pPr>
          </w:p>
        </w:tc>
        <w:tc>
          <w:tcPr>
            <w:tcW w:w="6718" w:type="dxa"/>
            <w:gridSpan w:val="5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21.5 (0)                                                 28 (0)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  10 (0)                                                 10 (0)</w:t>
            </w:r>
          </w:p>
        </w:tc>
        <w:tc>
          <w:tcPr>
            <w:tcW w:w="1900" w:type="dxa"/>
            <w:vMerge/>
            <w:vAlign w:val="center"/>
          </w:tcPr>
          <w:p w:rsidR="002B0B6E" w:rsidRDefault="002B0B6E">
            <w:pPr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vAlign w:val="center"/>
          </w:tcPr>
          <w:p w:rsidR="002B0B6E" w:rsidRDefault="002B0B6E">
            <w:pPr>
              <w:rPr>
                <w:b/>
                <w:lang w:eastAsia="en-US"/>
              </w:rPr>
            </w:pPr>
          </w:p>
        </w:tc>
        <w:tc>
          <w:tcPr>
            <w:tcW w:w="2040" w:type="dxa"/>
            <w:vMerge/>
            <w:vAlign w:val="center"/>
          </w:tcPr>
          <w:p w:rsidR="002B0B6E" w:rsidRDefault="002B0B6E">
            <w:pPr>
              <w:rPr>
                <w:b/>
                <w:lang w:eastAsia="en-US"/>
              </w:rPr>
            </w:pPr>
          </w:p>
        </w:tc>
      </w:tr>
      <w:tr w:rsidR="002B0B6E" w:rsidTr="00380026">
        <w:trPr>
          <w:jc w:val="center"/>
        </w:trPr>
        <w:tc>
          <w:tcPr>
            <w:tcW w:w="1429" w:type="dxa"/>
            <w:vMerge/>
            <w:vAlign w:val="center"/>
          </w:tcPr>
          <w:p w:rsidR="002B0B6E" w:rsidRDefault="002B0B6E">
            <w:pPr>
              <w:rPr>
                <w:b/>
                <w:lang w:eastAsia="en-US"/>
              </w:rPr>
            </w:pPr>
          </w:p>
        </w:tc>
        <w:tc>
          <w:tcPr>
            <w:tcW w:w="454" w:type="dxa"/>
            <w:vMerge/>
            <w:vAlign w:val="center"/>
          </w:tcPr>
          <w:p w:rsidR="002B0B6E" w:rsidRDefault="002B0B6E">
            <w:pPr>
              <w:rPr>
                <w:b/>
                <w:lang w:eastAsia="en-US"/>
              </w:rPr>
            </w:pPr>
          </w:p>
        </w:tc>
        <w:tc>
          <w:tcPr>
            <w:tcW w:w="6718" w:type="dxa"/>
            <w:gridSpan w:val="5"/>
            <w:vAlign w:val="center"/>
          </w:tcPr>
          <w:p w:rsidR="002B0B6E" w:rsidRDefault="002B0B6E" w:rsidP="0038002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10 ºC sıcaklık sınırı, yeniden üremek için soğuk sulara ihtiyaç duyan türlerin üreme periyotlarında ve yalnızca belirli türleri ihtiva eden sulara uygulanır.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Sıcaklık sınırları, zamanın en fazla  % 2’sini aşabilir.</w:t>
            </w:r>
          </w:p>
        </w:tc>
        <w:tc>
          <w:tcPr>
            <w:tcW w:w="1900" w:type="dxa"/>
            <w:vMerge/>
            <w:vAlign w:val="center"/>
          </w:tcPr>
          <w:p w:rsidR="002B0B6E" w:rsidRDefault="002B0B6E">
            <w:pPr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vAlign w:val="center"/>
          </w:tcPr>
          <w:p w:rsidR="002B0B6E" w:rsidRDefault="002B0B6E">
            <w:pPr>
              <w:rPr>
                <w:b/>
                <w:lang w:eastAsia="en-US"/>
              </w:rPr>
            </w:pPr>
          </w:p>
        </w:tc>
        <w:tc>
          <w:tcPr>
            <w:tcW w:w="2040" w:type="dxa"/>
            <w:vMerge/>
            <w:vAlign w:val="center"/>
          </w:tcPr>
          <w:p w:rsidR="002B0B6E" w:rsidRDefault="002B0B6E">
            <w:pPr>
              <w:rPr>
                <w:b/>
                <w:lang w:eastAsia="en-US"/>
              </w:rPr>
            </w:pPr>
          </w:p>
        </w:tc>
      </w:tr>
      <w:tr w:rsidR="002B0B6E" w:rsidTr="00380026">
        <w:trPr>
          <w:trHeight w:val="1105"/>
          <w:jc w:val="center"/>
        </w:trPr>
        <w:tc>
          <w:tcPr>
            <w:tcW w:w="1883" w:type="dxa"/>
            <w:gridSpan w:val="2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2.Çözünmüş  Oksijen</w:t>
            </w: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(mg/LO</w:t>
            </w:r>
            <w:r>
              <w:rPr>
                <w:b/>
                <w:vertAlign w:val="subscript"/>
                <w:lang w:eastAsia="en-US"/>
              </w:rPr>
              <w:t xml:space="preserve">2 </w:t>
            </w:r>
            <w:r>
              <w:rPr>
                <w:b/>
                <w:lang w:eastAsia="en-US"/>
              </w:rPr>
              <w:t>)</w:t>
            </w: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389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% 50  ≥ 9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% 100  ≥7</w:t>
            </w:r>
          </w:p>
        </w:tc>
        <w:tc>
          <w:tcPr>
            <w:tcW w:w="1925" w:type="dxa"/>
            <w:gridSpan w:val="2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% 50≥ 9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 w:rsidP="00F8182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Çözünmüş oksijen konsantrasyonu  6mg/L altına düştüğü durumlarda  </w:t>
            </w:r>
            <w:r w:rsidRPr="00F81828">
              <w:rPr>
                <w:lang w:eastAsia="en-US"/>
              </w:rPr>
              <w:t xml:space="preserve">6.maddenin 4 üncü fıkrasına göre önlem </w:t>
            </w:r>
            <w:r>
              <w:rPr>
                <w:lang w:eastAsia="en-US"/>
              </w:rPr>
              <w:t xml:space="preserve">alınır. Bu durumun balık popülasyonun dengeli gelişimi için zararlı sonuçları olmadığı Bakanlıkça kanıtlanmalıdır.                                    </w:t>
            </w:r>
          </w:p>
        </w:tc>
        <w:tc>
          <w:tcPr>
            <w:tcW w:w="1564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% 50 ≥8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% 100&gt;5</w:t>
            </w:r>
          </w:p>
        </w:tc>
        <w:tc>
          <w:tcPr>
            <w:tcW w:w="184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% 50≥ 7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 w:rsidP="00F8182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Çözünmüş oksijen konsantrasyonu 4 mg/L altına düştüğü durumlarda 6.</w:t>
            </w:r>
            <w:r w:rsidRPr="00F81828">
              <w:rPr>
                <w:lang w:eastAsia="en-US"/>
              </w:rPr>
              <w:t>maddenin 4 üncü fıkrasına</w:t>
            </w:r>
            <w:r>
              <w:rPr>
                <w:lang w:eastAsia="en-US"/>
              </w:rPr>
              <w:t xml:space="preserve">  göre önlem alınır. Bu durumun balık popülasyonun dengeli gelişimi için zararlı sonuçları olmadığı Bakanlıkça kanıtlanmalıdır.                                    </w:t>
            </w:r>
          </w:p>
        </w:tc>
        <w:tc>
          <w:tcPr>
            <w:tcW w:w="190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WinklerYöntemiya da spesifikelektrod (elektro kimyasal metot) yöntemi</w:t>
            </w:r>
          </w:p>
        </w:tc>
        <w:tc>
          <w:tcPr>
            <w:tcW w:w="1559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Aylık olarak, örnekleme günündeki düşük oksijen koşullarını temsil eden en az bir örnek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Ancak, büyük günlük değişimlerin beklendiği yerde, günde en az 2 örnek alınmalıdır.</w:t>
            </w:r>
          </w:p>
        </w:tc>
        <w:tc>
          <w:tcPr>
            <w:tcW w:w="2040" w:type="dxa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</w:tc>
      </w:tr>
      <w:tr w:rsidR="002B0B6E" w:rsidTr="00380026">
        <w:trPr>
          <w:jc w:val="center"/>
        </w:trPr>
        <w:tc>
          <w:tcPr>
            <w:tcW w:w="1883" w:type="dxa"/>
            <w:gridSpan w:val="2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3. pH</w:t>
            </w:r>
          </w:p>
        </w:tc>
        <w:tc>
          <w:tcPr>
            <w:tcW w:w="1389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color w:val="0000FF"/>
                <w:lang w:eastAsia="en-US"/>
              </w:rPr>
            </w:pPr>
          </w:p>
        </w:tc>
        <w:tc>
          <w:tcPr>
            <w:tcW w:w="1925" w:type="dxa"/>
            <w:gridSpan w:val="2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6.0-9.0 (0) (</w:t>
            </w:r>
            <w:r>
              <w:rPr>
                <w:vertAlign w:val="superscript"/>
                <w:lang w:eastAsia="en-US"/>
              </w:rPr>
              <w:t>1</w:t>
            </w:r>
            <w:r>
              <w:rPr>
                <w:lang w:eastAsia="en-US"/>
              </w:rPr>
              <w:t>)</w:t>
            </w:r>
          </w:p>
        </w:tc>
        <w:tc>
          <w:tcPr>
            <w:tcW w:w="1564" w:type="dxa"/>
            <w:vAlign w:val="center"/>
          </w:tcPr>
          <w:p w:rsidR="002B0B6E" w:rsidRDefault="002B0B6E">
            <w:pPr>
              <w:spacing w:line="276" w:lineRule="auto"/>
              <w:rPr>
                <w:color w:val="0000FF"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color w:val="0000FF"/>
                <w:lang w:eastAsia="en-US"/>
              </w:rPr>
            </w:pPr>
          </w:p>
        </w:tc>
        <w:tc>
          <w:tcPr>
            <w:tcW w:w="184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6.0-9.0 (0) (</w:t>
            </w:r>
            <w:r>
              <w:rPr>
                <w:vertAlign w:val="superscript"/>
                <w:lang w:eastAsia="en-US"/>
              </w:rPr>
              <w:t>1</w:t>
            </w:r>
            <w:r>
              <w:rPr>
                <w:lang w:eastAsia="en-US"/>
              </w:rPr>
              <w:t>)</w:t>
            </w:r>
          </w:p>
        </w:tc>
        <w:tc>
          <w:tcPr>
            <w:tcW w:w="1900" w:type="dxa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İki standart tampon çözelti ile  ( biri asidik biri bazik bölgede yer alan) kalibre edilen pH metre ile elektrokimyasal metot.</w:t>
            </w:r>
          </w:p>
        </w:tc>
        <w:tc>
          <w:tcPr>
            <w:tcW w:w="1559" w:type="dxa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Aylık olarak</w:t>
            </w:r>
          </w:p>
        </w:tc>
        <w:tc>
          <w:tcPr>
            <w:tcW w:w="2040" w:type="dxa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</w:tc>
      </w:tr>
      <w:tr w:rsidR="002B0B6E" w:rsidTr="00380026">
        <w:trPr>
          <w:jc w:val="center"/>
        </w:trPr>
        <w:tc>
          <w:tcPr>
            <w:tcW w:w="1883" w:type="dxa"/>
            <w:gridSpan w:val="2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4. Askıda Katı Madde</w:t>
            </w: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(mg/L)</w:t>
            </w:r>
          </w:p>
        </w:tc>
        <w:tc>
          <w:tcPr>
            <w:tcW w:w="1389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≤ 25 (0)</w:t>
            </w:r>
          </w:p>
        </w:tc>
        <w:tc>
          <w:tcPr>
            <w:tcW w:w="1925" w:type="dxa"/>
            <w:gridSpan w:val="2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64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≤ 25 (0)</w:t>
            </w:r>
          </w:p>
        </w:tc>
        <w:tc>
          <w:tcPr>
            <w:tcW w:w="184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0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0.45 μm membran filtre kullanılarak yapılan filtrasyon veya santrifüj (en az 5 dk.,  2800 ila  3200 g ortalama hızında) den sonra 105 °C’de kurutma ve tartım</w:t>
            </w:r>
          </w:p>
        </w:tc>
        <w:tc>
          <w:tcPr>
            <w:tcW w:w="1559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04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Değerler ortalama konsantrasyonları göstermektedir ve  zararlı kimyasal özelliklere sahip askıda katı maddelere uygulanmaz.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Taşkınlar özellikle yüksek konsantrasyonlara sebep olabilir.</w:t>
            </w:r>
          </w:p>
        </w:tc>
      </w:tr>
      <w:tr w:rsidR="002B0B6E" w:rsidTr="00380026">
        <w:trPr>
          <w:jc w:val="center"/>
        </w:trPr>
        <w:tc>
          <w:tcPr>
            <w:tcW w:w="1883" w:type="dxa"/>
            <w:gridSpan w:val="2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5.</w:t>
            </w:r>
            <w:r w:rsidRPr="00883C80">
              <w:rPr>
                <w:b/>
                <w:lang w:eastAsia="en-US"/>
              </w:rPr>
              <w:t xml:space="preserve">Biyolojik oksijen ihtiyacı </w:t>
            </w:r>
            <w:r>
              <w:rPr>
                <w:b/>
                <w:lang w:eastAsia="en-US"/>
              </w:rPr>
              <w:t>(BOI</w:t>
            </w:r>
            <w:r>
              <w:rPr>
                <w:b/>
                <w:vertAlign w:val="subscript"/>
                <w:lang w:eastAsia="en-US"/>
              </w:rPr>
              <w:t>5</w:t>
            </w:r>
            <w:r>
              <w:rPr>
                <w:b/>
                <w:lang w:eastAsia="en-US"/>
              </w:rPr>
              <w:t>) (mg/L)</w:t>
            </w:r>
          </w:p>
        </w:tc>
        <w:tc>
          <w:tcPr>
            <w:tcW w:w="1389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≤ 3</w:t>
            </w:r>
          </w:p>
        </w:tc>
        <w:tc>
          <w:tcPr>
            <w:tcW w:w="1925" w:type="dxa"/>
            <w:gridSpan w:val="2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64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≤ 6</w:t>
            </w:r>
          </w:p>
        </w:tc>
        <w:tc>
          <w:tcPr>
            <w:tcW w:w="184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0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Tamamen Karanlık bir ortamda  20</w:t>
            </w:r>
            <w:r>
              <w:rPr>
                <w:lang w:eastAsia="en-US"/>
              </w:rPr>
              <w:sym w:font="Symbol" w:char="F0B1"/>
            </w:r>
            <w:r>
              <w:rPr>
                <w:lang w:eastAsia="en-US"/>
              </w:rPr>
              <w:t xml:space="preserve"> 1 °C’de   5 gün süreyle inkübasyona bırakılan su örneğinde inkübasyon öncesi ve sonrasında winkler yönt ile O</w:t>
            </w:r>
            <w:r>
              <w:rPr>
                <w:vertAlign w:val="subscript"/>
                <w:lang w:eastAsia="en-US"/>
              </w:rPr>
              <w:t>2</w:t>
            </w:r>
            <w:r>
              <w:rPr>
                <w:lang w:eastAsia="en-US"/>
              </w:rPr>
              <w:t>’nin belirlenmesi (nitrifikasyon engellenmemelidir.)</w:t>
            </w:r>
          </w:p>
        </w:tc>
        <w:tc>
          <w:tcPr>
            <w:tcW w:w="1559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04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</w:tr>
      <w:tr w:rsidR="002B0B6E" w:rsidTr="00380026">
        <w:trPr>
          <w:jc w:val="center"/>
        </w:trPr>
        <w:tc>
          <w:tcPr>
            <w:tcW w:w="1883" w:type="dxa"/>
            <w:gridSpan w:val="2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6. Toplam       fosfor</w:t>
            </w: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(mg/L  P)</w:t>
            </w:r>
          </w:p>
        </w:tc>
        <w:tc>
          <w:tcPr>
            <w:tcW w:w="1389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25" w:type="dxa"/>
            <w:gridSpan w:val="2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64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840" w:type="dxa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90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color w:val="000000"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ICP-Atomik Emisyon Spektrofotometresi</w:t>
            </w:r>
          </w:p>
          <w:p w:rsidR="002B0B6E" w:rsidRDefault="002B0B6E">
            <w:pPr>
              <w:spacing w:line="276" w:lineRule="auto"/>
              <w:rPr>
                <w:color w:val="000000"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ICP-Kütle Spektrometresi</w:t>
            </w:r>
          </w:p>
          <w:p w:rsidR="002B0B6E" w:rsidRDefault="002B0B6E">
            <w:pPr>
              <w:spacing w:line="276" w:lineRule="auto"/>
              <w:rPr>
                <w:color w:val="000000"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color w:val="000000"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(Moleküler absorbsiyonspektrofotometri)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Aylık olarak 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04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Ortalama derinlikleri </w:t>
            </w:r>
            <w:smartTag w:uri="urn:schemas-microsoft-com:office:smarttags" w:element="metricconverter">
              <w:smartTagPr>
                <w:attr w:name="ProductID" w:val="18 m"/>
              </w:smartTagPr>
              <w:r>
                <w:rPr>
                  <w:lang w:eastAsia="en-US"/>
                </w:rPr>
                <w:t>18 m</w:t>
              </w:r>
            </w:smartTag>
            <w:r>
              <w:rPr>
                <w:lang w:eastAsia="en-US"/>
              </w:rPr>
              <w:t xml:space="preserve">. ve </w:t>
            </w:r>
            <w:smartTag w:uri="urn:schemas-microsoft-com:office:smarttags" w:element="metricconverter">
              <w:smartTagPr>
                <w:attr w:name="ProductID" w:val="300 m"/>
              </w:smartTagPr>
              <w:r>
                <w:rPr>
                  <w:lang w:eastAsia="en-US"/>
                </w:rPr>
                <w:t>300 m</w:t>
              </w:r>
            </w:smartTag>
            <w:r>
              <w:rPr>
                <w:lang w:eastAsia="en-US"/>
              </w:rPr>
              <w:t>. arasındaki  göller söz konusu olduğunda aşağıdaki formül uygulanabilir;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_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L ≤ 10 </w:t>
            </w:r>
            <w:r>
              <w:rPr>
                <w:u w:val="single"/>
                <w:lang w:eastAsia="en-US"/>
              </w:rPr>
              <w:t xml:space="preserve">  Z</w:t>
            </w:r>
            <w:r>
              <w:rPr>
                <w:lang w:eastAsia="en-US"/>
              </w:rPr>
              <w:t xml:space="preserve">  (1+√ Tw)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Tw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L   = Bir yıl içinde her metre kare (m</w:t>
            </w:r>
            <w:r>
              <w:rPr>
                <w:vertAlign w:val="superscript"/>
                <w:lang w:eastAsia="en-US"/>
              </w:rPr>
              <w:t>2</w:t>
            </w:r>
            <w:r>
              <w:rPr>
                <w:lang w:eastAsia="en-US"/>
              </w:rPr>
              <w:t>)  göl yüzeyi için mg olarak ifade edilen (P) yüklemesi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_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Z   = Gölün metre (m) cinsinden ortalama derinliği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ind w:firstLine="708"/>
              <w:rPr>
                <w:lang w:eastAsia="en-US"/>
              </w:rPr>
            </w:pPr>
            <w:r>
              <w:rPr>
                <w:lang w:eastAsia="en-US"/>
              </w:rPr>
              <w:t>Tw = Gölün yıl cinsinden teorik olarak yenilenme süresi .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Diğer hallerde Alabalık zonu için 0.2 mg/L ve Sazan  Suları için 0.4 mg/L sınır değerleri, (ortafosfat) P0</w:t>
            </w:r>
            <w:r>
              <w:rPr>
                <w:vertAlign w:val="subscript"/>
                <w:lang w:eastAsia="en-US"/>
              </w:rPr>
              <w:t>4</w:t>
            </w:r>
            <w:r>
              <w:rPr>
                <w:lang w:eastAsia="en-US"/>
              </w:rPr>
              <w:t xml:space="preserve"> olarak ifade edilmiş haliyle, ötrofikasyonu azaltmak için gösterge olarak kabul edilebilir.</w:t>
            </w:r>
          </w:p>
        </w:tc>
      </w:tr>
      <w:tr w:rsidR="002B0B6E" w:rsidTr="00380026">
        <w:trPr>
          <w:trHeight w:val="534"/>
          <w:jc w:val="center"/>
        </w:trPr>
        <w:tc>
          <w:tcPr>
            <w:tcW w:w="1883" w:type="dxa"/>
            <w:gridSpan w:val="2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7.Nitrit </w:t>
            </w: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(mg/L  N0</w:t>
            </w:r>
            <w:r>
              <w:rPr>
                <w:b/>
                <w:vertAlign w:val="subscript"/>
                <w:lang w:eastAsia="en-US"/>
              </w:rPr>
              <w:t>2</w:t>
            </w:r>
            <w:r>
              <w:rPr>
                <w:b/>
                <w:lang w:eastAsia="en-US"/>
              </w:rPr>
              <w:t>)</w:t>
            </w: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389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≤0.01</w:t>
            </w:r>
          </w:p>
        </w:tc>
        <w:tc>
          <w:tcPr>
            <w:tcW w:w="1925" w:type="dxa"/>
            <w:gridSpan w:val="2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64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≤0.03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84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0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İyon Kromotografi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Moleküler absorbsiyonspektrofotometri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(aminoantiprinyöntemi, Paranitranilinyönetimi)</w:t>
            </w:r>
          </w:p>
        </w:tc>
        <w:tc>
          <w:tcPr>
            <w:tcW w:w="1559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04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</w:tr>
      <w:tr w:rsidR="002B0B6E" w:rsidTr="00380026">
        <w:trPr>
          <w:trHeight w:val="2266"/>
          <w:jc w:val="center"/>
        </w:trPr>
        <w:tc>
          <w:tcPr>
            <w:tcW w:w="1883" w:type="dxa"/>
            <w:gridSpan w:val="2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8.Fenol  bileşikleri</w:t>
            </w: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(mg/L C</w:t>
            </w:r>
            <w:r>
              <w:rPr>
                <w:b/>
                <w:vertAlign w:val="subscript"/>
                <w:lang w:eastAsia="en-US"/>
              </w:rPr>
              <w:t>6</w:t>
            </w:r>
            <w:r>
              <w:rPr>
                <w:b/>
                <w:lang w:eastAsia="en-US"/>
              </w:rPr>
              <w:t>H</w:t>
            </w:r>
            <w:r>
              <w:rPr>
                <w:b/>
                <w:vertAlign w:val="subscript"/>
                <w:lang w:eastAsia="en-US"/>
              </w:rPr>
              <w:t>5</w:t>
            </w:r>
            <w:r>
              <w:rPr>
                <w:b/>
                <w:lang w:eastAsia="en-US"/>
              </w:rPr>
              <w:t>OH)</w:t>
            </w:r>
          </w:p>
        </w:tc>
        <w:tc>
          <w:tcPr>
            <w:tcW w:w="1389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25" w:type="dxa"/>
            <w:gridSpan w:val="2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>
              <w:rPr>
                <w:vertAlign w:val="superscript"/>
                <w:lang w:eastAsia="en-US"/>
              </w:rPr>
              <w:t>2</w:t>
            </w:r>
            <w:r>
              <w:rPr>
                <w:lang w:eastAsia="en-US"/>
              </w:rPr>
              <w:t>)</w:t>
            </w:r>
          </w:p>
        </w:tc>
        <w:tc>
          <w:tcPr>
            <w:tcW w:w="1564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84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>
              <w:rPr>
                <w:vertAlign w:val="superscript"/>
                <w:lang w:eastAsia="en-US"/>
              </w:rPr>
              <w:t>2</w:t>
            </w:r>
            <w:r>
              <w:rPr>
                <w:lang w:eastAsia="en-US"/>
              </w:rPr>
              <w:t>)</w:t>
            </w:r>
          </w:p>
        </w:tc>
        <w:tc>
          <w:tcPr>
            <w:tcW w:w="190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  <w:r w:rsidRPr="00952BCF">
              <w:rPr>
                <w:sz w:val="23"/>
                <w:szCs w:val="23"/>
              </w:rPr>
              <w:t xml:space="preserve">Ulusal veya uluslararası kabul görmüş spektofotmetrik ya da kromatografik metotlar 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Aylık </w:t>
            </w:r>
          </w:p>
        </w:tc>
        <w:tc>
          <w:tcPr>
            <w:tcW w:w="204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</w:tr>
      <w:tr w:rsidR="002B0B6E" w:rsidTr="00380026">
        <w:trPr>
          <w:trHeight w:val="4058"/>
          <w:jc w:val="center"/>
        </w:trPr>
        <w:tc>
          <w:tcPr>
            <w:tcW w:w="1883" w:type="dxa"/>
            <w:gridSpan w:val="2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9.Petrol hidrokarbonları</w:t>
            </w:r>
          </w:p>
        </w:tc>
        <w:tc>
          <w:tcPr>
            <w:tcW w:w="1389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25" w:type="dxa"/>
            <w:gridSpan w:val="2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>
              <w:rPr>
                <w:vertAlign w:val="superscript"/>
                <w:lang w:eastAsia="en-US"/>
              </w:rPr>
              <w:t>3</w:t>
            </w:r>
            <w:r>
              <w:rPr>
                <w:lang w:eastAsia="en-US"/>
              </w:rPr>
              <w:t>)</w:t>
            </w:r>
          </w:p>
        </w:tc>
        <w:tc>
          <w:tcPr>
            <w:tcW w:w="1564" w:type="dxa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84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</w:t>
            </w:r>
            <w:r>
              <w:rPr>
                <w:vertAlign w:val="superscript"/>
                <w:lang w:eastAsia="en-US"/>
              </w:rPr>
              <w:t>3</w:t>
            </w:r>
            <w:r>
              <w:rPr>
                <w:lang w:eastAsia="en-US"/>
              </w:rPr>
              <w:t>)</w:t>
            </w:r>
          </w:p>
        </w:tc>
        <w:tc>
          <w:tcPr>
            <w:tcW w:w="190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Gaz Kromotografi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Sıvı Kromotografi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Görsel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Cs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Cs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Cs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Aylık </w:t>
            </w:r>
          </w:p>
        </w:tc>
        <w:tc>
          <w:tcPr>
            <w:tcW w:w="204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Görsel inceleme yalnızca düzenli hidrokarbonların bulunduğu tahmin edilen durumlarda; </w:t>
            </w:r>
            <w:r>
              <w:rPr>
                <w:color w:val="000000"/>
                <w:lang w:eastAsia="en-US"/>
              </w:rPr>
              <w:t xml:space="preserve">hidrokarbon varlığının olmasının beklendiği durumlarda </w:t>
            </w:r>
            <w:r>
              <w:rPr>
                <w:lang w:eastAsia="en-US"/>
              </w:rPr>
              <w:t>yapılır.</w:t>
            </w:r>
          </w:p>
        </w:tc>
      </w:tr>
      <w:tr w:rsidR="002B0B6E" w:rsidTr="00380026">
        <w:trPr>
          <w:jc w:val="center"/>
        </w:trPr>
        <w:tc>
          <w:tcPr>
            <w:tcW w:w="1883" w:type="dxa"/>
            <w:gridSpan w:val="2"/>
            <w:vMerge w:val="restart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10.İyonize olmamış Amonyak</w:t>
            </w: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(mg/L NH</w:t>
            </w:r>
            <w:r>
              <w:rPr>
                <w:b/>
                <w:vertAlign w:val="subscript"/>
                <w:lang w:eastAsia="en-US"/>
              </w:rPr>
              <w:t>3</w:t>
            </w:r>
            <w:r>
              <w:rPr>
                <w:b/>
                <w:lang w:eastAsia="en-US"/>
              </w:rPr>
              <w:t>)</w:t>
            </w: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389" w:type="dxa"/>
            <w:tcBorders>
              <w:bottom w:val="nil"/>
            </w:tcBorders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≤ 0.005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25" w:type="dxa"/>
            <w:gridSpan w:val="2"/>
            <w:tcBorders>
              <w:bottom w:val="nil"/>
            </w:tcBorders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≤ 0.025</w:t>
            </w:r>
          </w:p>
        </w:tc>
        <w:tc>
          <w:tcPr>
            <w:tcW w:w="1564" w:type="dxa"/>
            <w:tcBorders>
              <w:bottom w:val="nil"/>
            </w:tcBorders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≤ 0.005</w:t>
            </w:r>
          </w:p>
        </w:tc>
        <w:tc>
          <w:tcPr>
            <w:tcW w:w="1840" w:type="dxa"/>
            <w:tcBorders>
              <w:bottom w:val="nil"/>
            </w:tcBorders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≤ 0.025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00" w:type="dxa"/>
            <w:vMerge w:val="restart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İndofenol mavisi kullanarak moleküler absporbsiyon spektrofometresi veya pH ve sıcaklık tayini ile ilişkili Nessleryöntemi.</w:t>
            </w:r>
          </w:p>
        </w:tc>
        <w:tc>
          <w:tcPr>
            <w:tcW w:w="1559" w:type="dxa"/>
            <w:vMerge w:val="restart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Aylık 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040" w:type="dxa"/>
            <w:vMerge w:val="restart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İyonize olmamış amonyak değerleri gündüz küçük pik değerleri şeklinde aşılabilir.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</w:tr>
      <w:tr w:rsidR="002B0B6E" w:rsidTr="00380026">
        <w:trPr>
          <w:jc w:val="center"/>
        </w:trPr>
        <w:tc>
          <w:tcPr>
            <w:tcW w:w="1883" w:type="dxa"/>
            <w:gridSpan w:val="2"/>
            <w:vMerge/>
            <w:vAlign w:val="center"/>
          </w:tcPr>
          <w:p w:rsidR="002B0B6E" w:rsidRDefault="002B0B6E">
            <w:pPr>
              <w:rPr>
                <w:b/>
                <w:lang w:eastAsia="en-US"/>
              </w:rPr>
            </w:pPr>
          </w:p>
        </w:tc>
        <w:tc>
          <w:tcPr>
            <w:tcW w:w="6718" w:type="dxa"/>
            <w:gridSpan w:val="5"/>
            <w:tcBorders>
              <w:top w:val="nil"/>
              <w:bottom w:val="nil"/>
            </w:tcBorders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Ötrofikasyon ve nitrifikasyondan dolayı oksijen tüketimi, iyonize olmamış amonyaktan dolayı toksisite riskini azaltmak için toplam amonyum konsantrasyonu aşağıdaki değerleri aşmamalıdır.</w:t>
            </w:r>
          </w:p>
        </w:tc>
        <w:tc>
          <w:tcPr>
            <w:tcW w:w="1900" w:type="dxa"/>
            <w:vMerge/>
            <w:vAlign w:val="center"/>
          </w:tcPr>
          <w:p w:rsidR="002B0B6E" w:rsidRDefault="002B0B6E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vAlign w:val="center"/>
          </w:tcPr>
          <w:p w:rsidR="002B0B6E" w:rsidRDefault="002B0B6E">
            <w:pPr>
              <w:rPr>
                <w:lang w:eastAsia="en-US"/>
              </w:rPr>
            </w:pPr>
          </w:p>
        </w:tc>
        <w:tc>
          <w:tcPr>
            <w:tcW w:w="2040" w:type="dxa"/>
            <w:vMerge/>
            <w:vAlign w:val="center"/>
          </w:tcPr>
          <w:p w:rsidR="002B0B6E" w:rsidRDefault="002B0B6E">
            <w:pPr>
              <w:rPr>
                <w:lang w:eastAsia="en-US"/>
              </w:rPr>
            </w:pPr>
          </w:p>
        </w:tc>
      </w:tr>
      <w:tr w:rsidR="002B0B6E" w:rsidTr="00380026">
        <w:trPr>
          <w:jc w:val="center"/>
        </w:trPr>
        <w:tc>
          <w:tcPr>
            <w:tcW w:w="1883" w:type="dxa"/>
            <w:gridSpan w:val="2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11.</w:t>
            </w:r>
            <w:r>
              <w:rPr>
                <w:b/>
                <w:color w:val="000000"/>
              </w:rPr>
              <w:t>Toplam Amonyum</w:t>
            </w: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(mg/ L NH</w:t>
            </w:r>
            <w:r>
              <w:rPr>
                <w:b/>
                <w:vertAlign w:val="subscript"/>
                <w:lang w:eastAsia="en-US"/>
              </w:rPr>
              <w:t>4</w:t>
            </w:r>
            <w:r>
              <w:rPr>
                <w:b/>
                <w:lang w:eastAsia="en-US"/>
              </w:rPr>
              <w:t>)</w:t>
            </w: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≤ 0.04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754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≤ 1(</w:t>
            </w:r>
            <w:r>
              <w:rPr>
                <w:vertAlign w:val="superscript"/>
                <w:lang w:eastAsia="en-US"/>
              </w:rPr>
              <w:t>4</w:t>
            </w:r>
            <w:r>
              <w:rPr>
                <w:lang w:eastAsia="en-US"/>
              </w:rPr>
              <w:t>)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64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≤ 0.2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84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≤ 1(</w:t>
            </w:r>
            <w:r>
              <w:rPr>
                <w:vertAlign w:val="superscript"/>
                <w:lang w:eastAsia="en-US"/>
              </w:rPr>
              <w:t>4</w:t>
            </w:r>
            <w:r>
              <w:rPr>
                <w:lang w:eastAsia="en-US"/>
              </w:rPr>
              <w:t>)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00" w:type="dxa"/>
            <w:vMerge/>
            <w:vAlign w:val="center"/>
          </w:tcPr>
          <w:p w:rsidR="002B0B6E" w:rsidRDefault="002B0B6E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vAlign w:val="center"/>
          </w:tcPr>
          <w:p w:rsidR="002B0B6E" w:rsidRDefault="002B0B6E">
            <w:pPr>
              <w:rPr>
                <w:lang w:eastAsia="en-US"/>
              </w:rPr>
            </w:pPr>
          </w:p>
        </w:tc>
        <w:tc>
          <w:tcPr>
            <w:tcW w:w="2040" w:type="dxa"/>
            <w:vMerge/>
            <w:vAlign w:val="center"/>
          </w:tcPr>
          <w:p w:rsidR="002B0B6E" w:rsidRDefault="002B0B6E">
            <w:pPr>
              <w:rPr>
                <w:lang w:eastAsia="en-US"/>
              </w:rPr>
            </w:pPr>
          </w:p>
        </w:tc>
      </w:tr>
      <w:tr w:rsidR="002B0B6E" w:rsidTr="00380026">
        <w:trPr>
          <w:jc w:val="center"/>
        </w:trPr>
        <w:tc>
          <w:tcPr>
            <w:tcW w:w="1883" w:type="dxa"/>
            <w:gridSpan w:val="2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Pr="00AB2B58" w:rsidRDefault="002B0B6E" w:rsidP="00712912">
            <w:pPr>
              <w:jc w:val="both"/>
              <w:rPr>
                <w:b/>
                <w:color w:val="000000"/>
              </w:rPr>
            </w:pPr>
            <w:r>
              <w:rPr>
                <w:b/>
                <w:lang w:eastAsia="en-US"/>
              </w:rPr>
              <w:t>12.</w:t>
            </w:r>
            <w:r>
              <w:rPr>
                <w:b/>
                <w:color w:val="000000"/>
              </w:rPr>
              <w:t xml:space="preserve">Toplam Bakiye </w:t>
            </w:r>
            <w:r w:rsidRPr="00AB2B58">
              <w:rPr>
                <w:b/>
                <w:color w:val="000000"/>
              </w:rPr>
              <w:t xml:space="preserve">Klor </w:t>
            </w: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(mg/LHOCl)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754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≤ 0.005</w:t>
            </w:r>
          </w:p>
        </w:tc>
        <w:tc>
          <w:tcPr>
            <w:tcW w:w="1564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84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≤ 0.005</w:t>
            </w:r>
          </w:p>
        </w:tc>
        <w:tc>
          <w:tcPr>
            <w:tcW w:w="190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DPD-yöntemi 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(dietil-p-phenylenediamene)</w:t>
            </w:r>
          </w:p>
        </w:tc>
        <w:tc>
          <w:tcPr>
            <w:tcW w:w="1559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Aylık </w:t>
            </w:r>
          </w:p>
        </w:tc>
        <w:tc>
          <w:tcPr>
            <w:tcW w:w="204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Z değerleri  pH=6’ya karşılık gelir.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Pr="00FA2488" w:rsidRDefault="002B0B6E" w:rsidP="00E2345D">
            <w:pPr>
              <w:spacing w:line="276" w:lineRule="auto"/>
              <w:rPr>
                <w:lang w:eastAsia="en-US"/>
              </w:rPr>
            </w:pPr>
            <w:r w:rsidRPr="00FA2488">
              <w:rPr>
                <w:lang w:eastAsia="en-US"/>
              </w:rPr>
              <w:t>Daha yüksek toplam bakiye klor konsantrasyonları pH değerinin daha yüksek olması halinde kabul edilebilir.</w:t>
            </w:r>
          </w:p>
        </w:tc>
      </w:tr>
      <w:tr w:rsidR="002B0B6E" w:rsidTr="00380026">
        <w:trPr>
          <w:trHeight w:val="140"/>
          <w:jc w:val="center"/>
        </w:trPr>
        <w:tc>
          <w:tcPr>
            <w:tcW w:w="1883" w:type="dxa"/>
            <w:gridSpan w:val="2"/>
            <w:vAlign w:val="center"/>
          </w:tcPr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13.Toplam Çinko</w:t>
            </w: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(mg/LZn)</w:t>
            </w:r>
          </w:p>
        </w:tc>
        <w:tc>
          <w:tcPr>
            <w:tcW w:w="1560" w:type="dxa"/>
            <w:gridSpan w:val="2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754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≤ 0.3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64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84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≤ 1.0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0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-ICP-Atomik Emisyon Spektrofotometresi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-ICP-Kütle Spektrometresi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-Atomik absorbsiyonspektrofotometri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Aylık </w:t>
            </w:r>
          </w:p>
        </w:tc>
        <w:tc>
          <w:tcPr>
            <w:tcW w:w="2040" w:type="dxa"/>
            <w:vAlign w:val="center"/>
          </w:tcPr>
          <w:p w:rsidR="002B0B6E" w:rsidRDefault="002B0B6E">
            <w:pPr>
              <w:spacing w:line="276" w:lineRule="auto"/>
              <w:rPr>
                <w:i/>
                <w:strike/>
                <w:color w:val="FF0000"/>
                <w:u w:val="single"/>
                <w:lang w:eastAsia="en-US"/>
              </w:rPr>
            </w:pPr>
            <w:r>
              <w:rPr>
                <w:lang w:eastAsia="en-US"/>
              </w:rPr>
              <w:t>Z değerleri 100 mg/L CaCO</w:t>
            </w:r>
            <w:r>
              <w:rPr>
                <w:vertAlign w:val="subscript"/>
                <w:lang w:eastAsia="en-US"/>
              </w:rPr>
              <w:t>3</w:t>
            </w:r>
            <w:r>
              <w:rPr>
                <w:lang w:eastAsia="en-US"/>
              </w:rPr>
              <w:t xml:space="preserve"> su sertliğine karşı gelir.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vertAlign w:val="subscript"/>
                <w:lang w:eastAsia="en-US"/>
              </w:rPr>
            </w:pPr>
            <w:r>
              <w:rPr>
                <w:lang w:eastAsia="en-US"/>
              </w:rPr>
              <w:t>10 ila 500 mg/L arasındaki sertlik düzeylerine karşı gelen sınır değerler EK 2’de verilmiştir</w:t>
            </w:r>
            <w:r>
              <w:rPr>
                <w:vertAlign w:val="subscript"/>
                <w:lang w:eastAsia="en-US"/>
              </w:rPr>
              <w:t>.</w:t>
            </w:r>
          </w:p>
        </w:tc>
      </w:tr>
      <w:tr w:rsidR="002B0B6E" w:rsidTr="00380026">
        <w:trPr>
          <w:jc w:val="center"/>
        </w:trPr>
        <w:tc>
          <w:tcPr>
            <w:tcW w:w="1883" w:type="dxa"/>
            <w:gridSpan w:val="2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14.Çözünmüş Bakır </w:t>
            </w:r>
          </w:p>
          <w:p w:rsidR="002B0B6E" w:rsidRDefault="002B0B6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(mg/L Cu)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≤ 0.01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754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≤ 0.04</w:t>
            </w:r>
          </w:p>
        </w:tc>
        <w:tc>
          <w:tcPr>
            <w:tcW w:w="1564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≤ 0.01</w:t>
            </w:r>
          </w:p>
          <w:p w:rsidR="002B0B6E" w:rsidRDefault="002B0B6E">
            <w:pPr>
              <w:spacing w:line="276" w:lineRule="auto"/>
              <w:ind w:firstLine="708"/>
              <w:rPr>
                <w:lang w:eastAsia="en-US"/>
              </w:rPr>
            </w:pPr>
          </w:p>
        </w:tc>
        <w:tc>
          <w:tcPr>
            <w:tcW w:w="184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≤ 0.04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0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Atomik absorbsiyonspektrofotometri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ICP-Atomik Emisyon Spektrofotometresi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ICP-Kütle Spektrometresi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Membran filtre yoluyla filtrelemeden sonra 0.45µm. </w:t>
            </w:r>
          </w:p>
        </w:tc>
        <w:tc>
          <w:tcPr>
            <w:tcW w:w="1559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Aylık </w:t>
            </w:r>
          </w:p>
        </w:tc>
        <w:tc>
          <w:tcPr>
            <w:tcW w:w="2040" w:type="dxa"/>
            <w:vAlign w:val="center"/>
          </w:tcPr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H değerleri 100 mg/LCaCO</w:t>
            </w:r>
            <w:r>
              <w:rPr>
                <w:vertAlign w:val="subscript"/>
                <w:lang w:eastAsia="en-US"/>
              </w:rPr>
              <w:t>3</w:t>
            </w:r>
            <w:r>
              <w:rPr>
                <w:lang w:eastAsia="en-US"/>
              </w:rPr>
              <w:t xml:space="preserve"> sertliğine karşı gelir.</w:t>
            </w: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</w:p>
          <w:p w:rsidR="002B0B6E" w:rsidRDefault="002B0B6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 ila 300 mg/L arasındaki sertlik düzeylerine karşı gelen sınır değerler EK 2’de verilmiştir.</w:t>
            </w:r>
          </w:p>
        </w:tc>
      </w:tr>
    </w:tbl>
    <w:p w:rsidR="002B0B6E" w:rsidRDefault="002B0B6E" w:rsidP="00A7692F">
      <w:pPr>
        <w:jc w:val="both"/>
        <w:rPr>
          <w:b/>
        </w:rPr>
      </w:pPr>
    </w:p>
    <w:p w:rsidR="002B0B6E" w:rsidRPr="00FA2488" w:rsidRDefault="002B0B6E" w:rsidP="00A7692F">
      <w:pPr>
        <w:jc w:val="both"/>
        <w:rPr>
          <w:sz w:val="22"/>
          <w:szCs w:val="22"/>
        </w:rPr>
      </w:pPr>
      <w:r w:rsidRPr="00FA2488">
        <w:rPr>
          <w:b/>
          <w:sz w:val="22"/>
          <w:szCs w:val="22"/>
        </w:rPr>
        <w:t xml:space="preserve"> (</w:t>
      </w:r>
      <w:r w:rsidRPr="00FA2488">
        <w:rPr>
          <w:b/>
          <w:sz w:val="22"/>
          <w:szCs w:val="22"/>
          <w:vertAlign w:val="superscript"/>
        </w:rPr>
        <w:t>1</w:t>
      </w:r>
      <w:r w:rsidRPr="00FA2488">
        <w:rPr>
          <w:b/>
          <w:sz w:val="22"/>
          <w:szCs w:val="22"/>
        </w:rPr>
        <w:t>)</w:t>
      </w:r>
      <w:r w:rsidRPr="00FA2488">
        <w:rPr>
          <w:sz w:val="22"/>
          <w:szCs w:val="22"/>
        </w:rPr>
        <w:t xml:space="preserve">  Etkilenmemiş değerlere nazaran suni pH değişimleri, bu değişikliklerin sudaki diğer maddelerin zararlığını artırmaması kaydıyla, 6.0 ila 9.0 arasındaki değerler dâhilinde bir pH ünitesinin </w:t>
      </w:r>
      <w:r w:rsidRPr="00FA2488">
        <w:rPr>
          <w:sz w:val="22"/>
          <w:szCs w:val="22"/>
        </w:rPr>
        <w:sym w:font="Symbol" w:char="F0B1"/>
      </w:r>
      <w:smartTag w:uri="urn:schemas-microsoft-com:office:smarttags" w:element="metricconverter">
        <w:smartTagPr>
          <w:attr w:name="ProductID" w:val="0.5’"/>
        </w:smartTagPr>
        <w:r w:rsidRPr="00FA2488">
          <w:rPr>
            <w:sz w:val="22"/>
            <w:szCs w:val="22"/>
          </w:rPr>
          <w:t>0.5’</w:t>
        </w:r>
      </w:smartTag>
      <w:r w:rsidRPr="00FA2488">
        <w:rPr>
          <w:sz w:val="22"/>
          <w:szCs w:val="22"/>
        </w:rPr>
        <w:t xml:space="preserve"> ini geçmemelidir.</w:t>
      </w:r>
    </w:p>
    <w:p w:rsidR="002B0B6E" w:rsidRPr="00FA2488" w:rsidRDefault="002B0B6E" w:rsidP="00A7692F">
      <w:pPr>
        <w:jc w:val="both"/>
        <w:rPr>
          <w:sz w:val="22"/>
          <w:szCs w:val="22"/>
        </w:rPr>
      </w:pPr>
      <w:r w:rsidRPr="00FA2488">
        <w:rPr>
          <w:b/>
          <w:sz w:val="22"/>
          <w:szCs w:val="22"/>
        </w:rPr>
        <w:t>(</w:t>
      </w:r>
      <w:r w:rsidRPr="00FA2488">
        <w:rPr>
          <w:b/>
          <w:sz w:val="22"/>
          <w:szCs w:val="22"/>
          <w:vertAlign w:val="superscript"/>
        </w:rPr>
        <w:t>2</w:t>
      </w:r>
      <w:r w:rsidRPr="00FA2488">
        <w:rPr>
          <w:b/>
          <w:sz w:val="22"/>
          <w:szCs w:val="22"/>
        </w:rPr>
        <w:t>)</w:t>
      </w:r>
      <w:r w:rsidRPr="00FA2488">
        <w:rPr>
          <w:sz w:val="22"/>
          <w:szCs w:val="22"/>
        </w:rPr>
        <w:t>Fenollübileşiklerinkonsantrasyonubalıktadını olumsuz yönde etkileyecek düzeyde olmamalıdır.</w:t>
      </w:r>
    </w:p>
    <w:p w:rsidR="002B0B6E" w:rsidRPr="00FA2488" w:rsidRDefault="002B0B6E" w:rsidP="00A7692F">
      <w:pPr>
        <w:jc w:val="both"/>
        <w:rPr>
          <w:sz w:val="22"/>
          <w:szCs w:val="22"/>
        </w:rPr>
      </w:pPr>
      <w:r w:rsidRPr="00FA2488">
        <w:rPr>
          <w:b/>
          <w:sz w:val="22"/>
          <w:szCs w:val="22"/>
        </w:rPr>
        <w:t>(</w:t>
      </w:r>
      <w:r w:rsidRPr="00FA2488">
        <w:rPr>
          <w:b/>
          <w:sz w:val="22"/>
          <w:szCs w:val="22"/>
          <w:vertAlign w:val="superscript"/>
        </w:rPr>
        <w:t>3</w:t>
      </w:r>
      <w:r w:rsidRPr="00FA2488">
        <w:rPr>
          <w:b/>
          <w:sz w:val="22"/>
          <w:szCs w:val="22"/>
        </w:rPr>
        <w:t>)</w:t>
      </w:r>
      <w:r w:rsidRPr="00FA2488">
        <w:rPr>
          <w:sz w:val="22"/>
          <w:szCs w:val="22"/>
        </w:rPr>
        <w:t xml:space="preserve"> Petrol ürünleri suda şu miktarlarda bulunmamalıdır.</w:t>
      </w:r>
    </w:p>
    <w:p w:rsidR="002B0B6E" w:rsidRPr="00FA2488" w:rsidRDefault="002B0B6E" w:rsidP="00A7692F">
      <w:pPr>
        <w:numPr>
          <w:ilvl w:val="0"/>
          <w:numId w:val="1"/>
        </w:numPr>
        <w:jc w:val="both"/>
        <w:rPr>
          <w:sz w:val="22"/>
          <w:szCs w:val="22"/>
        </w:rPr>
      </w:pPr>
      <w:r w:rsidRPr="00FA2488">
        <w:rPr>
          <w:sz w:val="22"/>
          <w:szCs w:val="22"/>
        </w:rPr>
        <w:t>Suyun yüzeyinde görünür bir film oluşturacak ya da su akış yataklarında ve göllerde kaplama meydana getirecek miktarda.</w:t>
      </w:r>
    </w:p>
    <w:p w:rsidR="002B0B6E" w:rsidRPr="00FA2488" w:rsidRDefault="002B0B6E" w:rsidP="00A7692F">
      <w:pPr>
        <w:numPr>
          <w:ilvl w:val="0"/>
          <w:numId w:val="1"/>
        </w:numPr>
        <w:jc w:val="both"/>
        <w:rPr>
          <w:sz w:val="22"/>
          <w:szCs w:val="22"/>
        </w:rPr>
      </w:pPr>
      <w:r w:rsidRPr="00FA2488">
        <w:rPr>
          <w:sz w:val="22"/>
          <w:szCs w:val="22"/>
        </w:rPr>
        <w:t>Balıkta hissedilebilir “ hidrokarbon “tadı gösterecek miktarda,</w:t>
      </w:r>
    </w:p>
    <w:p w:rsidR="002B0B6E" w:rsidRPr="00FA2488" w:rsidRDefault="002B0B6E" w:rsidP="00A7692F">
      <w:pPr>
        <w:numPr>
          <w:ilvl w:val="0"/>
          <w:numId w:val="1"/>
        </w:numPr>
        <w:jc w:val="both"/>
        <w:rPr>
          <w:sz w:val="22"/>
          <w:szCs w:val="22"/>
        </w:rPr>
      </w:pPr>
      <w:r w:rsidRPr="00FA2488">
        <w:rPr>
          <w:sz w:val="22"/>
          <w:szCs w:val="22"/>
        </w:rPr>
        <w:t>Balıkta zararlı etkiler üretecek miktarda.</w:t>
      </w:r>
    </w:p>
    <w:p w:rsidR="002B0B6E" w:rsidRPr="00FA2488" w:rsidRDefault="002B0B6E" w:rsidP="00A7692F">
      <w:pPr>
        <w:jc w:val="both"/>
        <w:rPr>
          <w:sz w:val="22"/>
          <w:szCs w:val="22"/>
        </w:rPr>
      </w:pPr>
      <w:r w:rsidRPr="00FA2488">
        <w:rPr>
          <w:b/>
          <w:sz w:val="22"/>
          <w:szCs w:val="22"/>
        </w:rPr>
        <w:t>(</w:t>
      </w:r>
      <w:r w:rsidRPr="00FA2488">
        <w:rPr>
          <w:b/>
          <w:sz w:val="22"/>
          <w:szCs w:val="22"/>
          <w:vertAlign w:val="superscript"/>
        </w:rPr>
        <w:t>4</w:t>
      </w:r>
      <w:r w:rsidRPr="00FA2488">
        <w:rPr>
          <w:b/>
          <w:sz w:val="22"/>
          <w:szCs w:val="22"/>
        </w:rPr>
        <w:t xml:space="preserve">) </w:t>
      </w:r>
      <w:r w:rsidRPr="00FA2488">
        <w:rPr>
          <w:sz w:val="22"/>
          <w:szCs w:val="22"/>
        </w:rPr>
        <w:t>Özel coğrafi yada iklim şartlarında ve özellikle düşük su sıcaklıklarında ve azaltılmış nitrifikasyon hallerinde yada otoritenin balık popülasyonun dengeli gelişim için zararlı etkiler oluşturmadığını kanıtladıkları hallerde, 1 mg / L’den daha yüksek değerler belirleyebilir.</w:t>
      </w:r>
    </w:p>
    <w:p w:rsidR="002B0B6E" w:rsidRPr="00FA2488" w:rsidRDefault="002B0B6E" w:rsidP="00A769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FA2488">
        <w:rPr>
          <w:b/>
          <w:sz w:val="22"/>
          <w:szCs w:val="22"/>
        </w:rPr>
        <w:t xml:space="preserve">Genel Gözlemler: </w:t>
      </w:r>
      <w:r w:rsidRPr="00FA2488">
        <w:rPr>
          <w:sz w:val="22"/>
          <w:szCs w:val="22"/>
        </w:rPr>
        <w:t>Bu ekte sayılan parametrik değerlerin, bu ekte sözü edilmesinin sebebi diğer parametrelerden daha lehte olduğunun varsayılmasıdır. Bu varsayım, özellikle diğer zararlı maddelerin konsantrasyonlarının  çok düşük olmasına dayanmaktadır.</w:t>
      </w:r>
    </w:p>
    <w:p w:rsidR="002B0B6E" w:rsidRPr="00FA2488" w:rsidRDefault="002B0B6E" w:rsidP="00A7692F">
      <w:pPr>
        <w:rPr>
          <w:sz w:val="22"/>
          <w:szCs w:val="22"/>
        </w:rPr>
      </w:pPr>
    </w:p>
    <w:p w:rsidR="002B0B6E" w:rsidRPr="00FA2488" w:rsidRDefault="002B0B6E" w:rsidP="00A7692F">
      <w:pPr>
        <w:rPr>
          <w:sz w:val="22"/>
          <w:szCs w:val="22"/>
        </w:rPr>
      </w:pPr>
      <w:r w:rsidRPr="00FA2488">
        <w:rPr>
          <w:sz w:val="22"/>
          <w:szCs w:val="22"/>
        </w:rPr>
        <w:t>Bir karışımda iki yada daha fazla zararlı maddenin mevcut olması halinde, birleşik etkileri ( katkısal, sinerjik yada zıt etkileri) önemli olabilir.</w:t>
      </w:r>
    </w:p>
    <w:p w:rsidR="002B0B6E" w:rsidRPr="00380026" w:rsidRDefault="002B0B6E" w:rsidP="00A7692F">
      <w:pPr>
        <w:rPr>
          <w:b/>
          <w:sz w:val="22"/>
          <w:szCs w:val="22"/>
          <w:u w:val="single"/>
        </w:rPr>
      </w:pPr>
      <w:r w:rsidRPr="00380026">
        <w:rPr>
          <w:b/>
          <w:sz w:val="22"/>
          <w:szCs w:val="22"/>
          <w:u w:val="single"/>
        </w:rPr>
        <w:t>Kısaltmalar:</w:t>
      </w:r>
    </w:p>
    <w:p w:rsidR="002B0B6E" w:rsidRPr="00FA2488" w:rsidRDefault="002B0B6E">
      <w:pPr>
        <w:rPr>
          <w:sz w:val="22"/>
          <w:szCs w:val="22"/>
        </w:rPr>
      </w:pPr>
      <w:r w:rsidRPr="00FA2488">
        <w:rPr>
          <w:b/>
          <w:sz w:val="22"/>
          <w:szCs w:val="22"/>
        </w:rPr>
        <w:t xml:space="preserve">H= </w:t>
      </w:r>
      <w:r w:rsidRPr="00FA2488">
        <w:rPr>
          <w:sz w:val="22"/>
          <w:szCs w:val="22"/>
        </w:rPr>
        <w:t>Hedef</w:t>
      </w:r>
    </w:p>
    <w:p w:rsidR="002B0B6E" w:rsidRPr="00FA2488" w:rsidRDefault="002B0B6E" w:rsidP="00A7692F">
      <w:pPr>
        <w:rPr>
          <w:sz w:val="22"/>
          <w:szCs w:val="22"/>
        </w:rPr>
      </w:pPr>
      <w:r w:rsidRPr="00FA2488">
        <w:rPr>
          <w:b/>
          <w:sz w:val="22"/>
          <w:szCs w:val="22"/>
        </w:rPr>
        <w:t xml:space="preserve">Z  = </w:t>
      </w:r>
      <w:r w:rsidRPr="00FA2488">
        <w:rPr>
          <w:sz w:val="22"/>
          <w:szCs w:val="22"/>
        </w:rPr>
        <w:t>Zorunlu</w:t>
      </w:r>
    </w:p>
    <w:p w:rsidR="002B0B6E" w:rsidRPr="00FA2488" w:rsidRDefault="002B0B6E" w:rsidP="00A7692F">
      <w:pPr>
        <w:jc w:val="both"/>
        <w:rPr>
          <w:sz w:val="22"/>
          <w:szCs w:val="22"/>
        </w:rPr>
      </w:pPr>
      <w:r w:rsidRPr="00FA2488">
        <w:rPr>
          <w:b/>
          <w:sz w:val="22"/>
          <w:szCs w:val="22"/>
        </w:rPr>
        <w:t xml:space="preserve">(0) = </w:t>
      </w:r>
      <w:r w:rsidRPr="00FA2488">
        <w:rPr>
          <w:sz w:val="22"/>
          <w:szCs w:val="22"/>
        </w:rPr>
        <w:t xml:space="preserve"> Madde 13’e göre değişmeler olabilir.</w:t>
      </w:r>
    </w:p>
    <w:p w:rsidR="002B0B6E" w:rsidRDefault="002B0B6E" w:rsidP="00A7692F">
      <w:pPr>
        <w:sectPr w:rsidR="002B0B6E" w:rsidSect="00A7692F">
          <w:footerReference w:type="default" r:id="rId7"/>
          <w:type w:val="oddPage"/>
          <w:pgSz w:w="15840" w:h="12240" w:orient="landscape"/>
          <w:pgMar w:top="1418" w:right="1418" w:bottom="1418" w:left="1418" w:header="709" w:footer="709" w:gutter="0"/>
          <w:cols w:space="708"/>
          <w:rtlGutter/>
        </w:sectPr>
      </w:pPr>
    </w:p>
    <w:p w:rsidR="002B0B6E" w:rsidRDefault="002B0B6E" w:rsidP="00A7692F">
      <w:pPr>
        <w:jc w:val="both"/>
        <w:rPr>
          <w:b/>
        </w:rPr>
      </w:pPr>
      <w:r>
        <w:rPr>
          <w:b/>
        </w:rPr>
        <w:t>EK-2</w:t>
      </w:r>
    </w:p>
    <w:p w:rsidR="002B0B6E" w:rsidRDefault="002B0B6E" w:rsidP="00A7692F">
      <w:pPr>
        <w:jc w:val="center"/>
        <w:rPr>
          <w:b/>
        </w:rPr>
      </w:pPr>
    </w:p>
    <w:p w:rsidR="002B0B6E" w:rsidRDefault="002B0B6E" w:rsidP="00A7692F">
      <w:pPr>
        <w:jc w:val="center"/>
        <w:rPr>
          <w:b/>
        </w:rPr>
      </w:pPr>
      <w:r>
        <w:rPr>
          <w:b/>
        </w:rPr>
        <w:t>Toplam Çinko ve Çözünmüş Bakıra İlişkin Özellikler</w:t>
      </w:r>
    </w:p>
    <w:p w:rsidR="002B0B6E" w:rsidRDefault="002B0B6E" w:rsidP="00A7692F">
      <w:pPr>
        <w:pStyle w:val="Heading6"/>
        <w:jc w:val="center"/>
        <w:rPr>
          <w:b w:val="0"/>
          <w:sz w:val="24"/>
          <w:szCs w:val="24"/>
        </w:rPr>
      </w:pPr>
      <w:r>
        <w:rPr>
          <w:sz w:val="24"/>
          <w:szCs w:val="24"/>
        </w:rPr>
        <w:t>Toplam Çinko</w:t>
      </w:r>
    </w:p>
    <w:p w:rsidR="002B0B6E" w:rsidRDefault="002B0B6E" w:rsidP="00A7692F">
      <w:pPr>
        <w:jc w:val="center"/>
        <w:rPr>
          <w:b/>
        </w:rPr>
      </w:pPr>
      <w:r>
        <w:rPr>
          <w:b/>
        </w:rPr>
        <w:t xml:space="preserve">( EK 1’ in No </w:t>
      </w:r>
      <w:smartTag w:uri="urn:schemas-microsoft-com:office:smarttags" w:element="metricconverter">
        <w:smartTagPr>
          <w:attr w:name="ProductID" w:val="13, “"/>
        </w:smartTagPr>
        <w:r>
          <w:rPr>
            <w:b/>
          </w:rPr>
          <w:t>13, “</w:t>
        </w:r>
      </w:smartTag>
      <w:r>
        <w:rPr>
          <w:b/>
        </w:rPr>
        <w:t xml:space="preserve"> Gözlemler “ Sütununa bakınız )</w:t>
      </w:r>
    </w:p>
    <w:p w:rsidR="002B0B6E" w:rsidRDefault="002B0B6E" w:rsidP="00A7692F">
      <w:pPr>
        <w:jc w:val="center"/>
        <w:rPr>
          <w:b/>
        </w:rPr>
      </w:pPr>
      <w:r>
        <w:rPr>
          <w:b/>
        </w:rPr>
        <w:t>Sertlik değerleri  10 mg /L ile 500 mg /L CaCO</w:t>
      </w:r>
      <w:r>
        <w:rPr>
          <w:b/>
          <w:vertAlign w:val="subscript"/>
        </w:rPr>
        <w:t>3</w:t>
      </w:r>
      <w:r>
        <w:rPr>
          <w:b/>
        </w:rPr>
        <w:t xml:space="preserve"> arasında değişen farklı sular için Toplam Çinko konsantrasyonları</w:t>
      </w:r>
    </w:p>
    <w:p w:rsidR="002B0B6E" w:rsidRDefault="002B0B6E" w:rsidP="00A7692F">
      <w:pPr>
        <w:jc w:val="center"/>
        <w:rPr>
          <w:b/>
        </w:rPr>
      </w:pPr>
      <w:r>
        <w:rPr>
          <w:b/>
        </w:rPr>
        <w:t>( mg/ LZn )</w:t>
      </w:r>
    </w:p>
    <w:p w:rsidR="002B0B6E" w:rsidRDefault="002B0B6E" w:rsidP="00A7692F">
      <w:pPr>
        <w:jc w:val="center"/>
        <w:rPr>
          <w:b/>
        </w:rPr>
      </w:pPr>
    </w:p>
    <w:tbl>
      <w:tblPr>
        <w:tblW w:w="93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211"/>
        <w:gridCol w:w="1081"/>
        <w:gridCol w:w="1261"/>
        <w:gridCol w:w="1441"/>
        <w:gridCol w:w="1381"/>
      </w:tblGrid>
      <w:tr w:rsidR="002B0B6E" w:rsidTr="00A7692F">
        <w:trPr>
          <w:cantSplit/>
        </w:trPr>
        <w:tc>
          <w:tcPr>
            <w:tcW w:w="4210" w:type="dxa"/>
            <w:vMerge w:val="restart"/>
          </w:tcPr>
          <w:p w:rsidR="002B0B6E" w:rsidRDefault="002B0B6E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160" w:type="dxa"/>
            <w:gridSpan w:val="4"/>
          </w:tcPr>
          <w:p w:rsidR="002B0B6E" w:rsidRDefault="002B0B6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Su Sertliği ( mg/L CaCO</w:t>
            </w:r>
            <w:r>
              <w:rPr>
                <w:b/>
                <w:vertAlign w:val="subscript"/>
                <w:lang w:eastAsia="en-US"/>
              </w:rPr>
              <w:t>3</w:t>
            </w:r>
            <w:r>
              <w:rPr>
                <w:b/>
                <w:lang w:eastAsia="en-US"/>
              </w:rPr>
              <w:t>)</w:t>
            </w:r>
          </w:p>
        </w:tc>
      </w:tr>
      <w:tr w:rsidR="002B0B6E" w:rsidTr="00A7692F">
        <w:trPr>
          <w:cantSplit/>
        </w:trPr>
        <w:tc>
          <w:tcPr>
            <w:tcW w:w="4210" w:type="dxa"/>
            <w:vMerge/>
            <w:vAlign w:val="center"/>
          </w:tcPr>
          <w:p w:rsidR="002B0B6E" w:rsidRDefault="002B0B6E">
            <w:pPr>
              <w:rPr>
                <w:lang w:eastAsia="en-US"/>
              </w:rPr>
            </w:pPr>
          </w:p>
        </w:tc>
        <w:tc>
          <w:tcPr>
            <w:tcW w:w="1080" w:type="dxa"/>
          </w:tcPr>
          <w:p w:rsidR="002B0B6E" w:rsidRDefault="002B0B6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</w:t>
            </w:r>
          </w:p>
        </w:tc>
        <w:tc>
          <w:tcPr>
            <w:tcW w:w="1260" w:type="dxa"/>
          </w:tcPr>
          <w:p w:rsidR="002B0B6E" w:rsidRDefault="002B0B6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50</w:t>
            </w:r>
          </w:p>
        </w:tc>
        <w:tc>
          <w:tcPr>
            <w:tcW w:w="1440" w:type="dxa"/>
          </w:tcPr>
          <w:p w:rsidR="002B0B6E" w:rsidRDefault="002B0B6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</w:t>
            </w:r>
          </w:p>
        </w:tc>
        <w:tc>
          <w:tcPr>
            <w:tcW w:w="1380" w:type="dxa"/>
          </w:tcPr>
          <w:p w:rsidR="002B0B6E" w:rsidRDefault="002B0B6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500</w:t>
            </w:r>
          </w:p>
        </w:tc>
      </w:tr>
      <w:tr w:rsidR="002B0B6E" w:rsidTr="00A7692F">
        <w:tc>
          <w:tcPr>
            <w:tcW w:w="4210" w:type="dxa"/>
          </w:tcPr>
          <w:p w:rsidR="002B0B6E" w:rsidRDefault="002B0B6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Alabalık (Salmonidae) zonu ( mg / LZn )</w:t>
            </w:r>
          </w:p>
        </w:tc>
        <w:tc>
          <w:tcPr>
            <w:tcW w:w="1080" w:type="dxa"/>
          </w:tcPr>
          <w:p w:rsidR="002B0B6E" w:rsidRDefault="002B0B6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0.03</w:t>
            </w:r>
          </w:p>
        </w:tc>
        <w:tc>
          <w:tcPr>
            <w:tcW w:w="1260" w:type="dxa"/>
          </w:tcPr>
          <w:p w:rsidR="002B0B6E" w:rsidRDefault="002B0B6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0.2</w:t>
            </w:r>
          </w:p>
        </w:tc>
        <w:tc>
          <w:tcPr>
            <w:tcW w:w="1440" w:type="dxa"/>
          </w:tcPr>
          <w:p w:rsidR="002B0B6E" w:rsidRDefault="002B0B6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0.3</w:t>
            </w:r>
          </w:p>
        </w:tc>
        <w:tc>
          <w:tcPr>
            <w:tcW w:w="1380" w:type="dxa"/>
          </w:tcPr>
          <w:p w:rsidR="002B0B6E" w:rsidRDefault="002B0B6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0.5</w:t>
            </w:r>
          </w:p>
        </w:tc>
      </w:tr>
      <w:tr w:rsidR="002B0B6E" w:rsidTr="00A7692F">
        <w:tc>
          <w:tcPr>
            <w:tcW w:w="4210" w:type="dxa"/>
          </w:tcPr>
          <w:p w:rsidR="002B0B6E" w:rsidRDefault="002B0B6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Sazan     (Cyprinidae)  zonu( mg / L Zn )</w:t>
            </w:r>
          </w:p>
        </w:tc>
        <w:tc>
          <w:tcPr>
            <w:tcW w:w="1080" w:type="dxa"/>
          </w:tcPr>
          <w:p w:rsidR="002B0B6E" w:rsidRDefault="002B0B6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0.3</w:t>
            </w:r>
          </w:p>
        </w:tc>
        <w:tc>
          <w:tcPr>
            <w:tcW w:w="1260" w:type="dxa"/>
          </w:tcPr>
          <w:p w:rsidR="002B0B6E" w:rsidRDefault="002B0B6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0.7</w:t>
            </w:r>
          </w:p>
        </w:tc>
        <w:tc>
          <w:tcPr>
            <w:tcW w:w="1440" w:type="dxa"/>
          </w:tcPr>
          <w:p w:rsidR="002B0B6E" w:rsidRDefault="002B0B6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1.0</w:t>
            </w:r>
          </w:p>
        </w:tc>
        <w:tc>
          <w:tcPr>
            <w:tcW w:w="1380" w:type="dxa"/>
          </w:tcPr>
          <w:p w:rsidR="002B0B6E" w:rsidRDefault="002B0B6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2.0</w:t>
            </w:r>
          </w:p>
        </w:tc>
      </w:tr>
    </w:tbl>
    <w:p w:rsidR="002B0B6E" w:rsidRDefault="002B0B6E" w:rsidP="00A7692F">
      <w:pPr>
        <w:jc w:val="center"/>
      </w:pPr>
    </w:p>
    <w:p w:rsidR="002B0B6E" w:rsidRDefault="002B0B6E" w:rsidP="00A7692F">
      <w:pPr>
        <w:jc w:val="center"/>
      </w:pPr>
    </w:p>
    <w:p w:rsidR="002B0B6E" w:rsidRPr="00380026" w:rsidRDefault="002B0B6E" w:rsidP="00380026">
      <w:pPr>
        <w:pStyle w:val="Heading7"/>
        <w:jc w:val="center"/>
        <w:rPr>
          <w:b/>
        </w:rPr>
      </w:pPr>
      <w:r w:rsidRPr="00380026">
        <w:rPr>
          <w:b/>
        </w:rPr>
        <w:t>Çözünmüş Bakır</w:t>
      </w:r>
    </w:p>
    <w:p w:rsidR="002B0B6E" w:rsidRDefault="002B0B6E" w:rsidP="00A7692F">
      <w:pPr>
        <w:jc w:val="center"/>
        <w:rPr>
          <w:b/>
        </w:rPr>
      </w:pPr>
      <w:r>
        <w:rPr>
          <w:b/>
        </w:rPr>
        <w:t xml:space="preserve">( EK 1’in No </w:t>
      </w:r>
      <w:smartTag w:uri="urn:schemas-microsoft-com:office:smarttags" w:element="metricconverter">
        <w:smartTagPr>
          <w:attr w:name="ProductID" w:val="14, “"/>
        </w:smartTagPr>
        <w:r>
          <w:rPr>
            <w:b/>
          </w:rPr>
          <w:t>14, “</w:t>
        </w:r>
      </w:smartTag>
      <w:r>
        <w:rPr>
          <w:b/>
        </w:rPr>
        <w:t xml:space="preserve"> Gözlemler “ Sütununa bakınız )</w:t>
      </w:r>
    </w:p>
    <w:p w:rsidR="002B0B6E" w:rsidRDefault="002B0B6E" w:rsidP="00A7692F">
      <w:pPr>
        <w:jc w:val="center"/>
        <w:rPr>
          <w:b/>
        </w:rPr>
      </w:pPr>
      <w:r>
        <w:rPr>
          <w:b/>
        </w:rPr>
        <w:t>Sertlik değerleri  10 mg /L ile 300 mg /L CaCO</w:t>
      </w:r>
      <w:r>
        <w:rPr>
          <w:b/>
          <w:vertAlign w:val="subscript"/>
        </w:rPr>
        <w:t>3</w:t>
      </w:r>
      <w:r>
        <w:rPr>
          <w:b/>
        </w:rPr>
        <w:t xml:space="preserve"> arasında değişen farklı sular için çözünmüş bakır konsantrasyonları ( mg/ L  Cu )</w:t>
      </w:r>
    </w:p>
    <w:p w:rsidR="002B0B6E" w:rsidRDefault="002B0B6E" w:rsidP="00A7692F">
      <w:pPr>
        <w:jc w:val="center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490"/>
        <w:gridCol w:w="1116"/>
        <w:gridCol w:w="1560"/>
        <w:gridCol w:w="1559"/>
        <w:gridCol w:w="1485"/>
      </w:tblGrid>
      <w:tr w:rsidR="002B0B6E" w:rsidTr="00A7692F">
        <w:trPr>
          <w:cantSplit/>
        </w:trPr>
        <w:tc>
          <w:tcPr>
            <w:tcW w:w="3490" w:type="dxa"/>
          </w:tcPr>
          <w:p w:rsidR="002B0B6E" w:rsidRDefault="002B0B6E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5720" w:type="dxa"/>
            <w:gridSpan w:val="4"/>
          </w:tcPr>
          <w:p w:rsidR="002B0B6E" w:rsidRDefault="002B0B6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Su Sertliği ( mg/L CaCo</w:t>
            </w:r>
            <w:r>
              <w:rPr>
                <w:b/>
                <w:vertAlign w:val="subscript"/>
                <w:lang w:eastAsia="en-US"/>
              </w:rPr>
              <w:t>3</w:t>
            </w:r>
            <w:r>
              <w:rPr>
                <w:b/>
                <w:lang w:eastAsia="en-US"/>
              </w:rPr>
              <w:t>)</w:t>
            </w:r>
          </w:p>
        </w:tc>
      </w:tr>
      <w:tr w:rsidR="002B0B6E" w:rsidTr="00A7692F">
        <w:tc>
          <w:tcPr>
            <w:tcW w:w="3490" w:type="dxa"/>
          </w:tcPr>
          <w:p w:rsidR="002B0B6E" w:rsidRDefault="002B0B6E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16" w:type="dxa"/>
          </w:tcPr>
          <w:p w:rsidR="002B0B6E" w:rsidRDefault="002B0B6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</w:t>
            </w:r>
          </w:p>
        </w:tc>
        <w:tc>
          <w:tcPr>
            <w:tcW w:w="1560" w:type="dxa"/>
          </w:tcPr>
          <w:p w:rsidR="002B0B6E" w:rsidRDefault="002B0B6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50</w:t>
            </w:r>
          </w:p>
        </w:tc>
        <w:tc>
          <w:tcPr>
            <w:tcW w:w="1559" w:type="dxa"/>
          </w:tcPr>
          <w:p w:rsidR="002B0B6E" w:rsidRDefault="002B0B6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</w:t>
            </w:r>
          </w:p>
        </w:tc>
        <w:tc>
          <w:tcPr>
            <w:tcW w:w="1485" w:type="dxa"/>
          </w:tcPr>
          <w:p w:rsidR="002B0B6E" w:rsidRDefault="002B0B6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300</w:t>
            </w:r>
          </w:p>
        </w:tc>
      </w:tr>
      <w:tr w:rsidR="002B0B6E" w:rsidTr="00A7692F">
        <w:tc>
          <w:tcPr>
            <w:tcW w:w="3490" w:type="dxa"/>
          </w:tcPr>
          <w:p w:rsidR="002B0B6E" w:rsidRDefault="002B0B6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mg / L  Cu</w:t>
            </w:r>
          </w:p>
        </w:tc>
        <w:tc>
          <w:tcPr>
            <w:tcW w:w="1116" w:type="dxa"/>
          </w:tcPr>
          <w:p w:rsidR="002B0B6E" w:rsidRDefault="002B0B6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0.005 </w:t>
            </w:r>
            <w:r>
              <w:rPr>
                <w:vertAlign w:val="superscript"/>
                <w:lang w:eastAsia="en-US"/>
              </w:rPr>
              <w:t>(1)</w:t>
            </w:r>
          </w:p>
        </w:tc>
        <w:tc>
          <w:tcPr>
            <w:tcW w:w="1560" w:type="dxa"/>
          </w:tcPr>
          <w:p w:rsidR="002B0B6E" w:rsidRDefault="002B0B6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0.022</w:t>
            </w:r>
          </w:p>
        </w:tc>
        <w:tc>
          <w:tcPr>
            <w:tcW w:w="1559" w:type="dxa"/>
          </w:tcPr>
          <w:p w:rsidR="002B0B6E" w:rsidRDefault="002B0B6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0.04</w:t>
            </w:r>
          </w:p>
        </w:tc>
        <w:tc>
          <w:tcPr>
            <w:tcW w:w="1485" w:type="dxa"/>
          </w:tcPr>
          <w:p w:rsidR="002B0B6E" w:rsidRDefault="002B0B6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0.112</w:t>
            </w:r>
          </w:p>
        </w:tc>
      </w:tr>
    </w:tbl>
    <w:p w:rsidR="002B0B6E" w:rsidRDefault="002B0B6E" w:rsidP="00A912A9">
      <w:pPr>
        <w:jc w:val="both"/>
      </w:pPr>
      <w:r>
        <w:rPr>
          <w:b/>
        </w:rPr>
        <w:t>(</w:t>
      </w:r>
      <w:r>
        <w:rPr>
          <w:b/>
          <w:vertAlign w:val="superscript"/>
        </w:rPr>
        <w:t>1</w:t>
      </w:r>
      <w:r>
        <w:rPr>
          <w:b/>
        </w:rPr>
        <w:t>)</w:t>
      </w:r>
      <w:r>
        <w:t xml:space="preserve"> Daha yüksek bakır konsantrasyonu içeren sulardaki balık varlığı çözünmüş organik-bakırlı bileşiklerin baskınlığının göstergesi olabilir.</w:t>
      </w:r>
    </w:p>
    <w:p w:rsidR="002B0B6E" w:rsidRDefault="002B0B6E" w:rsidP="00A912A9">
      <w:pPr>
        <w:jc w:val="both"/>
        <w:rPr>
          <w:b/>
        </w:rPr>
      </w:pPr>
    </w:p>
    <w:p w:rsidR="002B0B6E" w:rsidRDefault="002B0B6E" w:rsidP="00A912A9">
      <w:pPr>
        <w:jc w:val="both"/>
        <w:rPr>
          <w:b/>
        </w:rPr>
      </w:pPr>
    </w:p>
    <w:p w:rsidR="002B0B6E" w:rsidRPr="0096548F" w:rsidRDefault="002B0B6E" w:rsidP="0096548F">
      <w:pPr>
        <w:jc w:val="both"/>
        <w:rPr>
          <w:b/>
        </w:rPr>
      </w:pPr>
      <w:r w:rsidRPr="0096548F">
        <w:rPr>
          <w:b/>
        </w:rPr>
        <w:t>EK-</w:t>
      </w:r>
      <w:r>
        <w:rPr>
          <w:b/>
        </w:rPr>
        <w:t>3</w:t>
      </w:r>
    </w:p>
    <w:p w:rsidR="002B0B6E" w:rsidRPr="0096548F" w:rsidRDefault="002B0B6E" w:rsidP="0096548F">
      <w:pPr>
        <w:jc w:val="both"/>
        <w:rPr>
          <w:b/>
        </w:rPr>
      </w:pPr>
      <w:r w:rsidRPr="0096548F">
        <w:rPr>
          <w:b/>
        </w:rPr>
        <w:t>Yüzeysel Su Kütlelerinde Karışım Bölgeleri</w:t>
      </w:r>
    </w:p>
    <w:p w:rsidR="002B0B6E" w:rsidRPr="0096548F" w:rsidRDefault="002B0B6E" w:rsidP="0096548F">
      <w:pPr>
        <w:jc w:val="both"/>
        <w:rPr>
          <w:b/>
        </w:rPr>
      </w:pPr>
    </w:p>
    <w:p w:rsidR="002B0B6E" w:rsidRPr="00380026" w:rsidRDefault="002B0B6E" w:rsidP="0096548F">
      <w:pPr>
        <w:jc w:val="both"/>
      </w:pPr>
      <w:r w:rsidRPr="0096548F">
        <w:rPr>
          <w:b/>
        </w:rPr>
        <w:t>•</w:t>
      </w:r>
      <w:r w:rsidRPr="0096548F">
        <w:rPr>
          <w:b/>
        </w:rPr>
        <w:tab/>
      </w:r>
      <w:r w:rsidRPr="00380026">
        <w:t>Karışım bölgelerinin belirlenmesinde modelleme tekniklerinin yanı sıra basit yaklaşım esasları da kullanılmaktadır. Basit yaklaşımlara göre, sığ kıyı</w:t>
      </w:r>
      <w:r>
        <w:t xml:space="preserve"> suları ile sığ göllerde</w:t>
      </w:r>
      <w:r w:rsidRPr="00380026">
        <w:t xml:space="preserve"> deşarj noktasından yaklaşık “100 metre x 100 metrelik”, derin kıyı</w:t>
      </w:r>
      <w:r>
        <w:t xml:space="preserve"> suları ile derin göllerde</w:t>
      </w:r>
      <w:r w:rsidRPr="00380026">
        <w:t xml:space="preserve"> </w:t>
      </w:r>
      <w:r>
        <w:t xml:space="preserve">ise </w:t>
      </w:r>
      <w:r w:rsidRPr="00380026">
        <w:t xml:space="preserve">“150 metre x 150 metrelik” alan karışım bölgesi olarak kabul edilebilir. </w:t>
      </w:r>
    </w:p>
    <w:p w:rsidR="002B0B6E" w:rsidRPr="00380026" w:rsidRDefault="002B0B6E" w:rsidP="0096548F">
      <w:pPr>
        <w:jc w:val="both"/>
      </w:pPr>
    </w:p>
    <w:p w:rsidR="002B0B6E" w:rsidRPr="00380026" w:rsidRDefault="002B0B6E" w:rsidP="00A912A9">
      <w:pPr>
        <w:jc w:val="both"/>
      </w:pPr>
      <w:r w:rsidRPr="00380026">
        <w:t>•</w:t>
      </w:r>
      <w:r w:rsidRPr="00380026">
        <w:tab/>
        <w:t xml:space="preserve">Akarsularda ise karışım bölgesi uzunluğu deşarj noktasından itibaren mansap yönünde “10 x Akarsu Genişliği” olarak alınır. Genişliği 100 m’den az akarsularda karışım bölgesi mesafesi 1.000 m’yi geçemez. Akarsu genişliği 100 m’den fazla olan akarsularda ise, “10 x Akarsu Genişliği”ne karşı gelen mesafe, yaklaşık karışım bölgesi olarak alınır. Karışım bölgesi genişliği ise basit bir yaklaşımla akarsu genişliğinin ¼’ü olarak kabul edilir. </w:t>
      </w:r>
    </w:p>
    <w:sectPr w:rsidR="002B0B6E" w:rsidRPr="00380026" w:rsidSect="00A912A9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0B6E" w:rsidRDefault="002B0B6E" w:rsidP="0081458B">
      <w:r>
        <w:separator/>
      </w:r>
    </w:p>
  </w:endnote>
  <w:endnote w:type="continuationSeparator" w:id="0">
    <w:p w:rsidR="002B0B6E" w:rsidRDefault="002B0B6E" w:rsidP="008145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6E" w:rsidRDefault="002B0B6E">
    <w:pPr>
      <w:pStyle w:val="Footer"/>
      <w:jc w:val="right"/>
    </w:pPr>
    <w:fldSimple w:instr="PAGE   \* MERGEFORMAT">
      <w:r>
        <w:rPr>
          <w:noProof/>
        </w:rPr>
        <w:t>1</w:t>
      </w:r>
    </w:fldSimple>
  </w:p>
  <w:p w:rsidR="002B0B6E" w:rsidRDefault="002B0B6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0B6E" w:rsidRDefault="002B0B6E" w:rsidP="0081458B">
      <w:r>
        <w:separator/>
      </w:r>
    </w:p>
  </w:footnote>
  <w:footnote w:type="continuationSeparator" w:id="0">
    <w:p w:rsidR="002B0B6E" w:rsidRDefault="002B0B6E" w:rsidP="008145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B069E1"/>
    <w:multiLevelType w:val="singleLevel"/>
    <w:tmpl w:val="61D82A68"/>
    <w:lvl w:ilvl="0">
      <w:start w:val="430"/>
      <w:numFmt w:val="bullet"/>
      <w:lvlText w:val="-"/>
      <w:lvlJc w:val="left"/>
      <w:pPr>
        <w:tabs>
          <w:tab w:val="num" w:pos="1068"/>
        </w:tabs>
        <w:ind w:left="1068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692F"/>
    <w:rsid w:val="000116B9"/>
    <w:rsid w:val="00033186"/>
    <w:rsid w:val="000371EA"/>
    <w:rsid w:val="000403FF"/>
    <w:rsid w:val="00045D94"/>
    <w:rsid w:val="00051588"/>
    <w:rsid w:val="000533BD"/>
    <w:rsid w:val="0005603B"/>
    <w:rsid w:val="00083CC4"/>
    <w:rsid w:val="00097CAE"/>
    <w:rsid w:val="000A7CB0"/>
    <w:rsid w:val="000D4DBE"/>
    <w:rsid w:val="000E6AE7"/>
    <w:rsid w:val="000F2F03"/>
    <w:rsid w:val="001225BB"/>
    <w:rsid w:val="00135941"/>
    <w:rsid w:val="00156AAA"/>
    <w:rsid w:val="0016127C"/>
    <w:rsid w:val="00165D4D"/>
    <w:rsid w:val="0018655B"/>
    <w:rsid w:val="001A3092"/>
    <w:rsid w:val="001B346D"/>
    <w:rsid w:val="001B4ED1"/>
    <w:rsid w:val="001C7432"/>
    <w:rsid w:val="001C7BC4"/>
    <w:rsid w:val="001E4B58"/>
    <w:rsid w:val="00201301"/>
    <w:rsid w:val="00222030"/>
    <w:rsid w:val="0022477C"/>
    <w:rsid w:val="002316DC"/>
    <w:rsid w:val="00240FE2"/>
    <w:rsid w:val="002460A0"/>
    <w:rsid w:val="00246FF8"/>
    <w:rsid w:val="0025178F"/>
    <w:rsid w:val="002529A9"/>
    <w:rsid w:val="0025612F"/>
    <w:rsid w:val="00264A8D"/>
    <w:rsid w:val="00285CA0"/>
    <w:rsid w:val="00292A2B"/>
    <w:rsid w:val="00293305"/>
    <w:rsid w:val="002B0B6E"/>
    <w:rsid w:val="002C767E"/>
    <w:rsid w:val="002D06F1"/>
    <w:rsid w:val="002F74CA"/>
    <w:rsid w:val="00300398"/>
    <w:rsid w:val="00304845"/>
    <w:rsid w:val="00332B64"/>
    <w:rsid w:val="00333FC2"/>
    <w:rsid w:val="003363F4"/>
    <w:rsid w:val="003512FF"/>
    <w:rsid w:val="00373020"/>
    <w:rsid w:val="00380026"/>
    <w:rsid w:val="003831DC"/>
    <w:rsid w:val="00394569"/>
    <w:rsid w:val="003B67E4"/>
    <w:rsid w:val="003C23EA"/>
    <w:rsid w:val="003C398F"/>
    <w:rsid w:val="004043FB"/>
    <w:rsid w:val="00413C46"/>
    <w:rsid w:val="004243B8"/>
    <w:rsid w:val="004308C1"/>
    <w:rsid w:val="0048342E"/>
    <w:rsid w:val="00485E49"/>
    <w:rsid w:val="00492116"/>
    <w:rsid w:val="004967AE"/>
    <w:rsid w:val="004A6803"/>
    <w:rsid w:val="004B22EF"/>
    <w:rsid w:val="004B6938"/>
    <w:rsid w:val="004D3C26"/>
    <w:rsid w:val="004E19AA"/>
    <w:rsid w:val="004E6B3A"/>
    <w:rsid w:val="004F75AB"/>
    <w:rsid w:val="005077C2"/>
    <w:rsid w:val="005141B0"/>
    <w:rsid w:val="00515F7E"/>
    <w:rsid w:val="00516956"/>
    <w:rsid w:val="0053419E"/>
    <w:rsid w:val="00545A3D"/>
    <w:rsid w:val="005513E4"/>
    <w:rsid w:val="00551BAD"/>
    <w:rsid w:val="005566BE"/>
    <w:rsid w:val="0057704D"/>
    <w:rsid w:val="00591829"/>
    <w:rsid w:val="005A01FB"/>
    <w:rsid w:val="005C026F"/>
    <w:rsid w:val="005F136B"/>
    <w:rsid w:val="005F29E0"/>
    <w:rsid w:val="005F44E5"/>
    <w:rsid w:val="00604473"/>
    <w:rsid w:val="0061204B"/>
    <w:rsid w:val="006377E1"/>
    <w:rsid w:val="0065313F"/>
    <w:rsid w:val="00655D60"/>
    <w:rsid w:val="00683C91"/>
    <w:rsid w:val="006862E0"/>
    <w:rsid w:val="006A3371"/>
    <w:rsid w:val="006B2A08"/>
    <w:rsid w:val="006C4A06"/>
    <w:rsid w:val="006C620F"/>
    <w:rsid w:val="006E1B5A"/>
    <w:rsid w:val="006E6B12"/>
    <w:rsid w:val="006E77FC"/>
    <w:rsid w:val="006F5763"/>
    <w:rsid w:val="006F5D90"/>
    <w:rsid w:val="00701DDC"/>
    <w:rsid w:val="0071020B"/>
    <w:rsid w:val="00712912"/>
    <w:rsid w:val="0072133B"/>
    <w:rsid w:val="007437A0"/>
    <w:rsid w:val="00780875"/>
    <w:rsid w:val="007B142F"/>
    <w:rsid w:val="007C1567"/>
    <w:rsid w:val="007F2D55"/>
    <w:rsid w:val="007F3CEF"/>
    <w:rsid w:val="00801890"/>
    <w:rsid w:val="0081458B"/>
    <w:rsid w:val="00834243"/>
    <w:rsid w:val="0084274A"/>
    <w:rsid w:val="0084426C"/>
    <w:rsid w:val="00870823"/>
    <w:rsid w:val="00880804"/>
    <w:rsid w:val="00883C80"/>
    <w:rsid w:val="008A6401"/>
    <w:rsid w:val="008B0999"/>
    <w:rsid w:val="008B7E41"/>
    <w:rsid w:val="008C458C"/>
    <w:rsid w:val="008C6991"/>
    <w:rsid w:val="008D2A59"/>
    <w:rsid w:val="008D701B"/>
    <w:rsid w:val="008E6C2F"/>
    <w:rsid w:val="00902AB3"/>
    <w:rsid w:val="00921C2E"/>
    <w:rsid w:val="009245F6"/>
    <w:rsid w:val="00931EB7"/>
    <w:rsid w:val="009324DF"/>
    <w:rsid w:val="00942128"/>
    <w:rsid w:val="00943D5D"/>
    <w:rsid w:val="00943DF4"/>
    <w:rsid w:val="009447F2"/>
    <w:rsid w:val="009521C6"/>
    <w:rsid w:val="00952BCF"/>
    <w:rsid w:val="0096548F"/>
    <w:rsid w:val="00966ABD"/>
    <w:rsid w:val="00967792"/>
    <w:rsid w:val="009705DE"/>
    <w:rsid w:val="00973639"/>
    <w:rsid w:val="00982392"/>
    <w:rsid w:val="009A08C4"/>
    <w:rsid w:val="009B605E"/>
    <w:rsid w:val="00A05E9C"/>
    <w:rsid w:val="00A361CA"/>
    <w:rsid w:val="00A36433"/>
    <w:rsid w:val="00A37D66"/>
    <w:rsid w:val="00A46E3A"/>
    <w:rsid w:val="00A550EC"/>
    <w:rsid w:val="00A605F1"/>
    <w:rsid w:val="00A66CBB"/>
    <w:rsid w:val="00A75896"/>
    <w:rsid w:val="00A7692F"/>
    <w:rsid w:val="00A777BD"/>
    <w:rsid w:val="00A91155"/>
    <w:rsid w:val="00A912A9"/>
    <w:rsid w:val="00AB2B58"/>
    <w:rsid w:val="00AB4453"/>
    <w:rsid w:val="00AC52FD"/>
    <w:rsid w:val="00AC554C"/>
    <w:rsid w:val="00AF1780"/>
    <w:rsid w:val="00AF4BF3"/>
    <w:rsid w:val="00B0674E"/>
    <w:rsid w:val="00B06E07"/>
    <w:rsid w:val="00B06EE6"/>
    <w:rsid w:val="00B16703"/>
    <w:rsid w:val="00B17FDA"/>
    <w:rsid w:val="00B333A2"/>
    <w:rsid w:val="00B47C1F"/>
    <w:rsid w:val="00B5489A"/>
    <w:rsid w:val="00B57DFC"/>
    <w:rsid w:val="00B63E14"/>
    <w:rsid w:val="00B82CE4"/>
    <w:rsid w:val="00B928C6"/>
    <w:rsid w:val="00B92AD2"/>
    <w:rsid w:val="00B95B7E"/>
    <w:rsid w:val="00B968D8"/>
    <w:rsid w:val="00BA49B1"/>
    <w:rsid w:val="00BC5125"/>
    <w:rsid w:val="00BE36A7"/>
    <w:rsid w:val="00C01F6E"/>
    <w:rsid w:val="00C05B7A"/>
    <w:rsid w:val="00C1227A"/>
    <w:rsid w:val="00C17BF1"/>
    <w:rsid w:val="00C3575B"/>
    <w:rsid w:val="00C469AE"/>
    <w:rsid w:val="00C578DB"/>
    <w:rsid w:val="00C71BFD"/>
    <w:rsid w:val="00C73688"/>
    <w:rsid w:val="00CB6BE2"/>
    <w:rsid w:val="00CC203C"/>
    <w:rsid w:val="00CC61AD"/>
    <w:rsid w:val="00CC63AB"/>
    <w:rsid w:val="00CF2BA0"/>
    <w:rsid w:val="00CF44AE"/>
    <w:rsid w:val="00D07443"/>
    <w:rsid w:val="00D17254"/>
    <w:rsid w:val="00D20E4A"/>
    <w:rsid w:val="00D55DA5"/>
    <w:rsid w:val="00D55F69"/>
    <w:rsid w:val="00D64399"/>
    <w:rsid w:val="00D826B0"/>
    <w:rsid w:val="00DA6DB2"/>
    <w:rsid w:val="00DB0DF1"/>
    <w:rsid w:val="00DC1873"/>
    <w:rsid w:val="00DC453B"/>
    <w:rsid w:val="00DC4E8C"/>
    <w:rsid w:val="00DF606D"/>
    <w:rsid w:val="00DF6B52"/>
    <w:rsid w:val="00E02BCE"/>
    <w:rsid w:val="00E2345D"/>
    <w:rsid w:val="00E36F19"/>
    <w:rsid w:val="00E4070D"/>
    <w:rsid w:val="00E41C29"/>
    <w:rsid w:val="00E516AA"/>
    <w:rsid w:val="00E5224D"/>
    <w:rsid w:val="00E7181D"/>
    <w:rsid w:val="00E81902"/>
    <w:rsid w:val="00E8584C"/>
    <w:rsid w:val="00E90A2E"/>
    <w:rsid w:val="00EA0381"/>
    <w:rsid w:val="00EB5326"/>
    <w:rsid w:val="00EC0D0E"/>
    <w:rsid w:val="00ED78C7"/>
    <w:rsid w:val="00EE3D9D"/>
    <w:rsid w:val="00EF686E"/>
    <w:rsid w:val="00F16B1C"/>
    <w:rsid w:val="00F21050"/>
    <w:rsid w:val="00F71F49"/>
    <w:rsid w:val="00F724AC"/>
    <w:rsid w:val="00F81828"/>
    <w:rsid w:val="00F85207"/>
    <w:rsid w:val="00F8588D"/>
    <w:rsid w:val="00FA2488"/>
    <w:rsid w:val="00FA4F6A"/>
    <w:rsid w:val="00FC6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92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A7692F"/>
    <w:pPr>
      <w:keepNext/>
      <w:jc w:val="both"/>
      <w:outlineLvl w:val="0"/>
    </w:pPr>
    <w:rPr>
      <w:b/>
      <w:bCs/>
      <w:kern w:val="36"/>
    </w:rPr>
  </w:style>
  <w:style w:type="paragraph" w:styleId="Heading2">
    <w:name w:val="heading 2"/>
    <w:basedOn w:val="Normal"/>
    <w:link w:val="Heading2Char"/>
    <w:uiPriority w:val="99"/>
    <w:qFormat/>
    <w:rsid w:val="00A7692F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link w:val="Heading3Char"/>
    <w:uiPriority w:val="99"/>
    <w:qFormat/>
    <w:rsid w:val="00A7692F"/>
    <w:pPr>
      <w:keepNext/>
      <w:ind w:left="360"/>
      <w:jc w:val="both"/>
      <w:outlineLvl w:val="2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A7692F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link w:val="Heading7Char"/>
    <w:uiPriority w:val="99"/>
    <w:qFormat/>
    <w:rsid w:val="00A7692F"/>
    <w:pPr>
      <w:spacing w:before="100" w:beforeAutospacing="1" w:after="100" w:afterAutospacing="1"/>
      <w:outlineLvl w:val="6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7692F"/>
    <w:rPr>
      <w:rFonts w:ascii="Times New Roman" w:hAnsi="Times New Roman" w:cs="Times New Roman"/>
      <w:b/>
      <w:bCs/>
      <w:kern w:val="36"/>
      <w:sz w:val="24"/>
      <w:szCs w:val="24"/>
      <w:lang w:eastAsia="tr-TR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A7692F"/>
    <w:rPr>
      <w:rFonts w:ascii="Times New Roman" w:hAnsi="Times New Roman" w:cs="Times New Roman"/>
      <w:b/>
      <w:bCs/>
      <w:sz w:val="24"/>
      <w:szCs w:val="24"/>
      <w:lang w:eastAsia="tr-TR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A7692F"/>
    <w:rPr>
      <w:rFonts w:ascii="Times New Roman" w:hAnsi="Times New Roman" w:cs="Times New Roman"/>
      <w:b/>
      <w:bCs/>
      <w:sz w:val="24"/>
      <w:szCs w:val="24"/>
      <w:lang w:eastAsia="tr-TR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A7692F"/>
    <w:rPr>
      <w:rFonts w:ascii="Times New Roman" w:hAnsi="Times New Roman" w:cs="Times New Roman"/>
      <w:b/>
      <w:bCs/>
      <w:lang w:eastAsia="tr-TR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A7692F"/>
    <w:rPr>
      <w:rFonts w:ascii="Times New Roman" w:hAnsi="Times New Roman" w:cs="Times New Roman"/>
      <w:sz w:val="24"/>
      <w:szCs w:val="24"/>
      <w:lang w:eastAsia="tr-TR"/>
    </w:rPr>
  </w:style>
  <w:style w:type="paragraph" w:styleId="BodyTextIndent2">
    <w:name w:val="Body Text Indent 2"/>
    <w:basedOn w:val="Normal"/>
    <w:link w:val="BodyTextIndent2Char"/>
    <w:uiPriority w:val="99"/>
    <w:semiHidden/>
    <w:rsid w:val="00A7692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7692F"/>
    <w:rPr>
      <w:rFonts w:ascii="Times New Roman" w:hAnsi="Times New Roman" w:cs="Times New Roman"/>
      <w:sz w:val="24"/>
      <w:szCs w:val="24"/>
      <w:lang w:eastAsia="tr-TR"/>
    </w:rPr>
  </w:style>
  <w:style w:type="paragraph" w:styleId="BalloonText">
    <w:name w:val="Balloon Text"/>
    <w:basedOn w:val="Normal"/>
    <w:link w:val="BalloonTextChar"/>
    <w:uiPriority w:val="99"/>
    <w:semiHidden/>
    <w:rsid w:val="00EE3D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E3D9D"/>
    <w:rPr>
      <w:rFonts w:ascii="Tahoma" w:hAnsi="Tahoma" w:cs="Tahoma"/>
      <w:sz w:val="16"/>
      <w:szCs w:val="16"/>
      <w:lang w:eastAsia="tr-TR"/>
    </w:rPr>
  </w:style>
  <w:style w:type="paragraph" w:styleId="ListParagraph">
    <w:name w:val="List Paragraph"/>
    <w:basedOn w:val="Normal"/>
    <w:uiPriority w:val="99"/>
    <w:qFormat/>
    <w:rsid w:val="00240FE2"/>
    <w:pPr>
      <w:ind w:left="720"/>
      <w:contextualSpacing/>
    </w:pPr>
  </w:style>
  <w:style w:type="paragraph" w:styleId="Revision">
    <w:name w:val="Revision"/>
    <w:hidden/>
    <w:uiPriority w:val="99"/>
    <w:semiHidden/>
    <w:rsid w:val="00AF1780"/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81458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1458B"/>
    <w:rPr>
      <w:rFonts w:ascii="Times New Roman" w:hAnsi="Times New Roman" w:cs="Times New Roman"/>
      <w:sz w:val="24"/>
      <w:szCs w:val="24"/>
      <w:lang w:eastAsia="tr-TR"/>
    </w:rPr>
  </w:style>
  <w:style w:type="paragraph" w:styleId="Footer">
    <w:name w:val="footer"/>
    <w:basedOn w:val="Normal"/>
    <w:link w:val="FooterChar"/>
    <w:uiPriority w:val="99"/>
    <w:rsid w:val="0081458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1458B"/>
    <w:rPr>
      <w:rFonts w:ascii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456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9</Pages>
  <Words>1340</Words>
  <Characters>7640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 –1                                                                                     PARAMETRELER LİSTESİ</dc:title>
  <dc:subject/>
  <dc:creator>nadali</dc:creator>
  <cp:keywords/>
  <dc:description/>
  <cp:lastModifiedBy>AHMET</cp:lastModifiedBy>
  <cp:revision>2</cp:revision>
  <cp:lastPrinted>2013-12-09T10:08:00Z</cp:lastPrinted>
  <dcterms:created xsi:type="dcterms:W3CDTF">2014-01-10T18:29:00Z</dcterms:created>
  <dcterms:modified xsi:type="dcterms:W3CDTF">2014-01-10T18:29:00Z</dcterms:modified>
</cp:coreProperties>
</file>